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4.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2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2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2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drawings/drawing4.xml" ContentType="application/vnd.openxmlformats-officedocument.drawingml.chartshapes+xml"/>
  <Override PartName="/word/charts/chart23.xml" ContentType="application/vnd.openxmlformats-officedocument.drawingml.chart+xml"/>
  <Override PartName="/word/theme/themeOverride13.xml" ContentType="application/vnd.openxmlformats-officedocument.themeOverride+xml"/>
  <Override PartName="/word/drawings/drawing5.xml" ContentType="application/vnd.openxmlformats-officedocument.drawingml.chartshapes+xml"/>
  <Override PartName="/word/charts/chart24.xml" ContentType="application/vnd.openxmlformats-officedocument.drawingml.chart+xml"/>
  <Override PartName="/word/theme/themeOverride14.xml" ContentType="application/vnd.openxmlformats-officedocument.themeOverride+xml"/>
  <Override PartName="/word/charts/chart25.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5.xml" ContentType="application/vnd.openxmlformats-officedocument.themeOverride+xml"/>
  <Override PartName="/word/charts/chart26.xml" ContentType="application/vnd.openxmlformats-officedocument.drawingml.chart+xml"/>
  <Override PartName="/word/charts/style14.xml" ContentType="application/vnd.ms-office.chartstyle+xml"/>
  <Override PartName="/word/charts/colors14.xml" ContentType="application/vnd.ms-office.chartcolorstyle+xml"/>
  <Override PartName="/word/drawings/drawing6.xml" ContentType="application/vnd.openxmlformats-officedocument.drawingml.chartshapes+xml"/>
  <Override PartName="/word/charts/chart27.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6.xml" ContentType="application/vnd.openxmlformats-officedocument.themeOverride+xml"/>
  <Override PartName="/word/drawings/drawing7.xml" ContentType="application/vnd.openxmlformats-officedocument.drawingml.chartshapes+xml"/>
  <Override PartName="/word/charts/chart28.xml" ContentType="application/vnd.openxmlformats-officedocument.drawingml.chart+xml"/>
  <Override PartName="/word/theme/themeOverride17.xml" ContentType="application/vnd.openxmlformats-officedocument.themeOverride+xml"/>
  <Override PartName="/word/charts/chart29.xml" ContentType="application/vnd.openxmlformats-officedocument.drawingml.chart+xml"/>
  <Override PartName="/word/theme/themeOverride18.xml" ContentType="application/vnd.openxmlformats-officedocument.themeOverride+xml"/>
  <Override PartName="/word/drawings/drawing8.xml" ContentType="application/vnd.openxmlformats-officedocument.drawingml.chartshapes+xml"/>
  <Override PartName="/word/charts/chart30.xml" ContentType="application/vnd.openxmlformats-officedocument.drawingml.chart+xml"/>
  <Override PartName="/word/charts/chart31.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32.xml" ContentType="application/vnd.openxmlformats-officedocument.drawingml.chart+xml"/>
  <Override PartName="/word/charts/style17.xml" ContentType="application/vnd.ms-office.chartstyle+xml"/>
  <Override PartName="/word/charts/colors17.xml" ContentType="application/vnd.ms-office.chartcolorstyle+xml"/>
  <Override PartName="/word/drawings/drawing9.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8B3A" w14:textId="6C5FB346" w:rsidR="00877D86" w:rsidRPr="00887108" w:rsidRDefault="00877D86" w:rsidP="004176F4">
      <w:pPr>
        <w:jc w:val="center"/>
        <w:rPr>
          <w:rFonts w:cs="Arial Narrow"/>
          <w:color w:val="FFFFFF"/>
        </w:rPr>
      </w:pPr>
      <w:bookmarkStart w:id="0" w:name="_Toc251855762"/>
      <w:bookmarkStart w:id="1" w:name="_GoBack"/>
      <w:bookmarkEnd w:id="1"/>
    </w:p>
    <w:p w14:paraId="64C3301F" w14:textId="77777777" w:rsidR="00877D86" w:rsidRPr="00887108" w:rsidRDefault="00877D86" w:rsidP="004176F4">
      <w:pPr>
        <w:jc w:val="center"/>
        <w:rPr>
          <w:rFonts w:cs="Arial Narrow"/>
          <w:color w:val="FFFFFF"/>
        </w:rPr>
      </w:pPr>
    </w:p>
    <w:p w14:paraId="2F19FF5D" w14:textId="77777777" w:rsidR="00877D86" w:rsidRPr="00887108" w:rsidRDefault="00877D86" w:rsidP="004176F4">
      <w:pPr>
        <w:jc w:val="center"/>
        <w:rPr>
          <w:rFonts w:cs="Arial Narrow"/>
          <w:color w:val="FFFFFF"/>
        </w:rPr>
      </w:pPr>
    </w:p>
    <w:p w14:paraId="13664E0E" w14:textId="77777777" w:rsidR="00877D86" w:rsidRPr="00887108" w:rsidRDefault="00877D86" w:rsidP="004176F4">
      <w:pPr>
        <w:jc w:val="center"/>
        <w:rPr>
          <w:rFonts w:cs="Arial Narrow"/>
          <w:color w:val="FFFFFF"/>
        </w:rPr>
      </w:pPr>
    </w:p>
    <w:p w14:paraId="56CD3C90" w14:textId="66376013" w:rsidR="001247CF" w:rsidRPr="00887108" w:rsidRDefault="000F0786" w:rsidP="004176F4">
      <w:pPr>
        <w:jc w:val="center"/>
        <w:rPr>
          <w:rFonts w:cs="Arial Narrow"/>
          <w:color w:val="FFFFFF"/>
        </w:rPr>
      </w:pPr>
      <w:r w:rsidRPr="00887108">
        <w:rPr>
          <w:noProof/>
        </w:rPr>
        <w:drawing>
          <wp:anchor distT="0" distB="0" distL="114300" distR="114300" simplePos="0" relativeHeight="251656192" behindDoc="0" locked="0" layoutInCell="1" allowOverlap="1" wp14:anchorId="34B475D5" wp14:editId="0A193D88">
            <wp:simplePos x="0" y="0"/>
            <wp:positionH relativeFrom="column">
              <wp:align>center</wp:align>
            </wp:positionH>
            <wp:positionV relativeFrom="page">
              <wp:posOffset>1450340</wp:posOffset>
            </wp:positionV>
            <wp:extent cx="1360800" cy="1695600"/>
            <wp:effectExtent l="0" t="0" r="0" b="0"/>
            <wp:wrapNone/>
            <wp:docPr id="3" name="Obrázok 56" descr="Popis: štátny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6" descr="Popis: štátny zna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0" cy="16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7CF" w:rsidRPr="00887108">
        <w:rPr>
          <w:rFonts w:cs="Arial Narrow"/>
          <w:color w:val="FFFFFF"/>
        </w:rPr>
        <w:t xml:space="preserve">;     </w:t>
      </w:r>
    </w:p>
    <w:p w14:paraId="1A99331C" w14:textId="77777777" w:rsidR="001247CF" w:rsidRPr="00887108" w:rsidRDefault="001247CF" w:rsidP="004176F4">
      <w:pPr>
        <w:jc w:val="center"/>
        <w:rPr>
          <w:rFonts w:cs="Arial Narrow"/>
          <w:b/>
          <w:bCs/>
          <w:sz w:val="32"/>
          <w:szCs w:val="32"/>
        </w:rPr>
      </w:pPr>
    </w:p>
    <w:p w14:paraId="024A8800" w14:textId="77777777" w:rsidR="001247CF" w:rsidRPr="00887108" w:rsidRDefault="001247CF" w:rsidP="004176F4">
      <w:pPr>
        <w:rPr>
          <w:rFonts w:cs="Arial Narrow"/>
        </w:rPr>
      </w:pPr>
    </w:p>
    <w:p w14:paraId="00501EC7" w14:textId="77777777" w:rsidR="001247CF" w:rsidRPr="00887108" w:rsidRDefault="001247CF" w:rsidP="004176F4">
      <w:pPr>
        <w:rPr>
          <w:rFonts w:cs="Arial Narrow"/>
        </w:rPr>
      </w:pPr>
    </w:p>
    <w:p w14:paraId="1CB9634E" w14:textId="77777777" w:rsidR="001247CF" w:rsidRPr="00887108" w:rsidRDefault="001247CF" w:rsidP="004176F4">
      <w:pPr>
        <w:rPr>
          <w:rFonts w:cs="Arial Narrow"/>
        </w:rPr>
      </w:pPr>
    </w:p>
    <w:p w14:paraId="0F237BDA" w14:textId="77777777" w:rsidR="001247CF" w:rsidRPr="00887108" w:rsidRDefault="001247CF" w:rsidP="004176F4">
      <w:pPr>
        <w:rPr>
          <w:rFonts w:cs="Arial Narrow"/>
        </w:rPr>
      </w:pPr>
    </w:p>
    <w:p w14:paraId="5F531F94" w14:textId="77777777" w:rsidR="001247CF" w:rsidRPr="00887108" w:rsidRDefault="001247CF" w:rsidP="004176F4">
      <w:pPr>
        <w:rPr>
          <w:rFonts w:cs="Arial Narrow"/>
        </w:rPr>
      </w:pPr>
    </w:p>
    <w:p w14:paraId="12EF5240" w14:textId="77777777" w:rsidR="001247CF" w:rsidRPr="00887108" w:rsidRDefault="001247CF" w:rsidP="004176F4">
      <w:pPr>
        <w:rPr>
          <w:rFonts w:cs="Arial Narrow"/>
        </w:rPr>
      </w:pPr>
    </w:p>
    <w:p w14:paraId="023320CB" w14:textId="77777777" w:rsidR="0028256A" w:rsidRPr="00887108" w:rsidRDefault="0028256A" w:rsidP="004176F4">
      <w:pPr>
        <w:rPr>
          <w:rFonts w:cs="Arial Narrow"/>
        </w:rPr>
      </w:pPr>
    </w:p>
    <w:p w14:paraId="7E7DC06B" w14:textId="77777777" w:rsidR="001247CF" w:rsidRPr="00887108" w:rsidRDefault="001247CF" w:rsidP="004176F4">
      <w:pPr>
        <w:rPr>
          <w:rFonts w:cs="Arial Narrow"/>
        </w:rPr>
      </w:pPr>
    </w:p>
    <w:p w14:paraId="394BBD50" w14:textId="77777777" w:rsidR="001247CF" w:rsidRPr="00887108" w:rsidRDefault="001247CF" w:rsidP="004176F4">
      <w:pPr>
        <w:jc w:val="center"/>
        <w:rPr>
          <w:rFonts w:cs="Arial Narrow"/>
        </w:rPr>
      </w:pPr>
    </w:p>
    <w:p w14:paraId="29AA7AF5" w14:textId="77777777" w:rsidR="001247CF" w:rsidRPr="00887108" w:rsidRDefault="001247CF" w:rsidP="004176F4">
      <w:pPr>
        <w:jc w:val="center"/>
        <w:rPr>
          <w:rFonts w:cs="Arial Narrow"/>
        </w:rPr>
      </w:pPr>
    </w:p>
    <w:p w14:paraId="0C3BDB21" w14:textId="77777777" w:rsidR="001247CF" w:rsidRPr="00887108" w:rsidRDefault="001247CF" w:rsidP="004176F4">
      <w:pPr>
        <w:jc w:val="center"/>
        <w:rPr>
          <w:rFonts w:cs="Arial Narrow"/>
        </w:rPr>
      </w:pPr>
    </w:p>
    <w:p w14:paraId="6F523775" w14:textId="77777777" w:rsidR="009E54EC" w:rsidRPr="00887108" w:rsidRDefault="009E54EC" w:rsidP="00877D86">
      <w:pPr>
        <w:spacing w:line="300" w:lineRule="auto"/>
        <w:jc w:val="center"/>
        <w:rPr>
          <w:rFonts w:cs="Arial Narrow"/>
          <w:b/>
          <w:bCs/>
          <w:sz w:val="56"/>
          <w:szCs w:val="56"/>
        </w:rPr>
      </w:pPr>
    </w:p>
    <w:p w14:paraId="402685BB" w14:textId="77777777" w:rsidR="001247CF" w:rsidRPr="00887108" w:rsidRDefault="001247CF" w:rsidP="00877D86">
      <w:pPr>
        <w:spacing w:line="300" w:lineRule="auto"/>
        <w:jc w:val="center"/>
        <w:rPr>
          <w:rFonts w:cs="Arial Narrow"/>
          <w:b/>
          <w:bCs/>
          <w:sz w:val="56"/>
          <w:szCs w:val="56"/>
        </w:rPr>
      </w:pPr>
      <w:r w:rsidRPr="00887108">
        <w:rPr>
          <w:rFonts w:cs="Arial Narrow"/>
          <w:b/>
          <w:bCs/>
          <w:sz w:val="56"/>
          <w:szCs w:val="56"/>
        </w:rPr>
        <w:t>P</w:t>
      </w:r>
      <w:r w:rsidR="0028256A" w:rsidRPr="00887108">
        <w:rPr>
          <w:rFonts w:cs="Arial Narrow"/>
          <w:b/>
          <w:bCs/>
          <w:sz w:val="56"/>
          <w:szCs w:val="56"/>
        </w:rPr>
        <w:t xml:space="preserve">rogram stability </w:t>
      </w:r>
      <w:r w:rsidRPr="00887108">
        <w:rPr>
          <w:rFonts w:cs="Arial Narrow"/>
          <w:b/>
          <w:bCs/>
          <w:sz w:val="56"/>
          <w:szCs w:val="56"/>
        </w:rPr>
        <w:t>S</w:t>
      </w:r>
      <w:r w:rsidR="0028256A" w:rsidRPr="00887108">
        <w:rPr>
          <w:rFonts w:cs="Arial Narrow"/>
          <w:b/>
          <w:bCs/>
          <w:sz w:val="56"/>
          <w:szCs w:val="56"/>
        </w:rPr>
        <w:t>lovenskej republiky</w:t>
      </w:r>
      <w:r w:rsidRPr="00887108">
        <w:rPr>
          <w:rFonts w:cs="Arial Narrow"/>
          <w:b/>
          <w:bCs/>
          <w:sz w:val="56"/>
          <w:szCs w:val="56"/>
        </w:rPr>
        <w:t xml:space="preserve"> </w:t>
      </w:r>
    </w:p>
    <w:p w14:paraId="20E52516" w14:textId="63450C74" w:rsidR="001247CF" w:rsidRPr="00887108" w:rsidRDefault="0028256A" w:rsidP="00877D86">
      <w:pPr>
        <w:spacing w:line="300" w:lineRule="auto"/>
        <w:jc w:val="center"/>
        <w:rPr>
          <w:rFonts w:cs="Arial Narrow"/>
          <w:b/>
          <w:bCs/>
          <w:sz w:val="56"/>
          <w:szCs w:val="56"/>
        </w:rPr>
      </w:pPr>
      <w:r w:rsidRPr="00887108">
        <w:rPr>
          <w:rFonts w:cs="Arial Narrow"/>
          <w:b/>
          <w:bCs/>
          <w:sz w:val="56"/>
          <w:szCs w:val="56"/>
        </w:rPr>
        <w:t>na roky</w:t>
      </w:r>
      <w:r w:rsidR="001247CF" w:rsidRPr="00887108">
        <w:rPr>
          <w:rFonts w:cs="Arial Narrow"/>
          <w:b/>
          <w:bCs/>
          <w:sz w:val="56"/>
          <w:szCs w:val="56"/>
        </w:rPr>
        <w:t xml:space="preserve"> </w:t>
      </w:r>
      <w:r w:rsidR="00204588" w:rsidRPr="00887108">
        <w:rPr>
          <w:rFonts w:cs="Arial Narrow"/>
          <w:b/>
          <w:bCs/>
          <w:sz w:val="56"/>
          <w:szCs w:val="56"/>
        </w:rPr>
        <w:t>202</w:t>
      </w:r>
      <w:r w:rsidR="00490255">
        <w:rPr>
          <w:rFonts w:cs="Arial Narrow"/>
          <w:b/>
          <w:bCs/>
          <w:sz w:val="56"/>
          <w:szCs w:val="56"/>
        </w:rPr>
        <w:t>2</w:t>
      </w:r>
      <w:r w:rsidR="001247CF" w:rsidRPr="00887108">
        <w:rPr>
          <w:rFonts w:cs="Arial Narrow"/>
          <w:b/>
          <w:bCs/>
          <w:sz w:val="56"/>
          <w:szCs w:val="56"/>
        </w:rPr>
        <w:t xml:space="preserve"> </w:t>
      </w:r>
      <w:r w:rsidRPr="00887108">
        <w:rPr>
          <w:rFonts w:cs="Arial Narrow"/>
          <w:b/>
          <w:bCs/>
          <w:sz w:val="56"/>
          <w:szCs w:val="56"/>
        </w:rPr>
        <w:t>až</w:t>
      </w:r>
      <w:r w:rsidR="001247CF" w:rsidRPr="00887108">
        <w:rPr>
          <w:rFonts w:cs="Arial Narrow"/>
          <w:b/>
          <w:bCs/>
          <w:sz w:val="56"/>
          <w:szCs w:val="56"/>
        </w:rPr>
        <w:t xml:space="preserve"> </w:t>
      </w:r>
      <w:r w:rsidR="00490255">
        <w:rPr>
          <w:rFonts w:cs="Arial Narrow"/>
          <w:b/>
          <w:bCs/>
          <w:sz w:val="56"/>
          <w:szCs w:val="56"/>
        </w:rPr>
        <w:t>2025</w:t>
      </w:r>
    </w:p>
    <w:p w14:paraId="11CC81C8" w14:textId="77777777" w:rsidR="001247CF" w:rsidRPr="00887108" w:rsidRDefault="001247CF" w:rsidP="004176F4">
      <w:pPr>
        <w:jc w:val="center"/>
        <w:rPr>
          <w:rFonts w:cs="Arial Narrow"/>
          <w:b/>
          <w:bCs/>
          <w:sz w:val="52"/>
          <w:szCs w:val="52"/>
        </w:rPr>
      </w:pPr>
    </w:p>
    <w:p w14:paraId="6D9B7F64" w14:textId="77777777" w:rsidR="00877D86" w:rsidRPr="00887108" w:rsidRDefault="00D72DE6" w:rsidP="00D72DE6">
      <w:pPr>
        <w:tabs>
          <w:tab w:val="left" w:pos="6675"/>
        </w:tabs>
        <w:rPr>
          <w:rFonts w:cs="Arial Narrow"/>
          <w:b/>
          <w:bCs/>
          <w:sz w:val="52"/>
          <w:szCs w:val="52"/>
        </w:rPr>
      </w:pPr>
      <w:r w:rsidRPr="00887108">
        <w:rPr>
          <w:rFonts w:cs="Arial Narrow"/>
          <w:b/>
          <w:bCs/>
          <w:sz w:val="52"/>
          <w:szCs w:val="52"/>
        </w:rPr>
        <w:tab/>
      </w:r>
    </w:p>
    <w:p w14:paraId="0172FFD7" w14:textId="77777777" w:rsidR="001247CF" w:rsidRPr="00887108" w:rsidRDefault="001247CF" w:rsidP="000F0786">
      <w:pPr>
        <w:jc w:val="center"/>
        <w:rPr>
          <w:rFonts w:cs="Arial Narrow"/>
          <w:b/>
          <w:bCs/>
          <w:sz w:val="52"/>
          <w:szCs w:val="52"/>
        </w:rPr>
      </w:pPr>
    </w:p>
    <w:p w14:paraId="33CD8CC9" w14:textId="77777777" w:rsidR="001247CF" w:rsidRPr="00887108" w:rsidRDefault="001247CF" w:rsidP="000F0786">
      <w:pPr>
        <w:jc w:val="center"/>
        <w:rPr>
          <w:rFonts w:cs="Arial Narrow"/>
          <w:b/>
          <w:bCs/>
          <w:sz w:val="52"/>
          <w:szCs w:val="52"/>
        </w:rPr>
      </w:pPr>
    </w:p>
    <w:p w14:paraId="6F9EBEE7" w14:textId="77777777" w:rsidR="001247CF" w:rsidRPr="00887108" w:rsidRDefault="001247CF" w:rsidP="000F0786">
      <w:pPr>
        <w:jc w:val="center"/>
        <w:rPr>
          <w:rFonts w:cs="Arial Narrow"/>
          <w:b/>
          <w:bCs/>
          <w:sz w:val="52"/>
          <w:szCs w:val="52"/>
        </w:rPr>
      </w:pPr>
    </w:p>
    <w:p w14:paraId="380E9EFD" w14:textId="77777777" w:rsidR="001247CF" w:rsidRPr="00887108" w:rsidRDefault="001247CF" w:rsidP="000F0786">
      <w:pPr>
        <w:jc w:val="center"/>
        <w:rPr>
          <w:rFonts w:cs="Arial Narrow"/>
          <w:b/>
          <w:bCs/>
          <w:sz w:val="52"/>
          <w:szCs w:val="52"/>
        </w:rPr>
      </w:pPr>
    </w:p>
    <w:p w14:paraId="23F623E8" w14:textId="77777777" w:rsidR="001247CF" w:rsidRPr="00887108" w:rsidRDefault="001247CF" w:rsidP="000F0786">
      <w:pPr>
        <w:jc w:val="center"/>
        <w:rPr>
          <w:rFonts w:cs="Arial Narrow"/>
          <w:b/>
          <w:bCs/>
          <w:sz w:val="52"/>
          <w:szCs w:val="52"/>
        </w:rPr>
      </w:pPr>
    </w:p>
    <w:p w14:paraId="42999C89" w14:textId="7E3F73A1" w:rsidR="000F0786" w:rsidRPr="00887108" w:rsidRDefault="000F0786" w:rsidP="00876448">
      <w:pPr>
        <w:rPr>
          <w:rFonts w:cs="Arial Narrow"/>
          <w:b/>
          <w:bCs/>
          <w:sz w:val="52"/>
          <w:szCs w:val="52"/>
        </w:rPr>
      </w:pPr>
    </w:p>
    <w:p w14:paraId="1A1705AB" w14:textId="0D475950" w:rsidR="001247CF" w:rsidRPr="00887108" w:rsidRDefault="001247CF" w:rsidP="004176F4">
      <w:pPr>
        <w:jc w:val="center"/>
        <w:rPr>
          <w:rFonts w:cs="Arial Narrow"/>
          <w:b/>
          <w:bCs/>
          <w:sz w:val="52"/>
          <w:szCs w:val="52"/>
        </w:rPr>
      </w:pPr>
    </w:p>
    <w:p w14:paraId="0041390E" w14:textId="3FF5D04A" w:rsidR="000F0786" w:rsidRDefault="000F0786">
      <w:bookmarkStart w:id="2" w:name="_Toc290035084"/>
      <w:bookmarkStart w:id="3" w:name="_Toc291580546"/>
      <w:bookmarkStart w:id="4" w:name="_Toc321211634"/>
      <w:bookmarkStart w:id="5" w:name="_Toc322707605"/>
      <w:bookmarkStart w:id="6" w:name="_Toc322708229"/>
      <w:bookmarkStart w:id="7" w:name="_Toc323117539"/>
      <w:bookmarkStart w:id="8" w:name="_Toc353804669"/>
      <w:bookmarkStart w:id="9" w:name="_Toc354477124"/>
      <w:bookmarkStart w:id="10" w:name="_Toc385764143"/>
      <w:bookmarkStart w:id="11" w:name="_Toc385951396"/>
      <w:bookmarkStart w:id="12" w:name="_Toc181078186"/>
      <w:bookmarkStart w:id="13" w:name="_Toc251855752"/>
    </w:p>
    <w:p w14:paraId="54448810" w14:textId="54769407" w:rsidR="00876448" w:rsidRDefault="00876448"/>
    <w:p w14:paraId="6419AB94" w14:textId="61D40A55" w:rsidR="00876448" w:rsidRDefault="00876448"/>
    <w:p w14:paraId="1E9D4EAD" w14:textId="7B3D09BB" w:rsidR="00876448" w:rsidRDefault="00876448"/>
    <w:p w14:paraId="5887E7C1" w14:textId="77777777" w:rsidR="00D40A70" w:rsidRDefault="00D40A70" w:rsidP="004F6B40">
      <w:pPr>
        <w:rPr>
          <w:color w:val="BFBFBF" w:themeColor="background1" w:themeShade="BF"/>
          <w:sz w:val="16"/>
          <w:szCs w:val="16"/>
        </w:rPr>
      </w:pPr>
    </w:p>
    <w:p w14:paraId="7461A35D" w14:textId="7409FF29" w:rsidR="00D40A70" w:rsidRDefault="00A345DC">
      <w:r w:rsidRPr="00E84056">
        <w:rPr>
          <w:color w:val="BFBFBF" w:themeColor="background1" w:themeShade="BF"/>
          <w:sz w:val="18"/>
        </w:rPr>
        <w:t xml:space="preserve">Program stability vo verzii po zapracovaní pripomienok </w:t>
      </w:r>
      <w:r w:rsidR="005B6D9B">
        <w:rPr>
          <w:color w:val="BFBFBF" w:themeColor="background1" w:themeShade="BF"/>
          <w:sz w:val="18"/>
        </w:rPr>
        <w:t>vznesených na rokovaní vlády 27.4.2022</w:t>
      </w:r>
    </w:p>
    <w:p w14:paraId="61368FF2" w14:textId="77777777" w:rsidR="000F0786" w:rsidRPr="00887108" w:rsidRDefault="000F0786">
      <w:pPr>
        <w:rPr>
          <w:b/>
          <w:bCs/>
          <w:sz w:val="28"/>
        </w:rPr>
      </w:pPr>
      <w:r w:rsidRPr="00887108">
        <w:rPr>
          <w:b/>
          <w:noProof/>
        </w:rPr>
        <mc:AlternateContent>
          <mc:Choice Requires="wps">
            <w:drawing>
              <wp:anchor distT="0" distB="0" distL="114300" distR="114300" simplePos="0" relativeHeight="251660288" behindDoc="1" locked="0" layoutInCell="0" allowOverlap="1" wp14:anchorId="055A3305" wp14:editId="7803C470">
                <wp:simplePos x="0" y="0"/>
                <wp:positionH relativeFrom="page">
                  <wp:posOffset>3168650</wp:posOffset>
                </wp:positionH>
                <wp:positionV relativeFrom="page">
                  <wp:posOffset>8717915</wp:posOffset>
                </wp:positionV>
                <wp:extent cx="59055" cy="294640"/>
                <wp:effectExtent l="0" t="0" r="0" b="0"/>
                <wp:wrapNone/>
                <wp:docPr id="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94640"/>
                        </a:xfrm>
                        <a:prstGeom prst="rect">
                          <a:avLst/>
                        </a:prstGeom>
                        <a:solidFill>
                          <a:srgbClr val="37AB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DB91EF" id="Rectangle 2" o:spid="_x0000_s1026" style="position:absolute;margin-left:249.5pt;margin-top:686.45pt;width:4.65pt;height:2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" o:allowincell="f" fillcolor="#37abe1" stroked="f">
                <v:path arrowok="t"/>
                <w10:wrap anchorx="page" anchory="page"/>
              </v:rect>
            </w:pict>
          </mc:Fallback>
        </mc:AlternateContent>
      </w:r>
      <w:r w:rsidRPr="00887108">
        <w:rPr>
          <w:b/>
          <w:noProof/>
          <w:sz w:val="20"/>
          <w:szCs w:val="20"/>
        </w:rPr>
        <mc:AlternateContent>
          <mc:Choice Requires="wps">
            <w:drawing>
              <wp:anchor distT="0" distB="0" distL="114300" distR="114300" simplePos="0" relativeHeight="251662336" behindDoc="0" locked="1" layoutInCell="1" allowOverlap="1" wp14:anchorId="491B032C" wp14:editId="6BAA8000">
                <wp:simplePos x="0" y="0"/>
                <wp:positionH relativeFrom="column">
                  <wp:posOffset>2351405</wp:posOffset>
                </wp:positionH>
                <wp:positionV relativeFrom="page">
                  <wp:posOffset>8711565</wp:posOffset>
                </wp:positionV>
                <wp:extent cx="1268730" cy="483870"/>
                <wp:effectExtent l="0" t="0" r="762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483870"/>
                        </a:xfrm>
                        <a:prstGeom prst="rect">
                          <a:avLst/>
                        </a:prstGeom>
                        <a:solidFill>
                          <a:srgbClr val="FFFFFF"/>
                        </a:solidFill>
                        <a:ln w="9525">
                          <a:noFill/>
                          <a:miter lim="800000"/>
                          <a:headEnd/>
                          <a:tailEnd/>
                        </a:ln>
                      </wps:spPr>
                      <wps:txbx>
                        <w:txbxContent>
                          <w:p w14:paraId="341B2F4F" w14:textId="2ABE9215" w:rsidR="00CF774B" w:rsidRPr="001E0231" w:rsidRDefault="00CF774B" w:rsidP="000F0786">
                            <w:pPr>
                              <w:rPr>
                                <w:rFonts w:cstheme="minorHAnsi"/>
                                <w:sz w:val="32"/>
                              </w:rPr>
                            </w:pPr>
                            <w:r>
                              <w:rPr>
                                <w:rFonts w:cstheme="minorHAnsi"/>
                                <w:sz w:val="32"/>
                              </w:rPr>
                              <w:t>apríl</w:t>
                            </w:r>
                            <w:r w:rsidRPr="001E0231">
                              <w:rPr>
                                <w:rFonts w:cstheme="minorHAnsi"/>
                                <w:sz w:val="32"/>
                              </w:rPr>
                              <w:t xml:space="preserve"> </w:t>
                            </w:r>
                            <w:r>
                              <w:rPr>
                                <w:rFonts w:cstheme="minorHAnsi"/>
                                <w:sz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1B032C" id="_x0000_t202" coordsize="21600,21600" o:spt="202" path="m,l,21600r21600,l21600,xe">
                <v:stroke joinstyle="miter"/>
                <v:path gradientshapeok="t" o:connecttype="rect"/>
              </v:shapetype>
              <v:shape id="Text Box 2" o:spid="_x0000_s1026" type="#_x0000_t202" style="position:absolute;margin-left:185.15pt;margin-top:685.95pt;width:99.9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" stroked="f">
                <v:textbox>
                  <w:txbxContent>
                    <w:p w14:paraId="341B2F4F" w14:textId="2ABE9215" w:rsidR="00CF774B" w:rsidRPr="001E0231" w:rsidRDefault="00CF774B" w:rsidP="000F0786">
                      <w:pPr>
                        <w:rPr>
                          <w:rFonts w:cstheme="minorHAnsi"/>
                          <w:sz w:val="32"/>
                        </w:rPr>
                      </w:pPr>
                      <w:r>
                        <w:rPr>
                          <w:rFonts w:cstheme="minorHAnsi"/>
                          <w:sz w:val="32"/>
                        </w:rPr>
                        <w:t>apríl</w:t>
                      </w:r>
                      <w:r w:rsidRPr="001E0231">
                        <w:rPr>
                          <w:rFonts w:cstheme="minorHAnsi"/>
                          <w:sz w:val="32"/>
                        </w:rPr>
                        <w:t xml:space="preserve"> </w:t>
                      </w:r>
                      <w:r>
                        <w:rPr>
                          <w:rFonts w:cstheme="minorHAnsi"/>
                          <w:sz w:val="32"/>
                        </w:rPr>
                        <w:t>2022</w:t>
                      </w:r>
                    </w:p>
                  </w:txbxContent>
                </v:textbox>
                <w10:wrap anchory="page"/>
                <w10:anchorlock/>
              </v:shape>
            </w:pict>
          </mc:Fallback>
        </mc:AlternateContent>
      </w:r>
      <w:r w:rsidRPr="00887108">
        <w:br w:type="page"/>
      </w:r>
    </w:p>
    <w:p w14:paraId="4D21DAE7" w14:textId="77777777" w:rsidR="00490255" w:rsidRPr="00BA4781" w:rsidRDefault="00490255" w:rsidP="00490255">
      <w:pPr>
        <w:pStyle w:val="Zoznamobrzkov"/>
        <w:tabs>
          <w:tab w:val="right" w:leader="dot" w:pos="9060"/>
        </w:tabs>
        <w:spacing w:line="360" w:lineRule="auto"/>
        <w:rPr>
          <w:b/>
          <w:color w:val="2C9ADC" w:themeColor="accent1"/>
          <w:sz w:val="28"/>
          <w:szCs w:val="28"/>
        </w:rPr>
      </w:pPr>
      <w:bookmarkStart w:id="14" w:name="_Toc385764144"/>
      <w:bookmarkStart w:id="15" w:name="_Toc449429090"/>
      <w:bookmarkStart w:id="16" w:name="_Toc480443980"/>
      <w:bookmarkStart w:id="17" w:name="_Toc480444317"/>
      <w:bookmarkStart w:id="18" w:name="_Toc480444485"/>
      <w:bookmarkStart w:id="19" w:name="_Toc449429093"/>
      <w:bookmarkStart w:id="20" w:name="_Toc480443981"/>
      <w:bookmarkStart w:id="21" w:name="_Toc480444318"/>
      <w:bookmarkStart w:id="22" w:name="_Toc480444486"/>
      <w:bookmarkStart w:id="23" w:name="_Toc416943996"/>
      <w:r w:rsidRPr="00BA4781">
        <w:rPr>
          <w:b/>
          <w:color w:val="2C9ADC" w:themeColor="accent1"/>
          <w:sz w:val="28"/>
          <w:szCs w:val="28"/>
        </w:rPr>
        <w:lastRenderedPageBreak/>
        <w:t>ZHRNUTIE</w:t>
      </w:r>
      <w:bookmarkEnd w:id="14"/>
      <w:bookmarkEnd w:id="15"/>
      <w:bookmarkEnd w:id="16"/>
      <w:bookmarkEnd w:id="17"/>
      <w:bookmarkEnd w:id="18"/>
    </w:p>
    <w:p w14:paraId="3BE5BA26" w14:textId="6883A7ED" w:rsidR="00490255" w:rsidRPr="000F6492" w:rsidRDefault="00490255" w:rsidP="00385C4E">
      <w:pPr>
        <w:pStyle w:val="odsekzatabukou"/>
        <w:spacing w:before="0"/>
      </w:pPr>
      <w:r w:rsidRPr="00F13AA9">
        <w:rPr>
          <w:b/>
        </w:rPr>
        <w:t>Aj napriek pretrvávajúcej neistote</w:t>
      </w:r>
      <w:r w:rsidR="009F5451">
        <w:rPr>
          <w:b/>
        </w:rPr>
        <w:t xml:space="preserve"> spojenej s novými globálnymi výzvami</w:t>
      </w:r>
      <w:r w:rsidRPr="00F13AA9">
        <w:rPr>
          <w:b/>
        </w:rPr>
        <w:t xml:space="preserve"> </w:t>
      </w:r>
      <w:r w:rsidR="001B68BF">
        <w:rPr>
          <w:b/>
        </w:rPr>
        <w:t xml:space="preserve">sa </w:t>
      </w:r>
      <w:r w:rsidRPr="00F13AA9">
        <w:rPr>
          <w:b/>
        </w:rPr>
        <w:t>na celom horizonte Programu stability</w:t>
      </w:r>
      <w:r w:rsidR="001B68BF">
        <w:rPr>
          <w:b/>
        </w:rPr>
        <w:t xml:space="preserve"> </w:t>
      </w:r>
      <w:r w:rsidR="001B68BF" w:rsidRPr="00F13AA9">
        <w:rPr>
          <w:b/>
        </w:rPr>
        <w:t>očakáva rast slovenskej ekonomiky</w:t>
      </w:r>
      <w:r>
        <w:rPr>
          <w:b/>
        </w:rPr>
        <w:t>.</w:t>
      </w:r>
      <w:r w:rsidRPr="00F13AA9">
        <w:rPr>
          <w:b/>
        </w:rPr>
        <w:t xml:space="preserve"> </w:t>
      </w:r>
      <w:r>
        <w:t>E</w:t>
      </w:r>
      <w:r w:rsidRPr="00F13AA9">
        <w:t>konomika sa v tomto roku bude postupne zotavovať z </w:t>
      </w:r>
      <w:r>
        <w:t>pandémie</w:t>
      </w:r>
      <w:r w:rsidRPr="00F13AA9">
        <w:t xml:space="preserve"> koronavírusu</w:t>
      </w:r>
      <w:r>
        <w:t>, no</w:t>
      </w:r>
      <w:r w:rsidRPr="00F13AA9">
        <w:t xml:space="preserve"> invázia Ruska na Ukrajinu oživenie</w:t>
      </w:r>
      <w:r>
        <w:t xml:space="preserve"> </w:t>
      </w:r>
      <w:r w:rsidRPr="00F13AA9">
        <w:t>zbrzdí.</w:t>
      </w:r>
      <w:r w:rsidRPr="0086156F">
        <w:t xml:space="preserve"> Hrubý domáci produkt </w:t>
      </w:r>
      <w:r w:rsidR="00617DD4">
        <w:t xml:space="preserve">by mohol </w:t>
      </w:r>
      <w:r w:rsidRPr="0086156F">
        <w:t xml:space="preserve">tento rok </w:t>
      </w:r>
      <w:r w:rsidR="00617DD4">
        <w:t xml:space="preserve">napriek tomu </w:t>
      </w:r>
      <w:r w:rsidRPr="0086156F">
        <w:t>vzr</w:t>
      </w:r>
      <w:r w:rsidR="00617DD4">
        <w:t>ásť</w:t>
      </w:r>
      <w:r w:rsidRPr="0086156F">
        <w:t xml:space="preserve"> o 2,1 %. V marci a</w:t>
      </w:r>
      <w:r w:rsidR="00B12621">
        <w:t>ž</w:t>
      </w:r>
      <w:r w:rsidRPr="0086156F">
        <w:t xml:space="preserve"> druhom štvrťroku dôjde k výpadkom exportov do Ruska, Bieloruska a</w:t>
      </w:r>
      <w:r>
        <w:t> </w:t>
      </w:r>
      <w:r w:rsidRPr="0086156F">
        <w:t>Ukrajiny</w:t>
      </w:r>
      <w:r>
        <w:t xml:space="preserve">, pričom </w:t>
      </w:r>
      <w:r w:rsidRPr="0086156F">
        <w:t>poklesne aj dopyt v eurozóne a</w:t>
      </w:r>
      <w:r w:rsidR="00932B37">
        <w:t xml:space="preserve">  </w:t>
      </w:r>
      <w:r w:rsidRPr="0086156F">
        <w:t xml:space="preserve">krajinách V3. Rastúce ceny energií sa budú pretavovať do zvyšovania cien spotrebiteľských tovarov a služieb, čo bude znižovať spotrebu domácností. Priemysel pocíti nedostatok súčiastok a zamestnanosť porastie iba mierne. </w:t>
      </w:r>
      <w:r>
        <w:t>V</w:t>
      </w:r>
      <w:r w:rsidRPr="0086156F">
        <w:t xml:space="preserve"> budúcom roku HDP vzrastie o 5,3 %, pod čo sa podpíše oživenie po odznení konfliktu a čerpanie fondov EÚ. V ďalších rokoch bude ekonomický vývoj tlmiť očakávaná </w:t>
      </w:r>
      <w:r>
        <w:t xml:space="preserve">konsolidácia verejných </w:t>
      </w:r>
      <w:r w:rsidRPr="000F6492">
        <w:t xml:space="preserve">financií. Rast klesne pod 2 % a ekonomika sa prestane prehrievať. V roku 2025 už </w:t>
      </w:r>
      <w:r w:rsidR="00617DD4" w:rsidRPr="000F6492">
        <w:t xml:space="preserve">bude </w:t>
      </w:r>
      <w:r w:rsidRPr="000F6492">
        <w:t>ekonomika o takmer desatinu silnejšia než v predkrízovom roku 2019.  Z tohto prírastku však prípadný nepriaznivejší priebeh vojnového konfliktu môže ukrojiť približne tretinu.</w:t>
      </w:r>
    </w:p>
    <w:p w14:paraId="77230B82" w14:textId="5387FAF6" w:rsidR="00490255" w:rsidRPr="000F6492" w:rsidRDefault="00490255" w:rsidP="00490255">
      <w:pPr>
        <w:jc w:val="both"/>
        <w:rPr>
          <w:iCs/>
          <w:color w:val="000000"/>
        </w:rPr>
      </w:pPr>
      <w:r w:rsidRPr="000F6492">
        <w:rPr>
          <w:b/>
          <w:iCs/>
          <w:color w:val="000000"/>
        </w:rPr>
        <w:t>Deficit verejnej správy v tomto roku klesne oproti minuloročnému výsledku 6,2 % HDP na úroveň 5,1 % HDP</w:t>
      </w:r>
      <w:r w:rsidRPr="000F6492">
        <w:rPr>
          <w:iCs/>
          <w:color w:val="000000"/>
        </w:rPr>
        <w:t xml:space="preserve">. Hoci dôsledky pandémie COVID-19 v tomto roku postupne odznievajú v súlade s predpokladmi rozpočtu, deficit v tomto roku bude z príspevku pandémie vyšší oproti plánom </w:t>
      </w:r>
      <w:r w:rsidR="001B68BF" w:rsidRPr="000F6492">
        <w:rPr>
          <w:iCs/>
          <w:color w:val="000000"/>
        </w:rPr>
        <w:t xml:space="preserve">o 0,2 % HDP. </w:t>
      </w:r>
      <w:r w:rsidRPr="000F6492">
        <w:rPr>
          <w:iCs/>
          <w:color w:val="000000"/>
        </w:rPr>
        <w:t xml:space="preserve">Výraznejšie </w:t>
      </w:r>
      <w:r w:rsidR="000F6492">
        <w:rPr>
          <w:iCs/>
          <w:color w:val="000000"/>
        </w:rPr>
        <w:t xml:space="preserve">podporené </w:t>
      </w:r>
      <w:r w:rsidRPr="000F6492">
        <w:rPr>
          <w:iCs/>
          <w:color w:val="000000"/>
        </w:rPr>
        <w:t>dofinancovanie zdravotníctva, prenos</w:t>
      </w:r>
      <w:r w:rsidR="009F5451" w:rsidRPr="000F6492">
        <w:rPr>
          <w:iCs/>
          <w:color w:val="000000"/>
        </w:rPr>
        <w:t xml:space="preserve"> </w:t>
      </w:r>
      <w:r w:rsidRPr="000F6492">
        <w:rPr>
          <w:iCs/>
          <w:color w:val="000000"/>
        </w:rPr>
        <w:t xml:space="preserve">výdavkov </w:t>
      </w:r>
      <w:r w:rsidR="009201EE" w:rsidRPr="000F6492">
        <w:rPr>
          <w:iCs/>
          <w:color w:val="000000"/>
        </w:rPr>
        <w:t xml:space="preserve">z minulého roka  zo strany </w:t>
      </w:r>
      <w:r w:rsidR="006E46D2">
        <w:rPr>
          <w:iCs/>
          <w:color w:val="000000"/>
        </w:rPr>
        <w:t>spoločností</w:t>
      </w:r>
      <w:r w:rsidRPr="000F6492">
        <w:rPr>
          <w:iCs/>
          <w:color w:val="000000"/>
        </w:rPr>
        <w:t xml:space="preserve"> pod Ministerstvom dopravy SR, </w:t>
      </w:r>
      <w:r w:rsidR="009F5451" w:rsidRPr="000F6492">
        <w:rPr>
          <w:iCs/>
          <w:color w:val="000000"/>
        </w:rPr>
        <w:t xml:space="preserve">a v menšej miere </w:t>
      </w:r>
      <w:r w:rsidRPr="000F6492">
        <w:rPr>
          <w:iCs/>
          <w:color w:val="000000"/>
        </w:rPr>
        <w:t>ostatné faktory</w:t>
      </w:r>
      <w:r w:rsidR="001B68BF" w:rsidRPr="000F6492">
        <w:rPr>
          <w:iCs/>
          <w:color w:val="000000"/>
        </w:rPr>
        <w:t>,</w:t>
      </w:r>
      <w:r w:rsidRPr="000F6492">
        <w:rPr>
          <w:iCs/>
          <w:color w:val="000000"/>
        </w:rPr>
        <w:t xml:space="preserve"> zvyšujú plánovaný deficit o ďalších 0,8 % HDP. Zároveň sa </w:t>
      </w:r>
      <w:r w:rsidR="009F5451" w:rsidRPr="000F6492">
        <w:rPr>
          <w:iCs/>
          <w:color w:val="000000"/>
        </w:rPr>
        <w:t xml:space="preserve">v aktuálnom odhade </w:t>
      </w:r>
      <w:r w:rsidRPr="000F6492">
        <w:rPr>
          <w:iCs/>
          <w:color w:val="000000"/>
        </w:rPr>
        <w:t>uvažuje aj s dodatočnou reakciou vlády na zvýšenú infláciu s vplyvom na deficit vo výške 0,3 % HDP. Tieto negatívne vplyvy sú naopak kompenzované vyššími daňovo-odvodovými príjmami o 0,8 % HDP, pod čo sa podpisuje nielen spomínaný nárast cien, ale aj</w:t>
      </w:r>
      <w:r w:rsidR="009201EE" w:rsidRPr="000F6492">
        <w:rPr>
          <w:iCs/>
          <w:color w:val="000000"/>
        </w:rPr>
        <w:t xml:space="preserve"> ďalej </w:t>
      </w:r>
      <w:r w:rsidRPr="000F6492">
        <w:rPr>
          <w:iCs/>
          <w:color w:val="000000"/>
        </w:rPr>
        <w:t xml:space="preserve"> rastúca úspešnosť výberu daní. </w:t>
      </w:r>
      <w:r w:rsidR="000F6492">
        <w:rPr>
          <w:iCs/>
          <w:color w:val="000000"/>
        </w:rPr>
        <w:t xml:space="preserve">Zároveň, vláda plánuje príjmy navýšiť dodatočnými opatreniami, ktoré budú predstavené v blízkej dobe. </w:t>
      </w:r>
      <w:r w:rsidRPr="000F6492">
        <w:rPr>
          <w:iCs/>
          <w:color w:val="000000"/>
        </w:rPr>
        <w:t>V aktuálnom roku bude fiškálna politika p</w:t>
      </w:r>
      <w:r w:rsidR="00BA6306" w:rsidRPr="000F6492">
        <w:rPr>
          <w:iCs/>
          <w:color w:val="000000"/>
        </w:rPr>
        <w:t xml:space="preserve">ôsobiť na ekonomiku expanzívne. </w:t>
      </w:r>
      <w:r w:rsidRPr="000F6492">
        <w:rPr>
          <w:iCs/>
          <w:color w:val="000000"/>
        </w:rPr>
        <w:t xml:space="preserve">Štrukturálny deficit, ktorý abstrahuje od dočasných vplyvov,  </w:t>
      </w:r>
      <w:r w:rsidR="00FE6E24">
        <w:rPr>
          <w:iCs/>
          <w:color w:val="000000"/>
        </w:rPr>
        <w:t>medziročne</w:t>
      </w:r>
      <w:r w:rsidR="001B68BF" w:rsidRPr="000F6492">
        <w:rPr>
          <w:iCs/>
          <w:color w:val="000000"/>
        </w:rPr>
        <w:t xml:space="preserve"> </w:t>
      </w:r>
      <w:r w:rsidRPr="000F6492">
        <w:rPr>
          <w:iCs/>
          <w:color w:val="000000"/>
        </w:rPr>
        <w:t>narastie</w:t>
      </w:r>
      <w:r w:rsidR="00A36664" w:rsidRPr="000F6492">
        <w:rPr>
          <w:iCs/>
          <w:color w:val="000000"/>
        </w:rPr>
        <w:t xml:space="preserve"> </w:t>
      </w:r>
      <w:r w:rsidR="0038720F">
        <w:rPr>
          <w:iCs/>
          <w:color w:val="000000"/>
        </w:rPr>
        <w:t>z 2,1</w:t>
      </w:r>
      <w:r w:rsidR="00BA6306" w:rsidRPr="000F6492">
        <w:rPr>
          <w:iCs/>
          <w:color w:val="000000"/>
        </w:rPr>
        <w:t xml:space="preserve"> </w:t>
      </w:r>
      <w:r w:rsidR="00A36664" w:rsidRPr="000F6492">
        <w:rPr>
          <w:iCs/>
          <w:color w:val="000000"/>
        </w:rPr>
        <w:t>na 3,8 % HDP</w:t>
      </w:r>
      <w:r w:rsidR="001B68BF" w:rsidRPr="000F6492">
        <w:rPr>
          <w:iCs/>
          <w:color w:val="000000"/>
        </w:rPr>
        <w:t>, najmä pod vplyvom silného rastu investícií</w:t>
      </w:r>
      <w:r w:rsidR="00BA6306" w:rsidRPr="000F6492">
        <w:rPr>
          <w:iCs/>
          <w:color w:val="000000"/>
        </w:rPr>
        <w:t xml:space="preserve">, </w:t>
      </w:r>
      <w:r w:rsidR="00734238" w:rsidRPr="000F6492">
        <w:rPr>
          <w:iCs/>
          <w:color w:val="000000"/>
        </w:rPr>
        <w:t xml:space="preserve">spolufinancovania EÚ zdrojov, </w:t>
      </w:r>
      <w:r w:rsidR="00BA6306" w:rsidRPr="000F6492">
        <w:rPr>
          <w:iCs/>
          <w:color w:val="000000"/>
        </w:rPr>
        <w:t>dofinancovania zdravotníctva a</w:t>
      </w:r>
      <w:r w:rsidR="002D4EE7">
        <w:rPr>
          <w:iCs/>
          <w:color w:val="000000"/>
        </w:rPr>
        <w:t> zatiaľ nealokovaných</w:t>
      </w:r>
      <w:r w:rsidR="00BA6306" w:rsidRPr="000F6492">
        <w:rPr>
          <w:iCs/>
          <w:color w:val="000000"/>
        </w:rPr>
        <w:t> výdavkov  na podporu ekonomiky.</w:t>
      </w:r>
    </w:p>
    <w:p w14:paraId="167D73EA" w14:textId="77777777" w:rsidR="00490255" w:rsidRPr="000F6492" w:rsidRDefault="00490255" w:rsidP="00490255">
      <w:pPr>
        <w:jc w:val="both"/>
        <w:rPr>
          <w:iCs/>
          <w:color w:val="000000"/>
        </w:rPr>
      </w:pPr>
    </w:p>
    <w:p w14:paraId="65D48AE2" w14:textId="6E42FBE2" w:rsidR="00490255" w:rsidRDefault="00F01A1F" w:rsidP="00490255">
      <w:pPr>
        <w:jc w:val="both"/>
        <w:rPr>
          <w:iCs/>
          <w:color w:val="000000"/>
        </w:rPr>
      </w:pPr>
      <w:r w:rsidRPr="000F6492">
        <w:rPr>
          <w:b/>
          <w:iCs/>
          <w:color w:val="000000"/>
        </w:rPr>
        <w:t xml:space="preserve">Predbežným plánom </w:t>
      </w:r>
      <w:r w:rsidR="00490255" w:rsidRPr="000F6492">
        <w:rPr>
          <w:b/>
          <w:iCs/>
          <w:color w:val="000000"/>
        </w:rPr>
        <w:t xml:space="preserve">vlády </w:t>
      </w:r>
      <w:r w:rsidR="009F5451" w:rsidRPr="000F6492">
        <w:rPr>
          <w:b/>
          <w:iCs/>
          <w:color w:val="000000"/>
        </w:rPr>
        <w:t xml:space="preserve">je už od roku 2023 </w:t>
      </w:r>
      <w:r w:rsidR="006A1256">
        <w:rPr>
          <w:b/>
          <w:iCs/>
          <w:color w:val="000000"/>
        </w:rPr>
        <w:t xml:space="preserve">výraznejšie </w:t>
      </w:r>
      <w:r w:rsidR="00490255" w:rsidRPr="000F6492">
        <w:rPr>
          <w:b/>
          <w:iCs/>
          <w:color w:val="000000"/>
        </w:rPr>
        <w:t xml:space="preserve">znížiť </w:t>
      </w:r>
      <w:r w:rsidR="00D8768B" w:rsidRPr="000F6492">
        <w:rPr>
          <w:b/>
          <w:iCs/>
          <w:color w:val="000000"/>
        </w:rPr>
        <w:t xml:space="preserve">celkový </w:t>
      </w:r>
      <w:r w:rsidR="00490255" w:rsidRPr="000F6492">
        <w:rPr>
          <w:b/>
          <w:iCs/>
          <w:color w:val="000000"/>
        </w:rPr>
        <w:t>schodok hospodárenia</w:t>
      </w:r>
      <w:r w:rsidR="006A1256">
        <w:rPr>
          <w:b/>
          <w:iCs/>
          <w:color w:val="000000"/>
        </w:rPr>
        <w:t>, aj</w:t>
      </w:r>
      <w:r w:rsidR="002B7978">
        <w:rPr>
          <w:b/>
          <w:iCs/>
          <w:color w:val="000000"/>
        </w:rPr>
        <w:t xml:space="preserve"> v nadväznosti na zavedenie výdavkových limitov. </w:t>
      </w:r>
      <w:r w:rsidR="00BE48C8" w:rsidRPr="000F6492">
        <w:rPr>
          <w:iCs/>
          <w:color w:val="000000"/>
        </w:rPr>
        <w:t xml:space="preserve">Cielené schodky hospodárenia budú ešte aktualizované približne v júli, na základe výpočtu výdavkového limitu zo strany Rady pre rozpočtovú zodpovednosť (RRZ), ktorý už bude plne záväzný a zohľadní </w:t>
      </w:r>
      <w:r w:rsidRPr="000F6492">
        <w:rPr>
          <w:iCs/>
          <w:color w:val="000000"/>
        </w:rPr>
        <w:t>aj prípadnú materializáciu viacerých negatívnych rizík</w:t>
      </w:r>
      <w:r w:rsidR="00BE48C8" w:rsidRPr="000F6492">
        <w:rPr>
          <w:iCs/>
          <w:color w:val="000000"/>
        </w:rPr>
        <w:t>. C</w:t>
      </w:r>
      <w:r w:rsidR="00490255" w:rsidRPr="000F6492">
        <w:rPr>
          <w:iCs/>
          <w:color w:val="000000"/>
        </w:rPr>
        <w:t xml:space="preserve">iele </w:t>
      </w:r>
      <w:r w:rsidR="00BE48C8" w:rsidRPr="000F6492">
        <w:rPr>
          <w:iCs/>
          <w:color w:val="000000"/>
        </w:rPr>
        <w:t xml:space="preserve">uvedené v Programe stability </w:t>
      </w:r>
      <w:r w:rsidR="00490255" w:rsidRPr="000F6492">
        <w:rPr>
          <w:iCs/>
          <w:color w:val="000000"/>
        </w:rPr>
        <w:t xml:space="preserve">od roku 2023 rešpektujú </w:t>
      </w:r>
      <w:r w:rsidR="00BE48C8" w:rsidRPr="000F6492">
        <w:rPr>
          <w:iCs/>
          <w:color w:val="000000"/>
        </w:rPr>
        <w:t xml:space="preserve">zatiaľ indikatívne určené </w:t>
      </w:r>
      <w:r w:rsidR="00490255" w:rsidRPr="000F6492">
        <w:rPr>
          <w:iCs/>
          <w:color w:val="000000"/>
        </w:rPr>
        <w:t>výdavkov</w:t>
      </w:r>
      <w:r w:rsidR="00C80AEE" w:rsidRPr="000F6492">
        <w:rPr>
          <w:iCs/>
          <w:color w:val="000000"/>
        </w:rPr>
        <w:t>é</w:t>
      </w:r>
      <w:r w:rsidR="00490255" w:rsidRPr="000F6492">
        <w:rPr>
          <w:iCs/>
          <w:color w:val="000000"/>
        </w:rPr>
        <w:t xml:space="preserve"> </w:t>
      </w:r>
      <w:r w:rsidR="00BE48C8" w:rsidRPr="000F6492">
        <w:rPr>
          <w:iCs/>
          <w:color w:val="000000"/>
        </w:rPr>
        <w:t>limity vypočítané zo strany RRZ</w:t>
      </w:r>
      <w:r w:rsidR="000F6492" w:rsidRPr="000F6492">
        <w:rPr>
          <w:iCs/>
          <w:color w:val="000000"/>
        </w:rPr>
        <w:t xml:space="preserve"> k polovici apríla</w:t>
      </w:r>
      <w:r w:rsidR="00BE48C8" w:rsidRPr="000F6492">
        <w:rPr>
          <w:iCs/>
          <w:color w:val="000000"/>
        </w:rPr>
        <w:t>.</w:t>
      </w:r>
      <w:r w:rsidR="00490255" w:rsidRPr="000F6492">
        <w:rPr>
          <w:iCs/>
          <w:color w:val="000000"/>
        </w:rPr>
        <w:t xml:space="preserve"> </w:t>
      </w:r>
      <w:r w:rsidR="00BE48C8" w:rsidRPr="000F6492">
        <w:rPr>
          <w:iCs/>
          <w:color w:val="000000"/>
        </w:rPr>
        <w:t xml:space="preserve">Výdavkové limity </w:t>
      </w:r>
      <w:r w:rsidR="00490255" w:rsidRPr="000F6492">
        <w:rPr>
          <w:iCs/>
          <w:color w:val="000000"/>
        </w:rPr>
        <w:t xml:space="preserve">si v nasledujúcich rokoch </w:t>
      </w:r>
      <w:r w:rsidR="001B68BF" w:rsidRPr="000F6492">
        <w:rPr>
          <w:iCs/>
          <w:color w:val="000000"/>
        </w:rPr>
        <w:t xml:space="preserve">každoročne </w:t>
      </w:r>
      <w:r w:rsidR="00490255" w:rsidRPr="000F6492">
        <w:rPr>
          <w:iCs/>
          <w:color w:val="000000"/>
        </w:rPr>
        <w:t>vyž</w:t>
      </w:r>
      <w:r w:rsidR="001B68BF" w:rsidRPr="000F6492">
        <w:rPr>
          <w:iCs/>
          <w:color w:val="000000"/>
        </w:rPr>
        <w:t>i</w:t>
      </w:r>
      <w:r w:rsidR="00490255" w:rsidRPr="000F6492">
        <w:rPr>
          <w:iCs/>
          <w:color w:val="000000"/>
        </w:rPr>
        <w:t>ad</w:t>
      </w:r>
      <w:r w:rsidR="001B68BF" w:rsidRPr="000F6492">
        <w:rPr>
          <w:iCs/>
          <w:color w:val="000000"/>
        </w:rPr>
        <w:t>a</w:t>
      </w:r>
      <w:r w:rsidR="00490255" w:rsidRPr="000F6492">
        <w:rPr>
          <w:iCs/>
          <w:color w:val="000000"/>
        </w:rPr>
        <w:t xml:space="preserve">jú dodatočné konsolidačné opatrenia v objeme 0,5 % HDP. Na roky 2023 aj 2024 to </w:t>
      </w:r>
      <w:r w:rsidR="00BE48C8" w:rsidRPr="000F6492">
        <w:rPr>
          <w:iCs/>
          <w:color w:val="000000"/>
        </w:rPr>
        <w:t xml:space="preserve">predbežne </w:t>
      </w:r>
      <w:r w:rsidR="00490255" w:rsidRPr="000F6492">
        <w:rPr>
          <w:iCs/>
          <w:color w:val="000000"/>
        </w:rPr>
        <w:t>zodpovedá poklesu nomin</w:t>
      </w:r>
      <w:r w:rsidR="007D2B1E">
        <w:rPr>
          <w:iCs/>
          <w:color w:val="000000"/>
        </w:rPr>
        <w:t>álneho deficitu až na úroveň 2,4</w:t>
      </w:r>
      <w:r w:rsidR="00490255" w:rsidRPr="000F6492">
        <w:rPr>
          <w:iCs/>
          <w:color w:val="000000"/>
        </w:rPr>
        <w:t xml:space="preserve"> % HDP,</w:t>
      </w:r>
      <w:r w:rsidR="00CE2879">
        <w:rPr>
          <w:iCs/>
          <w:color w:val="000000"/>
        </w:rPr>
        <w:t xml:space="preserve"> resp. 2,3 % HDP,</w:t>
      </w:r>
      <w:r w:rsidR="00490255" w:rsidRPr="000F6492">
        <w:rPr>
          <w:iCs/>
          <w:color w:val="000000"/>
        </w:rPr>
        <w:t xml:space="preserve"> k čomu okrem plánovanej konsolidáci</w:t>
      </w:r>
      <w:r w:rsidR="00932B37" w:rsidRPr="000F6492">
        <w:rPr>
          <w:iCs/>
          <w:color w:val="000000"/>
        </w:rPr>
        <w:t>e</w:t>
      </w:r>
      <w:r w:rsidR="00490255" w:rsidRPr="000F6492">
        <w:rPr>
          <w:iCs/>
          <w:color w:val="000000"/>
        </w:rPr>
        <w:t xml:space="preserve"> prisp</w:t>
      </w:r>
      <w:r w:rsidR="006A1256">
        <w:rPr>
          <w:iCs/>
          <w:color w:val="000000"/>
        </w:rPr>
        <w:t>eje</w:t>
      </w:r>
      <w:r w:rsidR="00490255" w:rsidRPr="000F6492">
        <w:rPr>
          <w:iCs/>
          <w:color w:val="000000"/>
        </w:rPr>
        <w:t xml:space="preserve"> aj </w:t>
      </w:r>
      <w:r w:rsidR="006A1256">
        <w:rPr>
          <w:iCs/>
          <w:color w:val="000000"/>
        </w:rPr>
        <w:t xml:space="preserve">očakávané </w:t>
      </w:r>
      <w:r w:rsidR="00490255" w:rsidRPr="000F6492">
        <w:rPr>
          <w:iCs/>
          <w:color w:val="000000"/>
        </w:rPr>
        <w:t>stiahnutie doterajších výdavkov určených</w:t>
      </w:r>
      <w:r w:rsidR="001B68BF" w:rsidRPr="000F6492">
        <w:rPr>
          <w:iCs/>
          <w:color w:val="000000"/>
        </w:rPr>
        <w:t xml:space="preserve"> na</w:t>
      </w:r>
      <w:r w:rsidR="00490255" w:rsidRPr="000F6492">
        <w:rPr>
          <w:iCs/>
          <w:color w:val="000000"/>
        </w:rPr>
        <w:t xml:space="preserve"> riešenie pandémie. Predbežný návrh rozpočtu je </w:t>
      </w:r>
      <w:r w:rsidR="000F6492" w:rsidRPr="000F6492">
        <w:rPr>
          <w:iCs/>
          <w:color w:val="000000"/>
        </w:rPr>
        <w:t>nateraz pripravený</w:t>
      </w:r>
      <w:r w:rsidR="00490255" w:rsidRPr="000F6492">
        <w:rPr>
          <w:iCs/>
          <w:color w:val="000000"/>
        </w:rPr>
        <w:t xml:space="preserve"> s vyššími schodkami</w:t>
      </w:r>
      <w:r w:rsidR="000F6492" w:rsidRPr="000F6492">
        <w:rPr>
          <w:iCs/>
          <w:color w:val="000000"/>
        </w:rPr>
        <w:t>,</w:t>
      </w:r>
      <w:r w:rsidR="001B68BF" w:rsidRPr="000F6492">
        <w:rPr>
          <w:iCs/>
          <w:color w:val="000000"/>
        </w:rPr>
        <w:t xml:space="preserve"> </w:t>
      </w:r>
      <w:r w:rsidR="00490255" w:rsidRPr="000F6492">
        <w:rPr>
          <w:iCs/>
          <w:color w:val="000000"/>
        </w:rPr>
        <w:t>na úrovni 3,3 % HDP a 3,</w:t>
      </w:r>
      <w:r w:rsidR="00790CB0">
        <w:rPr>
          <w:iCs/>
          <w:color w:val="000000"/>
        </w:rPr>
        <w:t>2</w:t>
      </w:r>
      <w:r w:rsidR="00490255" w:rsidRPr="000F6492">
        <w:rPr>
          <w:iCs/>
          <w:color w:val="000000"/>
        </w:rPr>
        <w:t xml:space="preserve"> % HDP</w:t>
      </w:r>
      <w:r w:rsidR="001B68BF" w:rsidRPr="000F6492">
        <w:rPr>
          <w:iCs/>
          <w:color w:val="000000"/>
        </w:rPr>
        <w:t xml:space="preserve"> pre roky 2023 a 2024</w:t>
      </w:r>
      <w:r w:rsidR="007D2B1E">
        <w:rPr>
          <w:iCs/>
          <w:color w:val="000000"/>
        </w:rPr>
        <w:t>.</w:t>
      </w:r>
      <w:r w:rsidR="000F6492" w:rsidRPr="000F6492">
        <w:rPr>
          <w:iCs/>
          <w:color w:val="000000"/>
        </w:rPr>
        <w:t xml:space="preserve"> V </w:t>
      </w:r>
      <w:r w:rsidR="0058319F" w:rsidRPr="000F6492">
        <w:rPr>
          <w:iCs/>
          <w:color w:val="000000"/>
        </w:rPr>
        <w:t>ňom</w:t>
      </w:r>
      <w:r w:rsidR="00490255" w:rsidRPr="000F6492">
        <w:rPr>
          <w:iCs/>
          <w:color w:val="000000"/>
        </w:rPr>
        <w:t xml:space="preserve"> sa </w:t>
      </w:r>
      <w:r w:rsidR="000F6492" w:rsidRPr="000F6492">
        <w:rPr>
          <w:iCs/>
          <w:color w:val="000000"/>
        </w:rPr>
        <w:t xml:space="preserve">zatiaľ očakáva  tlmenie rastu výdavkov </w:t>
      </w:r>
      <w:r w:rsidR="00490255" w:rsidRPr="000F6492">
        <w:rPr>
          <w:iCs/>
          <w:color w:val="000000"/>
        </w:rPr>
        <w:t>najmä na prevádzkových nákladoch,</w:t>
      </w:r>
      <w:r w:rsidR="000F6492" w:rsidRPr="000F6492">
        <w:rPr>
          <w:iCs/>
          <w:color w:val="000000"/>
        </w:rPr>
        <w:t xml:space="preserve"> </w:t>
      </w:r>
      <w:r w:rsidR="00490255" w:rsidRPr="000F6492">
        <w:rPr>
          <w:iCs/>
          <w:color w:val="000000"/>
        </w:rPr>
        <w:t xml:space="preserve">pričom konkrétne opatrenia zatiaľ nie sú špecifikované. </w:t>
      </w:r>
      <w:r w:rsidR="001B68BF" w:rsidRPr="000F6492">
        <w:rPr>
          <w:iCs/>
          <w:color w:val="000000"/>
        </w:rPr>
        <w:t>Konsolidačný p</w:t>
      </w:r>
      <w:r w:rsidR="00490255" w:rsidRPr="000F6492">
        <w:rPr>
          <w:iCs/>
          <w:color w:val="000000"/>
        </w:rPr>
        <w:t xml:space="preserve">lán vlády </w:t>
      </w:r>
      <w:r w:rsidR="001B68BF" w:rsidRPr="000F6492">
        <w:rPr>
          <w:iCs/>
          <w:color w:val="000000"/>
        </w:rPr>
        <w:t>je</w:t>
      </w:r>
      <w:r w:rsidR="00490255" w:rsidRPr="000F6492">
        <w:rPr>
          <w:iCs/>
          <w:color w:val="000000"/>
        </w:rPr>
        <w:t xml:space="preserve"> viac než v súlade s EÚ požiadavkami, kedže aktuálne usmernenie EK požaduje na budúci rok len neutrálnu fiškálnu politiku.</w:t>
      </w:r>
    </w:p>
    <w:p w14:paraId="77924A42" w14:textId="77777777" w:rsidR="001B68BF" w:rsidRDefault="001B68BF" w:rsidP="00490255">
      <w:pPr>
        <w:jc w:val="both"/>
        <w:rPr>
          <w:iCs/>
          <w:color w:val="000000"/>
        </w:rPr>
      </w:pPr>
    </w:p>
    <w:tbl>
      <w:tblPr>
        <w:tblW w:w="9072" w:type="dxa"/>
        <w:tblCellMar>
          <w:left w:w="70" w:type="dxa"/>
          <w:right w:w="70" w:type="dxa"/>
        </w:tblCellMar>
        <w:tblLook w:val="0000" w:firstRow="0" w:lastRow="0" w:firstColumn="0" w:lastColumn="0" w:noHBand="0" w:noVBand="0"/>
      </w:tblPr>
      <w:tblGrid>
        <w:gridCol w:w="4627"/>
        <w:gridCol w:w="146"/>
        <w:gridCol w:w="4299"/>
      </w:tblGrid>
      <w:tr w:rsidR="00490255" w:rsidRPr="007D733B" w14:paraId="5F7257FB" w14:textId="77777777" w:rsidTr="000E4D54">
        <w:trPr>
          <w:trHeight w:val="25"/>
        </w:trPr>
        <w:tc>
          <w:tcPr>
            <w:tcW w:w="4627" w:type="dxa"/>
            <w:tcBorders>
              <w:top w:val="nil"/>
              <w:left w:val="nil"/>
              <w:bottom w:val="single" w:sz="8" w:space="0" w:color="auto"/>
              <w:right w:val="nil"/>
            </w:tcBorders>
            <w:shd w:val="clear" w:color="auto" w:fill="auto"/>
            <w:noWrap/>
            <w:vAlign w:val="center"/>
          </w:tcPr>
          <w:p w14:paraId="25E0E6C1" w14:textId="66FD6F86" w:rsidR="00490255" w:rsidRPr="0065261B" w:rsidRDefault="00F00012" w:rsidP="000E4D54">
            <w:pPr>
              <w:keepNext/>
              <w:outlineLvl w:val="2"/>
              <w:rPr>
                <w:rFonts w:eastAsia="Calibri" w:cs="Arial"/>
                <w:b/>
                <w:bCs/>
                <w:color w:val="2C9ADC"/>
                <w:sz w:val="20"/>
                <w:szCs w:val="26"/>
                <w:lang w:eastAsia="en-US"/>
              </w:rPr>
            </w:pPr>
            <w:r>
              <w:rPr>
                <w:rFonts w:eastAsia="Calibri" w:cs="Arial"/>
                <w:b/>
                <w:bCs/>
                <w:color w:val="2C9ADC"/>
                <w:sz w:val="20"/>
                <w:szCs w:val="26"/>
                <w:lang w:eastAsia="en-US"/>
              </w:rPr>
              <w:t>Saldo hospodárenia</w:t>
            </w:r>
            <w:r w:rsidR="00490255" w:rsidRPr="0065261B">
              <w:rPr>
                <w:rFonts w:eastAsia="Calibri" w:cs="Arial"/>
                <w:b/>
                <w:bCs/>
                <w:color w:val="2C9ADC"/>
                <w:sz w:val="20"/>
                <w:szCs w:val="26"/>
                <w:lang w:eastAsia="en-US"/>
              </w:rPr>
              <w:t xml:space="preserve"> verejnej správy (% HDP)</w:t>
            </w:r>
          </w:p>
        </w:tc>
        <w:tc>
          <w:tcPr>
            <w:tcW w:w="146" w:type="dxa"/>
            <w:tcBorders>
              <w:top w:val="nil"/>
              <w:left w:val="nil"/>
              <w:bottom w:val="nil"/>
              <w:right w:val="nil"/>
            </w:tcBorders>
          </w:tcPr>
          <w:p w14:paraId="40014E1C" w14:textId="77777777" w:rsidR="00490255" w:rsidRPr="0065261B" w:rsidRDefault="00490255" w:rsidP="000E4D54">
            <w:pPr>
              <w:rPr>
                <w:rFonts w:eastAsia="Calibri" w:cs="Arial"/>
                <w:b/>
                <w:bCs/>
                <w:color w:val="2C9ADC"/>
                <w:sz w:val="20"/>
                <w:szCs w:val="26"/>
                <w:lang w:eastAsia="en-US"/>
              </w:rPr>
            </w:pPr>
          </w:p>
        </w:tc>
        <w:tc>
          <w:tcPr>
            <w:tcW w:w="4299" w:type="dxa"/>
            <w:tcBorders>
              <w:top w:val="nil"/>
              <w:left w:val="nil"/>
              <w:bottom w:val="single" w:sz="8" w:space="0" w:color="auto"/>
              <w:right w:val="nil"/>
            </w:tcBorders>
            <w:shd w:val="clear" w:color="auto" w:fill="auto"/>
            <w:noWrap/>
            <w:vAlign w:val="center"/>
          </w:tcPr>
          <w:p w14:paraId="0D1E5367" w14:textId="77777777" w:rsidR="00490255" w:rsidRPr="0065261B" w:rsidRDefault="00490255" w:rsidP="000E4D54">
            <w:pPr>
              <w:keepNext/>
              <w:outlineLvl w:val="2"/>
              <w:rPr>
                <w:rFonts w:eastAsia="Calibri" w:cs="Arial"/>
                <w:b/>
                <w:bCs/>
                <w:color w:val="2C9ADC"/>
                <w:sz w:val="20"/>
                <w:szCs w:val="26"/>
                <w:lang w:eastAsia="en-US"/>
              </w:rPr>
            </w:pPr>
            <w:r w:rsidRPr="0065261B">
              <w:rPr>
                <w:rFonts w:eastAsia="Calibri" w:cs="Arial"/>
                <w:b/>
                <w:bCs/>
                <w:color w:val="2C9ADC"/>
                <w:sz w:val="20"/>
                <w:szCs w:val="26"/>
                <w:lang w:eastAsia="en-US"/>
              </w:rPr>
              <w:t>Hrubý a čistý dlh verejnej správy (% HDP)</w:t>
            </w:r>
          </w:p>
        </w:tc>
      </w:tr>
      <w:tr w:rsidR="00490255" w:rsidRPr="007D733B" w14:paraId="0D9BEF08" w14:textId="77777777" w:rsidTr="00675D0C">
        <w:trPr>
          <w:trHeight w:val="1229"/>
        </w:trPr>
        <w:tc>
          <w:tcPr>
            <w:tcW w:w="4627" w:type="dxa"/>
            <w:tcBorders>
              <w:top w:val="single" w:sz="8" w:space="0" w:color="auto"/>
              <w:left w:val="nil"/>
              <w:bottom w:val="nil"/>
              <w:right w:val="nil"/>
            </w:tcBorders>
            <w:shd w:val="clear" w:color="auto" w:fill="auto"/>
            <w:noWrap/>
            <w:vAlign w:val="center"/>
          </w:tcPr>
          <w:p w14:paraId="40A60F8D" w14:textId="32949F1F" w:rsidR="00490255" w:rsidRPr="007D733B" w:rsidRDefault="00F00012" w:rsidP="000E4D54">
            <w:pPr>
              <w:rPr>
                <w:rFonts w:cs="Arial"/>
                <w:sz w:val="16"/>
                <w:szCs w:val="16"/>
                <w:highlight w:val="yellow"/>
              </w:rPr>
            </w:pPr>
            <w:r>
              <w:rPr>
                <w:noProof/>
              </w:rPr>
              <w:drawing>
                <wp:inline distT="0" distB="0" distL="0" distR="0" wp14:anchorId="6BF29D25" wp14:editId="7813276E">
                  <wp:extent cx="2846705" cy="1900362"/>
                  <wp:effectExtent l="0" t="0" r="0" b="508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146" w:type="dxa"/>
            <w:tcBorders>
              <w:top w:val="nil"/>
              <w:left w:val="nil"/>
              <w:bottom w:val="nil"/>
              <w:right w:val="nil"/>
            </w:tcBorders>
            <w:shd w:val="clear" w:color="auto" w:fill="auto"/>
          </w:tcPr>
          <w:p w14:paraId="3DAF661F" w14:textId="77777777" w:rsidR="00490255" w:rsidRPr="007D733B" w:rsidRDefault="00490255" w:rsidP="000E4D54">
            <w:pPr>
              <w:rPr>
                <w:rFonts w:cs="Arial"/>
                <w:sz w:val="20"/>
                <w:szCs w:val="20"/>
                <w:highlight w:val="yellow"/>
              </w:rPr>
            </w:pPr>
          </w:p>
        </w:tc>
        <w:tc>
          <w:tcPr>
            <w:tcW w:w="4299" w:type="dxa"/>
            <w:tcBorders>
              <w:top w:val="single" w:sz="8" w:space="0" w:color="auto"/>
              <w:left w:val="nil"/>
              <w:bottom w:val="nil"/>
              <w:right w:val="nil"/>
            </w:tcBorders>
            <w:shd w:val="clear" w:color="auto" w:fill="auto"/>
            <w:noWrap/>
            <w:vAlign w:val="center"/>
          </w:tcPr>
          <w:p w14:paraId="0CED7B32" w14:textId="2451B4A8" w:rsidR="00490255" w:rsidRPr="006F10B7" w:rsidRDefault="00675D0C" w:rsidP="000E4D54">
            <w:pPr>
              <w:jc w:val="center"/>
              <w:rPr>
                <w:rFonts w:cs="Arial"/>
                <w:sz w:val="20"/>
                <w:szCs w:val="20"/>
              </w:rPr>
            </w:pPr>
            <w:r>
              <w:rPr>
                <w:noProof/>
              </w:rPr>
              <w:drawing>
                <wp:inline distT="0" distB="0" distL="0" distR="0" wp14:anchorId="1416752F" wp14:editId="155BECE3">
                  <wp:extent cx="2637155" cy="1884045"/>
                  <wp:effectExtent l="0" t="0" r="0" b="1905"/>
                  <wp:docPr id="54" name="Graf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54337" w:rsidRPr="007D733B" w14:paraId="331A3770" w14:textId="77777777" w:rsidTr="00154F40">
        <w:trPr>
          <w:trHeight w:val="89"/>
        </w:trPr>
        <w:tc>
          <w:tcPr>
            <w:tcW w:w="9072" w:type="dxa"/>
            <w:gridSpan w:val="3"/>
            <w:tcBorders>
              <w:top w:val="single" w:sz="4" w:space="0" w:color="auto"/>
              <w:left w:val="nil"/>
              <w:right w:val="nil"/>
            </w:tcBorders>
            <w:shd w:val="clear" w:color="auto" w:fill="auto"/>
            <w:noWrap/>
            <w:vAlign w:val="center"/>
          </w:tcPr>
          <w:p w14:paraId="2C8125FB" w14:textId="70F7CA40" w:rsidR="00B54337" w:rsidRPr="0065261B" w:rsidRDefault="00B54337" w:rsidP="00B54337">
            <w:pPr>
              <w:jc w:val="both"/>
              <w:rPr>
                <w:rFonts w:cs="Arial Narrow"/>
                <w:i/>
                <w:iCs/>
                <w:sz w:val="16"/>
                <w:szCs w:val="16"/>
              </w:rPr>
            </w:pPr>
            <w:r>
              <w:rPr>
                <w:i/>
                <w:sz w:val="16"/>
                <w:szCs w:val="16"/>
              </w:rPr>
              <w:t xml:space="preserve">Pozn.: Rozpočtové ciele budú spresnené v júli 2022 podľa júnových prognóz Výboru pre makroekonomické prognózy a Výboru pre daňové prognózy a aktuálneho vývoja deficitu v roku 2022. V týchto spresnených cieľoch bude zohľadnená aj prípadná materializácia viacerých negatívnych rizík ako aj  prípadné nové opatrenia vlády.                                                                                                                                                                                </w:t>
            </w:r>
            <w:r w:rsidRPr="0065261B">
              <w:rPr>
                <w:rFonts w:cs="Arial Narrow"/>
                <w:i/>
                <w:iCs/>
                <w:sz w:val="16"/>
                <w:szCs w:val="16"/>
              </w:rPr>
              <w:t>Zdroj: MF SR</w:t>
            </w:r>
          </w:p>
          <w:p w14:paraId="3220E5BC" w14:textId="51A65BD4" w:rsidR="00B54337" w:rsidRPr="0065261B" w:rsidRDefault="00B54337" w:rsidP="000E4D54">
            <w:pPr>
              <w:spacing w:before="40"/>
              <w:jc w:val="right"/>
              <w:rPr>
                <w:rFonts w:cs="Arial Narrow"/>
                <w:i/>
                <w:iCs/>
                <w:sz w:val="16"/>
                <w:szCs w:val="16"/>
              </w:rPr>
            </w:pPr>
          </w:p>
        </w:tc>
      </w:tr>
    </w:tbl>
    <w:p w14:paraId="5B5555EA" w14:textId="05330097" w:rsidR="00490255" w:rsidRPr="00A223A4" w:rsidRDefault="00490255" w:rsidP="00490255">
      <w:pPr>
        <w:jc w:val="both"/>
        <w:rPr>
          <w:iCs/>
          <w:color w:val="000000"/>
        </w:rPr>
      </w:pPr>
      <w:r w:rsidRPr="000743FB">
        <w:rPr>
          <w:b/>
          <w:iCs/>
          <w:color w:val="000000"/>
        </w:rPr>
        <w:t xml:space="preserve">Hoci zadlženie </w:t>
      </w:r>
      <w:r>
        <w:rPr>
          <w:b/>
          <w:iCs/>
          <w:color w:val="000000"/>
        </w:rPr>
        <w:t>sa v najbližších rokoch</w:t>
      </w:r>
      <w:r w:rsidRPr="000743FB">
        <w:rPr>
          <w:b/>
          <w:iCs/>
          <w:color w:val="000000"/>
        </w:rPr>
        <w:t xml:space="preserve"> </w:t>
      </w:r>
      <w:r>
        <w:rPr>
          <w:b/>
          <w:iCs/>
          <w:color w:val="000000"/>
        </w:rPr>
        <w:t>stabilizuje pod 60</w:t>
      </w:r>
      <w:r w:rsidR="00196D96">
        <w:rPr>
          <w:b/>
          <w:iCs/>
          <w:color w:val="000000"/>
        </w:rPr>
        <w:t xml:space="preserve"> </w:t>
      </w:r>
      <w:r>
        <w:rPr>
          <w:b/>
          <w:iCs/>
          <w:color w:val="000000"/>
        </w:rPr>
        <w:t xml:space="preserve">% HDP, nepriaznivé hodnoty indikátorov strednodobej a dlhodobej udržateľnosti </w:t>
      </w:r>
      <w:r w:rsidR="00E269B8">
        <w:rPr>
          <w:b/>
          <w:iCs/>
          <w:color w:val="000000"/>
        </w:rPr>
        <w:t>značia</w:t>
      </w:r>
      <w:r>
        <w:rPr>
          <w:b/>
          <w:iCs/>
          <w:color w:val="000000"/>
        </w:rPr>
        <w:t xml:space="preserve"> potrebu konsolidácie aj v nasledujúcom </w:t>
      </w:r>
      <w:r w:rsidRPr="009D2CE0">
        <w:rPr>
          <w:b/>
          <w:iCs/>
          <w:color w:val="000000"/>
        </w:rPr>
        <w:t xml:space="preserve">období. </w:t>
      </w:r>
      <w:r w:rsidRPr="009D2CE0">
        <w:t xml:space="preserve">Po náraste dlhu na 63,1 % HDP v minulom  roku sa v ďalších rokoch zadlženie vráti hlbšie pod hranicu 60 % HDP. </w:t>
      </w:r>
      <w:r w:rsidR="00987228">
        <w:t xml:space="preserve">Po splnení cieľov </w:t>
      </w:r>
      <w:r w:rsidR="009B4D46">
        <w:t xml:space="preserve">na základe </w:t>
      </w:r>
      <w:r w:rsidR="00987228">
        <w:t>limitu verejných výdavkov</w:t>
      </w:r>
      <w:r w:rsidR="002D4EE7">
        <w:t xml:space="preserve"> klesne hrubý dlh</w:t>
      </w:r>
      <w:r w:rsidR="00987228">
        <w:t xml:space="preserve"> do roku 2025 pod 55 % HDP. </w:t>
      </w:r>
      <w:r w:rsidRPr="009D2CE0">
        <w:t>Indikátor dlhodobej udržateľnosti S2 však ostane</w:t>
      </w:r>
      <w:r w:rsidR="00780312">
        <w:t xml:space="preserve"> s úrovňou vyše 8</w:t>
      </w:r>
      <w:r w:rsidR="00AC14A3">
        <w:t xml:space="preserve"> </w:t>
      </w:r>
      <w:r w:rsidR="00780312">
        <w:t>% HDP</w:t>
      </w:r>
      <w:r w:rsidRPr="009D2CE0">
        <w:t xml:space="preserve"> v pásme vysokého rizika</w:t>
      </w:r>
      <w:r w:rsidR="00780312">
        <w:t xml:space="preserve">, čo odzrkadľuje najmä silne nepriaznivý </w:t>
      </w:r>
      <w:r w:rsidR="009201EE">
        <w:t xml:space="preserve">vplyv starnutia slovenskej populácie na </w:t>
      </w:r>
      <w:r w:rsidR="00780312">
        <w:t xml:space="preserve">budúce </w:t>
      </w:r>
      <w:r w:rsidR="009201EE">
        <w:t>dôchodk</w:t>
      </w:r>
      <w:r w:rsidR="00780312">
        <w:t>y</w:t>
      </w:r>
      <w:r w:rsidR="009201EE">
        <w:t xml:space="preserve"> a</w:t>
      </w:r>
      <w:r w:rsidR="00780312">
        <w:t> výdavky v </w:t>
      </w:r>
      <w:r w:rsidR="009201EE">
        <w:t>zdravotníctv</w:t>
      </w:r>
      <w:r w:rsidR="00780312">
        <w:t>e a dlhodobej starostlivosti</w:t>
      </w:r>
      <w:r w:rsidRPr="009D2CE0">
        <w:t xml:space="preserve">. To znamená, že stabilizácia, </w:t>
      </w:r>
      <w:r w:rsidR="009201EE">
        <w:t>či</w:t>
      </w:r>
      <w:r w:rsidRPr="009D2CE0">
        <w:t xml:space="preserve"> pokles zadlženia za horizontom rozpočtu budú možn</w:t>
      </w:r>
      <w:r w:rsidR="00780312">
        <w:t>é len ďalším zvyšovaním príjmov</w:t>
      </w:r>
      <w:r w:rsidRPr="009D2CE0">
        <w:t xml:space="preserve"> alebo znižovaním výdavkov a</w:t>
      </w:r>
      <w:r w:rsidR="00780312">
        <w:t>lebo aj</w:t>
      </w:r>
      <w:r w:rsidRPr="009D2CE0">
        <w:t xml:space="preserve"> prostredníctvom </w:t>
      </w:r>
      <w:r w:rsidR="00E269B8">
        <w:t xml:space="preserve">zásadnejších </w:t>
      </w:r>
      <w:r w:rsidRPr="009D2CE0">
        <w:t xml:space="preserve">štrukturálnych reforiem. Dôchodkové zmeny, ktoré vláda schválila v apríli a sú pred rokovaním v parlamente, by </w:t>
      </w:r>
      <w:r w:rsidR="00196D96">
        <w:t xml:space="preserve">mohli </w:t>
      </w:r>
      <w:r w:rsidRPr="009D2CE0">
        <w:t>parametric</w:t>
      </w:r>
      <w:r w:rsidR="00932B37">
        <w:t>ky zlepši</w:t>
      </w:r>
      <w:r w:rsidR="00196D96">
        <w:t>ť</w:t>
      </w:r>
      <w:r w:rsidR="00932B37">
        <w:t xml:space="preserve"> indikátor S2 o ďalšie</w:t>
      </w:r>
      <w:r w:rsidRPr="009D2CE0">
        <w:t xml:space="preserve"> takmer 3 p.b. </w:t>
      </w:r>
    </w:p>
    <w:p w14:paraId="73CDE818" w14:textId="77777777" w:rsidR="00490255" w:rsidRPr="007D733B" w:rsidRDefault="00490255" w:rsidP="00490255">
      <w:pPr>
        <w:jc w:val="both"/>
        <w:rPr>
          <w:b/>
          <w:color w:val="000000" w:themeColor="text1"/>
          <w:highlight w:val="yellow"/>
        </w:rPr>
      </w:pPr>
    </w:p>
    <w:p w14:paraId="3D4DC4C0" w14:textId="77777777" w:rsidR="00490255" w:rsidRPr="00A223A4" w:rsidRDefault="00490255" w:rsidP="00490255">
      <w:pPr>
        <w:jc w:val="both"/>
        <w:rPr>
          <w:iCs/>
        </w:rPr>
      </w:pPr>
      <w:r w:rsidRPr="00A223A4">
        <w:rPr>
          <w:b/>
          <w:iCs/>
        </w:rPr>
        <w:t>Dlhodobú udržateľnosť verejných financií</w:t>
      </w:r>
      <w:r>
        <w:rPr>
          <w:b/>
          <w:iCs/>
        </w:rPr>
        <w:t xml:space="preserve"> môžu výraznejšie podporiť</w:t>
      </w:r>
      <w:r w:rsidRPr="00A223A4">
        <w:rPr>
          <w:b/>
          <w:iCs/>
        </w:rPr>
        <w:t xml:space="preserve"> aj štrukturálne reformy na naštartovanie ekonomického rastu.</w:t>
      </w:r>
      <w:r w:rsidRPr="00A223A4">
        <w:rPr>
          <w:iCs/>
        </w:rPr>
        <w:t xml:space="preserve"> Z hľadiska zlepšenia výsledkov vzdelávacieho systému bude dôležitá implementácia povinného predprimárneho vzdelávania, či postupné zavádzanie kurikulárnej reformy a zmien v oblasti vysokého školstva. S cieľom zvýšiť príliv vysokokvalifikovanej pracovnej sily sa pripravuje zjednodušenie procesov v rámci pobytovej a pracovnej legislatívy. Vznik centier excelentnosti podporí prepojenie odborného vzdelávania a trhu práce. V oblasti sociálnych politík pokračujú aktivity pre integráciu rómskych komunít v oblasti vzdelávania, zdravia, bývania a zamestnanosti. Opatrenia na zvyšovanie produktivity sa zamerajú na rast celkových investícií do vedy a výskumu, podporu digitalizácie dobudovaním infraštruktúry v oblastiach nepokrytých trhom, zlepšovanie digitálnych zručností a vybudovanie efektívnej elektronickej verejnej správy.</w:t>
      </w:r>
      <w:r w:rsidRPr="00A223A4">
        <w:rPr>
          <w:iCs/>
          <w:color w:val="000000" w:themeColor="text1"/>
        </w:rPr>
        <w:t xml:space="preserve"> Podnikateľské prostredie pozitívne ovplyvní znižovanie administratívnej záťaže a odstraňovanie neefektívnych regulácií</w:t>
      </w:r>
      <w:r w:rsidRPr="00A223A4">
        <w:rPr>
          <w:rFonts w:eastAsia="Calibri" w:cs="Arial"/>
          <w:b/>
        </w:rPr>
        <w:t>.</w:t>
      </w:r>
    </w:p>
    <w:p w14:paraId="6B81C01B" w14:textId="77777777" w:rsidR="00490255" w:rsidRPr="00A223A4" w:rsidRDefault="00490255" w:rsidP="00490255">
      <w:pPr>
        <w:jc w:val="both"/>
        <w:rPr>
          <w:i/>
        </w:rPr>
      </w:pPr>
    </w:p>
    <w:p w14:paraId="1C71814D" w14:textId="6A69589D" w:rsidR="00A21205" w:rsidRPr="00726D34" w:rsidRDefault="00F76E42" w:rsidP="00490255">
      <w:pPr>
        <w:jc w:val="both"/>
      </w:pPr>
      <w:r>
        <w:rPr>
          <w:b/>
        </w:rPr>
        <w:t>Program s</w:t>
      </w:r>
      <w:r w:rsidR="00490255" w:rsidRPr="00A223A4">
        <w:rPr>
          <w:b/>
        </w:rPr>
        <w:t>tability je hlavný strednodobý rozpočtový dokument Slovenskej republiky</w:t>
      </w:r>
      <w:r w:rsidR="00490255" w:rsidRPr="00A223A4">
        <w:t>. Slovensko týmto dodržiava povinnosť vymedzenú v článku 4 nariadenia Rady (EÚ) 473/2013. Program stability na roky 202</w:t>
      </w:r>
      <w:r w:rsidR="00490255">
        <w:t>2</w:t>
      </w:r>
      <w:r w:rsidR="00490255" w:rsidRPr="00A223A4">
        <w:t>-202</w:t>
      </w:r>
      <w:r w:rsidR="00490255">
        <w:t>5</w:t>
      </w:r>
      <w:r w:rsidR="00490255" w:rsidRPr="00A223A4">
        <w:t xml:space="preserve"> bol schválený vládou </w:t>
      </w:r>
      <w:r w:rsidR="00490255">
        <w:t>27</w:t>
      </w:r>
      <w:r w:rsidR="00490255" w:rsidRPr="00A223A4">
        <w:t xml:space="preserve">. </w:t>
      </w:r>
      <w:r w:rsidR="00490255">
        <w:t>apríla</w:t>
      </w:r>
      <w:r w:rsidR="00490255" w:rsidRPr="00A223A4">
        <w:t xml:space="preserve"> 202</w:t>
      </w:r>
      <w:r w:rsidR="007E2230">
        <w:t>2</w:t>
      </w:r>
      <w:r w:rsidR="00490255" w:rsidRPr="00A223A4">
        <w:t xml:space="preserve"> a prerokovaný bude aj poslancami Národnej rady Slovenskej republiky. Program stability je založený na marcovej prognóze Výborov pre makroekonomické a daňové prognózy.</w:t>
      </w:r>
    </w:p>
    <w:p w14:paraId="497A3B1E" w14:textId="77777777" w:rsidR="00A21205" w:rsidRDefault="00A21205" w:rsidP="00A21205"/>
    <w:p w14:paraId="26B22BA2" w14:textId="47BAC3FA" w:rsidR="00A21205" w:rsidRDefault="00A21205">
      <w:r>
        <w:br w:type="page"/>
      </w:r>
    </w:p>
    <w:p w14:paraId="4DEA407A" w14:textId="77777777" w:rsidR="006D0C90" w:rsidRPr="006D0C90" w:rsidRDefault="00315902" w:rsidP="00315902">
      <w:pPr>
        <w:pStyle w:val="Nadpis1"/>
        <w:rPr>
          <w:b w:val="0"/>
          <w:noProof/>
        </w:rPr>
      </w:pPr>
      <w:bookmarkStart w:id="24" w:name="_Toc417646979"/>
      <w:bookmarkStart w:id="25" w:name="_Toc417907415"/>
      <w:bookmarkStart w:id="26" w:name="_Toc449429089"/>
      <w:bookmarkStart w:id="27" w:name="_Toc449430088"/>
      <w:bookmarkStart w:id="28" w:name="_Toc480443979"/>
      <w:bookmarkStart w:id="29" w:name="_Toc480444316"/>
      <w:bookmarkStart w:id="30" w:name="_Toc480444484"/>
      <w:bookmarkStart w:id="31" w:name="_Toc70700319"/>
      <w:bookmarkStart w:id="32" w:name="_Toc71026875"/>
      <w:bookmarkStart w:id="33" w:name="_Toc101880445"/>
      <w:bookmarkStart w:id="34" w:name="_Toc101880653"/>
      <w:bookmarkStart w:id="35" w:name="_Toc101606045"/>
      <w:r w:rsidRPr="00887108">
        <w:rPr>
          <w:color w:val="2C9ADC"/>
        </w:rPr>
        <w:t>OBSAH</w:t>
      </w:r>
      <w:bookmarkEnd w:id="24"/>
      <w:bookmarkEnd w:id="25"/>
      <w:bookmarkEnd w:id="26"/>
      <w:bookmarkEnd w:id="27"/>
      <w:bookmarkEnd w:id="28"/>
      <w:bookmarkEnd w:id="29"/>
      <w:bookmarkEnd w:id="30"/>
      <w:bookmarkEnd w:id="31"/>
      <w:bookmarkEnd w:id="32"/>
      <w:bookmarkEnd w:id="33"/>
      <w:bookmarkEnd w:id="34"/>
      <w:r w:rsidRPr="006D0C90">
        <w:rPr>
          <w:b w:val="0"/>
        </w:rPr>
        <w:fldChar w:fldCharType="begin"/>
      </w:r>
      <w:r w:rsidRPr="006D0C90">
        <w:rPr>
          <w:b w:val="0"/>
        </w:rPr>
        <w:instrText xml:space="preserve"> TOC \o "1-2" \h \z \u </w:instrText>
      </w:r>
      <w:r w:rsidRPr="006D0C90">
        <w:rPr>
          <w:b w:val="0"/>
        </w:rPr>
        <w:fldChar w:fldCharType="separate"/>
      </w:r>
    </w:p>
    <w:bookmarkEnd w:id="35"/>
    <w:p w14:paraId="2EB87A5D" w14:textId="32F022BB" w:rsidR="006D0C90" w:rsidRPr="006D0C90" w:rsidRDefault="006D0C90">
      <w:pPr>
        <w:pStyle w:val="Obsah1"/>
        <w:rPr>
          <w:rFonts w:asciiTheme="minorHAnsi" w:eastAsiaTheme="minorEastAsia" w:hAnsiTheme="minorHAnsi" w:cstheme="minorBidi"/>
          <w:b w:val="0"/>
        </w:rPr>
      </w:pPr>
    </w:p>
    <w:p w14:paraId="763B06CB" w14:textId="12B3527F" w:rsidR="006D0C90" w:rsidRPr="006D0C90" w:rsidRDefault="0047025F">
      <w:pPr>
        <w:pStyle w:val="Obsah1"/>
        <w:rPr>
          <w:rFonts w:asciiTheme="minorHAnsi" w:eastAsiaTheme="minorEastAsia" w:hAnsiTheme="minorHAnsi" w:cstheme="minorBidi"/>
          <w:b w:val="0"/>
        </w:rPr>
      </w:pPr>
      <w:hyperlink w:anchor="_Toc101880654" w:history="1">
        <w:r w:rsidR="006D0C90" w:rsidRPr="006D0C90">
          <w:rPr>
            <w:rStyle w:val="Hypertextovprepojenie"/>
            <w:b w:val="0"/>
          </w:rPr>
          <w:t>Hlavné výzvy a ciele hospodárskej politiky</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_Toc101880654 \h </w:instrText>
        </w:r>
        <w:r w:rsidR="006D0C90" w:rsidRPr="006D0C90">
          <w:rPr>
            <w:b w:val="0"/>
            <w:webHidden/>
          </w:rPr>
        </w:r>
        <w:r w:rsidR="006D0C90" w:rsidRPr="006D0C90">
          <w:rPr>
            <w:b w:val="0"/>
            <w:webHidden/>
          </w:rPr>
          <w:fldChar w:fldCharType="separate"/>
        </w:r>
        <w:r w:rsidR="005D3280">
          <w:rPr>
            <w:b w:val="0"/>
            <w:webHidden/>
          </w:rPr>
          <w:t>7</w:t>
        </w:r>
        <w:r w:rsidR="006D0C90" w:rsidRPr="006D0C90">
          <w:rPr>
            <w:b w:val="0"/>
            <w:webHidden/>
          </w:rPr>
          <w:fldChar w:fldCharType="end"/>
        </w:r>
      </w:hyperlink>
    </w:p>
    <w:p w14:paraId="51807EC0" w14:textId="1FD03AE7" w:rsidR="006D0C90" w:rsidRPr="006D0C90" w:rsidRDefault="0047025F">
      <w:pPr>
        <w:pStyle w:val="Obsah1"/>
        <w:rPr>
          <w:rFonts w:asciiTheme="minorHAnsi" w:eastAsiaTheme="minorEastAsia" w:hAnsiTheme="minorHAnsi" w:cstheme="minorBidi"/>
          <w:b w:val="0"/>
        </w:rPr>
      </w:pPr>
      <w:hyperlink w:anchor="_Toc101880655" w:history="1">
        <w:r w:rsidR="006D0C90" w:rsidRPr="006D0C90">
          <w:rPr>
            <w:rStyle w:val="Hypertextovprepojenie"/>
            <w:b w:val="0"/>
          </w:rPr>
          <w:t>1</w:t>
        </w:r>
        <w:r w:rsidR="006D0C90" w:rsidRPr="006D0C90">
          <w:rPr>
            <w:rFonts w:asciiTheme="minorHAnsi" w:eastAsiaTheme="minorEastAsia" w:hAnsiTheme="minorHAnsi" w:cstheme="minorBidi"/>
            <w:b w:val="0"/>
          </w:rPr>
          <w:tab/>
        </w:r>
        <w:r w:rsidR="006D0C90" w:rsidRPr="006D0C90">
          <w:rPr>
            <w:rStyle w:val="Hypertextovprepojenie"/>
            <w:b w:val="0"/>
          </w:rPr>
          <w:t>EKONOMICKÝ VÝHĽAD A PREDPOKLADY</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_Toc101880655 \h </w:instrText>
        </w:r>
        <w:r w:rsidR="006D0C90" w:rsidRPr="006D0C90">
          <w:rPr>
            <w:b w:val="0"/>
            <w:webHidden/>
          </w:rPr>
        </w:r>
        <w:r w:rsidR="006D0C90" w:rsidRPr="006D0C90">
          <w:rPr>
            <w:b w:val="0"/>
            <w:webHidden/>
          </w:rPr>
          <w:fldChar w:fldCharType="separate"/>
        </w:r>
        <w:r w:rsidR="005D3280">
          <w:rPr>
            <w:b w:val="0"/>
            <w:webHidden/>
          </w:rPr>
          <w:t>8</w:t>
        </w:r>
        <w:r w:rsidR="006D0C90" w:rsidRPr="006D0C90">
          <w:rPr>
            <w:b w:val="0"/>
            <w:webHidden/>
          </w:rPr>
          <w:fldChar w:fldCharType="end"/>
        </w:r>
      </w:hyperlink>
    </w:p>
    <w:p w14:paraId="498B5FE5" w14:textId="7E487859" w:rsidR="006D0C90" w:rsidRPr="006D0C90" w:rsidRDefault="0047025F">
      <w:pPr>
        <w:pStyle w:val="Obsah2"/>
        <w:rPr>
          <w:rFonts w:asciiTheme="minorHAnsi" w:eastAsiaTheme="minorEastAsia" w:hAnsiTheme="minorHAnsi" w:cstheme="minorBidi"/>
        </w:rPr>
      </w:pPr>
      <w:hyperlink w:anchor="_Toc101880656" w:history="1">
        <w:r w:rsidR="006D0C90" w:rsidRPr="006D0C90">
          <w:rPr>
            <w:rStyle w:val="Hypertextovprepojenie"/>
          </w:rPr>
          <w:t>1.1</w:t>
        </w:r>
        <w:r w:rsidR="006D0C90" w:rsidRPr="006D0C90">
          <w:rPr>
            <w:rFonts w:asciiTheme="minorHAnsi" w:eastAsiaTheme="minorEastAsia" w:hAnsiTheme="minorHAnsi" w:cstheme="minorBidi"/>
          </w:rPr>
          <w:tab/>
        </w:r>
        <w:r w:rsidR="006D0C90" w:rsidRPr="006D0C90">
          <w:rPr>
            <w:rStyle w:val="Hypertextovprepojenie"/>
          </w:rPr>
          <w:t>Ekonomický vývoj na Slovensku v roku 2021</w:t>
        </w:r>
        <w:r w:rsidR="006D0C90" w:rsidRPr="006D0C90">
          <w:rPr>
            <w:webHidden/>
          </w:rPr>
          <w:tab/>
        </w:r>
        <w:r w:rsidR="006D0C90" w:rsidRPr="006D0C90">
          <w:rPr>
            <w:webHidden/>
          </w:rPr>
          <w:fldChar w:fldCharType="begin"/>
        </w:r>
        <w:r w:rsidR="006D0C90" w:rsidRPr="006D0C90">
          <w:rPr>
            <w:webHidden/>
          </w:rPr>
          <w:instrText xml:space="preserve"> PAGEREF _Toc101880656 \h </w:instrText>
        </w:r>
        <w:r w:rsidR="006D0C90" w:rsidRPr="006D0C90">
          <w:rPr>
            <w:webHidden/>
          </w:rPr>
        </w:r>
        <w:r w:rsidR="006D0C90" w:rsidRPr="006D0C90">
          <w:rPr>
            <w:webHidden/>
          </w:rPr>
          <w:fldChar w:fldCharType="separate"/>
        </w:r>
        <w:r w:rsidR="005D3280">
          <w:rPr>
            <w:webHidden/>
          </w:rPr>
          <w:t>8</w:t>
        </w:r>
        <w:r w:rsidR="006D0C90" w:rsidRPr="006D0C90">
          <w:rPr>
            <w:webHidden/>
          </w:rPr>
          <w:fldChar w:fldCharType="end"/>
        </w:r>
      </w:hyperlink>
    </w:p>
    <w:p w14:paraId="02EAAD5C" w14:textId="0D172262" w:rsidR="006D0C90" w:rsidRPr="006D0C90" w:rsidRDefault="0047025F">
      <w:pPr>
        <w:pStyle w:val="Obsah2"/>
        <w:rPr>
          <w:rFonts w:asciiTheme="minorHAnsi" w:eastAsiaTheme="minorEastAsia" w:hAnsiTheme="minorHAnsi" w:cstheme="minorBidi"/>
        </w:rPr>
      </w:pPr>
      <w:hyperlink w:anchor="_Toc101880657" w:history="1">
        <w:r w:rsidR="006D0C90" w:rsidRPr="006D0C90">
          <w:rPr>
            <w:rStyle w:val="Hypertextovprepojenie"/>
          </w:rPr>
          <w:t>1.2</w:t>
        </w:r>
        <w:r w:rsidR="006D0C90" w:rsidRPr="006D0C90">
          <w:rPr>
            <w:rFonts w:asciiTheme="minorHAnsi" w:eastAsiaTheme="minorEastAsia" w:hAnsiTheme="minorHAnsi" w:cstheme="minorBidi"/>
          </w:rPr>
          <w:tab/>
        </w:r>
        <w:r w:rsidR="006D0C90" w:rsidRPr="006D0C90">
          <w:rPr>
            <w:rStyle w:val="Hypertextovprepojenie"/>
          </w:rPr>
          <w:t>Strednodobá prognóza vývoja ekonomiky na roky 2022 až 2025</w:t>
        </w:r>
        <w:r w:rsidR="006D0C90" w:rsidRPr="006D0C90">
          <w:rPr>
            <w:webHidden/>
          </w:rPr>
          <w:tab/>
        </w:r>
        <w:r w:rsidR="006D0C90" w:rsidRPr="006D0C90">
          <w:rPr>
            <w:webHidden/>
          </w:rPr>
          <w:fldChar w:fldCharType="begin"/>
        </w:r>
        <w:r w:rsidR="006D0C90" w:rsidRPr="006D0C90">
          <w:rPr>
            <w:webHidden/>
          </w:rPr>
          <w:instrText xml:space="preserve"> PAGEREF _Toc101880657 \h </w:instrText>
        </w:r>
        <w:r w:rsidR="006D0C90" w:rsidRPr="006D0C90">
          <w:rPr>
            <w:webHidden/>
          </w:rPr>
        </w:r>
        <w:r w:rsidR="006D0C90" w:rsidRPr="006D0C90">
          <w:rPr>
            <w:webHidden/>
          </w:rPr>
          <w:fldChar w:fldCharType="separate"/>
        </w:r>
        <w:r w:rsidR="005D3280">
          <w:rPr>
            <w:webHidden/>
          </w:rPr>
          <w:t>8</w:t>
        </w:r>
        <w:r w:rsidR="006D0C90" w:rsidRPr="006D0C90">
          <w:rPr>
            <w:webHidden/>
          </w:rPr>
          <w:fldChar w:fldCharType="end"/>
        </w:r>
      </w:hyperlink>
    </w:p>
    <w:p w14:paraId="00095BBF" w14:textId="3EC490C1" w:rsidR="006D0C90" w:rsidRPr="006D0C90" w:rsidRDefault="0047025F">
      <w:pPr>
        <w:pStyle w:val="Obsah2"/>
        <w:rPr>
          <w:rFonts w:asciiTheme="minorHAnsi" w:eastAsiaTheme="minorEastAsia" w:hAnsiTheme="minorHAnsi" w:cstheme="minorBidi"/>
        </w:rPr>
      </w:pPr>
      <w:hyperlink w:anchor="_Toc101880658" w:history="1">
        <w:r w:rsidR="006D0C90" w:rsidRPr="006D0C90">
          <w:rPr>
            <w:rStyle w:val="Hypertextovprepojenie"/>
          </w:rPr>
          <w:t>1.3</w:t>
        </w:r>
        <w:r w:rsidR="006D0C90" w:rsidRPr="006D0C90">
          <w:rPr>
            <w:rFonts w:asciiTheme="minorHAnsi" w:eastAsiaTheme="minorEastAsia" w:hAnsiTheme="minorHAnsi" w:cstheme="minorBidi"/>
          </w:rPr>
          <w:tab/>
        </w:r>
        <w:r w:rsidR="006D0C90" w:rsidRPr="006D0C90">
          <w:rPr>
            <w:rStyle w:val="Hypertextovprepojenie"/>
          </w:rPr>
          <w:t>Cyklický vývoj ekonomiky</w:t>
        </w:r>
        <w:r w:rsidR="006D0C90" w:rsidRPr="006D0C90">
          <w:rPr>
            <w:webHidden/>
          </w:rPr>
          <w:tab/>
        </w:r>
        <w:r w:rsidR="006D0C90" w:rsidRPr="006D0C90">
          <w:rPr>
            <w:webHidden/>
          </w:rPr>
          <w:fldChar w:fldCharType="begin"/>
        </w:r>
        <w:r w:rsidR="006D0C90" w:rsidRPr="006D0C90">
          <w:rPr>
            <w:webHidden/>
          </w:rPr>
          <w:instrText xml:space="preserve"> PAGEREF _Toc101880658 \h </w:instrText>
        </w:r>
        <w:r w:rsidR="006D0C90" w:rsidRPr="006D0C90">
          <w:rPr>
            <w:webHidden/>
          </w:rPr>
        </w:r>
        <w:r w:rsidR="006D0C90" w:rsidRPr="006D0C90">
          <w:rPr>
            <w:webHidden/>
          </w:rPr>
          <w:fldChar w:fldCharType="separate"/>
        </w:r>
        <w:r w:rsidR="005D3280">
          <w:rPr>
            <w:webHidden/>
          </w:rPr>
          <w:t>12</w:t>
        </w:r>
        <w:r w:rsidR="006D0C90" w:rsidRPr="006D0C90">
          <w:rPr>
            <w:webHidden/>
          </w:rPr>
          <w:fldChar w:fldCharType="end"/>
        </w:r>
      </w:hyperlink>
    </w:p>
    <w:p w14:paraId="02116025" w14:textId="0554CB64" w:rsidR="006D0C90" w:rsidRPr="006D0C90" w:rsidRDefault="0047025F">
      <w:pPr>
        <w:pStyle w:val="Obsah2"/>
        <w:rPr>
          <w:rFonts w:asciiTheme="minorHAnsi" w:eastAsiaTheme="minorEastAsia" w:hAnsiTheme="minorHAnsi" w:cstheme="minorBidi"/>
        </w:rPr>
      </w:pPr>
      <w:hyperlink w:anchor="_Toc101880659" w:history="1">
        <w:r w:rsidR="006D0C90" w:rsidRPr="006D0C90">
          <w:rPr>
            <w:rStyle w:val="Hypertextovprepojenie"/>
          </w:rPr>
          <w:t>1.4</w:t>
        </w:r>
        <w:r w:rsidR="006D0C90" w:rsidRPr="006D0C90">
          <w:rPr>
            <w:rFonts w:asciiTheme="minorHAnsi" w:eastAsiaTheme="minorEastAsia" w:hAnsiTheme="minorHAnsi" w:cstheme="minorBidi"/>
          </w:rPr>
          <w:tab/>
        </w:r>
        <w:r w:rsidR="006D0C90" w:rsidRPr="006D0C90">
          <w:rPr>
            <w:rStyle w:val="Hypertextovprepojenie"/>
          </w:rPr>
          <w:t>Porovnanie prognóz slovenskej ekonomiky MF SR s prognózami ostatných inštitúcií</w:t>
        </w:r>
        <w:r w:rsidR="006D0C90" w:rsidRPr="006D0C90">
          <w:rPr>
            <w:webHidden/>
          </w:rPr>
          <w:tab/>
        </w:r>
        <w:r w:rsidR="006D0C90" w:rsidRPr="006D0C90">
          <w:rPr>
            <w:webHidden/>
          </w:rPr>
          <w:fldChar w:fldCharType="begin"/>
        </w:r>
        <w:r w:rsidR="006D0C90" w:rsidRPr="006D0C90">
          <w:rPr>
            <w:webHidden/>
          </w:rPr>
          <w:instrText xml:space="preserve"> PAGEREF _Toc101880659 \h </w:instrText>
        </w:r>
        <w:r w:rsidR="006D0C90" w:rsidRPr="006D0C90">
          <w:rPr>
            <w:webHidden/>
          </w:rPr>
        </w:r>
        <w:r w:rsidR="006D0C90" w:rsidRPr="006D0C90">
          <w:rPr>
            <w:webHidden/>
          </w:rPr>
          <w:fldChar w:fldCharType="separate"/>
        </w:r>
        <w:r w:rsidR="005D3280">
          <w:rPr>
            <w:webHidden/>
          </w:rPr>
          <w:t>13</w:t>
        </w:r>
        <w:r w:rsidR="006D0C90" w:rsidRPr="006D0C90">
          <w:rPr>
            <w:webHidden/>
          </w:rPr>
          <w:fldChar w:fldCharType="end"/>
        </w:r>
      </w:hyperlink>
    </w:p>
    <w:p w14:paraId="6FA226ED" w14:textId="4F503EE0" w:rsidR="006D0C90" w:rsidRPr="006D0C90" w:rsidRDefault="0047025F">
      <w:pPr>
        <w:pStyle w:val="Obsah2"/>
        <w:rPr>
          <w:rFonts w:asciiTheme="minorHAnsi" w:eastAsiaTheme="minorEastAsia" w:hAnsiTheme="minorHAnsi" w:cstheme="minorBidi"/>
        </w:rPr>
      </w:pPr>
      <w:hyperlink w:anchor="_Toc101880660" w:history="1">
        <w:r w:rsidR="006D0C90" w:rsidRPr="006D0C90">
          <w:rPr>
            <w:rStyle w:val="Hypertextovprepojenie"/>
          </w:rPr>
          <w:t>1.5</w:t>
        </w:r>
        <w:r w:rsidR="006D0C90" w:rsidRPr="006D0C90">
          <w:rPr>
            <w:rFonts w:asciiTheme="minorHAnsi" w:eastAsiaTheme="minorEastAsia" w:hAnsiTheme="minorHAnsi" w:cstheme="minorBidi"/>
          </w:rPr>
          <w:tab/>
        </w:r>
        <w:r w:rsidR="006D0C90" w:rsidRPr="006D0C90">
          <w:rPr>
            <w:rStyle w:val="Hypertextovprepojenie"/>
          </w:rPr>
          <w:t>Rizikový scenár</w:t>
        </w:r>
        <w:r w:rsidR="006D0C90" w:rsidRPr="006D0C90">
          <w:rPr>
            <w:webHidden/>
          </w:rPr>
          <w:tab/>
        </w:r>
        <w:r w:rsidR="006D0C90" w:rsidRPr="006D0C90">
          <w:rPr>
            <w:webHidden/>
          </w:rPr>
          <w:fldChar w:fldCharType="begin"/>
        </w:r>
        <w:r w:rsidR="006D0C90" w:rsidRPr="006D0C90">
          <w:rPr>
            <w:webHidden/>
          </w:rPr>
          <w:instrText xml:space="preserve"> PAGEREF _Toc101880660 \h </w:instrText>
        </w:r>
        <w:r w:rsidR="006D0C90" w:rsidRPr="006D0C90">
          <w:rPr>
            <w:webHidden/>
          </w:rPr>
        </w:r>
        <w:r w:rsidR="006D0C90" w:rsidRPr="006D0C90">
          <w:rPr>
            <w:webHidden/>
          </w:rPr>
          <w:fldChar w:fldCharType="separate"/>
        </w:r>
        <w:r w:rsidR="005D3280">
          <w:rPr>
            <w:webHidden/>
          </w:rPr>
          <w:t>14</w:t>
        </w:r>
        <w:r w:rsidR="006D0C90" w:rsidRPr="006D0C90">
          <w:rPr>
            <w:webHidden/>
          </w:rPr>
          <w:fldChar w:fldCharType="end"/>
        </w:r>
      </w:hyperlink>
    </w:p>
    <w:p w14:paraId="3ABC49E0" w14:textId="2857D197" w:rsidR="006D0C90" w:rsidRPr="006D0C90" w:rsidRDefault="0047025F">
      <w:pPr>
        <w:pStyle w:val="Obsah1"/>
        <w:rPr>
          <w:rFonts w:asciiTheme="minorHAnsi" w:eastAsiaTheme="minorEastAsia" w:hAnsiTheme="minorHAnsi" w:cstheme="minorBidi"/>
          <w:b w:val="0"/>
        </w:rPr>
      </w:pPr>
      <w:hyperlink w:anchor="_Toc101880661" w:history="1">
        <w:r w:rsidR="006D0C90" w:rsidRPr="006D0C90">
          <w:rPr>
            <w:rStyle w:val="Hypertextovprepojenie"/>
            <w:b w:val="0"/>
          </w:rPr>
          <w:t>2</w:t>
        </w:r>
        <w:r w:rsidR="006D0C90" w:rsidRPr="006D0C90">
          <w:rPr>
            <w:rFonts w:asciiTheme="minorHAnsi" w:eastAsiaTheme="minorEastAsia" w:hAnsiTheme="minorHAnsi" w:cstheme="minorBidi"/>
            <w:b w:val="0"/>
          </w:rPr>
          <w:tab/>
        </w:r>
        <w:r w:rsidR="006D0C90" w:rsidRPr="006D0C90">
          <w:rPr>
            <w:rStyle w:val="Hypertextovprepojenie"/>
            <w:b w:val="0"/>
          </w:rPr>
          <w:t>AKTUÁLNA POZÍCIA VEREJNÝCH FINANCIÍ</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_Toc101880661 \h </w:instrText>
        </w:r>
        <w:r w:rsidR="006D0C90" w:rsidRPr="006D0C90">
          <w:rPr>
            <w:b w:val="0"/>
            <w:webHidden/>
          </w:rPr>
        </w:r>
        <w:r w:rsidR="006D0C90" w:rsidRPr="006D0C90">
          <w:rPr>
            <w:b w:val="0"/>
            <w:webHidden/>
          </w:rPr>
          <w:fldChar w:fldCharType="separate"/>
        </w:r>
        <w:r w:rsidR="005D3280">
          <w:rPr>
            <w:b w:val="0"/>
            <w:webHidden/>
          </w:rPr>
          <w:t>16</w:t>
        </w:r>
        <w:r w:rsidR="006D0C90" w:rsidRPr="006D0C90">
          <w:rPr>
            <w:b w:val="0"/>
            <w:webHidden/>
          </w:rPr>
          <w:fldChar w:fldCharType="end"/>
        </w:r>
      </w:hyperlink>
    </w:p>
    <w:p w14:paraId="646ADB3B" w14:textId="27E63D33" w:rsidR="006D0C90" w:rsidRPr="006D0C90" w:rsidRDefault="0047025F">
      <w:pPr>
        <w:pStyle w:val="Obsah2"/>
        <w:rPr>
          <w:rFonts w:asciiTheme="minorHAnsi" w:eastAsiaTheme="minorEastAsia" w:hAnsiTheme="minorHAnsi" w:cstheme="minorBidi"/>
        </w:rPr>
      </w:pPr>
      <w:hyperlink w:anchor="_Toc101880662" w:history="1">
        <w:r w:rsidR="006D0C90" w:rsidRPr="006D0C90">
          <w:rPr>
            <w:rStyle w:val="Hypertextovprepojenie"/>
          </w:rPr>
          <w:t>2.1</w:t>
        </w:r>
        <w:r w:rsidR="006D0C90" w:rsidRPr="006D0C90">
          <w:rPr>
            <w:rFonts w:asciiTheme="minorHAnsi" w:eastAsiaTheme="minorEastAsia" w:hAnsiTheme="minorHAnsi" w:cstheme="minorBidi"/>
          </w:rPr>
          <w:tab/>
        </w:r>
        <w:r w:rsidR="006D0C90" w:rsidRPr="006D0C90">
          <w:rPr>
            <w:rStyle w:val="Hypertextovprepojenie"/>
          </w:rPr>
          <w:t>Saldo verejnej správy v roku 2021</w:t>
        </w:r>
        <w:r w:rsidR="006D0C90" w:rsidRPr="006D0C90">
          <w:rPr>
            <w:webHidden/>
          </w:rPr>
          <w:tab/>
        </w:r>
        <w:r w:rsidR="006D0C90" w:rsidRPr="006D0C90">
          <w:rPr>
            <w:webHidden/>
          </w:rPr>
          <w:fldChar w:fldCharType="begin"/>
        </w:r>
        <w:r w:rsidR="006D0C90" w:rsidRPr="006D0C90">
          <w:rPr>
            <w:webHidden/>
          </w:rPr>
          <w:instrText xml:space="preserve"> PAGEREF _Toc101880662 \h </w:instrText>
        </w:r>
        <w:r w:rsidR="006D0C90" w:rsidRPr="006D0C90">
          <w:rPr>
            <w:webHidden/>
          </w:rPr>
        </w:r>
        <w:r w:rsidR="006D0C90" w:rsidRPr="006D0C90">
          <w:rPr>
            <w:webHidden/>
          </w:rPr>
          <w:fldChar w:fldCharType="separate"/>
        </w:r>
        <w:r w:rsidR="005D3280">
          <w:rPr>
            <w:webHidden/>
          </w:rPr>
          <w:t>16</w:t>
        </w:r>
        <w:r w:rsidR="006D0C90" w:rsidRPr="006D0C90">
          <w:rPr>
            <w:webHidden/>
          </w:rPr>
          <w:fldChar w:fldCharType="end"/>
        </w:r>
      </w:hyperlink>
    </w:p>
    <w:p w14:paraId="726963DC" w14:textId="48AEB0C4" w:rsidR="006D0C90" w:rsidRPr="006D0C90" w:rsidRDefault="0047025F">
      <w:pPr>
        <w:pStyle w:val="Obsah2"/>
        <w:rPr>
          <w:rFonts w:asciiTheme="minorHAnsi" w:eastAsiaTheme="minorEastAsia" w:hAnsiTheme="minorHAnsi" w:cstheme="minorBidi"/>
        </w:rPr>
      </w:pPr>
      <w:hyperlink w:anchor="_Toc101880663" w:history="1">
        <w:r w:rsidR="006D0C90" w:rsidRPr="006D0C90">
          <w:rPr>
            <w:rStyle w:val="Hypertextovprepojenie"/>
          </w:rPr>
          <w:t>2.2</w:t>
        </w:r>
        <w:r w:rsidR="006D0C90" w:rsidRPr="006D0C90">
          <w:rPr>
            <w:rFonts w:asciiTheme="minorHAnsi" w:eastAsiaTheme="minorEastAsia" w:hAnsiTheme="minorHAnsi" w:cstheme="minorBidi"/>
          </w:rPr>
          <w:tab/>
        </w:r>
        <w:r w:rsidR="006D0C90" w:rsidRPr="006D0C90">
          <w:rPr>
            <w:rStyle w:val="Hypertextovprepojenie"/>
          </w:rPr>
          <w:t>Aktuálny vývoj verejných financií</w:t>
        </w:r>
        <w:r w:rsidR="006D0C90" w:rsidRPr="006D0C90">
          <w:rPr>
            <w:webHidden/>
          </w:rPr>
          <w:tab/>
        </w:r>
        <w:r w:rsidR="006D0C90" w:rsidRPr="006D0C90">
          <w:rPr>
            <w:webHidden/>
          </w:rPr>
          <w:fldChar w:fldCharType="begin"/>
        </w:r>
        <w:r w:rsidR="006D0C90" w:rsidRPr="006D0C90">
          <w:rPr>
            <w:webHidden/>
          </w:rPr>
          <w:instrText xml:space="preserve"> PAGEREF _Toc101880663 \h </w:instrText>
        </w:r>
        <w:r w:rsidR="006D0C90" w:rsidRPr="006D0C90">
          <w:rPr>
            <w:webHidden/>
          </w:rPr>
        </w:r>
        <w:r w:rsidR="006D0C90" w:rsidRPr="006D0C90">
          <w:rPr>
            <w:webHidden/>
          </w:rPr>
          <w:fldChar w:fldCharType="separate"/>
        </w:r>
        <w:r w:rsidR="005D3280">
          <w:rPr>
            <w:webHidden/>
          </w:rPr>
          <w:t>19</w:t>
        </w:r>
        <w:r w:rsidR="006D0C90" w:rsidRPr="006D0C90">
          <w:rPr>
            <w:webHidden/>
          </w:rPr>
          <w:fldChar w:fldCharType="end"/>
        </w:r>
      </w:hyperlink>
    </w:p>
    <w:p w14:paraId="5028F1AC" w14:textId="197FDF50" w:rsidR="006D0C90" w:rsidRPr="006D0C90" w:rsidRDefault="0047025F">
      <w:pPr>
        <w:pStyle w:val="Obsah2"/>
        <w:rPr>
          <w:rFonts w:asciiTheme="minorHAnsi" w:eastAsiaTheme="minorEastAsia" w:hAnsiTheme="minorHAnsi" w:cstheme="minorBidi"/>
        </w:rPr>
      </w:pPr>
      <w:hyperlink w:anchor="_Toc101880664" w:history="1">
        <w:r w:rsidR="006D0C90" w:rsidRPr="006D0C90">
          <w:rPr>
            <w:rStyle w:val="Hypertextovprepojenie"/>
          </w:rPr>
          <w:t>2.3</w:t>
        </w:r>
        <w:r w:rsidR="006D0C90" w:rsidRPr="006D0C90">
          <w:rPr>
            <w:rFonts w:asciiTheme="minorHAnsi" w:eastAsiaTheme="minorEastAsia" w:hAnsiTheme="minorHAnsi" w:cstheme="minorBidi"/>
          </w:rPr>
          <w:tab/>
        </w:r>
        <w:r w:rsidR="006D0C90" w:rsidRPr="006D0C90">
          <w:rPr>
            <w:rStyle w:val="Hypertextovprepojenie"/>
          </w:rPr>
          <w:t>Štrukturálne saldo v rokoch 2021 a 2022</w:t>
        </w:r>
        <w:r w:rsidR="006D0C90" w:rsidRPr="006D0C90">
          <w:rPr>
            <w:webHidden/>
          </w:rPr>
          <w:tab/>
        </w:r>
        <w:r w:rsidR="006D0C90" w:rsidRPr="006D0C90">
          <w:rPr>
            <w:webHidden/>
          </w:rPr>
          <w:fldChar w:fldCharType="begin"/>
        </w:r>
        <w:r w:rsidR="006D0C90" w:rsidRPr="006D0C90">
          <w:rPr>
            <w:webHidden/>
          </w:rPr>
          <w:instrText xml:space="preserve"> PAGEREF _Toc101880664 \h </w:instrText>
        </w:r>
        <w:r w:rsidR="006D0C90" w:rsidRPr="006D0C90">
          <w:rPr>
            <w:webHidden/>
          </w:rPr>
        </w:r>
        <w:r w:rsidR="006D0C90" w:rsidRPr="006D0C90">
          <w:rPr>
            <w:webHidden/>
          </w:rPr>
          <w:fldChar w:fldCharType="separate"/>
        </w:r>
        <w:r w:rsidR="005D3280">
          <w:rPr>
            <w:webHidden/>
          </w:rPr>
          <w:t>24</w:t>
        </w:r>
        <w:r w:rsidR="006D0C90" w:rsidRPr="006D0C90">
          <w:rPr>
            <w:webHidden/>
          </w:rPr>
          <w:fldChar w:fldCharType="end"/>
        </w:r>
      </w:hyperlink>
    </w:p>
    <w:p w14:paraId="4DCC2BF9" w14:textId="6EBD9EB6" w:rsidR="006D0C90" w:rsidRPr="006D0C90" w:rsidRDefault="0047025F">
      <w:pPr>
        <w:pStyle w:val="Obsah1"/>
        <w:rPr>
          <w:rFonts w:asciiTheme="minorHAnsi" w:eastAsiaTheme="minorEastAsia" w:hAnsiTheme="minorHAnsi" w:cstheme="minorBidi"/>
          <w:b w:val="0"/>
        </w:rPr>
      </w:pPr>
      <w:hyperlink w:anchor="_Toc101880665" w:history="1">
        <w:r w:rsidR="006D0C90" w:rsidRPr="006D0C90">
          <w:rPr>
            <w:rStyle w:val="Hypertextovprepojenie"/>
            <w:b w:val="0"/>
          </w:rPr>
          <w:t>3</w:t>
        </w:r>
        <w:r w:rsidR="006D0C90" w:rsidRPr="006D0C90">
          <w:rPr>
            <w:rFonts w:asciiTheme="minorHAnsi" w:eastAsiaTheme="minorEastAsia" w:hAnsiTheme="minorHAnsi" w:cstheme="minorBidi"/>
            <w:b w:val="0"/>
          </w:rPr>
          <w:tab/>
        </w:r>
        <w:r w:rsidR="006D0C90" w:rsidRPr="006D0C90">
          <w:rPr>
            <w:rStyle w:val="Hypertextovprepojenie"/>
            <w:b w:val="0"/>
          </w:rPr>
          <w:t>CIELE ROZPOČTU</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_Toc101880665 \h </w:instrText>
        </w:r>
        <w:r w:rsidR="006D0C90" w:rsidRPr="006D0C90">
          <w:rPr>
            <w:b w:val="0"/>
            <w:webHidden/>
          </w:rPr>
        </w:r>
        <w:r w:rsidR="006D0C90" w:rsidRPr="006D0C90">
          <w:rPr>
            <w:b w:val="0"/>
            <w:webHidden/>
          </w:rPr>
          <w:fldChar w:fldCharType="separate"/>
        </w:r>
        <w:r w:rsidR="005D3280">
          <w:rPr>
            <w:b w:val="0"/>
            <w:webHidden/>
          </w:rPr>
          <w:t>25</w:t>
        </w:r>
        <w:r w:rsidR="006D0C90" w:rsidRPr="006D0C90">
          <w:rPr>
            <w:b w:val="0"/>
            <w:webHidden/>
          </w:rPr>
          <w:fldChar w:fldCharType="end"/>
        </w:r>
      </w:hyperlink>
    </w:p>
    <w:p w14:paraId="2CBFDD27" w14:textId="43D9AC3A" w:rsidR="006D0C90" w:rsidRPr="006D0C90" w:rsidRDefault="0047025F">
      <w:pPr>
        <w:pStyle w:val="Obsah2"/>
        <w:rPr>
          <w:rFonts w:asciiTheme="minorHAnsi" w:eastAsiaTheme="minorEastAsia" w:hAnsiTheme="minorHAnsi" w:cstheme="minorBidi"/>
        </w:rPr>
      </w:pPr>
      <w:hyperlink w:anchor="_Toc101880666" w:history="1">
        <w:r w:rsidR="006D0C90" w:rsidRPr="006D0C90">
          <w:rPr>
            <w:rStyle w:val="Hypertextovprepojenie"/>
          </w:rPr>
          <w:t>3.1</w:t>
        </w:r>
        <w:r w:rsidR="006D0C90" w:rsidRPr="006D0C90">
          <w:rPr>
            <w:rFonts w:asciiTheme="minorHAnsi" w:eastAsiaTheme="minorEastAsia" w:hAnsiTheme="minorHAnsi" w:cstheme="minorBidi"/>
          </w:rPr>
          <w:tab/>
        </w:r>
        <w:r w:rsidR="006D0C90" w:rsidRPr="006D0C90">
          <w:rPr>
            <w:rStyle w:val="Hypertextovprepojenie"/>
          </w:rPr>
          <w:t>Strednodobý rozpočtový výhľad na roky 2023 až 2025</w:t>
        </w:r>
        <w:r w:rsidR="006D0C90" w:rsidRPr="006D0C90">
          <w:rPr>
            <w:webHidden/>
          </w:rPr>
          <w:tab/>
        </w:r>
        <w:r w:rsidR="006D0C90" w:rsidRPr="006D0C90">
          <w:rPr>
            <w:webHidden/>
          </w:rPr>
          <w:fldChar w:fldCharType="begin"/>
        </w:r>
        <w:r w:rsidR="006D0C90" w:rsidRPr="006D0C90">
          <w:rPr>
            <w:webHidden/>
          </w:rPr>
          <w:instrText xml:space="preserve"> PAGEREF _Toc101880666 \h </w:instrText>
        </w:r>
        <w:r w:rsidR="006D0C90" w:rsidRPr="006D0C90">
          <w:rPr>
            <w:webHidden/>
          </w:rPr>
        </w:r>
        <w:r w:rsidR="006D0C90" w:rsidRPr="006D0C90">
          <w:rPr>
            <w:webHidden/>
          </w:rPr>
          <w:fldChar w:fldCharType="separate"/>
        </w:r>
        <w:r w:rsidR="005D3280">
          <w:rPr>
            <w:webHidden/>
          </w:rPr>
          <w:t>25</w:t>
        </w:r>
        <w:r w:rsidR="006D0C90" w:rsidRPr="006D0C90">
          <w:rPr>
            <w:webHidden/>
          </w:rPr>
          <w:fldChar w:fldCharType="end"/>
        </w:r>
      </w:hyperlink>
    </w:p>
    <w:p w14:paraId="5793F802" w14:textId="7473D284" w:rsidR="006D0C90" w:rsidRPr="006D0C90" w:rsidRDefault="0047025F">
      <w:pPr>
        <w:pStyle w:val="Obsah2"/>
        <w:rPr>
          <w:rFonts w:asciiTheme="minorHAnsi" w:eastAsiaTheme="minorEastAsia" w:hAnsiTheme="minorHAnsi" w:cstheme="minorBidi"/>
        </w:rPr>
      </w:pPr>
      <w:hyperlink w:anchor="_Toc101880667" w:history="1">
        <w:r w:rsidR="006D0C90" w:rsidRPr="006D0C90">
          <w:rPr>
            <w:rStyle w:val="Hypertextovprepojenie"/>
          </w:rPr>
          <w:t>3.2</w:t>
        </w:r>
        <w:r w:rsidR="006D0C90" w:rsidRPr="006D0C90">
          <w:rPr>
            <w:rFonts w:asciiTheme="minorHAnsi" w:eastAsiaTheme="minorEastAsia" w:hAnsiTheme="minorHAnsi" w:cstheme="minorBidi"/>
          </w:rPr>
          <w:tab/>
        </w:r>
        <w:r w:rsidR="006D0C90" w:rsidRPr="006D0C90">
          <w:rPr>
            <w:rStyle w:val="Hypertextovprepojenie"/>
          </w:rPr>
          <w:t>Celková fiškálna pozícia (po zahrnutí impulzu z prostriedkov EÚ)</w:t>
        </w:r>
        <w:r w:rsidR="006D0C90" w:rsidRPr="006D0C90">
          <w:rPr>
            <w:webHidden/>
          </w:rPr>
          <w:tab/>
        </w:r>
        <w:r w:rsidR="006D0C90" w:rsidRPr="006D0C90">
          <w:rPr>
            <w:webHidden/>
          </w:rPr>
          <w:fldChar w:fldCharType="begin"/>
        </w:r>
        <w:r w:rsidR="006D0C90" w:rsidRPr="006D0C90">
          <w:rPr>
            <w:webHidden/>
          </w:rPr>
          <w:instrText xml:space="preserve"> PAGEREF _Toc101880667 \h </w:instrText>
        </w:r>
        <w:r w:rsidR="006D0C90" w:rsidRPr="006D0C90">
          <w:rPr>
            <w:webHidden/>
          </w:rPr>
        </w:r>
        <w:r w:rsidR="006D0C90" w:rsidRPr="006D0C90">
          <w:rPr>
            <w:webHidden/>
          </w:rPr>
          <w:fldChar w:fldCharType="separate"/>
        </w:r>
        <w:r w:rsidR="005D3280">
          <w:rPr>
            <w:webHidden/>
          </w:rPr>
          <w:t>26</w:t>
        </w:r>
        <w:r w:rsidR="006D0C90" w:rsidRPr="006D0C90">
          <w:rPr>
            <w:webHidden/>
          </w:rPr>
          <w:fldChar w:fldCharType="end"/>
        </w:r>
      </w:hyperlink>
    </w:p>
    <w:p w14:paraId="629E5292" w14:textId="73ED0B88" w:rsidR="006D0C90" w:rsidRPr="006D0C90" w:rsidRDefault="0047025F">
      <w:pPr>
        <w:pStyle w:val="Obsah2"/>
        <w:rPr>
          <w:rFonts w:asciiTheme="minorHAnsi" w:eastAsiaTheme="minorEastAsia" w:hAnsiTheme="minorHAnsi" w:cstheme="minorBidi"/>
        </w:rPr>
      </w:pPr>
      <w:hyperlink w:anchor="_Toc101880668" w:history="1">
        <w:r w:rsidR="006D0C90" w:rsidRPr="006D0C90">
          <w:rPr>
            <w:rStyle w:val="Hypertextovprepojenie"/>
          </w:rPr>
          <w:t>3.3</w:t>
        </w:r>
        <w:r w:rsidR="006D0C90" w:rsidRPr="006D0C90">
          <w:rPr>
            <w:rFonts w:asciiTheme="minorHAnsi" w:eastAsiaTheme="minorEastAsia" w:hAnsiTheme="minorHAnsi" w:cstheme="minorBidi"/>
          </w:rPr>
          <w:tab/>
        </w:r>
        <w:r w:rsidR="006D0C90" w:rsidRPr="006D0C90">
          <w:rPr>
            <w:rStyle w:val="Hypertextovprepojenie"/>
          </w:rPr>
          <w:t>Vývoj jednotlivých rozpočtových položiek a opatrenia od roku 2023</w:t>
        </w:r>
        <w:r w:rsidR="006D0C90" w:rsidRPr="006D0C90">
          <w:rPr>
            <w:webHidden/>
          </w:rPr>
          <w:tab/>
        </w:r>
        <w:r w:rsidR="006D0C90" w:rsidRPr="006D0C90">
          <w:rPr>
            <w:webHidden/>
          </w:rPr>
          <w:fldChar w:fldCharType="begin"/>
        </w:r>
        <w:r w:rsidR="006D0C90" w:rsidRPr="006D0C90">
          <w:rPr>
            <w:webHidden/>
          </w:rPr>
          <w:instrText xml:space="preserve"> PAGEREF _Toc101880668 \h </w:instrText>
        </w:r>
        <w:r w:rsidR="006D0C90" w:rsidRPr="006D0C90">
          <w:rPr>
            <w:webHidden/>
          </w:rPr>
        </w:r>
        <w:r w:rsidR="006D0C90" w:rsidRPr="006D0C90">
          <w:rPr>
            <w:webHidden/>
          </w:rPr>
          <w:fldChar w:fldCharType="separate"/>
        </w:r>
        <w:r w:rsidR="005D3280">
          <w:rPr>
            <w:webHidden/>
          </w:rPr>
          <w:t>28</w:t>
        </w:r>
        <w:r w:rsidR="006D0C90" w:rsidRPr="006D0C90">
          <w:rPr>
            <w:webHidden/>
          </w:rPr>
          <w:fldChar w:fldCharType="end"/>
        </w:r>
      </w:hyperlink>
    </w:p>
    <w:p w14:paraId="6ED28FD1" w14:textId="2576F764" w:rsidR="006D0C90" w:rsidRPr="006D0C90" w:rsidRDefault="0047025F">
      <w:pPr>
        <w:pStyle w:val="Obsah1"/>
        <w:rPr>
          <w:rFonts w:asciiTheme="minorHAnsi" w:eastAsiaTheme="minorEastAsia" w:hAnsiTheme="minorHAnsi" w:cstheme="minorBidi"/>
          <w:b w:val="0"/>
        </w:rPr>
      </w:pPr>
      <w:hyperlink w:anchor="_Toc101880669" w:history="1">
        <w:r w:rsidR="006D0C90" w:rsidRPr="006D0C90">
          <w:rPr>
            <w:rStyle w:val="Hypertextovprepojenie"/>
            <w:rFonts w:cs="Arial Narrow"/>
            <w:b w:val="0"/>
          </w:rPr>
          <w:t>4</w:t>
        </w:r>
        <w:r w:rsidR="006D0C90" w:rsidRPr="006D0C90">
          <w:rPr>
            <w:rFonts w:asciiTheme="minorHAnsi" w:eastAsiaTheme="minorEastAsia" w:hAnsiTheme="minorHAnsi" w:cstheme="minorBidi"/>
            <w:b w:val="0"/>
          </w:rPr>
          <w:tab/>
        </w:r>
        <w:r w:rsidR="006D0C90" w:rsidRPr="006D0C90">
          <w:rPr>
            <w:rStyle w:val="Hypertextovprepojenie"/>
            <w:b w:val="0"/>
          </w:rPr>
          <w:t>DLH VEREJNEJ SPRÁVY A UDRŽATEĽNOSŤ VEREJNÝCH FINANCIÍ</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_Toc101880669 \h </w:instrText>
        </w:r>
        <w:r w:rsidR="006D0C90" w:rsidRPr="006D0C90">
          <w:rPr>
            <w:b w:val="0"/>
            <w:webHidden/>
          </w:rPr>
        </w:r>
        <w:r w:rsidR="006D0C90" w:rsidRPr="006D0C90">
          <w:rPr>
            <w:b w:val="0"/>
            <w:webHidden/>
          </w:rPr>
          <w:fldChar w:fldCharType="separate"/>
        </w:r>
        <w:r w:rsidR="005D3280">
          <w:rPr>
            <w:b w:val="0"/>
            <w:webHidden/>
          </w:rPr>
          <w:t>32</w:t>
        </w:r>
        <w:r w:rsidR="006D0C90" w:rsidRPr="006D0C90">
          <w:rPr>
            <w:b w:val="0"/>
            <w:webHidden/>
          </w:rPr>
          <w:fldChar w:fldCharType="end"/>
        </w:r>
      </w:hyperlink>
    </w:p>
    <w:p w14:paraId="1EE42A88" w14:textId="18FCC6BE" w:rsidR="006D0C90" w:rsidRPr="006D0C90" w:rsidRDefault="0047025F">
      <w:pPr>
        <w:pStyle w:val="Obsah2"/>
        <w:rPr>
          <w:rFonts w:asciiTheme="minorHAnsi" w:eastAsiaTheme="minorEastAsia" w:hAnsiTheme="minorHAnsi" w:cstheme="minorBidi"/>
        </w:rPr>
      </w:pPr>
      <w:hyperlink w:anchor="_Toc101880670" w:history="1">
        <w:r w:rsidR="006D0C90" w:rsidRPr="006D0C90">
          <w:rPr>
            <w:rStyle w:val="Hypertextovprepojenie"/>
          </w:rPr>
          <w:t>4.1</w:t>
        </w:r>
        <w:r w:rsidR="006D0C90" w:rsidRPr="006D0C90">
          <w:rPr>
            <w:rFonts w:asciiTheme="minorHAnsi" w:eastAsiaTheme="minorEastAsia" w:hAnsiTheme="minorHAnsi" w:cstheme="minorBidi"/>
          </w:rPr>
          <w:tab/>
        </w:r>
        <w:r w:rsidR="006D0C90" w:rsidRPr="006D0C90">
          <w:rPr>
            <w:rStyle w:val="Hypertextovprepojenie"/>
          </w:rPr>
          <w:t>Hrubý dlh verejnej správy</w:t>
        </w:r>
        <w:r w:rsidR="006D0C90" w:rsidRPr="006D0C90">
          <w:rPr>
            <w:webHidden/>
          </w:rPr>
          <w:tab/>
        </w:r>
        <w:r w:rsidR="006D0C90" w:rsidRPr="006D0C90">
          <w:rPr>
            <w:webHidden/>
          </w:rPr>
          <w:fldChar w:fldCharType="begin"/>
        </w:r>
        <w:r w:rsidR="006D0C90" w:rsidRPr="006D0C90">
          <w:rPr>
            <w:webHidden/>
          </w:rPr>
          <w:instrText xml:space="preserve"> PAGEREF _Toc101880670 \h </w:instrText>
        </w:r>
        <w:r w:rsidR="006D0C90" w:rsidRPr="006D0C90">
          <w:rPr>
            <w:webHidden/>
          </w:rPr>
        </w:r>
        <w:r w:rsidR="006D0C90" w:rsidRPr="006D0C90">
          <w:rPr>
            <w:webHidden/>
          </w:rPr>
          <w:fldChar w:fldCharType="separate"/>
        </w:r>
        <w:r w:rsidR="005D3280">
          <w:rPr>
            <w:webHidden/>
          </w:rPr>
          <w:t>32</w:t>
        </w:r>
        <w:r w:rsidR="006D0C90" w:rsidRPr="006D0C90">
          <w:rPr>
            <w:webHidden/>
          </w:rPr>
          <w:fldChar w:fldCharType="end"/>
        </w:r>
      </w:hyperlink>
    </w:p>
    <w:p w14:paraId="32406292" w14:textId="0D7BC414" w:rsidR="006D0C90" w:rsidRPr="006D0C90" w:rsidRDefault="0047025F">
      <w:pPr>
        <w:pStyle w:val="Obsah2"/>
        <w:rPr>
          <w:rFonts w:asciiTheme="minorHAnsi" w:eastAsiaTheme="minorEastAsia" w:hAnsiTheme="minorHAnsi" w:cstheme="minorBidi"/>
        </w:rPr>
      </w:pPr>
      <w:hyperlink w:anchor="_Toc101880671" w:history="1">
        <w:r w:rsidR="006D0C90" w:rsidRPr="006D0C90">
          <w:rPr>
            <w:rStyle w:val="Hypertextovprepojenie"/>
          </w:rPr>
          <w:t>4.2</w:t>
        </w:r>
        <w:r w:rsidR="006D0C90" w:rsidRPr="006D0C90">
          <w:rPr>
            <w:rFonts w:asciiTheme="minorHAnsi" w:eastAsiaTheme="minorEastAsia" w:hAnsiTheme="minorHAnsi" w:cstheme="minorBidi"/>
          </w:rPr>
          <w:tab/>
        </w:r>
        <w:r w:rsidR="006D0C90" w:rsidRPr="006D0C90">
          <w:rPr>
            <w:rStyle w:val="Hypertextovprepojenie"/>
          </w:rPr>
          <w:t>Udržateľnosť verejných financií</w:t>
        </w:r>
        <w:r w:rsidR="006D0C90" w:rsidRPr="006D0C90">
          <w:rPr>
            <w:webHidden/>
          </w:rPr>
          <w:tab/>
        </w:r>
        <w:r w:rsidR="006D0C90" w:rsidRPr="006D0C90">
          <w:rPr>
            <w:webHidden/>
          </w:rPr>
          <w:fldChar w:fldCharType="begin"/>
        </w:r>
        <w:r w:rsidR="006D0C90" w:rsidRPr="006D0C90">
          <w:rPr>
            <w:webHidden/>
          </w:rPr>
          <w:instrText xml:space="preserve"> PAGEREF _Toc101880671 \h </w:instrText>
        </w:r>
        <w:r w:rsidR="006D0C90" w:rsidRPr="006D0C90">
          <w:rPr>
            <w:webHidden/>
          </w:rPr>
        </w:r>
        <w:r w:rsidR="006D0C90" w:rsidRPr="006D0C90">
          <w:rPr>
            <w:webHidden/>
          </w:rPr>
          <w:fldChar w:fldCharType="separate"/>
        </w:r>
        <w:r w:rsidR="005D3280">
          <w:rPr>
            <w:webHidden/>
          </w:rPr>
          <w:t>33</w:t>
        </w:r>
        <w:r w:rsidR="006D0C90" w:rsidRPr="006D0C90">
          <w:rPr>
            <w:webHidden/>
          </w:rPr>
          <w:fldChar w:fldCharType="end"/>
        </w:r>
      </w:hyperlink>
    </w:p>
    <w:p w14:paraId="6B125999" w14:textId="77C4E633" w:rsidR="006D0C90" w:rsidRPr="006D0C90" w:rsidRDefault="0047025F">
      <w:pPr>
        <w:pStyle w:val="Obsah2"/>
        <w:rPr>
          <w:rFonts w:asciiTheme="minorHAnsi" w:eastAsiaTheme="minorEastAsia" w:hAnsiTheme="minorHAnsi" w:cstheme="minorBidi"/>
        </w:rPr>
      </w:pPr>
      <w:hyperlink w:anchor="_Toc101880672" w:history="1">
        <w:r w:rsidR="006D0C90" w:rsidRPr="006D0C90">
          <w:rPr>
            <w:rStyle w:val="Hypertextovprepojenie"/>
          </w:rPr>
          <w:t>4.3</w:t>
        </w:r>
        <w:r w:rsidR="006D0C90" w:rsidRPr="006D0C90">
          <w:rPr>
            <w:rFonts w:asciiTheme="minorHAnsi" w:eastAsiaTheme="minorEastAsia" w:hAnsiTheme="minorHAnsi" w:cstheme="minorBidi"/>
          </w:rPr>
          <w:tab/>
        </w:r>
        <w:r w:rsidR="006D0C90" w:rsidRPr="006D0C90">
          <w:rPr>
            <w:rStyle w:val="Hypertextovprepojenie"/>
          </w:rPr>
          <w:t>Porovnanie s predchádzajúcou aktualizáciou</w:t>
        </w:r>
        <w:r w:rsidR="006D0C90" w:rsidRPr="006D0C90">
          <w:rPr>
            <w:webHidden/>
          </w:rPr>
          <w:tab/>
        </w:r>
        <w:r w:rsidR="006D0C90" w:rsidRPr="006D0C90">
          <w:rPr>
            <w:webHidden/>
          </w:rPr>
          <w:fldChar w:fldCharType="begin"/>
        </w:r>
        <w:r w:rsidR="006D0C90" w:rsidRPr="006D0C90">
          <w:rPr>
            <w:webHidden/>
          </w:rPr>
          <w:instrText xml:space="preserve"> PAGEREF _Toc101880672 \h </w:instrText>
        </w:r>
        <w:r w:rsidR="006D0C90" w:rsidRPr="006D0C90">
          <w:rPr>
            <w:webHidden/>
          </w:rPr>
        </w:r>
        <w:r w:rsidR="006D0C90" w:rsidRPr="006D0C90">
          <w:rPr>
            <w:webHidden/>
          </w:rPr>
          <w:fldChar w:fldCharType="separate"/>
        </w:r>
        <w:r w:rsidR="005D3280">
          <w:rPr>
            <w:webHidden/>
          </w:rPr>
          <w:t>37</w:t>
        </w:r>
        <w:r w:rsidR="006D0C90" w:rsidRPr="006D0C90">
          <w:rPr>
            <w:webHidden/>
          </w:rPr>
          <w:fldChar w:fldCharType="end"/>
        </w:r>
      </w:hyperlink>
    </w:p>
    <w:p w14:paraId="3A042543" w14:textId="0141FA50" w:rsidR="006D0C90" w:rsidRPr="006D0C90" w:rsidRDefault="0047025F">
      <w:pPr>
        <w:pStyle w:val="Obsah1"/>
        <w:rPr>
          <w:rFonts w:asciiTheme="minorHAnsi" w:eastAsiaTheme="minorEastAsia" w:hAnsiTheme="minorHAnsi" w:cstheme="minorBidi"/>
          <w:b w:val="0"/>
        </w:rPr>
      </w:pPr>
      <w:hyperlink w:anchor="_Toc101880673" w:history="1">
        <w:r w:rsidR="006D0C90" w:rsidRPr="006D0C90">
          <w:rPr>
            <w:rStyle w:val="Hypertextovprepojenie"/>
            <w:rFonts w:cs="Arial Narrow"/>
            <w:b w:val="0"/>
          </w:rPr>
          <w:t>5</w:t>
        </w:r>
        <w:r w:rsidR="006D0C90" w:rsidRPr="006D0C90">
          <w:rPr>
            <w:rFonts w:asciiTheme="minorHAnsi" w:eastAsiaTheme="minorEastAsia" w:hAnsiTheme="minorHAnsi" w:cstheme="minorBidi"/>
            <w:b w:val="0"/>
          </w:rPr>
          <w:tab/>
        </w:r>
        <w:r w:rsidR="006D0C90" w:rsidRPr="006D0C90">
          <w:rPr>
            <w:rStyle w:val="Hypertextovprepojenie"/>
            <w:rFonts w:cs="Arial Narrow"/>
            <w:b w:val="0"/>
          </w:rPr>
          <w:t>KVALITA VEREJNÝCH FINANCIÍ</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_Toc101880673 \h </w:instrText>
        </w:r>
        <w:r w:rsidR="006D0C90" w:rsidRPr="006D0C90">
          <w:rPr>
            <w:b w:val="0"/>
            <w:webHidden/>
          </w:rPr>
        </w:r>
        <w:r w:rsidR="006D0C90" w:rsidRPr="006D0C90">
          <w:rPr>
            <w:b w:val="0"/>
            <w:webHidden/>
          </w:rPr>
          <w:fldChar w:fldCharType="separate"/>
        </w:r>
        <w:r w:rsidR="005D3280">
          <w:rPr>
            <w:b w:val="0"/>
            <w:webHidden/>
          </w:rPr>
          <w:t>38</w:t>
        </w:r>
        <w:r w:rsidR="006D0C90" w:rsidRPr="006D0C90">
          <w:rPr>
            <w:b w:val="0"/>
            <w:webHidden/>
          </w:rPr>
          <w:fldChar w:fldCharType="end"/>
        </w:r>
      </w:hyperlink>
    </w:p>
    <w:p w14:paraId="4C165DB8" w14:textId="52C17A86" w:rsidR="006D0C90" w:rsidRPr="006D0C90" w:rsidRDefault="0047025F">
      <w:pPr>
        <w:pStyle w:val="Obsah2"/>
        <w:rPr>
          <w:rFonts w:asciiTheme="minorHAnsi" w:eastAsiaTheme="minorEastAsia" w:hAnsiTheme="minorHAnsi" w:cstheme="minorBidi"/>
        </w:rPr>
      </w:pPr>
      <w:hyperlink w:anchor="_Toc101880674" w:history="1">
        <w:r w:rsidR="006D0C90" w:rsidRPr="006D0C90">
          <w:rPr>
            <w:rStyle w:val="Hypertextovprepojenie"/>
            <w:rFonts w:cs="Arial"/>
            <w:bCs/>
            <w:iCs/>
          </w:rPr>
          <w:t>5.1</w:t>
        </w:r>
        <w:r w:rsidR="006D0C90" w:rsidRPr="006D0C90">
          <w:rPr>
            <w:rFonts w:asciiTheme="minorHAnsi" w:eastAsiaTheme="minorEastAsia" w:hAnsiTheme="minorHAnsi" w:cstheme="minorBidi"/>
          </w:rPr>
          <w:tab/>
        </w:r>
        <w:r w:rsidR="006D0C90" w:rsidRPr="006D0C90">
          <w:rPr>
            <w:rStyle w:val="Hypertextovprepojenie"/>
            <w:rFonts w:cs="Arial"/>
            <w:bCs/>
            <w:iCs/>
          </w:rPr>
          <w:t>Príjmové ciele rozpočtu verejnej správy</w:t>
        </w:r>
        <w:r w:rsidR="006D0C90" w:rsidRPr="006D0C90">
          <w:rPr>
            <w:webHidden/>
          </w:rPr>
          <w:tab/>
        </w:r>
        <w:r w:rsidR="006D0C90" w:rsidRPr="006D0C90">
          <w:rPr>
            <w:webHidden/>
          </w:rPr>
          <w:fldChar w:fldCharType="begin"/>
        </w:r>
        <w:r w:rsidR="006D0C90" w:rsidRPr="006D0C90">
          <w:rPr>
            <w:webHidden/>
          </w:rPr>
          <w:instrText xml:space="preserve"> PAGEREF _Toc101880674 \h </w:instrText>
        </w:r>
        <w:r w:rsidR="006D0C90" w:rsidRPr="006D0C90">
          <w:rPr>
            <w:webHidden/>
          </w:rPr>
        </w:r>
        <w:r w:rsidR="006D0C90" w:rsidRPr="006D0C90">
          <w:rPr>
            <w:webHidden/>
          </w:rPr>
          <w:fldChar w:fldCharType="separate"/>
        </w:r>
        <w:r w:rsidR="005D3280">
          <w:rPr>
            <w:webHidden/>
          </w:rPr>
          <w:t>38</w:t>
        </w:r>
        <w:r w:rsidR="006D0C90" w:rsidRPr="006D0C90">
          <w:rPr>
            <w:webHidden/>
          </w:rPr>
          <w:fldChar w:fldCharType="end"/>
        </w:r>
      </w:hyperlink>
    </w:p>
    <w:p w14:paraId="111648A5" w14:textId="33122136" w:rsidR="006D0C90" w:rsidRPr="006D0C90" w:rsidRDefault="0047025F">
      <w:pPr>
        <w:pStyle w:val="Obsah2"/>
        <w:rPr>
          <w:rFonts w:asciiTheme="minorHAnsi" w:eastAsiaTheme="minorEastAsia" w:hAnsiTheme="minorHAnsi" w:cstheme="minorBidi"/>
        </w:rPr>
      </w:pPr>
      <w:hyperlink w:anchor="_Toc101880675" w:history="1">
        <w:r w:rsidR="006D0C90" w:rsidRPr="006D0C90">
          <w:rPr>
            <w:rStyle w:val="Hypertextovprepojenie"/>
            <w:rFonts w:cs="Arial"/>
            <w:bCs/>
            <w:iCs/>
          </w:rPr>
          <w:t>5.2</w:t>
        </w:r>
        <w:r w:rsidR="006D0C90" w:rsidRPr="006D0C90">
          <w:rPr>
            <w:rFonts w:asciiTheme="minorHAnsi" w:eastAsiaTheme="minorEastAsia" w:hAnsiTheme="minorHAnsi" w:cstheme="minorBidi"/>
          </w:rPr>
          <w:tab/>
        </w:r>
        <w:r w:rsidR="006D0C90" w:rsidRPr="006D0C90">
          <w:rPr>
            <w:rStyle w:val="Hypertextovprepojenie"/>
            <w:rFonts w:cs="Arial"/>
            <w:bCs/>
            <w:iCs/>
          </w:rPr>
          <w:t>Výdavkové ciele rozpočtu verejnej správy podľa ich funkcie</w:t>
        </w:r>
        <w:r w:rsidR="006D0C90" w:rsidRPr="006D0C90">
          <w:rPr>
            <w:webHidden/>
          </w:rPr>
          <w:tab/>
        </w:r>
        <w:r w:rsidR="006D0C90" w:rsidRPr="006D0C90">
          <w:rPr>
            <w:webHidden/>
          </w:rPr>
          <w:fldChar w:fldCharType="begin"/>
        </w:r>
        <w:r w:rsidR="006D0C90" w:rsidRPr="006D0C90">
          <w:rPr>
            <w:webHidden/>
          </w:rPr>
          <w:instrText xml:space="preserve"> PAGEREF _Toc101880675 \h </w:instrText>
        </w:r>
        <w:r w:rsidR="006D0C90" w:rsidRPr="006D0C90">
          <w:rPr>
            <w:webHidden/>
          </w:rPr>
        </w:r>
        <w:r w:rsidR="006D0C90" w:rsidRPr="006D0C90">
          <w:rPr>
            <w:webHidden/>
          </w:rPr>
          <w:fldChar w:fldCharType="separate"/>
        </w:r>
        <w:r w:rsidR="005D3280">
          <w:rPr>
            <w:webHidden/>
          </w:rPr>
          <w:t>39</w:t>
        </w:r>
        <w:r w:rsidR="006D0C90" w:rsidRPr="006D0C90">
          <w:rPr>
            <w:webHidden/>
          </w:rPr>
          <w:fldChar w:fldCharType="end"/>
        </w:r>
      </w:hyperlink>
    </w:p>
    <w:p w14:paraId="1EED8B87" w14:textId="24C5F675" w:rsidR="006D0C90" w:rsidRPr="006D0C90" w:rsidRDefault="0047025F">
      <w:pPr>
        <w:pStyle w:val="Obsah2"/>
        <w:rPr>
          <w:rFonts w:asciiTheme="minorHAnsi" w:eastAsiaTheme="minorEastAsia" w:hAnsiTheme="minorHAnsi" w:cstheme="minorBidi"/>
        </w:rPr>
      </w:pPr>
      <w:hyperlink w:anchor="_Toc101880676" w:history="1">
        <w:r w:rsidR="006D0C90" w:rsidRPr="006D0C90">
          <w:rPr>
            <w:rStyle w:val="Hypertextovprepojenie"/>
            <w:rFonts w:cs="Arial"/>
            <w:bCs/>
            <w:iCs/>
          </w:rPr>
          <w:t>5.3</w:t>
        </w:r>
        <w:r w:rsidR="006D0C90" w:rsidRPr="006D0C90">
          <w:rPr>
            <w:rFonts w:asciiTheme="minorHAnsi" w:eastAsiaTheme="minorEastAsia" w:hAnsiTheme="minorHAnsi" w:cstheme="minorBidi"/>
          </w:rPr>
          <w:tab/>
        </w:r>
        <w:r w:rsidR="006D0C90" w:rsidRPr="006D0C90">
          <w:rPr>
            <w:rStyle w:val="Hypertextovprepojenie"/>
            <w:rFonts w:cs="Arial"/>
            <w:bCs/>
            <w:iCs/>
          </w:rPr>
          <w:t>Investície v súlade s hodnotou za peniaze</w:t>
        </w:r>
        <w:r w:rsidR="006D0C90" w:rsidRPr="006D0C90">
          <w:rPr>
            <w:webHidden/>
          </w:rPr>
          <w:tab/>
        </w:r>
        <w:r w:rsidR="006D0C90" w:rsidRPr="006D0C90">
          <w:rPr>
            <w:webHidden/>
          </w:rPr>
          <w:fldChar w:fldCharType="begin"/>
        </w:r>
        <w:r w:rsidR="006D0C90" w:rsidRPr="006D0C90">
          <w:rPr>
            <w:webHidden/>
          </w:rPr>
          <w:instrText xml:space="preserve"> PAGEREF _Toc101880676 \h </w:instrText>
        </w:r>
        <w:r w:rsidR="006D0C90" w:rsidRPr="006D0C90">
          <w:rPr>
            <w:webHidden/>
          </w:rPr>
        </w:r>
        <w:r w:rsidR="006D0C90" w:rsidRPr="006D0C90">
          <w:rPr>
            <w:webHidden/>
          </w:rPr>
          <w:fldChar w:fldCharType="separate"/>
        </w:r>
        <w:r w:rsidR="005D3280">
          <w:rPr>
            <w:webHidden/>
          </w:rPr>
          <w:t>41</w:t>
        </w:r>
        <w:r w:rsidR="006D0C90" w:rsidRPr="006D0C90">
          <w:rPr>
            <w:webHidden/>
          </w:rPr>
          <w:fldChar w:fldCharType="end"/>
        </w:r>
      </w:hyperlink>
    </w:p>
    <w:p w14:paraId="1A0E8C9E" w14:textId="067F8FDF" w:rsidR="006D0C90" w:rsidRPr="006D0C90" w:rsidRDefault="0047025F">
      <w:pPr>
        <w:pStyle w:val="Obsah1"/>
        <w:rPr>
          <w:rFonts w:asciiTheme="minorHAnsi" w:eastAsiaTheme="minorEastAsia" w:hAnsiTheme="minorHAnsi" w:cstheme="minorBidi"/>
          <w:b w:val="0"/>
        </w:rPr>
      </w:pPr>
      <w:hyperlink w:anchor="_Toc101880677" w:history="1">
        <w:r w:rsidR="006D0C90" w:rsidRPr="006D0C90">
          <w:rPr>
            <w:rStyle w:val="Hypertextovprepojenie"/>
            <w:rFonts w:cs="Arial Narrow"/>
            <w:b w:val="0"/>
          </w:rPr>
          <w:t>6</w:t>
        </w:r>
        <w:r w:rsidR="006D0C90" w:rsidRPr="006D0C90">
          <w:rPr>
            <w:rFonts w:asciiTheme="minorHAnsi" w:eastAsiaTheme="minorEastAsia" w:hAnsiTheme="minorHAnsi" w:cstheme="minorBidi"/>
            <w:b w:val="0"/>
          </w:rPr>
          <w:tab/>
        </w:r>
        <w:r w:rsidR="006D0C90" w:rsidRPr="006D0C90">
          <w:rPr>
            <w:rStyle w:val="Hypertextovprepojenie"/>
            <w:rFonts w:cs="Arial Narrow"/>
            <w:b w:val="0"/>
          </w:rPr>
          <w:t>INŠTITUCIONÁLNE ASPEKTY VEREJNÝCH FINANCIÍ</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_Toc101880677 \h </w:instrText>
        </w:r>
        <w:r w:rsidR="006D0C90" w:rsidRPr="006D0C90">
          <w:rPr>
            <w:b w:val="0"/>
            <w:webHidden/>
          </w:rPr>
        </w:r>
        <w:r w:rsidR="006D0C90" w:rsidRPr="006D0C90">
          <w:rPr>
            <w:b w:val="0"/>
            <w:webHidden/>
          </w:rPr>
          <w:fldChar w:fldCharType="separate"/>
        </w:r>
        <w:r w:rsidR="005D3280">
          <w:rPr>
            <w:b w:val="0"/>
            <w:webHidden/>
          </w:rPr>
          <w:t>44</w:t>
        </w:r>
        <w:r w:rsidR="006D0C90" w:rsidRPr="006D0C90">
          <w:rPr>
            <w:b w:val="0"/>
            <w:webHidden/>
          </w:rPr>
          <w:fldChar w:fldCharType="end"/>
        </w:r>
      </w:hyperlink>
    </w:p>
    <w:p w14:paraId="3B354352" w14:textId="49EF4704" w:rsidR="006D0C90" w:rsidRPr="006D0C90" w:rsidRDefault="0047025F">
      <w:pPr>
        <w:pStyle w:val="Obsah1"/>
        <w:rPr>
          <w:rFonts w:asciiTheme="minorHAnsi" w:eastAsiaTheme="minorEastAsia" w:hAnsiTheme="minorHAnsi" w:cstheme="minorBidi"/>
          <w:b w:val="0"/>
        </w:rPr>
      </w:pPr>
      <w:hyperlink w:anchor="_Toc101880678" w:history="1">
        <w:r w:rsidR="006D0C90" w:rsidRPr="006D0C90">
          <w:rPr>
            <w:rStyle w:val="Hypertextovprepojenie"/>
            <w:rFonts w:cs="Arial Narrow"/>
            <w:b w:val="0"/>
          </w:rPr>
          <w:t>7</w:t>
        </w:r>
        <w:r w:rsidR="006D0C90" w:rsidRPr="006D0C90">
          <w:rPr>
            <w:rFonts w:asciiTheme="minorHAnsi" w:eastAsiaTheme="minorEastAsia" w:hAnsiTheme="minorHAnsi" w:cstheme="minorBidi"/>
            <w:b w:val="0"/>
          </w:rPr>
          <w:tab/>
        </w:r>
        <w:r w:rsidR="006D0C90" w:rsidRPr="006D0C90">
          <w:rPr>
            <w:rStyle w:val="Hypertextovprepojenie"/>
            <w:rFonts w:cs="Arial Narrow"/>
            <w:b w:val="0"/>
          </w:rPr>
          <w:t>ŠTRUKTURÁLNE POLITIKY</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_Toc101880678 \h </w:instrText>
        </w:r>
        <w:r w:rsidR="006D0C90" w:rsidRPr="006D0C90">
          <w:rPr>
            <w:b w:val="0"/>
            <w:webHidden/>
          </w:rPr>
        </w:r>
        <w:r w:rsidR="006D0C90" w:rsidRPr="006D0C90">
          <w:rPr>
            <w:b w:val="0"/>
            <w:webHidden/>
          </w:rPr>
          <w:fldChar w:fldCharType="separate"/>
        </w:r>
        <w:r w:rsidR="005D3280">
          <w:rPr>
            <w:b w:val="0"/>
            <w:webHidden/>
          </w:rPr>
          <w:t>48</w:t>
        </w:r>
        <w:r w:rsidR="006D0C90" w:rsidRPr="006D0C90">
          <w:rPr>
            <w:b w:val="0"/>
            <w:webHidden/>
          </w:rPr>
          <w:fldChar w:fldCharType="end"/>
        </w:r>
      </w:hyperlink>
    </w:p>
    <w:p w14:paraId="056463EE" w14:textId="19C9E6C4" w:rsidR="006D0C90" w:rsidRPr="006D0C90" w:rsidRDefault="0047025F">
      <w:pPr>
        <w:pStyle w:val="Obsah1"/>
        <w:rPr>
          <w:rFonts w:asciiTheme="minorHAnsi" w:eastAsiaTheme="minorEastAsia" w:hAnsiTheme="minorHAnsi" w:cstheme="minorBidi"/>
          <w:b w:val="0"/>
        </w:rPr>
      </w:pPr>
      <w:hyperlink w:anchor="_Toc101880679" w:history="1">
        <w:r w:rsidR="006D0C90" w:rsidRPr="006D0C90">
          <w:rPr>
            <w:rStyle w:val="Hypertextovprepojenie"/>
            <w:b w:val="0"/>
          </w:rPr>
          <w:t>PRÍLOHY</w:t>
        </w:r>
        <w:r w:rsidR="006D0C90" w:rsidRPr="006D0C90">
          <w:rPr>
            <w:b w:val="0"/>
            <w:webHidden/>
          </w:rPr>
          <w:tab/>
        </w:r>
        <w:r w:rsidR="006D0C90" w:rsidRPr="006D0C90">
          <w:rPr>
            <w:b w:val="0"/>
            <w:webHidden/>
          </w:rPr>
          <w:fldChar w:fldCharType="begin"/>
        </w:r>
        <w:r w:rsidR="006D0C90" w:rsidRPr="006D0C90">
          <w:rPr>
            <w:b w:val="0"/>
            <w:webHidden/>
          </w:rPr>
          <w:instrText xml:space="preserve"> PAGEREF _Toc101880679 \h </w:instrText>
        </w:r>
        <w:r w:rsidR="006D0C90" w:rsidRPr="006D0C90">
          <w:rPr>
            <w:b w:val="0"/>
            <w:webHidden/>
          </w:rPr>
        </w:r>
        <w:r w:rsidR="006D0C90" w:rsidRPr="006D0C90">
          <w:rPr>
            <w:b w:val="0"/>
            <w:webHidden/>
          </w:rPr>
          <w:fldChar w:fldCharType="separate"/>
        </w:r>
        <w:r w:rsidR="005D3280">
          <w:rPr>
            <w:b w:val="0"/>
            <w:webHidden/>
          </w:rPr>
          <w:t>50</w:t>
        </w:r>
        <w:r w:rsidR="006D0C90" w:rsidRPr="006D0C90">
          <w:rPr>
            <w:b w:val="0"/>
            <w:webHidden/>
          </w:rPr>
          <w:fldChar w:fldCharType="end"/>
        </w:r>
      </w:hyperlink>
    </w:p>
    <w:p w14:paraId="34CFAE17" w14:textId="4A118523" w:rsidR="00315902" w:rsidRPr="006D0C90" w:rsidRDefault="00315902" w:rsidP="00315902">
      <w:pPr>
        <w:spacing w:after="240"/>
      </w:pPr>
      <w:r w:rsidRPr="006D0C90">
        <w:fldChar w:fldCharType="end"/>
      </w:r>
    </w:p>
    <w:p w14:paraId="1E5678FB" w14:textId="77777777" w:rsidR="00315902" w:rsidRPr="006D0C90" w:rsidRDefault="00315902" w:rsidP="00315902">
      <w:pPr>
        <w:spacing w:after="240"/>
      </w:pPr>
    </w:p>
    <w:p w14:paraId="766BF9BD" w14:textId="77777777" w:rsidR="00315902" w:rsidRPr="006D0C90" w:rsidRDefault="00315902" w:rsidP="00315902">
      <w:pPr>
        <w:spacing w:after="240"/>
      </w:pPr>
    </w:p>
    <w:p w14:paraId="2758CF95" w14:textId="14CFCB28" w:rsidR="00F67903" w:rsidRDefault="00F67903">
      <w:r>
        <w:br w:type="page"/>
      </w:r>
    </w:p>
    <w:p w14:paraId="795C7410" w14:textId="77777777" w:rsidR="00315902" w:rsidRPr="006C424D" w:rsidRDefault="00315902" w:rsidP="00315902">
      <w:pPr>
        <w:spacing w:after="60"/>
        <w:rPr>
          <w:rFonts w:cs="Arial Narrow"/>
          <w:color w:val="2C9ADC"/>
        </w:rPr>
      </w:pPr>
      <w:r w:rsidRPr="006C424D">
        <w:rPr>
          <w:rFonts w:cs="Arial Narrow"/>
          <w:color w:val="2C9ADC"/>
        </w:rPr>
        <w:t>ZOZNAM BOXOV, TABULIEK A GRAFOV</w:t>
      </w:r>
    </w:p>
    <w:p w14:paraId="2C43848C" w14:textId="03A7D794" w:rsidR="003E2C68" w:rsidRPr="003E2C68" w:rsidRDefault="00315902">
      <w:pPr>
        <w:pStyle w:val="Zoznamobrzkov"/>
        <w:tabs>
          <w:tab w:val="right" w:leader="dot" w:pos="9060"/>
        </w:tabs>
        <w:rPr>
          <w:rFonts w:asciiTheme="minorHAnsi" w:eastAsiaTheme="minorEastAsia" w:hAnsiTheme="minorHAnsi" w:cstheme="minorBidi"/>
          <w:noProof/>
        </w:rPr>
      </w:pPr>
      <w:r w:rsidRPr="003E2C68">
        <w:rPr>
          <w:rStyle w:val="Hypertextovprepojenie"/>
          <w:rFonts w:eastAsiaTheme="minorHAnsi"/>
          <w:lang w:eastAsia="en-US"/>
        </w:rPr>
        <w:fldChar w:fldCharType="begin"/>
      </w:r>
      <w:r w:rsidRPr="003E2C68">
        <w:rPr>
          <w:rStyle w:val="Hypertextovprepojenie"/>
          <w:rFonts w:eastAsiaTheme="minorHAnsi"/>
          <w:lang w:eastAsia="en-US"/>
        </w:rPr>
        <w:instrText xml:space="preserve"> TOC \h \z \c "BOX" </w:instrText>
      </w:r>
      <w:r w:rsidRPr="003E2C68">
        <w:rPr>
          <w:rStyle w:val="Hypertextovprepojenie"/>
          <w:rFonts w:eastAsiaTheme="minorHAnsi"/>
          <w:lang w:eastAsia="en-US"/>
        </w:rPr>
        <w:fldChar w:fldCharType="separate"/>
      </w:r>
      <w:hyperlink w:anchor="_Toc101880472" w:history="1">
        <w:r w:rsidR="003E2C68" w:rsidRPr="003E2C68">
          <w:rPr>
            <w:rStyle w:val="Hypertextovprepojenie"/>
            <w:noProof/>
          </w:rPr>
          <w:t xml:space="preserve">BOX 1 – </w:t>
        </w:r>
        <w:r w:rsidR="003E2C68" w:rsidRPr="003E2C68">
          <w:rPr>
            <w:rStyle w:val="Hypertextovprepojenie"/>
            <w:rFonts w:eastAsia="NeueHaasGroteskText W02"/>
            <w:bCs/>
            <w:noProof/>
            <w:u w:color="2C9ADC"/>
          </w:rPr>
          <w:t>Odhad vplyvov plánu obnovy na slovenskú ekonomiku v strednodobom horizonte</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_Toc101880472 \h </w:instrText>
        </w:r>
        <w:r w:rsidR="003E2C68" w:rsidRPr="003E2C68">
          <w:rPr>
            <w:noProof/>
            <w:webHidden/>
          </w:rPr>
        </w:r>
        <w:r w:rsidR="003E2C68" w:rsidRPr="003E2C68">
          <w:rPr>
            <w:noProof/>
            <w:webHidden/>
          </w:rPr>
          <w:fldChar w:fldCharType="separate"/>
        </w:r>
        <w:r w:rsidR="005D3280">
          <w:rPr>
            <w:noProof/>
            <w:webHidden/>
          </w:rPr>
          <w:t>9</w:t>
        </w:r>
        <w:r w:rsidR="003E2C68" w:rsidRPr="003E2C68">
          <w:rPr>
            <w:noProof/>
            <w:webHidden/>
          </w:rPr>
          <w:fldChar w:fldCharType="end"/>
        </w:r>
      </w:hyperlink>
    </w:p>
    <w:p w14:paraId="3540B944" w14:textId="57769381"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73" w:history="1">
        <w:r w:rsidR="003E2C68" w:rsidRPr="003E2C68">
          <w:rPr>
            <w:rStyle w:val="Hypertextovprepojenie"/>
            <w:noProof/>
          </w:rPr>
          <w:t xml:space="preserve">BOX 2 – </w:t>
        </w:r>
        <w:r w:rsidR="003E2C68" w:rsidRPr="003E2C68">
          <w:rPr>
            <w:rStyle w:val="Hypertextovprepojenie"/>
            <w:rFonts w:eastAsia="NeueHaasGroteskText W02" w:cs="Arial"/>
            <w:bCs/>
            <w:noProof/>
            <w:u w:color="2C9ADC"/>
          </w:rPr>
          <w:t>Predpoklady externého prostredia</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_Toc101880473 \h </w:instrText>
        </w:r>
        <w:r w:rsidR="003E2C68" w:rsidRPr="003E2C68">
          <w:rPr>
            <w:noProof/>
            <w:webHidden/>
          </w:rPr>
        </w:r>
        <w:r w:rsidR="003E2C68" w:rsidRPr="003E2C68">
          <w:rPr>
            <w:noProof/>
            <w:webHidden/>
          </w:rPr>
          <w:fldChar w:fldCharType="separate"/>
        </w:r>
        <w:r w:rsidR="005D3280">
          <w:rPr>
            <w:noProof/>
            <w:webHidden/>
          </w:rPr>
          <w:t>11</w:t>
        </w:r>
        <w:r w:rsidR="003E2C68" w:rsidRPr="003E2C68">
          <w:rPr>
            <w:noProof/>
            <w:webHidden/>
          </w:rPr>
          <w:fldChar w:fldCharType="end"/>
        </w:r>
      </w:hyperlink>
    </w:p>
    <w:p w14:paraId="0F102758" w14:textId="1F27B942"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74" w:history="1">
        <w:r w:rsidR="003E2C68" w:rsidRPr="003E2C68">
          <w:rPr>
            <w:rStyle w:val="Hypertextovprepojenie"/>
            <w:noProof/>
          </w:rPr>
          <w:t>BOX 3 – Súhrn opatrení prijatých v boji proti koronavírusu</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_Toc101880474 \h </w:instrText>
        </w:r>
        <w:r w:rsidR="003E2C68" w:rsidRPr="003E2C68">
          <w:rPr>
            <w:noProof/>
            <w:webHidden/>
          </w:rPr>
        </w:r>
        <w:r w:rsidR="003E2C68" w:rsidRPr="003E2C68">
          <w:rPr>
            <w:noProof/>
            <w:webHidden/>
          </w:rPr>
          <w:fldChar w:fldCharType="separate"/>
        </w:r>
        <w:r w:rsidR="005D3280">
          <w:rPr>
            <w:noProof/>
            <w:webHidden/>
          </w:rPr>
          <w:t>20</w:t>
        </w:r>
        <w:r w:rsidR="003E2C68" w:rsidRPr="003E2C68">
          <w:rPr>
            <w:noProof/>
            <w:webHidden/>
          </w:rPr>
          <w:fldChar w:fldCharType="end"/>
        </w:r>
      </w:hyperlink>
    </w:p>
    <w:p w14:paraId="79C212F0" w14:textId="1D31D370"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75" w:history="1">
        <w:r w:rsidR="003E2C68" w:rsidRPr="003E2C68">
          <w:rPr>
            <w:rStyle w:val="Hypertextovprepojenie"/>
            <w:noProof/>
          </w:rPr>
          <w:t>BOX 4 – Výdavky vyvolané prílevom utečencov z Ukrajiny</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_Toc101880475 \h </w:instrText>
        </w:r>
        <w:r w:rsidR="003E2C68" w:rsidRPr="003E2C68">
          <w:rPr>
            <w:noProof/>
            <w:webHidden/>
          </w:rPr>
        </w:r>
        <w:r w:rsidR="003E2C68" w:rsidRPr="003E2C68">
          <w:rPr>
            <w:noProof/>
            <w:webHidden/>
          </w:rPr>
          <w:fldChar w:fldCharType="separate"/>
        </w:r>
        <w:r w:rsidR="005D3280">
          <w:rPr>
            <w:noProof/>
            <w:webHidden/>
          </w:rPr>
          <w:t>23</w:t>
        </w:r>
        <w:r w:rsidR="003E2C68" w:rsidRPr="003E2C68">
          <w:rPr>
            <w:noProof/>
            <w:webHidden/>
          </w:rPr>
          <w:fldChar w:fldCharType="end"/>
        </w:r>
      </w:hyperlink>
    </w:p>
    <w:p w14:paraId="255D7554" w14:textId="7711142F"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76" w:history="1">
        <w:r w:rsidR="003E2C68" w:rsidRPr="003E2C68">
          <w:rPr>
            <w:rStyle w:val="Hypertextovprepojenie"/>
            <w:noProof/>
          </w:rPr>
          <w:t>BOX 5</w:t>
        </w:r>
        <w:r w:rsidR="003E2C68" w:rsidRPr="003E2C68">
          <w:rPr>
            <w:rStyle w:val="Hypertextovprepojenie"/>
            <w:rFonts w:cs="Arial Narrow"/>
            <w:noProof/>
          </w:rPr>
          <w:t xml:space="preserve"> – Fiškálne pravidlá v národnom a európskom kontexte</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_Toc101880476 \h </w:instrText>
        </w:r>
        <w:r w:rsidR="003E2C68" w:rsidRPr="003E2C68">
          <w:rPr>
            <w:noProof/>
            <w:webHidden/>
          </w:rPr>
        </w:r>
        <w:r w:rsidR="003E2C68" w:rsidRPr="003E2C68">
          <w:rPr>
            <w:noProof/>
            <w:webHidden/>
          </w:rPr>
          <w:fldChar w:fldCharType="separate"/>
        </w:r>
        <w:r w:rsidR="005D3280">
          <w:rPr>
            <w:noProof/>
            <w:webHidden/>
          </w:rPr>
          <w:t>25</w:t>
        </w:r>
        <w:r w:rsidR="003E2C68" w:rsidRPr="003E2C68">
          <w:rPr>
            <w:noProof/>
            <w:webHidden/>
          </w:rPr>
          <w:fldChar w:fldCharType="end"/>
        </w:r>
      </w:hyperlink>
    </w:p>
    <w:p w14:paraId="0D6ADFFA" w14:textId="70591B16"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77" w:history="1">
        <w:r w:rsidR="003E2C68" w:rsidRPr="003E2C68">
          <w:rPr>
            <w:rStyle w:val="Hypertextovprepojenie"/>
            <w:noProof/>
          </w:rPr>
          <w:t>BOX 6</w:t>
        </w:r>
        <w:r w:rsidR="003E2C68" w:rsidRPr="003E2C68">
          <w:rPr>
            <w:rStyle w:val="Hypertextovprepojenie"/>
            <w:rFonts w:cs="Arial Narrow"/>
            <w:noProof/>
          </w:rPr>
          <w:t xml:space="preserve"> – Fiškálna pozícia v metodike MF SR vs. EK</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_Toc101880477 \h </w:instrText>
        </w:r>
        <w:r w:rsidR="003E2C68" w:rsidRPr="003E2C68">
          <w:rPr>
            <w:noProof/>
            <w:webHidden/>
          </w:rPr>
        </w:r>
        <w:r w:rsidR="003E2C68" w:rsidRPr="003E2C68">
          <w:rPr>
            <w:noProof/>
            <w:webHidden/>
          </w:rPr>
          <w:fldChar w:fldCharType="separate"/>
        </w:r>
        <w:r w:rsidR="005D3280">
          <w:rPr>
            <w:noProof/>
            <w:webHidden/>
          </w:rPr>
          <w:t>28</w:t>
        </w:r>
        <w:r w:rsidR="003E2C68" w:rsidRPr="003E2C68">
          <w:rPr>
            <w:noProof/>
            <w:webHidden/>
          </w:rPr>
          <w:fldChar w:fldCharType="end"/>
        </w:r>
      </w:hyperlink>
    </w:p>
    <w:p w14:paraId="581F1FBC" w14:textId="7F2A3F1D"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78" w:history="1">
        <w:r w:rsidR="003E2C68" w:rsidRPr="003E2C68">
          <w:rPr>
            <w:rStyle w:val="Hypertextovprepojenie"/>
            <w:noProof/>
          </w:rPr>
          <w:t>BOX 7 – Návrh na zvýšenie rodinnej politiky</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_Toc101880478 \h </w:instrText>
        </w:r>
        <w:r w:rsidR="003E2C68" w:rsidRPr="003E2C68">
          <w:rPr>
            <w:noProof/>
            <w:webHidden/>
          </w:rPr>
        </w:r>
        <w:r w:rsidR="003E2C68" w:rsidRPr="003E2C68">
          <w:rPr>
            <w:noProof/>
            <w:webHidden/>
          </w:rPr>
          <w:fldChar w:fldCharType="separate"/>
        </w:r>
        <w:r w:rsidR="005D3280">
          <w:rPr>
            <w:noProof/>
            <w:webHidden/>
          </w:rPr>
          <w:t>29</w:t>
        </w:r>
        <w:r w:rsidR="003E2C68" w:rsidRPr="003E2C68">
          <w:rPr>
            <w:noProof/>
            <w:webHidden/>
          </w:rPr>
          <w:fldChar w:fldCharType="end"/>
        </w:r>
      </w:hyperlink>
    </w:p>
    <w:p w14:paraId="3D1145B1" w14:textId="0A18574F"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79" w:history="1">
        <w:r w:rsidR="003E2C68" w:rsidRPr="003E2C68">
          <w:rPr>
            <w:rStyle w:val="Hypertextovprepojenie"/>
            <w:noProof/>
          </w:rPr>
          <w:t xml:space="preserve">BOX 8 </w:t>
        </w:r>
        <w:r w:rsidR="003E2C68" w:rsidRPr="003E2C68">
          <w:rPr>
            <w:rStyle w:val="Hypertextovprepojenie"/>
            <w:rFonts w:cs="Arial Narrow"/>
            <w:noProof/>
          </w:rPr>
          <w:t>– Prehľad hodnotených projektov v roku 2021</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_Toc101880479 \h </w:instrText>
        </w:r>
        <w:r w:rsidR="003E2C68" w:rsidRPr="003E2C68">
          <w:rPr>
            <w:noProof/>
            <w:webHidden/>
          </w:rPr>
        </w:r>
        <w:r w:rsidR="003E2C68" w:rsidRPr="003E2C68">
          <w:rPr>
            <w:noProof/>
            <w:webHidden/>
          </w:rPr>
          <w:fldChar w:fldCharType="separate"/>
        </w:r>
        <w:r w:rsidR="005D3280">
          <w:rPr>
            <w:noProof/>
            <w:webHidden/>
          </w:rPr>
          <w:t>41</w:t>
        </w:r>
        <w:r w:rsidR="003E2C68" w:rsidRPr="003E2C68">
          <w:rPr>
            <w:noProof/>
            <w:webHidden/>
          </w:rPr>
          <w:fldChar w:fldCharType="end"/>
        </w:r>
      </w:hyperlink>
    </w:p>
    <w:p w14:paraId="5AAB5B56" w14:textId="666F19E8"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80" w:history="1">
        <w:r w:rsidR="003E2C68" w:rsidRPr="003E2C68">
          <w:rPr>
            <w:rStyle w:val="Hypertextovprepojenie"/>
            <w:noProof/>
          </w:rPr>
          <w:t xml:space="preserve">BOX 9 </w:t>
        </w:r>
        <w:r w:rsidR="003E2C68" w:rsidRPr="003E2C68">
          <w:rPr>
            <w:rStyle w:val="Hypertextovprepojenie"/>
            <w:rFonts w:cs="Arial Narrow"/>
            <w:noProof/>
          </w:rPr>
          <w:t>– Stav vypracovania investičných stratégií</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_Toc101880480 \h </w:instrText>
        </w:r>
        <w:r w:rsidR="003E2C68" w:rsidRPr="003E2C68">
          <w:rPr>
            <w:noProof/>
            <w:webHidden/>
          </w:rPr>
        </w:r>
        <w:r w:rsidR="003E2C68" w:rsidRPr="003E2C68">
          <w:rPr>
            <w:noProof/>
            <w:webHidden/>
          </w:rPr>
          <w:fldChar w:fldCharType="separate"/>
        </w:r>
        <w:r w:rsidR="005D3280">
          <w:rPr>
            <w:noProof/>
            <w:webHidden/>
          </w:rPr>
          <w:t>42</w:t>
        </w:r>
        <w:r w:rsidR="003E2C68" w:rsidRPr="003E2C68">
          <w:rPr>
            <w:noProof/>
            <w:webHidden/>
          </w:rPr>
          <w:fldChar w:fldCharType="end"/>
        </w:r>
      </w:hyperlink>
    </w:p>
    <w:p w14:paraId="7ADBC961" w14:textId="26F758A2"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81" w:history="1">
        <w:r w:rsidR="003E2C68" w:rsidRPr="003E2C68">
          <w:rPr>
            <w:rStyle w:val="Hypertextovprepojenie"/>
            <w:noProof/>
          </w:rPr>
          <w:t>BOX 10 – Výdavkové limity v rokoch 2023 a 2024</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_Toc101880481 \h </w:instrText>
        </w:r>
        <w:r w:rsidR="003E2C68" w:rsidRPr="003E2C68">
          <w:rPr>
            <w:noProof/>
            <w:webHidden/>
          </w:rPr>
        </w:r>
        <w:r w:rsidR="003E2C68" w:rsidRPr="003E2C68">
          <w:rPr>
            <w:noProof/>
            <w:webHidden/>
          </w:rPr>
          <w:fldChar w:fldCharType="separate"/>
        </w:r>
        <w:r w:rsidR="005D3280">
          <w:rPr>
            <w:noProof/>
            <w:webHidden/>
          </w:rPr>
          <w:t>45</w:t>
        </w:r>
        <w:r w:rsidR="003E2C68" w:rsidRPr="003E2C68">
          <w:rPr>
            <w:noProof/>
            <w:webHidden/>
          </w:rPr>
          <w:fldChar w:fldCharType="end"/>
        </w:r>
      </w:hyperlink>
    </w:p>
    <w:p w14:paraId="5CC997F4" w14:textId="542BCB85" w:rsidR="003E2C68" w:rsidRPr="003E2C68" w:rsidRDefault="0047025F">
      <w:pPr>
        <w:pStyle w:val="Zoznamobrzkov"/>
        <w:tabs>
          <w:tab w:val="right" w:leader="dot" w:pos="9060"/>
        </w:tabs>
        <w:rPr>
          <w:rFonts w:asciiTheme="minorHAnsi" w:eastAsiaTheme="minorEastAsia" w:hAnsiTheme="minorHAnsi" w:cstheme="minorBidi"/>
          <w:noProof/>
        </w:rPr>
      </w:pPr>
      <w:hyperlink w:anchor="_Toc101880482" w:history="1">
        <w:r w:rsidR="003E2C68" w:rsidRPr="003E2C68">
          <w:rPr>
            <w:rStyle w:val="Hypertextovprepojenie"/>
            <w:noProof/>
          </w:rPr>
          <w:t>BOX 11 – Mandát revízie výdavkov na dotácie</w:t>
        </w:r>
        <w:r w:rsidR="003E2C68" w:rsidRPr="003E2C68">
          <w:rPr>
            <w:noProof/>
            <w:webHidden/>
          </w:rPr>
          <w:tab/>
        </w:r>
        <w:r w:rsidR="003E2C68" w:rsidRPr="003E2C68">
          <w:rPr>
            <w:noProof/>
            <w:webHidden/>
          </w:rPr>
          <w:fldChar w:fldCharType="begin"/>
        </w:r>
        <w:r w:rsidR="003E2C68" w:rsidRPr="003E2C68">
          <w:rPr>
            <w:noProof/>
            <w:webHidden/>
          </w:rPr>
          <w:instrText xml:space="preserve"> PAGEREF _Toc101880482 \h </w:instrText>
        </w:r>
        <w:r w:rsidR="003E2C68" w:rsidRPr="003E2C68">
          <w:rPr>
            <w:noProof/>
            <w:webHidden/>
          </w:rPr>
        </w:r>
        <w:r w:rsidR="003E2C68" w:rsidRPr="003E2C68">
          <w:rPr>
            <w:noProof/>
            <w:webHidden/>
          </w:rPr>
          <w:fldChar w:fldCharType="separate"/>
        </w:r>
        <w:r w:rsidR="005D3280">
          <w:rPr>
            <w:noProof/>
            <w:webHidden/>
          </w:rPr>
          <w:t>47</w:t>
        </w:r>
        <w:r w:rsidR="003E2C68" w:rsidRPr="003E2C68">
          <w:rPr>
            <w:noProof/>
            <w:webHidden/>
          </w:rPr>
          <w:fldChar w:fldCharType="end"/>
        </w:r>
      </w:hyperlink>
    </w:p>
    <w:p w14:paraId="6BA14351" w14:textId="0FE055AD" w:rsidR="00315902" w:rsidRPr="003E2C68" w:rsidRDefault="00315902" w:rsidP="00315902">
      <w:pPr>
        <w:pStyle w:val="Zoznamobrzkov"/>
        <w:tabs>
          <w:tab w:val="right" w:leader="dot" w:pos="9060"/>
        </w:tabs>
        <w:rPr>
          <w:rStyle w:val="Hypertextovprepojenie"/>
          <w:rFonts w:eastAsiaTheme="minorHAnsi"/>
          <w:sz w:val="14"/>
          <w:lang w:eastAsia="en-US"/>
        </w:rPr>
      </w:pPr>
      <w:r w:rsidRPr="003E2C68">
        <w:rPr>
          <w:rStyle w:val="Hypertextovprepojenie"/>
          <w:rFonts w:eastAsiaTheme="minorHAnsi"/>
          <w:lang w:eastAsia="en-US"/>
        </w:rPr>
        <w:fldChar w:fldCharType="end"/>
      </w:r>
    </w:p>
    <w:p w14:paraId="1EDB0576" w14:textId="332F23BD" w:rsidR="006D0C90" w:rsidRPr="005B619F" w:rsidRDefault="00315902">
      <w:pPr>
        <w:pStyle w:val="Zoznamobrzkov"/>
        <w:tabs>
          <w:tab w:val="right" w:leader="dot" w:pos="9060"/>
        </w:tabs>
        <w:rPr>
          <w:rFonts w:asciiTheme="minorHAnsi" w:eastAsiaTheme="minorEastAsia" w:hAnsiTheme="minorHAnsi" w:cstheme="minorBidi"/>
          <w:noProof/>
        </w:rPr>
      </w:pPr>
      <w:r w:rsidRPr="005B619F">
        <w:rPr>
          <w:rStyle w:val="Hypertextovprepojenie"/>
          <w:rFonts w:eastAsiaTheme="minorHAnsi"/>
          <w:lang w:eastAsia="en-US"/>
        </w:rPr>
        <w:fldChar w:fldCharType="begin"/>
      </w:r>
      <w:r w:rsidRPr="005B619F">
        <w:rPr>
          <w:rStyle w:val="Hypertextovprepojenie"/>
          <w:rFonts w:eastAsiaTheme="minorHAnsi"/>
          <w:lang w:eastAsia="en-US"/>
        </w:rPr>
        <w:instrText xml:space="preserve"> TOC \h \z \c "TABUĽKA" </w:instrText>
      </w:r>
      <w:r w:rsidRPr="005B619F">
        <w:rPr>
          <w:rStyle w:val="Hypertextovprepojenie"/>
          <w:rFonts w:eastAsiaTheme="minorHAnsi"/>
          <w:lang w:eastAsia="en-US"/>
        </w:rPr>
        <w:fldChar w:fldCharType="separate"/>
      </w:r>
      <w:hyperlink w:anchor="_Toc101880680" w:history="1">
        <w:r w:rsidR="006D0C90" w:rsidRPr="005B619F">
          <w:rPr>
            <w:rStyle w:val="Hypertextovprepojenie"/>
            <w:rFonts w:eastAsiaTheme="minorHAnsi"/>
            <w:noProof/>
            <w:lang w:eastAsia="en-US"/>
          </w:rPr>
          <w:t>TABUĽKA 1 – Prognóza vybraných indikátorov vývoja ekonomiky SR pre roky 2022 až 2025</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_Toc101880680 \h </w:instrText>
        </w:r>
        <w:r w:rsidR="006D0C90" w:rsidRPr="005B619F">
          <w:rPr>
            <w:noProof/>
            <w:webHidden/>
          </w:rPr>
        </w:r>
        <w:r w:rsidR="006D0C90" w:rsidRPr="005B619F">
          <w:rPr>
            <w:noProof/>
            <w:webHidden/>
          </w:rPr>
          <w:fldChar w:fldCharType="separate"/>
        </w:r>
        <w:r w:rsidR="005D3280">
          <w:rPr>
            <w:noProof/>
            <w:webHidden/>
          </w:rPr>
          <w:t>9</w:t>
        </w:r>
        <w:r w:rsidR="006D0C90" w:rsidRPr="005B619F">
          <w:rPr>
            <w:noProof/>
            <w:webHidden/>
          </w:rPr>
          <w:fldChar w:fldCharType="end"/>
        </w:r>
      </w:hyperlink>
    </w:p>
    <w:p w14:paraId="536D3FDB" w14:textId="2FE97200"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1" w:history="1">
        <w:r w:rsidR="006D0C90" w:rsidRPr="005B619F">
          <w:rPr>
            <w:rStyle w:val="Hypertextovprepojenie"/>
            <w:rFonts w:eastAsiaTheme="minorHAnsi"/>
            <w:noProof/>
            <w:lang w:eastAsia="en-US"/>
          </w:rPr>
          <w:t>TABUĽKA 2 – Predpoklady realizácie výdavkov z Plánu obnovy a odolnosti SR z prognózy (mil. eur, bez DPH)</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_Toc101880681 \h </w:instrText>
        </w:r>
        <w:r w:rsidR="006D0C90" w:rsidRPr="005B619F">
          <w:rPr>
            <w:noProof/>
            <w:webHidden/>
          </w:rPr>
        </w:r>
        <w:r w:rsidR="006D0C90" w:rsidRPr="005B619F">
          <w:rPr>
            <w:noProof/>
            <w:webHidden/>
          </w:rPr>
          <w:fldChar w:fldCharType="separate"/>
        </w:r>
        <w:r w:rsidR="005D3280">
          <w:rPr>
            <w:noProof/>
            <w:webHidden/>
          </w:rPr>
          <w:t>9</w:t>
        </w:r>
        <w:r w:rsidR="006D0C90" w:rsidRPr="005B619F">
          <w:rPr>
            <w:noProof/>
            <w:webHidden/>
          </w:rPr>
          <w:fldChar w:fldCharType="end"/>
        </w:r>
      </w:hyperlink>
    </w:p>
    <w:p w14:paraId="2137930C" w14:textId="5ABC3536"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2" w:history="1">
        <w:r w:rsidR="006D0C90" w:rsidRPr="005B619F">
          <w:rPr>
            <w:rStyle w:val="Hypertextovprepojenie"/>
            <w:rFonts w:eastAsiaTheme="minorHAnsi"/>
            <w:noProof/>
            <w:lang w:eastAsia="en-US"/>
          </w:rPr>
          <w:t>TABUĽKA 3 – Vplyvy realizácie Plánu obnovy a odolnosti SR zahrnuté v prognóze</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_Toc101880682 \h </w:instrText>
        </w:r>
        <w:r w:rsidR="006D0C90" w:rsidRPr="005B619F">
          <w:rPr>
            <w:noProof/>
            <w:webHidden/>
          </w:rPr>
        </w:r>
        <w:r w:rsidR="006D0C90" w:rsidRPr="005B619F">
          <w:rPr>
            <w:noProof/>
            <w:webHidden/>
          </w:rPr>
          <w:fldChar w:fldCharType="separate"/>
        </w:r>
        <w:r w:rsidR="005D3280">
          <w:rPr>
            <w:noProof/>
            <w:webHidden/>
          </w:rPr>
          <w:t>10</w:t>
        </w:r>
        <w:r w:rsidR="006D0C90" w:rsidRPr="005B619F">
          <w:rPr>
            <w:noProof/>
            <w:webHidden/>
          </w:rPr>
          <w:fldChar w:fldCharType="end"/>
        </w:r>
      </w:hyperlink>
    </w:p>
    <w:p w14:paraId="6C10E8B5" w14:textId="492D06C3"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3" w:history="1">
        <w:r w:rsidR="006D0C90" w:rsidRPr="005B619F">
          <w:rPr>
            <w:rStyle w:val="Hypertextovprepojenie"/>
            <w:rFonts w:eastAsiaTheme="minorHAnsi"/>
            <w:noProof/>
            <w:lang w:eastAsia="en-US"/>
          </w:rPr>
          <w:t>TABUĽKA 4 – Príspevky výrobných faktorov k rastu potenciálneho produktu - prístup MF SR</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_Toc101880683 \h </w:instrText>
        </w:r>
        <w:r w:rsidR="006D0C90" w:rsidRPr="005B619F">
          <w:rPr>
            <w:noProof/>
            <w:webHidden/>
          </w:rPr>
        </w:r>
        <w:r w:rsidR="006D0C90" w:rsidRPr="005B619F">
          <w:rPr>
            <w:noProof/>
            <w:webHidden/>
          </w:rPr>
          <w:fldChar w:fldCharType="separate"/>
        </w:r>
        <w:r w:rsidR="005D3280">
          <w:rPr>
            <w:noProof/>
            <w:webHidden/>
          </w:rPr>
          <w:t>13</w:t>
        </w:r>
        <w:r w:rsidR="006D0C90" w:rsidRPr="005B619F">
          <w:rPr>
            <w:noProof/>
            <w:webHidden/>
          </w:rPr>
          <w:fldChar w:fldCharType="end"/>
        </w:r>
      </w:hyperlink>
    </w:p>
    <w:p w14:paraId="5FBC4E2E" w14:textId="64AC674B"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4" w:history="1">
        <w:r w:rsidR="006D0C90" w:rsidRPr="005B619F">
          <w:rPr>
            <w:rStyle w:val="Hypertextovprepojenie"/>
            <w:rFonts w:eastAsiaTheme="minorHAnsi"/>
            <w:noProof/>
            <w:lang w:eastAsia="en-US"/>
          </w:rPr>
          <w:t>TABUĽKA 5 – Vývoj produkčnej medzery – prístup MF SR</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_Toc101880684 \h </w:instrText>
        </w:r>
        <w:r w:rsidR="006D0C90" w:rsidRPr="005B619F">
          <w:rPr>
            <w:noProof/>
            <w:webHidden/>
          </w:rPr>
        </w:r>
        <w:r w:rsidR="006D0C90" w:rsidRPr="005B619F">
          <w:rPr>
            <w:noProof/>
            <w:webHidden/>
          </w:rPr>
          <w:fldChar w:fldCharType="separate"/>
        </w:r>
        <w:r w:rsidR="005D3280">
          <w:rPr>
            <w:noProof/>
            <w:webHidden/>
          </w:rPr>
          <w:t>13</w:t>
        </w:r>
        <w:r w:rsidR="006D0C90" w:rsidRPr="005B619F">
          <w:rPr>
            <w:noProof/>
            <w:webHidden/>
          </w:rPr>
          <w:fldChar w:fldCharType="end"/>
        </w:r>
      </w:hyperlink>
    </w:p>
    <w:p w14:paraId="5610203D" w14:textId="3420A677"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5" w:history="1">
        <w:r w:rsidR="006D0C90" w:rsidRPr="005B619F">
          <w:rPr>
            <w:rStyle w:val="Hypertextovprepojenie"/>
            <w:rFonts w:eastAsiaTheme="minorHAnsi"/>
            <w:noProof/>
            <w:lang w:eastAsia="en-US"/>
          </w:rPr>
          <w:t>TABUĽKA 6 – Porovnanie prognóz slovenskej ekonomiky MF SR a ostatných inštitúcií</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_Toc101880685 \h </w:instrText>
        </w:r>
        <w:r w:rsidR="006D0C90" w:rsidRPr="005B619F">
          <w:rPr>
            <w:noProof/>
            <w:webHidden/>
          </w:rPr>
        </w:r>
        <w:r w:rsidR="006D0C90" w:rsidRPr="005B619F">
          <w:rPr>
            <w:noProof/>
            <w:webHidden/>
          </w:rPr>
          <w:fldChar w:fldCharType="separate"/>
        </w:r>
        <w:r w:rsidR="005D3280">
          <w:rPr>
            <w:noProof/>
            <w:webHidden/>
          </w:rPr>
          <w:t>13</w:t>
        </w:r>
        <w:r w:rsidR="006D0C90" w:rsidRPr="005B619F">
          <w:rPr>
            <w:noProof/>
            <w:webHidden/>
          </w:rPr>
          <w:fldChar w:fldCharType="end"/>
        </w:r>
      </w:hyperlink>
    </w:p>
    <w:p w14:paraId="43B1A2B8" w14:textId="63A7A0FF"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6" w:history="1">
        <w:r w:rsidR="006D0C90" w:rsidRPr="005B619F">
          <w:rPr>
            <w:rStyle w:val="Hypertextovprepojenie"/>
            <w:rFonts w:cs="Calibri"/>
            <w:bCs/>
            <w:noProof/>
          </w:rPr>
          <w:t>TABUĽKA 7 – Rizikový scenár vážnejších dopadov vojny na ekonomiku</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_Toc101880686 \h </w:instrText>
        </w:r>
        <w:r w:rsidR="006D0C90" w:rsidRPr="005B619F">
          <w:rPr>
            <w:noProof/>
            <w:webHidden/>
          </w:rPr>
        </w:r>
        <w:r w:rsidR="006D0C90" w:rsidRPr="005B619F">
          <w:rPr>
            <w:noProof/>
            <w:webHidden/>
          </w:rPr>
          <w:fldChar w:fldCharType="separate"/>
        </w:r>
        <w:r w:rsidR="005D3280">
          <w:rPr>
            <w:noProof/>
            <w:webHidden/>
          </w:rPr>
          <w:t>15</w:t>
        </w:r>
        <w:r w:rsidR="006D0C90" w:rsidRPr="005B619F">
          <w:rPr>
            <w:noProof/>
            <w:webHidden/>
          </w:rPr>
          <w:fldChar w:fldCharType="end"/>
        </w:r>
      </w:hyperlink>
    </w:p>
    <w:p w14:paraId="10BC4F87" w14:textId="73384DED"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7" w:history="1">
        <w:r w:rsidR="006D0C90" w:rsidRPr="005B619F">
          <w:rPr>
            <w:rStyle w:val="Hypertextovprepojenie"/>
            <w:rFonts w:eastAsiaTheme="minorHAnsi"/>
            <w:noProof/>
            <w:lang w:eastAsia="en-US"/>
          </w:rPr>
          <w:t>TABUĽKA 8 – Odhadované výdavky v tomto roku vyvolané prílevom utečencov z Ukrajiny v mil. eur</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_Toc101880687 \h </w:instrText>
        </w:r>
        <w:r w:rsidR="006D0C90" w:rsidRPr="005B619F">
          <w:rPr>
            <w:noProof/>
            <w:webHidden/>
          </w:rPr>
        </w:r>
        <w:r w:rsidR="006D0C90" w:rsidRPr="005B619F">
          <w:rPr>
            <w:noProof/>
            <w:webHidden/>
          </w:rPr>
          <w:fldChar w:fldCharType="separate"/>
        </w:r>
        <w:r w:rsidR="005D3280">
          <w:rPr>
            <w:noProof/>
            <w:webHidden/>
          </w:rPr>
          <w:t>23</w:t>
        </w:r>
        <w:r w:rsidR="006D0C90" w:rsidRPr="005B619F">
          <w:rPr>
            <w:noProof/>
            <w:webHidden/>
          </w:rPr>
          <w:fldChar w:fldCharType="end"/>
        </w:r>
      </w:hyperlink>
    </w:p>
    <w:p w14:paraId="2343A9FD" w14:textId="28837A23"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8" w:history="1">
        <w:r w:rsidR="006D0C90" w:rsidRPr="005B619F">
          <w:rPr>
            <w:rStyle w:val="Hypertextovprepojenie"/>
            <w:rFonts w:eastAsiaTheme="minorHAnsi" w:cs="Arial"/>
            <w:noProof/>
            <w:lang w:eastAsia="en-US"/>
          </w:rPr>
          <w:t>TABUĽKA 9 – Konsolidačné úsilie (ESA 2010,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_Toc101880688 \h </w:instrText>
        </w:r>
        <w:r w:rsidR="006D0C90" w:rsidRPr="005B619F">
          <w:rPr>
            <w:noProof/>
            <w:webHidden/>
          </w:rPr>
        </w:r>
        <w:r w:rsidR="006D0C90" w:rsidRPr="005B619F">
          <w:rPr>
            <w:noProof/>
            <w:webHidden/>
          </w:rPr>
          <w:fldChar w:fldCharType="separate"/>
        </w:r>
        <w:r w:rsidR="005D3280">
          <w:rPr>
            <w:noProof/>
            <w:webHidden/>
          </w:rPr>
          <w:t>26</w:t>
        </w:r>
        <w:r w:rsidR="006D0C90" w:rsidRPr="005B619F">
          <w:rPr>
            <w:noProof/>
            <w:webHidden/>
          </w:rPr>
          <w:fldChar w:fldCharType="end"/>
        </w:r>
      </w:hyperlink>
    </w:p>
    <w:p w14:paraId="75DD0E5F" w14:textId="0141F86F"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89" w:history="1">
        <w:r w:rsidR="006D0C90" w:rsidRPr="005B619F">
          <w:rPr>
            <w:rStyle w:val="Hypertextovprepojenie"/>
            <w:rFonts w:eastAsiaTheme="minorHAnsi" w:cs="Arial"/>
            <w:noProof/>
            <w:lang w:eastAsia="en-US"/>
          </w:rPr>
          <w:t>TABUĽKA 10 – Fiškálny impulz meraný metodikou MF SR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_Toc101880689 \h </w:instrText>
        </w:r>
        <w:r w:rsidR="006D0C90" w:rsidRPr="005B619F">
          <w:rPr>
            <w:noProof/>
            <w:webHidden/>
          </w:rPr>
        </w:r>
        <w:r w:rsidR="006D0C90" w:rsidRPr="005B619F">
          <w:rPr>
            <w:noProof/>
            <w:webHidden/>
          </w:rPr>
          <w:fldChar w:fldCharType="separate"/>
        </w:r>
        <w:r w:rsidR="005D3280">
          <w:rPr>
            <w:noProof/>
            <w:webHidden/>
          </w:rPr>
          <w:t>28</w:t>
        </w:r>
        <w:r w:rsidR="006D0C90" w:rsidRPr="005B619F">
          <w:rPr>
            <w:noProof/>
            <w:webHidden/>
          </w:rPr>
          <w:fldChar w:fldCharType="end"/>
        </w:r>
      </w:hyperlink>
    </w:p>
    <w:p w14:paraId="3C7D4CF2" w14:textId="072D1078"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0" w:history="1">
        <w:r w:rsidR="006D0C90" w:rsidRPr="005B619F">
          <w:rPr>
            <w:rStyle w:val="Hypertextovprepojenie"/>
            <w:rFonts w:cs="Calibri"/>
            <w:bCs/>
            <w:noProof/>
          </w:rPr>
          <w:t xml:space="preserve">TABUĽKA </w:t>
        </w:r>
        <w:r w:rsidR="006D0C90" w:rsidRPr="005B619F">
          <w:rPr>
            <w:rStyle w:val="Hypertextovprepojenie"/>
            <w:rFonts w:eastAsiaTheme="minorHAnsi"/>
            <w:noProof/>
            <w:lang w:eastAsia="en-US"/>
          </w:rPr>
          <w:t>11</w:t>
        </w:r>
        <w:r w:rsidR="006D0C90" w:rsidRPr="005B619F">
          <w:rPr>
            <w:rStyle w:val="Hypertextovprepojenie"/>
            <w:rFonts w:cs="Calibri"/>
            <w:bCs/>
            <w:noProof/>
          </w:rPr>
          <w:t xml:space="preserve"> –Rezervy zahrnuté v návrhu rozpočtu verejnej správy v % HDP (ESA 2010)</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_Toc101880690 \h </w:instrText>
        </w:r>
        <w:r w:rsidR="006D0C90" w:rsidRPr="005B619F">
          <w:rPr>
            <w:noProof/>
            <w:webHidden/>
          </w:rPr>
        </w:r>
        <w:r w:rsidR="006D0C90" w:rsidRPr="005B619F">
          <w:rPr>
            <w:noProof/>
            <w:webHidden/>
          </w:rPr>
          <w:fldChar w:fldCharType="separate"/>
        </w:r>
        <w:r w:rsidR="005D3280">
          <w:rPr>
            <w:noProof/>
            <w:webHidden/>
          </w:rPr>
          <w:t>29</w:t>
        </w:r>
        <w:r w:rsidR="006D0C90" w:rsidRPr="005B619F">
          <w:rPr>
            <w:noProof/>
            <w:webHidden/>
          </w:rPr>
          <w:fldChar w:fldCharType="end"/>
        </w:r>
      </w:hyperlink>
    </w:p>
    <w:p w14:paraId="2DFDB243" w14:textId="5C660FEE"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1" w:history="1">
        <w:r w:rsidR="006D0C90" w:rsidRPr="005B619F">
          <w:rPr>
            <w:rStyle w:val="Hypertextovprepojenie"/>
            <w:rFonts w:eastAsia="Calibri" w:cs="Book Antiqua"/>
            <w:noProof/>
          </w:rPr>
          <w:t xml:space="preserve">TABUĽKA </w:t>
        </w:r>
        <w:r w:rsidR="006D0C90" w:rsidRPr="005B619F">
          <w:rPr>
            <w:rStyle w:val="Hypertextovprepojenie"/>
            <w:noProof/>
          </w:rPr>
          <w:t>12</w:t>
        </w:r>
        <w:r w:rsidR="006D0C90" w:rsidRPr="005B619F">
          <w:rPr>
            <w:rStyle w:val="Hypertextovprepojenie"/>
            <w:rFonts w:eastAsia="Calibri" w:cs="Book Antiqua"/>
            <w:noProof/>
          </w:rPr>
          <w:t xml:space="preserve"> – Mesačná výška trvalej podpory detí (v eur na nezaopatrené dieťa)</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_Toc101880691 \h </w:instrText>
        </w:r>
        <w:r w:rsidR="006D0C90" w:rsidRPr="005B619F">
          <w:rPr>
            <w:noProof/>
            <w:webHidden/>
          </w:rPr>
        </w:r>
        <w:r w:rsidR="006D0C90" w:rsidRPr="005B619F">
          <w:rPr>
            <w:noProof/>
            <w:webHidden/>
          </w:rPr>
          <w:fldChar w:fldCharType="separate"/>
        </w:r>
        <w:r w:rsidR="005D3280">
          <w:rPr>
            <w:noProof/>
            <w:webHidden/>
          </w:rPr>
          <w:t>29</w:t>
        </w:r>
        <w:r w:rsidR="006D0C90" w:rsidRPr="005B619F">
          <w:rPr>
            <w:noProof/>
            <w:webHidden/>
          </w:rPr>
          <w:fldChar w:fldCharType="end"/>
        </w:r>
      </w:hyperlink>
    </w:p>
    <w:p w14:paraId="78AC7FB7" w14:textId="49452B73"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2" w:history="1">
        <w:r w:rsidR="006D0C90" w:rsidRPr="005B619F">
          <w:rPr>
            <w:rStyle w:val="Hypertextovprepojenie"/>
            <w:rFonts w:cs="Calibri"/>
            <w:bCs/>
            <w:noProof/>
          </w:rPr>
          <w:t xml:space="preserve">TABUĽKA </w:t>
        </w:r>
        <w:r w:rsidR="006D0C90" w:rsidRPr="005B619F">
          <w:rPr>
            <w:rStyle w:val="Hypertextovprepojenie"/>
            <w:rFonts w:eastAsiaTheme="minorHAnsi"/>
            <w:noProof/>
            <w:lang w:eastAsia="en-US"/>
          </w:rPr>
          <w:t>13</w:t>
        </w:r>
        <w:r w:rsidR="006D0C90" w:rsidRPr="005B619F">
          <w:rPr>
            <w:rStyle w:val="Hypertextovprepojenie"/>
            <w:rFonts w:cs="Calibri"/>
            <w:bCs/>
            <w:noProof/>
          </w:rPr>
          <w:t xml:space="preserve"> – Vývoj jednotlivých príjmových a výdavkových položiek </w:t>
        </w:r>
        <w:r w:rsidR="006D0C90" w:rsidRPr="005B619F">
          <w:rPr>
            <w:rStyle w:val="Hypertextovprepojenie"/>
            <w:rFonts w:cs="Calibri"/>
            <w:noProof/>
          </w:rPr>
          <w:t>(ESA 2010,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_Toc101880692 \h </w:instrText>
        </w:r>
        <w:r w:rsidR="006D0C90" w:rsidRPr="005B619F">
          <w:rPr>
            <w:noProof/>
            <w:webHidden/>
          </w:rPr>
        </w:r>
        <w:r w:rsidR="006D0C90" w:rsidRPr="005B619F">
          <w:rPr>
            <w:noProof/>
            <w:webHidden/>
          </w:rPr>
          <w:fldChar w:fldCharType="separate"/>
        </w:r>
        <w:r w:rsidR="005D3280">
          <w:rPr>
            <w:noProof/>
            <w:webHidden/>
          </w:rPr>
          <w:t>30</w:t>
        </w:r>
        <w:r w:rsidR="006D0C90" w:rsidRPr="005B619F">
          <w:rPr>
            <w:noProof/>
            <w:webHidden/>
          </w:rPr>
          <w:fldChar w:fldCharType="end"/>
        </w:r>
      </w:hyperlink>
    </w:p>
    <w:p w14:paraId="0CAC8559" w14:textId="19DEDBD5"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3" w:history="1">
        <w:r w:rsidR="006D0C90" w:rsidRPr="005B619F">
          <w:rPr>
            <w:rStyle w:val="Hypertextovprepojenie"/>
            <w:rFonts w:eastAsiaTheme="minorHAnsi" w:cs="Arial"/>
            <w:noProof/>
            <w:lang w:eastAsia="en-US"/>
          </w:rPr>
          <w:t xml:space="preserve">TABUĽKA 14 </w:t>
        </w:r>
        <w:r w:rsidR="006D0C90" w:rsidRPr="005B619F">
          <w:rPr>
            <w:rStyle w:val="Hypertextovprepojenie"/>
            <w:rFonts w:eastAsiaTheme="minorHAnsi"/>
            <w:noProof/>
            <w:lang w:eastAsia="en-US"/>
          </w:rPr>
          <w:t>–</w:t>
        </w:r>
        <w:r w:rsidR="006D0C90" w:rsidRPr="005B619F">
          <w:rPr>
            <w:rStyle w:val="Hypertextovprepojenie"/>
            <w:rFonts w:cs="Arial"/>
            <w:noProof/>
          </w:rPr>
          <w:t xml:space="preserve"> Rozklad indikátora S2 v roku 2022 a 2025 (</w:t>
        </w:r>
        <w:r w:rsidR="006D0C90" w:rsidRPr="005B619F">
          <w:rPr>
            <w:rStyle w:val="Hypertextovprepojenie"/>
            <w:rFonts w:cs="Arial"/>
            <w:noProof/>
            <w:lang w:val="en-US"/>
          </w:rPr>
          <w:t>%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_Toc101880693 \h </w:instrText>
        </w:r>
        <w:r w:rsidR="006D0C90" w:rsidRPr="005B619F">
          <w:rPr>
            <w:noProof/>
            <w:webHidden/>
          </w:rPr>
        </w:r>
        <w:r w:rsidR="006D0C90" w:rsidRPr="005B619F">
          <w:rPr>
            <w:noProof/>
            <w:webHidden/>
          </w:rPr>
          <w:fldChar w:fldCharType="separate"/>
        </w:r>
        <w:r w:rsidR="005D3280">
          <w:rPr>
            <w:noProof/>
            <w:webHidden/>
          </w:rPr>
          <w:t>34</w:t>
        </w:r>
        <w:r w:rsidR="006D0C90" w:rsidRPr="005B619F">
          <w:rPr>
            <w:noProof/>
            <w:webHidden/>
          </w:rPr>
          <w:fldChar w:fldCharType="end"/>
        </w:r>
      </w:hyperlink>
    </w:p>
    <w:p w14:paraId="5184502B" w14:textId="565D7DC8"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4" w:history="1">
        <w:r w:rsidR="006D0C90" w:rsidRPr="005B619F">
          <w:rPr>
            <w:rStyle w:val="Hypertextovprepojenie"/>
            <w:rFonts w:eastAsiaTheme="minorHAnsi"/>
            <w:noProof/>
            <w:lang w:eastAsia="en-US"/>
          </w:rPr>
          <w:t xml:space="preserve">TABUĽKA 15 </w:t>
        </w:r>
        <w:r w:rsidR="006D0C90" w:rsidRPr="005B619F">
          <w:rPr>
            <w:rStyle w:val="Hypertextovprepojenie"/>
            <w:bCs/>
            <w:noProof/>
          </w:rPr>
          <w:t>– Porovnanie predchádzajúcej a aktualizovanej prognózy</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_Toc101880694 \h </w:instrText>
        </w:r>
        <w:r w:rsidR="006D0C90" w:rsidRPr="005B619F">
          <w:rPr>
            <w:noProof/>
            <w:webHidden/>
          </w:rPr>
        </w:r>
        <w:r w:rsidR="006D0C90" w:rsidRPr="005B619F">
          <w:rPr>
            <w:noProof/>
            <w:webHidden/>
          </w:rPr>
          <w:fldChar w:fldCharType="separate"/>
        </w:r>
        <w:r w:rsidR="005D3280">
          <w:rPr>
            <w:noProof/>
            <w:webHidden/>
          </w:rPr>
          <w:t>37</w:t>
        </w:r>
        <w:r w:rsidR="006D0C90" w:rsidRPr="005B619F">
          <w:rPr>
            <w:noProof/>
            <w:webHidden/>
          </w:rPr>
          <w:fldChar w:fldCharType="end"/>
        </w:r>
      </w:hyperlink>
    </w:p>
    <w:p w14:paraId="5C045B3C" w14:textId="6E227671"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5" w:history="1">
        <w:r w:rsidR="006D0C90" w:rsidRPr="005B619F">
          <w:rPr>
            <w:rStyle w:val="Hypertextovprepojenie"/>
            <w:rFonts w:eastAsiaTheme="minorHAnsi"/>
            <w:noProof/>
          </w:rPr>
          <w:t>TABUĽKA 16</w:t>
        </w:r>
        <w:r w:rsidR="006D0C90" w:rsidRPr="005B619F">
          <w:rPr>
            <w:rStyle w:val="Hypertextovprepojenie"/>
            <w:noProof/>
          </w:rPr>
          <w:t xml:space="preserve"> </w:t>
        </w:r>
        <w:r w:rsidR="006D0C90" w:rsidRPr="005B619F">
          <w:rPr>
            <w:rStyle w:val="Hypertextovprepojenie"/>
            <w:rFonts w:eastAsiaTheme="minorHAnsi"/>
            <w:noProof/>
          </w:rPr>
          <w:t>–</w:t>
        </w:r>
        <w:r w:rsidR="006D0C90" w:rsidRPr="005B619F">
          <w:rPr>
            <w:rStyle w:val="Hypertextovprepojenie"/>
            <w:noProof/>
          </w:rPr>
          <w:t xml:space="preserve"> Hodnotené projekty v roku 2021 po rezortoch (mil. eur)</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_Toc101880695 \h </w:instrText>
        </w:r>
        <w:r w:rsidR="006D0C90" w:rsidRPr="005B619F">
          <w:rPr>
            <w:noProof/>
            <w:webHidden/>
          </w:rPr>
        </w:r>
        <w:r w:rsidR="006D0C90" w:rsidRPr="005B619F">
          <w:rPr>
            <w:noProof/>
            <w:webHidden/>
          </w:rPr>
          <w:fldChar w:fldCharType="separate"/>
        </w:r>
        <w:r w:rsidR="005D3280">
          <w:rPr>
            <w:noProof/>
            <w:webHidden/>
          </w:rPr>
          <w:t>41</w:t>
        </w:r>
        <w:r w:rsidR="006D0C90" w:rsidRPr="005B619F">
          <w:rPr>
            <w:noProof/>
            <w:webHidden/>
          </w:rPr>
          <w:fldChar w:fldCharType="end"/>
        </w:r>
      </w:hyperlink>
    </w:p>
    <w:p w14:paraId="2E2CEFEE" w14:textId="591619F2"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6" w:history="1">
        <w:r w:rsidR="006D0C90" w:rsidRPr="005B619F">
          <w:rPr>
            <w:rStyle w:val="Hypertextovprepojenie"/>
            <w:noProof/>
          </w:rPr>
          <w:t>TABUĽKA 17 – Stav vypracovania metodík a investičných plánov</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_Toc101880696 \h </w:instrText>
        </w:r>
        <w:r w:rsidR="006D0C90" w:rsidRPr="005B619F">
          <w:rPr>
            <w:noProof/>
            <w:webHidden/>
          </w:rPr>
        </w:r>
        <w:r w:rsidR="006D0C90" w:rsidRPr="005B619F">
          <w:rPr>
            <w:noProof/>
            <w:webHidden/>
          </w:rPr>
          <w:fldChar w:fldCharType="separate"/>
        </w:r>
        <w:r w:rsidR="005D3280">
          <w:rPr>
            <w:noProof/>
            <w:webHidden/>
          </w:rPr>
          <w:t>42</w:t>
        </w:r>
        <w:r w:rsidR="006D0C90" w:rsidRPr="005B619F">
          <w:rPr>
            <w:noProof/>
            <w:webHidden/>
          </w:rPr>
          <w:fldChar w:fldCharType="end"/>
        </w:r>
      </w:hyperlink>
    </w:p>
    <w:p w14:paraId="0CFD3CDB" w14:textId="3498D42F"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7" w:history="1">
        <w:r w:rsidR="006D0C90" w:rsidRPr="005B619F">
          <w:rPr>
            <w:rStyle w:val="Hypertextovprepojenie"/>
            <w:noProof/>
          </w:rPr>
          <w:t>TABUĽKA 18 – Najväčšie investičné projekty podľa zverejnených investičných plánov</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_Toc101880697 \h </w:instrText>
        </w:r>
        <w:r w:rsidR="006D0C90" w:rsidRPr="005B619F">
          <w:rPr>
            <w:noProof/>
            <w:webHidden/>
          </w:rPr>
        </w:r>
        <w:r w:rsidR="006D0C90" w:rsidRPr="005B619F">
          <w:rPr>
            <w:noProof/>
            <w:webHidden/>
          </w:rPr>
          <w:fldChar w:fldCharType="separate"/>
        </w:r>
        <w:r w:rsidR="005D3280">
          <w:rPr>
            <w:noProof/>
            <w:webHidden/>
          </w:rPr>
          <w:t>42</w:t>
        </w:r>
        <w:r w:rsidR="006D0C90" w:rsidRPr="005B619F">
          <w:rPr>
            <w:noProof/>
            <w:webHidden/>
          </w:rPr>
          <w:fldChar w:fldCharType="end"/>
        </w:r>
      </w:hyperlink>
    </w:p>
    <w:p w14:paraId="6A14444B" w14:textId="327F0246"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8" w:history="1">
        <w:r w:rsidR="006D0C90" w:rsidRPr="005B619F">
          <w:rPr>
            <w:rStyle w:val="Hypertextovprepojenie"/>
            <w:rFonts w:eastAsiaTheme="minorHAnsi"/>
            <w:noProof/>
            <w:lang w:eastAsia="en-US"/>
          </w:rPr>
          <w:t>TABUĽKA 19</w:t>
        </w:r>
        <w:r w:rsidR="006D0C90" w:rsidRPr="005B619F">
          <w:rPr>
            <w:rStyle w:val="Hypertextovprepojenie"/>
            <w:noProof/>
          </w:rPr>
          <w:t xml:space="preserve"> (</w:t>
        </w:r>
        <w:r w:rsidR="006D0C90" w:rsidRPr="005B619F">
          <w:rPr>
            <w:rStyle w:val="Hypertextovprepojenie"/>
            <w:bCs/>
            <w:noProof/>
          </w:rPr>
          <w:t>Tabuľka 1a) – Makroekonomický prehľad (ESA 2010, mld. eur)</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_Toc101880698 \h </w:instrText>
        </w:r>
        <w:r w:rsidR="006D0C90" w:rsidRPr="005B619F">
          <w:rPr>
            <w:noProof/>
            <w:webHidden/>
          </w:rPr>
        </w:r>
        <w:r w:rsidR="006D0C90" w:rsidRPr="005B619F">
          <w:rPr>
            <w:noProof/>
            <w:webHidden/>
          </w:rPr>
          <w:fldChar w:fldCharType="separate"/>
        </w:r>
        <w:r w:rsidR="005D3280">
          <w:rPr>
            <w:noProof/>
            <w:webHidden/>
          </w:rPr>
          <w:t>50</w:t>
        </w:r>
        <w:r w:rsidR="006D0C90" w:rsidRPr="005B619F">
          <w:rPr>
            <w:noProof/>
            <w:webHidden/>
          </w:rPr>
          <w:fldChar w:fldCharType="end"/>
        </w:r>
      </w:hyperlink>
    </w:p>
    <w:p w14:paraId="268CEDEE" w14:textId="51B6F559"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699" w:history="1">
        <w:r w:rsidR="006D0C90" w:rsidRPr="005B619F">
          <w:rPr>
            <w:rStyle w:val="Hypertextovprepojenie"/>
            <w:rFonts w:eastAsiaTheme="minorHAnsi"/>
            <w:noProof/>
            <w:lang w:eastAsia="en-US"/>
          </w:rPr>
          <w:t>TABUĽKA 20 (Tabuľka 1b) – Cenový vývoj (ESA 2010)</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_Toc101880699 \h </w:instrText>
        </w:r>
        <w:r w:rsidR="006D0C90" w:rsidRPr="005B619F">
          <w:rPr>
            <w:noProof/>
            <w:webHidden/>
          </w:rPr>
        </w:r>
        <w:r w:rsidR="006D0C90" w:rsidRPr="005B619F">
          <w:rPr>
            <w:noProof/>
            <w:webHidden/>
          </w:rPr>
          <w:fldChar w:fldCharType="separate"/>
        </w:r>
        <w:r w:rsidR="005D3280">
          <w:rPr>
            <w:noProof/>
            <w:webHidden/>
          </w:rPr>
          <w:t>50</w:t>
        </w:r>
        <w:r w:rsidR="006D0C90" w:rsidRPr="005B619F">
          <w:rPr>
            <w:noProof/>
            <w:webHidden/>
          </w:rPr>
          <w:fldChar w:fldCharType="end"/>
        </w:r>
      </w:hyperlink>
    </w:p>
    <w:p w14:paraId="07908088" w14:textId="61126A8E"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0" w:history="1">
        <w:r w:rsidR="006D0C90" w:rsidRPr="005B619F">
          <w:rPr>
            <w:rStyle w:val="Hypertextovprepojenie"/>
            <w:rFonts w:eastAsiaTheme="minorHAnsi"/>
            <w:noProof/>
            <w:lang w:eastAsia="en-US"/>
          </w:rPr>
          <w:t>TABUĽKA 21 (Tabuľka 1c) – Ukazovatele trhu práce (ESA 2010)</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_Toc101880700 \h </w:instrText>
        </w:r>
        <w:r w:rsidR="006D0C90" w:rsidRPr="005B619F">
          <w:rPr>
            <w:noProof/>
            <w:webHidden/>
          </w:rPr>
        </w:r>
        <w:r w:rsidR="006D0C90" w:rsidRPr="005B619F">
          <w:rPr>
            <w:noProof/>
            <w:webHidden/>
          </w:rPr>
          <w:fldChar w:fldCharType="separate"/>
        </w:r>
        <w:r w:rsidR="005D3280">
          <w:rPr>
            <w:noProof/>
            <w:webHidden/>
          </w:rPr>
          <w:t>50</w:t>
        </w:r>
        <w:r w:rsidR="006D0C90" w:rsidRPr="005B619F">
          <w:rPr>
            <w:noProof/>
            <w:webHidden/>
          </w:rPr>
          <w:fldChar w:fldCharType="end"/>
        </w:r>
      </w:hyperlink>
    </w:p>
    <w:p w14:paraId="4D9F964E" w14:textId="6F314679"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1" w:history="1">
        <w:r w:rsidR="006D0C90" w:rsidRPr="005B619F">
          <w:rPr>
            <w:rStyle w:val="Hypertextovprepojenie"/>
            <w:rFonts w:eastAsiaTheme="minorHAnsi"/>
            <w:noProof/>
            <w:lang w:eastAsia="en-US"/>
          </w:rPr>
          <w:t>TABUĽKA 22 (Tabuľka 1d) – Sektorová bilancia (ESA 2010,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_Toc101880701 \h </w:instrText>
        </w:r>
        <w:r w:rsidR="006D0C90" w:rsidRPr="005B619F">
          <w:rPr>
            <w:noProof/>
            <w:webHidden/>
          </w:rPr>
        </w:r>
        <w:r w:rsidR="006D0C90" w:rsidRPr="005B619F">
          <w:rPr>
            <w:noProof/>
            <w:webHidden/>
          </w:rPr>
          <w:fldChar w:fldCharType="separate"/>
        </w:r>
        <w:r w:rsidR="005D3280">
          <w:rPr>
            <w:noProof/>
            <w:webHidden/>
          </w:rPr>
          <w:t>51</w:t>
        </w:r>
        <w:r w:rsidR="006D0C90" w:rsidRPr="005B619F">
          <w:rPr>
            <w:noProof/>
            <w:webHidden/>
          </w:rPr>
          <w:fldChar w:fldCharType="end"/>
        </w:r>
      </w:hyperlink>
    </w:p>
    <w:p w14:paraId="7E561150" w14:textId="78543A1C"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2" w:history="1">
        <w:r w:rsidR="006D0C90" w:rsidRPr="005B619F">
          <w:rPr>
            <w:rStyle w:val="Hypertextovprepojenie"/>
            <w:rFonts w:eastAsiaTheme="minorHAnsi"/>
            <w:noProof/>
            <w:lang w:eastAsia="en-US"/>
          </w:rPr>
          <w:t>TABUĽKA 23 (Tabuľka 2a) – Vývoj rozpočtov verejnej správy</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_Toc101880702 \h </w:instrText>
        </w:r>
        <w:r w:rsidR="006D0C90" w:rsidRPr="005B619F">
          <w:rPr>
            <w:noProof/>
            <w:webHidden/>
          </w:rPr>
        </w:r>
        <w:r w:rsidR="006D0C90" w:rsidRPr="005B619F">
          <w:rPr>
            <w:noProof/>
            <w:webHidden/>
          </w:rPr>
          <w:fldChar w:fldCharType="separate"/>
        </w:r>
        <w:r w:rsidR="005D3280">
          <w:rPr>
            <w:noProof/>
            <w:webHidden/>
          </w:rPr>
          <w:t>51</w:t>
        </w:r>
        <w:r w:rsidR="006D0C90" w:rsidRPr="005B619F">
          <w:rPr>
            <w:noProof/>
            <w:webHidden/>
          </w:rPr>
          <w:fldChar w:fldCharType="end"/>
        </w:r>
      </w:hyperlink>
    </w:p>
    <w:p w14:paraId="46E3283E" w14:textId="6C49CD97"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3" w:history="1">
        <w:r w:rsidR="006D0C90" w:rsidRPr="005B619F">
          <w:rPr>
            <w:rStyle w:val="Hypertextovprepojenie"/>
            <w:rFonts w:eastAsiaTheme="minorHAnsi"/>
            <w:noProof/>
            <w:lang w:eastAsia="en-US"/>
          </w:rPr>
          <w:t>TABUĽKA 24 (Tabuľka 2b) – Scenár nezmenených politík</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_Toc101880703 \h </w:instrText>
        </w:r>
        <w:r w:rsidR="006D0C90" w:rsidRPr="005B619F">
          <w:rPr>
            <w:noProof/>
            <w:webHidden/>
          </w:rPr>
        </w:r>
        <w:r w:rsidR="006D0C90" w:rsidRPr="005B619F">
          <w:rPr>
            <w:noProof/>
            <w:webHidden/>
          </w:rPr>
          <w:fldChar w:fldCharType="separate"/>
        </w:r>
        <w:r w:rsidR="005D3280">
          <w:rPr>
            <w:noProof/>
            <w:webHidden/>
          </w:rPr>
          <w:t>52</w:t>
        </w:r>
        <w:r w:rsidR="006D0C90" w:rsidRPr="005B619F">
          <w:rPr>
            <w:noProof/>
            <w:webHidden/>
          </w:rPr>
          <w:fldChar w:fldCharType="end"/>
        </w:r>
      </w:hyperlink>
    </w:p>
    <w:p w14:paraId="138BA7DF" w14:textId="317759B8"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4" w:history="1">
        <w:r w:rsidR="006D0C90" w:rsidRPr="005B619F">
          <w:rPr>
            <w:rStyle w:val="Hypertextovprepojenie"/>
            <w:rFonts w:eastAsiaTheme="minorHAnsi"/>
            <w:noProof/>
            <w:lang w:eastAsia="en-US"/>
          </w:rPr>
          <w:t>TABUĽKA 25 (Tabuľka 2c) – Výdavky vylúčené z výdavkového agregátu</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_Toc101880704 \h </w:instrText>
        </w:r>
        <w:r w:rsidR="006D0C90" w:rsidRPr="005B619F">
          <w:rPr>
            <w:noProof/>
            <w:webHidden/>
          </w:rPr>
        </w:r>
        <w:r w:rsidR="006D0C90" w:rsidRPr="005B619F">
          <w:rPr>
            <w:noProof/>
            <w:webHidden/>
          </w:rPr>
          <w:fldChar w:fldCharType="separate"/>
        </w:r>
        <w:r w:rsidR="005D3280">
          <w:rPr>
            <w:noProof/>
            <w:webHidden/>
          </w:rPr>
          <w:t>52</w:t>
        </w:r>
        <w:r w:rsidR="006D0C90" w:rsidRPr="005B619F">
          <w:rPr>
            <w:noProof/>
            <w:webHidden/>
          </w:rPr>
          <w:fldChar w:fldCharType="end"/>
        </w:r>
      </w:hyperlink>
    </w:p>
    <w:p w14:paraId="6FB3C537" w14:textId="50D8644F"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5" w:history="1">
        <w:r w:rsidR="006D0C90" w:rsidRPr="005B619F">
          <w:rPr>
            <w:rStyle w:val="Hypertextovprepojenie"/>
            <w:rFonts w:eastAsiaTheme="minorHAnsi"/>
            <w:noProof/>
            <w:lang w:eastAsia="en-US"/>
          </w:rPr>
          <w:t>TABUĽKA 26 (Tabuľka 3) – Výdavky verejnej správy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_Toc101880705 \h </w:instrText>
        </w:r>
        <w:r w:rsidR="006D0C90" w:rsidRPr="005B619F">
          <w:rPr>
            <w:noProof/>
            <w:webHidden/>
          </w:rPr>
        </w:r>
        <w:r w:rsidR="006D0C90" w:rsidRPr="005B619F">
          <w:rPr>
            <w:noProof/>
            <w:webHidden/>
          </w:rPr>
          <w:fldChar w:fldCharType="separate"/>
        </w:r>
        <w:r w:rsidR="005D3280">
          <w:rPr>
            <w:noProof/>
            <w:webHidden/>
          </w:rPr>
          <w:t>52</w:t>
        </w:r>
        <w:r w:rsidR="006D0C90" w:rsidRPr="005B619F">
          <w:rPr>
            <w:noProof/>
            <w:webHidden/>
          </w:rPr>
          <w:fldChar w:fldCharType="end"/>
        </w:r>
      </w:hyperlink>
    </w:p>
    <w:p w14:paraId="5EA1B974" w14:textId="76ABC004"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6" w:history="1">
        <w:r w:rsidR="006D0C90" w:rsidRPr="005B619F">
          <w:rPr>
            <w:rStyle w:val="Hypertextovprepojenie"/>
            <w:rFonts w:eastAsiaTheme="minorHAnsi"/>
            <w:noProof/>
            <w:lang w:eastAsia="en-US"/>
          </w:rPr>
          <w:t>TABUĽKA 27 (Tabuľka 4) – Vývoj dlhu verejnej správy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_Toc101880706 \h </w:instrText>
        </w:r>
        <w:r w:rsidR="006D0C90" w:rsidRPr="005B619F">
          <w:rPr>
            <w:noProof/>
            <w:webHidden/>
          </w:rPr>
        </w:r>
        <w:r w:rsidR="006D0C90" w:rsidRPr="005B619F">
          <w:rPr>
            <w:noProof/>
            <w:webHidden/>
          </w:rPr>
          <w:fldChar w:fldCharType="separate"/>
        </w:r>
        <w:r w:rsidR="005D3280">
          <w:rPr>
            <w:noProof/>
            <w:webHidden/>
          </w:rPr>
          <w:t>53</w:t>
        </w:r>
        <w:r w:rsidR="006D0C90" w:rsidRPr="005B619F">
          <w:rPr>
            <w:noProof/>
            <w:webHidden/>
          </w:rPr>
          <w:fldChar w:fldCharType="end"/>
        </w:r>
      </w:hyperlink>
    </w:p>
    <w:p w14:paraId="7D547552" w14:textId="2AD41178"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7" w:history="1">
        <w:r w:rsidR="006D0C90" w:rsidRPr="005B619F">
          <w:rPr>
            <w:rStyle w:val="Hypertextovprepojenie"/>
            <w:rFonts w:eastAsiaTheme="minorHAnsi"/>
            <w:noProof/>
            <w:lang w:eastAsia="en-US"/>
          </w:rPr>
          <w:t>TABUĽKA 28 (Tabuľka 5) – Cyklický vývoj</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_Toc101880707 \h </w:instrText>
        </w:r>
        <w:r w:rsidR="006D0C90" w:rsidRPr="005B619F">
          <w:rPr>
            <w:noProof/>
            <w:webHidden/>
          </w:rPr>
        </w:r>
        <w:r w:rsidR="006D0C90" w:rsidRPr="005B619F">
          <w:rPr>
            <w:noProof/>
            <w:webHidden/>
          </w:rPr>
          <w:fldChar w:fldCharType="separate"/>
        </w:r>
        <w:r w:rsidR="005D3280">
          <w:rPr>
            <w:noProof/>
            <w:webHidden/>
          </w:rPr>
          <w:t>53</w:t>
        </w:r>
        <w:r w:rsidR="006D0C90" w:rsidRPr="005B619F">
          <w:rPr>
            <w:noProof/>
            <w:webHidden/>
          </w:rPr>
          <w:fldChar w:fldCharType="end"/>
        </w:r>
      </w:hyperlink>
    </w:p>
    <w:p w14:paraId="2C25D75B" w14:textId="68B5513A"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8" w:history="1">
        <w:r w:rsidR="006D0C90" w:rsidRPr="005B619F">
          <w:rPr>
            <w:rStyle w:val="Hypertextovprepojenie"/>
            <w:rFonts w:eastAsiaTheme="minorHAnsi"/>
            <w:noProof/>
            <w:lang w:eastAsia="en-US"/>
          </w:rPr>
          <w:t>TABUĽKA 29 (Tabuľka 6) – Porovnanie predchádzajúcej a aktualizovanej prognózy</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_Toc101880708 \h </w:instrText>
        </w:r>
        <w:r w:rsidR="006D0C90" w:rsidRPr="005B619F">
          <w:rPr>
            <w:noProof/>
            <w:webHidden/>
          </w:rPr>
        </w:r>
        <w:r w:rsidR="006D0C90" w:rsidRPr="005B619F">
          <w:rPr>
            <w:noProof/>
            <w:webHidden/>
          </w:rPr>
          <w:fldChar w:fldCharType="separate"/>
        </w:r>
        <w:r w:rsidR="005D3280">
          <w:rPr>
            <w:noProof/>
            <w:webHidden/>
          </w:rPr>
          <w:t>53</w:t>
        </w:r>
        <w:r w:rsidR="006D0C90" w:rsidRPr="005B619F">
          <w:rPr>
            <w:noProof/>
            <w:webHidden/>
          </w:rPr>
          <w:fldChar w:fldCharType="end"/>
        </w:r>
      </w:hyperlink>
    </w:p>
    <w:p w14:paraId="42C38E9B" w14:textId="2A882AB3"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09" w:history="1">
        <w:r w:rsidR="006D0C90" w:rsidRPr="005B619F">
          <w:rPr>
            <w:rStyle w:val="Hypertextovprepojenie"/>
            <w:rFonts w:eastAsiaTheme="minorHAnsi"/>
            <w:noProof/>
            <w:lang w:eastAsia="en-US"/>
          </w:rPr>
          <w:t>TABUĽKA 30 (Tabuľka 7) – Dlhodobá udržateľnosť verejných financií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_Toc101880709 \h </w:instrText>
        </w:r>
        <w:r w:rsidR="006D0C90" w:rsidRPr="005B619F">
          <w:rPr>
            <w:noProof/>
            <w:webHidden/>
          </w:rPr>
        </w:r>
        <w:r w:rsidR="006D0C90" w:rsidRPr="005B619F">
          <w:rPr>
            <w:noProof/>
            <w:webHidden/>
          </w:rPr>
          <w:fldChar w:fldCharType="separate"/>
        </w:r>
        <w:r w:rsidR="005D3280">
          <w:rPr>
            <w:noProof/>
            <w:webHidden/>
          </w:rPr>
          <w:t>54</w:t>
        </w:r>
        <w:r w:rsidR="006D0C90" w:rsidRPr="005B619F">
          <w:rPr>
            <w:noProof/>
            <w:webHidden/>
          </w:rPr>
          <w:fldChar w:fldCharType="end"/>
        </w:r>
      </w:hyperlink>
    </w:p>
    <w:p w14:paraId="6342B443" w14:textId="1DA0311C"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0" w:history="1">
        <w:r w:rsidR="006D0C90" w:rsidRPr="005B619F">
          <w:rPr>
            <w:rStyle w:val="Hypertextovprepojenie"/>
            <w:rFonts w:eastAsiaTheme="minorHAnsi"/>
            <w:noProof/>
            <w:lang w:eastAsia="en-US"/>
          </w:rPr>
          <w:t>TABUĽKA 31 (Tabuľka 7a) – Podmienené záväzky</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_Toc101880710 \h </w:instrText>
        </w:r>
        <w:r w:rsidR="006D0C90" w:rsidRPr="005B619F">
          <w:rPr>
            <w:noProof/>
            <w:webHidden/>
          </w:rPr>
        </w:r>
        <w:r w:rsidR="006D0C90" w:rsidRPr="005B619F">
          <w:rPr>
            <w:noProof/>
            <w:webHidden/>
          </w:rPr>
          <w:fldChar w:fldCharType="separate"/>
        </w:r>
        <w:r w:rsidR="005D3280">
          <w:rPr>
            <w:noProof/>
            <w:webHidden/>
          </w:rPr>
          <w:t>54</w:t>
        </w:r>
        <w:r w:rsidR="006D0C90" w:rsidRPr="005B619F">
          <w:rPr>
            <w:noProof/>
            <w:webHidden/>
          </w:rPr>
          <w:fldChar w:fldCharType="end"/>
        </w:r>
      </w:hyperlink>
    </w:p>
    <w:p w14:paraId="110A5405" w14:textId="0803BE70"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1" w:history="1">
        <w:r w:rsidR="006D0C90" w:rsidRPr="005B619F">
          <w:rPr>
            <w:rStyle w:val="Hypertextovprepojenie"/>
            <w:rFonts w:eastAsiaTheme="minorHAnsi"/>
            <w:noProof/>
            <w:lang w:eastAsia="en-US"/>
          </w:rPr>
          <w:t>TABUĽKA 32 (Tabuľka 8) – Základné predpoklady</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_Toc101880711 \h </w:instrText>
        </w:r>
        <w:r w:rsidR="006D0C90" w:rsidRPr="005B619F">
          <w:rPr>
            <w:noProof/>
            <w:webHidden/>
          </w:rPr>
        </w:r>
        <w:r w:rsidR="006D0C90" w:rsidRPr="005B619F">
          <w:rPr>
            <w:noProof/>
            <w:webHidden/>
          </w:rPr>
          <w:fldChar w:fldCharType="separate"/>
        </w:r>
        <w:r w:rsidR="005D3280">
          <w:rPr>
            <w:noProof/>
            <w:webHidden/>
          </w:rPr>
          <w:t>55</w:t>
        </w:r>
        <w:r w:rsidR="006D0C90" w:rsidRPr="005B619F">
          <w:rPr>
            <w:noProof/>
            <w:webHidden/>
          </w:rPr>
          <w:fldChar w:fldCharType="end"/>
        </w:r>
      </w:hyperlink>
    </w:p>
    <w:p w14:paraId="544609F3" w14:textId="259274FE"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2" w:history="1">
        <w:r w:rsidR="006D0C90" w:rsidRPr="005B619F">
          <w:rPr>
            <w:rStyle w:val="Hypertextovprepojenie"/>
            <w:rFonts w:eastAsiaTheme="minorHAnsi"/>
            <w:noProof/>
            <w:lang w:eastAsia="en-US"/>
          </w:rPr>
          <w:t>TABUĽKA 33 (Tabuľka 9a) – Vplyv Plánu obnovy (granty)*</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_Toc101880712 \h </w:instrText>
        </w:r>
        <w:r w:rsidR="006D0C90" w:rsidRPr="005B619F">
          <w:rPr>
            <w:noProof/>
            <w:webHidden/>
          </w:rPr>
        </w:r>
        <w:r w:rsidR="006D0C90" w:rsidRPr="005B619F">
          <w:rPr>
            <w:noProof/>
            <w:webHidden/>
          </w:rPr>
          <w:fldChar w:fldCharType="separate"/>
        </w:r>
        <w:r w:rsidR="005D3280">
          <w:rPr>
            <w:noProof/>
            <w:webHidden/>
          </w:rPr>
          <w:t>55</w:t>
        </w:r>
        <w:r w:rsidR="006D0C90" w:rsidRPr="005B619F">
          <w:rPr>
            <w:noProof/>
            <w:webHidden/>
          </w:rPr>
          <w:fldChar w:fldCharType="end"/>
        </w:r>
      </w:hyperlink>
    </w:p>
    <w:p w14:paraId="1DF889B8" w14:textId="33584977"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3" w:history="1">
        <w:r w:rsidR="006D0C90" w:rsidRPr="005B619F">
          <w:rPr>
            <w:rStyle w:val="Hypertextovprepojenie"/>
            <w:rFonts w:eastAsiaTheme="minorHAnsi"/>
            <w:noProof/>
            <w:lang w:eastAsia="en-US"/>
          </w:rPr>
          <w:t>TABUĽKA 34 (Tabuľka 9b) – Vplyv Plánu obnovy</w:t>
        </w:r>
        <w:r w:rsidR="006D0C90" w:rsidRPr="005B619F">
          <w:rPr>
            <w:rStyle w:val="Hypertextovprepojenie"/>
            <w:rFonts w:cs="Arial"/>
            <w:bCs/>
            <w:noProof/>
          </w:rPr>
          <w:t xml:space="preserve"> (pôžičky)</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_Toc101880713 \h </w:instrText>
        </w:r>
        <w:r w:rsidR="006D0C90" w:rsidRPr="005B619F">
          <w:rPr>
            <w:noProof/>
            <w:webHidden/>
          </w:rPr>
        </w:r>
        <w:r w:rsidR="006D0C90" w:rsidRPr="005B619F">
          <w:rPr>
            <w:noProof/>
            <w:webHidden/>
          </w:rPr>
          <w:fldChar w:fldCharType="separate"/>
        </w:r>
        <w:r w:rsidR="005D3280">
          <w:rPr>
            <w:noProof/>
            <w:webHidden/>
          </w:rPr>
          <w:t>55</w:t>
        </w:r>
        <w:r w:rsidR="006D0C90" w:rsidRPr="005B619F">
          <w:rPr>
            <w:noProof/>
            <w:webHidden/>
          </w:rPr>
          <w:fldChar w:fldCharType="end"/>
        </w:r>
      </w:hyperlink>
    </w:p>
    <w:p w14:paraId="62C81489" w14:textId="7421195A"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4" w:history="1">
        <w:r w:rsidR="006D0C90" w:rsidRPr="005B619F">
          <w:rPr>
            <w:rStyle w:val="Hypertextovprepojenie"/>
            <w:rFonts w:eastAsiaTheme="minorHAnsi"/>
            <w:noProof/>
            <w:lang w:eastAsia="en-US"/>
          </w:rPr>
          <w:t>TABUĽKA 35 – Stav vládnych záruk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_Toc101880714 \h </w:instrText>
        </w:r>
        <w:r w:rsidR="006D0C90" w:rsidRPr="005B619F">
          <w:rPr>
            <w:noProof/>
            <w:webHidden/>
          </w:rPr>
        </w:r>
        <w:r w:rsidR="006D0C90" w:rsidRPr="005B619F">
          <w:rPr>
            <w:noProof/>
            <w:webHidden/>
          </w:rPr>
          <w:fldChar w:fldCharType="separate"/>
        </w:r>
        <w:r w:rsidR="005D3280">
          <w:rPr>
            <w:noProof/>
            <w:webHidden/>
          </w:rPr>
          <w:t>56</w:t>
        </w:r>
        <w:r w:rsidR="006D0C90" w:rsidRPr="005B619F">
          <w:rPr>
            <w:noProof/>
            <w:webHidden/>
          </w:rPr>
          <w:fldChar w:fldCharType="end"/>
        </w:r>
      </w:hyperlink>
    </w:p>
    <w:p w14:paraId="30C8AA8E" w14:textId="258E42FA"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5" w:history="1">
        <w:r w:rsidR="006D0C90" w:rsidRPr="005B619F">
          <w:rPr>
            <w:rStyle w:val="Hypertextovprepojenie"/>
            <w:noProof/>
          </w:rPr>
          <w:t>TABUĽKA 36 – Zoznam opatrení prijatých v boji proti koronavírusu (rok 2022 je odhad do konca roka)</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_Toc101880715 \h </w:instrText>
        </w:r>
        <w:r w:rsidR="006D0C90" w:rsidRPr="005B619F">
          <w:rPr>
            <w:noProof/>
            <w:webHidden/>
          </w:rPr>
        </w:r>
        <w:r w:rsidR="006D0C90" w:rsidRPr="005B619F">
          <w:rPr>
            <w:noProof/>
            <w:webHidden/>
          </w:rPr>
          <w:fldChar w:fldCharType="separate"/>
        </w:r>
        <w:r w:rsidR="005D3280">
          <w:rPr>
            <w:noProof/>
            <w:webHidden/>
          </w:rPr>
          <w:t>57</w:t>
        </w:r>
        <w:r w:rsidR="006D0C90" w:rsidRPr="005B619F">
          <w:rPr>
            <w:noProof/>
            <w:webHidden/>
          </w:rPr>
          <w:fldChar w:fldCharType="end"/>
        </w:r>
      </w:hyperlink>
    </w:p>
    <w:p w14:paraId="1D43DAD0" w14:textId="33FB7B1D"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6" w:history="1">
        <w:r w:rsidR="006D0C90" w:rsidRPr="005B619F">
          <w:rPr>
            <w:rStyle w:val="Hypertextovprepojenie"/>
            <w:noProof/>
          </w:rPr>
          <w:t xml:space="preserve">TABUĽKA 37 – </w:t>
        </w:r>
        <w:r w:rsidR="006D0C90" w:rsidRPr="005B619F">
          <w:rPr>
            <w:rStyle w:val="Hypertextovprepojenie"/>
            <w:bCs/>
            <w:noProof/>
          </w:rPr>
          <w:t>Zoznam jednorazových opatrení</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_Toc101880716 \h </w:instrText>
        </w:r>
        <w:r w:rsidR="006D0C90" w:rsidRPr="005B619F">
          <w:rPr>
            <w:noProof/>
            <w:webHidden/>
          </w:rPr>
        </w:r>
        <w:r w:rsidR="006D0C90" w:rsidRPr="005B619F">
          <w:rPr>
            <w:noProof/>
            <w:webHidden/>
          </w:rPr>
          <w:fldChar w:fldCharType="separate"/>
        </w:r>
        <w:r w:rsidR="005D3280">
          <w:rPr>
            <w:noProof/>
            <w:webHidden/>
          </w:rPr>
          <w:t>59</w:t>
        </w:r>
        <w:r w:rsidR="006D0C90" w:rsidRPr="005B619F">
          <w:rPr>
            <w:noProof/>
            <w:webHidden/>
          </w:rPr>
          <w:fldChar w:fldCharType="end"/>
        </w:r>
      </w:hyperlink>
    </w:p>
    <w:p w14:paraId="4F2E0D24" w14:textId="3AF52979"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7" w:history="1">
        <w:r w:rsidR="006D0C90" w:rsidRPr="005B619F">
          <w:rPr>
            <w:rStyle w:val="Hypertextovprepojenie"/>
            <w:rFonts w:eastAsiaTheme="minorHAnsi"/>
            <w:noProof/>
            <w:lang w:eastAsia="en-US"/>
          </w:rPr>
          <w:t>TABUĽKA 38</w:t>
        </w:r>
        <w:r w:rsidR="006D0C90" w:rsidRPr="005B619F">
          <w:rPr>
            <w:rStyle w:val="Hypertextovprepojenie"/>
            <w:noProof/>
          </w:rPr>
          <w:t xml:space="preserve"> </w:t>
        </w:r>
        <w:r w:rsidR="006D0C90" w:rsidRPr="005B619F">
          <w:rPr>
            <w:rStyle w:val="Hypertextovprepojenie"/>
            <w:rFonts w:eastAsiaTheme="minorHAnsi"/>
            <w:noProof/>
            <w:lang w:eastAsia="en-US"/>
          </w:rPr>
          <w:t>–</w:t>
        </w:r>
        <w:r w:rsidR="006D0C90" w:rsidRPr="005B619F">
          <w:rPr>
            <w:rStyle w:val="Hypertextovprepojenie"/>
            <w:noProof/>
          </w:rPr>
          <w:t xml:space="preserve"> Diskrečné príjmové opatrenia – medziročné vplyvy opatrení (mil. eur, ESA2010)</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_Toc101880717 \h </w:instrText>
        </w:r>
        <w:r w:rsidR="006D0C90" w:rsidRPr="005B619F">
          <w:rPr>
            <w:noProof/>
            <w:webHidden/>
          </w:rPr>
        </w:r>
        <w:r w:rsidR="006D0C90" w:rsidRPr="005B619F">
          <w:rPr>
            <w:noProof/>
            <w:webHidden/>
          </w:rPr>
          <w:fldChar w:fldCharType="separate"/>
        </w:r>
        <w:r w:rsidR="005D3280">
          <w:rPr>
            <w:noProof/>
            <w:webHidden/>
          </w:rPr>
          <w:t>61</w:t>
        </w:r>
        <w:r w:rsidR="006D0C90" w:rsidRPr="005B619F">
          <w:rPr>
            <w:noProof/>
            <w:webHidden/>
          </w:rPr>
          <w:fldChar w:fldCharType="end"/>
        </w:r>
      </w:hyperlink>
    </w:p>
    <w:p w14:paraId="34BB0508" w14:textId="6EA4ACF6"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8" w:history="1">
        <w:r w:rsidR="006D0C90" w:rsidRPr="005B619F">
          <w:rPr>
            <w:rStyle w:val="Hypertextovprepojenie"/>
            <w:rFonts w:eastAsiaTheme="minorHAnsi"/>
            <w:noProof/>
            <w:lang w:eastAsia="en-US"/>
          </w:rPr>
          <w:t>TABUĽKA 39</w:t>
        </w:r>
        <w:r w:rsidR="006D0C90" w:rsidRPr="005B619F">
          <w:rPr>
            <w:rStyle w:val="Hypertextovprepojenie"/>
            <w:noProof/>
          </w:rPr>
          <w:t xml:space="preserve"> </w:t>
        </w:r>
        <w:r w:rsidR="006D0C90" w:rsidRPr="005B619F">
          <w:rPr>
            <w:rStyle w:val="Hypertextovprepojenie"/>
            <w:rFonts w:eastAsiaTheme="minorHAnsi"/>
            <w:noProof/>
            <w:lang w:eastAsia="en-US"/>
          </w:rPr>
          <w:t>–</w:t>
        </w:r>
        <w:r w:rsidR="006D0C90" w:rsidRPr="005B619F">
          <w:rPr>
            <w:rStyle w:val="Hypertextovprepojenie"/>
            <w:noProof/>
          </w:rPr>
          <w:t xml:space="preserve"> Diskrečné výdavkové opatrenia – medziročné vplyvy opatrení (mil. eur, ESA2010)</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_Toc101880718 \h </w:instrText>
        </w:r>
        <w:r w:rsidR="006D0C90" w:rsidRPr="005B619F">
          <w:rPr>
            <w:noProof/>
            <w:webHidden/>
          </w:rPr>
        </w:r>
        <w:r w:rsidR="006D0C90" w:rsidRPr="005B619F">
          <w:rPr>
            <w:noProof/>
            <w:webHidden/>
          </w:rPr>
          <w:fldChar w:fldCharType="separate"/>
        </w:r>
        <w:r w:rsidR="005D3280">
          <w:rPr>
            <w:noProof/>
            <w:webHidden/>
          </w:rPr>
          <w:t>61</w:t>
        </w:r>
        <w:r w:rsidR="006D0C90" w:rsidRPr="005B619F">
          <w:rPr>
            <w:noProof/>
            <w:webHidden/>
          </w:rPr>
          <w:fldChar w:fldCharType="end"/>
        </w:r>
      </w:hyperlink>
    </w:p>
    <w:p w14:paraId="05BCCD6A" w14:textId="271EC157"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19" w:history="1">
        <w:r w:rsidR="006D0C90" w:rsidRPr="005B619F">
          <w:rPr>
            <w:rStyle w:val="Hypertextovprepojenie"/>
            <w:rFonts w:eastAsiaTheme="minorHAnsi"/>
            <w:noProof/>
            <w:lang w:eastAsia="en-US"/>
          </w:rPr>
          <w:t>TABUĽKA 40</w:t>
        </w:r>
        <w:r w:rsidR="006D0C90" w:rsidRPr="005B619F">
          <w:rPr>
            <w:rStyle w:val="Hypertextovprepojenie"/>
            <w:noProof/>
          </w:rPr>
          <w:t xml:space="preserve"> </w:t>
        </w:r>
        <w:r w:rsidR="006D0C90" w:rsidRPr="005B619F">
          <w:rPr>
            <w:rStyle w:val="Hypertextovprepojenie"/>
            <w:rFonts w:eastAsiaTheme="minorHAnsi"/>
            <w:noProof/>
            <w:lang w:eastAsia="en-US"/>
          </w:rPr>
          <w:t>–</w:t>
        </w:r>
        <w:r w:rsidR="006D0C90" w:rsidRPr="005B619F">
          <w:rPr>
            <w:rStyle w:val="Hypertextovprepojenie"/>
            <w:noProof/>
          </w:rPr>
          <w:t xml:space="preserve"> Hotovostné vplyvy na zmenu nominálneho hrubého dlhu verejnej správy (v mil. eur)</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_Toc101880719 \h </w:instrText>
        </w:r>
        <w:r w:rsidR="006D0C90" w:rsidRPr="005B619F">
          <w:rPr>
            <w:noProof/>
            <w:webHidden/>
          </w:rPr>
        </w:r>
        <w:r w:rsidR="006D0C90" w:rsidRPr="005B619F">
          <w:rPr>
            <w:noProof/>
            <w:webHidden/>
          </w:rPr>
          <w:fldChar w:fldCharType="separate"/>
        </w:r>
        <w:r w:rsidR="005D3280">
          <w:rPr>
            <w:noProof/>
            <w:webHidden/>
          </w:rPr>
          <w:t>63</w:t>
        </w:r>
        <w:r w:rsidR="006D0C90" w:rsidRPr="005B619F">
          <w:rPr>
            <w:noProof/>
            <w:webHidden/>
          </w:rPr>
          <w:fldChar w:fldCharType="end"/>
        </w:r>
      </w:hyperlink>
    </w:p>
    <w:p w14:paraId="37211641" w14:textId="330E274A"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0" w:history="1">
        <w:r w:rsidR="006D0C90" w:rsidRPr="005B619F">
          <w:rPr>
            <w:rStyle w:val="Hypertextovprepojenie"/>
            <w:rFonts w:eastAsiaTheme="minorHAnsi"/>
            <w:noProof/>
            <w:lang w:eastAsia="en-US"/>
          </w:rPr>
          <w:t>TABUĽKA 41</w:t>
        </w:r>
        <w:r w:rsidR="006D0C90" w:rsidRPr="005B619F">
          <w:rPr>
            <w:rStyle w:val="Hypertextovprepojenie"/>
            <w:noProof/>
          </w:rPr>
          <w:t xml:space="preserve"> </w:t>
        </w:r>
        <w:r w:rsidR="006D0C90" w:rsidRPr="005B619F">
          <w:rPr>
            <w:rStyle w:val="Hypertextovprepojenie"/>
            <w:rFonts w:eastAsiaTheme="minorHAnsi"/>
            <w:noProof/>
            <w:lang w:eastAsia="en-US"/>
          </w:rPr>
          <w:t>–</w:t>
        </w:r>
        <w:r w:rsidR="006D0C90" w:rsidRPr="005B619F">
          <w:rPr>
            <w:rStyle w:val="Hypertextovprepojenie"/>
            <w:noProof/>
          </w:rPr>
          <w:t xml:space="preserve"> Predpoklady MF SR pre výpočet indikátora udržateľnosti S1</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_Toc101880720 \h </w:instrText>
        </w:r>
        <w:r w:rsidR="006D0C90" w:rsidRPr="005B619F">
          <w:rPr>
            <w:noProof/>
            <w:webHidden/>
          </w:rPr>
        </w:r>
        <w:r w:rsidR="006D0C90" w:rsidRPr="005B619F">
          <w:rPr>
            <w:noProof/>
            <w:webHidden/>
          </w:rPr>
          <w:fldChar w:fldCharType="separate"/>
        </w:r>
        <w:r w:rsidR="005D3280">
          <w:rPr>
            <w:noProof/>
            <w:webHidden/>
          </w:rPr>
          <w:t>64</w:t>
        </w:r>
        <w:r w:rsidR="006D0C90" w:rsidRPr="005B619F">
          <w:rPr>
            <w:noProof/>
            <w:webHidden/>
          </w:rPr>
          <w:fldChar w:fldCharType="end"/>
        </w:r>
      </w:hyperlink>
    </w:p>
    <w:p w14:paraId="0B5F7EAD" w14:textId="20DE4B57"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1" w:history="1">
        <w:r w:rsidR="006D0C90" w:rsidRPr="005B619F">
          <w:rPr>
            <w:rStyle w:val="Hypertextovprepojenie"/>
            <w:rFonts w:eastAsiaTheme="minorHAnsi"/>
            <w:noProof/>
            <w:lang w:eastAsia="en-US"/>
          </w:rPr>
          <w:t>TABUĽKA 42</w:t>
        </w:r>
        <w:r w:rsidR="006D0C90" w:rsidRPr="005B619F">
          <w:rPr>
            <w:rStyle w:val="Hypertextovprepojenie"/>
            <w:noProof/>
          </w:rPr>
          <w:t xml:space="preserve"> </w:t>
        </w:r>
        <w:r w:rsidR="006D0C90" w:rsidRPr="005B619F">
          <w:rPr>
            <w:rStyle w:val="Hypertextovprepojenie"/>
            <w:rFonts w:eastAsiaTheme="minorHAnsi"/>
            <w:noProof/>
            <w:lang w:eastAsia="en-US"/>
          </w:rPr>
          <w:t>–</w:t>
        </w:r>
        <w:r w:rsidR="006D0C90" w:rsidRPr="005B619F">
          <w:rPr>
            <w:rStyle w:val="Hypertextovprepojenie"/>
            <w:noProof/>
          </w:rPr>
          <w:t xml:space="preserve"> Rozbor indikátora udržateľnosti S1</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_Toc101880721 \h </w:instrText>
        </w:r>
        <w:r w:rsidR="006D0C90" w:rsidRPr="005B619F">
          <w:rPr>
            <w:noProof/>
            <w:webHidden/>
          </w:rPr>
        </w:r>
        <w:r w:rsidR="006D0C90" w:rsidRPr="005B619F">
          <w:rPr>
            <w:noProof/>
            <w:webHidden/>
          </w:rPr>
          <w:fldChar w:fldCharType="separate"/>
        </w:r>
        <w:r w:rsidR="005D3280">
          <w:rPr>
            <w:noProof/>
            <w:webHidden/>
          </w:rPr>
          <w:t>64</w:t>
        </w:r>
        <w:r w:rsidR="006D0C90" w:rsidRPr="005B619F">
          <w:rPr>
            <w:noProof/>
            <w:webHidden/>
          </w:rPr>
          <w:fldChar w:fldCharType="end"/>
        </w:r>
      </w:hyperlink>
    </w:p>
    <w:p w14:paraId="698B7C20" w14:textId="293102D7"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2" w:history="1">
        <w:r w:rsidR="006D0C90" w:rsidRPr="005B619F">
          <w:rPr>
            <w:rStyle w:val="Hypertextovprepojenie"/>
            <w:rFonts w:eastAsiaTheme="minorHAnsi"/>
            <w:noProof/>
            <w:lang w:eastAsia="en-US"/>
          </w:rPr>
          <w:t>TABUĽKA 43</w:t>
        </w:r>
        <w:r w:rsidR="006D0C90" w:rsidRPr="005B619F">
          <w:rPr>
            <w:rStyle w:val="Hypertextovprepojenie"/>
            <w:noProof/>
          </w:rPr>
          <w:t xml:space="preserve"> </w:t>
        </w:r>
        <w:r w:rsidR="006D0C90" w:rsidRPr="005B619F">
          <w:rPr>
            <w:rStyle w:val="Hypertextovprepojenie"/>
            <w:rFonts w:eastAsiaTheme="minorHAnsi"/>
            <w:noProof/>
            <w:lang w:eastAsia="en-US"/>
          </w:rPr>
          <w:t>–</w:t>
        </w:r>
        <w:r w:rsidR="006D0C90" w:rsidRPr="005B619F">
          <w:rPr>
            <w:rStyle w:val="Hypertextovprepojenie"/>
            <w:noProof/>
          </w:rPr>
          <w:t xml:space="preserve"> Predpoklady MF SR pre výpočet indikátora udržateľnosti S2</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_Toc101880722 \h </w:instrText>
        </w:r>
        <w:r w:rsidR="006D0C90" w:rsidRPr="005B619F">
          <w:rPr>
            <w:noProof/>
            <w:webHidden/>
          </w:rPr>
        </w:r>
        <w:r w:rsidR="006D0C90" w:rsidRPr="005B619F">
          <w:rPr>
            <w:noProof/>
            <w:webHidden/>
          </w:rPr>
          <w:fldChar w:fldCharType="separate"/>
        </w:r>
        <w:r w:rsidR="005D3280">
          <w:rPr>
            <w:noProof/>
            <w:webHidden/>
          </w:rPr>
          <w:t>64</w:t>
        </w:r>
        <w:r w:rsidR="006D0C90" w:rsidRPr="005B619F">
          <w:rPr>
            <w:noProof/>
            <w:webHidden/>
          </w:rPr>
          <w:fldChar w:fldCharType="end"/>
        </w:r>
      </w:hyperlink>
    </w:p>
    <w:p w14:paraId="2725CA31" w14:textId="2F3032E8"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3" w:history="1">
        <w:r w:rsidR="006D0C90" w:rsidRPr="005B619F">
          <w:rPr>
            <w:rStyle w:val="Hypertextovprepojenie"/>
            <w:rFonts w:eastAsiaTheme="minorHAnsi"/>
            <w:noProof/>
            <w:lang w:eastAsia="en-US"/>
          </w:rPr>
          <w:t>TABUĽKA 44</w:t>
        </w:r>
        <w:r w:rsidR="006D0C90" w:rsidRPr="005B619F">
          <w:rPr>
            <w:rStyle w:val="Hypertextovprepojenie"/>
            <w:noProof/>
          </w:rPr>
          <w:t xml:space="preserve"> </w:t>
        </w:r>
        <w:r w:rsidR="006D0C90" w:rsidRPr="005B619F">
          <w:rPr>
            <w:rStyle w:val="Hypertextovprepojenie"/>
            <w:rFonts w:eastAsiaTheme="minorHAnsi"/>
            <w:noProof/>
            <w:lang w:eastAsia="en-US"/>
          </w:rPr>
          <w:t>–</w:t>
        </w:r>
        <w:r w:rsidR="006D0C90" w:rsidRPr="005B619F">
          <w:rPr>
            <w:rStyle w:val="Hypertextovprepojenie"/>
            <w:noProof/>
          </w:rPr>
          <w:t xml:space="preserve"> Rozbor indikátora udržateľnosti S2</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_Toc101880723 \h </w:instrText>
        </w:r>
        <w:r w:rsidR="006D0C90" w:rsidRPr="005B619F">
          <w:rPr>
            <w:noProof/>
            <w:webHidden/>
          </w:rPr>
        </w:r>
        <w:r w:rsidR="006D0C90" w:rsidRPr="005B619F">
          <w:rPr>
            <w:noProof/>
            <w:webHidden/>
          </w:rPr>
          <w:fldChar w:fldCharType="separate"/>
        </w:r>
        <w:r w:rsidR="005D3280">
          <w:rPr>
            <w:noProof/>
            <w:webHidden/>
          </w:rPr>
          <w:t>64</w:t>
        </w:r>
        <w:r w:rsidR="006D0C90" w:rsidRPr="005B619F">
          <w:rPr>
            <w:noProof/>
            <w:webHidden/>
          </w:rPr>
          <w:fldChar w:fldCharType="end"/>
        </w:r>
      </w:hyperlink>
    </w:p>
    <w:p w14:paraId="6FCA8939" w14:textId="7A3A59F6"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4" w:history="1">
        <w:r w:rsidR="006D0C90" w:rsidRPr="005B619F">
          <w:rPr>
            <w:rStyle w:val="Hypertextovprepojenie"/>
            <w:rFonts w:eastAsiaTheme="minorHAnsi"/>
            <w:noProof/>
          </w:rPr>
          <w:t>TABUĽKA 45 –</w:t>
        </w:r>
        <w:r w:rsidR="006D0C90" w:rsidRPr="005B619F">
          <w:rPr>
            <w:rStyle w:val="Hypertextovprepojenie"/>
            <w:rFonts w:cs="Arial"/>
            <w:noProof/>
          </w:rPr>
          <w:t xml:space="preserve"> Predpoklady výpočtu vplyvu plánovaných opatrení.</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_Toc101880724 \h </w:instrText>
        </w:r>
        <w:r w:rsidR="006D0C90" w:rsidRPr="005B619F">
          <w:rPr>
            <w:noProof/>
            <w:webHidden/>
          </w:rPr>
        </w:r>
        <w:r w:rsidR="006D0C90" w:rsidRPr="005B619F">
          <w:rPr>
            <w:noProof/>
            <w:webHidden/>
          </w:rPr>
          <w:fldChar w:fldCharType="separate"/>
        </w:r>
        <w:r w:rsidR="005D3280">
          <w:rPr>
            <w:noProof/>
            <w:webHidden/>
          </w:rPr>
          <w:t>65</w:t>
        </w:r>
        <w:r w:rsidR="006D0C90" w:rsidRPr="005B619F">
          <w:rPr>
            <w:noProof/>
            <w:webHidden/>
          </w:rPr>
          <w:fldChar w:fldCharType="end"/>
        </w:r>
      </w:hyperlink>
    </w:p>
    <w:p w14:paraId="47FF3E3A" w14:textId="5259E1D4"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5" w:history="1">
        <w:r w:rsidR="006D0C90" w:rsidRPr="005B619F">
          <w:rPr>
            <w:rStyle w:val="Hypertextovprepojenie"/>
            <w:noProof/>
          </w:rPr>
          <w:t>TABUĽKA 46 – Výpočet plánovaného štrukturálneho salda (% HDP)</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_Toc101880725 \h </w:instrText>
        </w:r>
        <w:r w:rsidR="006D0C90" w:rsidRPr="005B619F">
          <w:rPr>
            <w:noProof/>
            <w:webHidden/>
          </w:rPr>
        </w:r>
        <w:r w:rsidR="006D0C90" w:rsidRPr="005B619F">
          <w:rPr>
            <w:noProof/>
            <w:webHidden/>
          </w:rPr>
          <w:fldChar w:fldCharType="separate"/>
        </w:r>
        <w:r w:rsidR="005D3280">
          <w:rPr>
            <w:noProof/>
            <w:webHidden/>
          </w:rPr>
          <w:t>66</w:t>
        </w:r>
        <w:r w:rsidR="006D0C90" w:rsidRPr="005B619F">
          <w:rPr>
            <w:noProof/>
            <w:webHidden/>
          </w:rPr>
          <w:fldChar w:fldCharType="end"/>
        </w:r>
      </w:hyperlink>
    </w:p>
    <w:p w14:paraId="26030DEA" w14:textId="7B7A5E41"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6" w:history="1">
        <w:r w:rsidR="006D0C90" w:rsidRPr="005B619F">
          <w:rPr>
            <w:rStyle w:val="Hypertextovprepojenie"/>
            <w:noProof/>
          </w:rPr>
          <w:t xml:space="preserve">TABUĽKA 47 – </w:t>
        </w:r>
        <w:r w:rsidR="006D0C90" w:rsidRPr="005B619F">
          <w:rPr>
            <w:rStyle w:val="Hypertextovprepojenie"/>
            <w:rFonts w:cs="Book Antiqua"/>
            <w:noProof/>
          </w:rPr>
          <w:t>Výpočet limitu verejných výdavkov na roky 2023 a 2024 (eur, ESA 2010)</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_Toc101880726 \h </w:instrText>
        </w:r>
        <w:r w:rsidR="006D0C90" w:rsidRPr="005B619F">
          <w:rPr>
            <w:noProof/>
            <w:webHidden/>
          </w:rPr>
        </w:r>
        <w:r w:rsidR="006D0C90" w:rsidRPr="005B619F">
          <w:rPr>
            <w:noProof/>
            <w:webHidden/>
          </w:rPr>
          <w:fldChar w:fldCharType="separate"/>
        </w:r>
        <w:r w:rsidR="005D3280">
          <w:rPr>
            <w:noProof/>
            <w:webHidden/>
          </w:rPr>
          <w:t>66</w:t>
        </w:r>
        <w:r w:rsidR="006D0C90" w:rsidRPr="005B619F">
          <w:rPr>
            <w:noProof/>
            <w:webHidden/>
          </w:rPr>
          <w:fldChar w:fldCharType="end"/>
        </w:r>
      </w:hyperlink>
    </w:p>
    <w:p w14:paraId="5E39917D" w14:textId="3ED6FC05" w:rsidR="006D0C90" w:rsidRPr="005B619F" w:rsidRDefault="0047025F">
      <w:pPr>
        <w:pStyle w:val="Zoznamobrzkov"/>
        <w:tabs>
          <w:tab w:val="right" w:leader="dot" w:pos="9060"/>
        </w:tabs>
        <w:rPr>
          <w:rFonts w:asciiTheme="minorHAnsi" w:eastAsiaTheme="minorEastAsia" w:hAnsiTheme="minorHAnsi" w:cstheme="minorBidi"/>
          <w:noProof/>
        </w:rPr>
      </w:pPr>
      <w:hyperlink w:anchor="_Toc101880727" w:history="1">
        <w:r w:rsidR="006D0C90" w:rsidRPr="005B619F">
          <w:rPr>
            <w:rStyle w:val="Hypertextovprepojenie"/>
            <w:noProof/>
          </w:rPr>
          <w:t xml:space="preserve">TABUĽKA 48 – </w:t>
        </w:r>
        <w:r w:rsidR="006D0C90" w:rsidRPr="005B619F">
          <w:rPr>
            <w:rStyle w:val="Hypertextovprepojenie"/>
            <w:rFonts w:cs="Book Antiqua"/>
            <w:noProof/>
          </w:rPr>
          <w:t>Výpočet predbežného rozpočtového cieľa podľa MF SR na základe limitov verejných výdavkov vypočítaných Radou pre rozpočtovú zodpovednosť</w:t>
        </w:r>
        <w:r w:rsidR="006D0C90" w:rsidRPr="005B619F">
          <w:rPr>
            <w:noProof/>
            <w:webHidden/>
          </w:rPr>
          <w:tab/>
        </w:r>
        <w:r w:rsidR="006D0C90" w:rsidRPr="005B619F">
          <w:rPr>
            <w:noProof/>
            <w:webHidden/>
          </w:rPr>
          <w:fldChar w:fldCharType="begin"/>
        </w:r>
        <w:r w:rsidR="006D0C90" w:rsidRPr="005B619F">
          <w:rPr>
            <w:noProof/>
            <w:webHidden/>
          </w:rPr>
          <w:instrText xml:space="preserve"> PAGEREF _Toc101880727 \h </w:instrText>
        </w:r>
        <w:r w:rsidR="006D0C90" w:rsidRPr="005B619F">
          <w:rPr>
            <w:noProof/>
            <w:webHidden/>
          </w:rPr>
        </w:r>
        <w:r w:rsidR="006D0C90" w:rsidRPr="005B619F">
          <w:rPr>
            <w:noProof/>
            <w:webHidden/>
          </w:rPr>
          <w:fldChar w:fldCharType="separate"/>
        </w:r>
        <w:r w:rsidR="005D3280">
          <w:rPr>
            <w:noProof/>
            <w:webHidden/>
          </w:rPr>
          <w:t>66</w:t>
        </w:r>
        <w:r w:rsidR="006D0C90" w:rsidRPr="005B619F">
          <w:rPr>
            <w:noProof/>
            <w:webHidden/>
          </w:rPr>
          <w:fldChar w:fldCharType="end"/>
        </w:r>
      </w:hyperlink>
    </w:p>
    <w:p w14:paraId="523EBD30" w14:textId="77777777" w:rsidR="005B619F" w:rsidRPr="005B619F" w:rsidRDefault="00315902" w:rsidP="00315902">
      <w:pPr>
        <w:pStyle w:val="Zoznamobrzkov"/>
        <w:tabs>
          <w:tab w:val="right" w:leader="dot" w:pos="9060"/>
        </w:tabs>
        <w:rPr>
          <w:noProof/>
        </w:rPr>
      </w:pPr>
      <w:r w:rsidRPr="005B619F">
        <w:rPr>
          <w:rStyle w:val="Hypertextovprepojenie"/>
          <w:rFonts w:eastAsiaTheme="minorHAnsi"/>
          <w:lang w:eastAsia="en-US"/>
        </w:rPr>
        <w:fldChar w:fldCharType="end"/>
      </w:r>
      <w:r w:rsidRPr="005B619F">
        <w:rPr>
          <w:rStyle w:val="Hypertextovprepojenie"/>
          <w:rFonts w:eastAsiaTheme="minorHAnsi"/>
          <w:lang w:eastAsia="en-US"/>
        </w:rPr>
        <w:fldChar w:fldCharType="begin"/>
      </w:r>
      <w:r w:rsidRPr="005B619F">
        <w:rPr>
          <w:rStyle w:val="Hypertextovprepojenie"/>
          <w:rFonts w:eastAsiaTheme="minorHAnsi"/>
          <w:lang w:eastAsia="en-US"/>
        </w:rPr>
        <w:instrText xml:space="preserve"> TOC \h \z \c "GRAF" </w:instrText>
      </w:r>
      <w:r w:rsidRPr="005B619F">
        <w:rPr>
          <w:rStyle w:val="Hypertextovprepojenie"/>
          <w:rFonts w:eastAsiaTheme="minorHAnsi"/>
          <w:lang w:eastAsia="en-US"/>
        </w:rPr>
        <w:fldChar w:fldCharType="separate"/>
      </w:r>
    </w:p>
    <w:p w14:paraId="410ADAFA" w14:textId="079E8475"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25" w:history="1">
        <w:r w:rsidR="005B619F" w:rsidRPr="005B619F">
          <w:rPr>
            <w:rStyle w:val="Hypertextovprepojenie"/>
            <w:rFonts w:eastAsiaTheme="minorHAnsi"/>
            <w:bCs/>
            <w:noProof/>
            <w:lang w:eastAsia="en-US"/>
          </w:rPr>
          <w:t xml:space="preserve">GRAF </w:t>
        </w:r>
        <w:r w:rsidR="005B619F" w:rsidRPr="005B619F">
          <w:rPr>
            <w:rStyle w:val="Hypertextovprepojenie"/>
            <w:rFonts w:eastAsiaTheme="minorHAnsi"/>
            <w:noProof/>
            <w:lang w:eastAsia="en-US"/>
          </w:rPr>
          <w:t>1</w:t>
        </w:r>
        <w:r w:rsidR="005B619F" w:rsidRPr="005B619F">
          <w:rPr>
            <w:rStyle w:val="Hypertextovprepojenie"/>
            <w:rFonts w:eastAsia="Calibri" w:cs="Arial"/>
            <w:bCs/>
            <w:noProof/>
            <w:lang w:eastAsia="en-US"/>
          </w:rPr>
          <w:t xml:space="preserve"> – Index ekonomickej neistoty (index, HDP vážený priemer)</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_Toc101881925 \h </w:instrText>
        </w:r>
        <w:r w:rsidR="005B619F" w:rsidRPr="005B619F">
          <w:rPr>
            <w:noProof/>
            <w:webHidden/>
          </w:rPr>
        </w:r>
        <w:r w:rsidR="005B619F" w:rsidRPr="005B619F">
          <w:rPr>
            <w:noProof/>
            <w:webHidden/>
          </w:rPr>
          <w:fldChar w:fldCharType="separate"/>
        </w:r>
        <w:r w:rsidR="005D3280">
          <w:rPr>
            <w:noProof/>
            <w:webHidden/>
          </w:rPr>
          <w:t>7</w:t>
        </w:r>
        <w:r w:rsidR="005B619F" w:rsidRPr="005B619F">
          <w:rPr>
            <w:noProof/>
            <w:webHidden/>
          </w:rPr>
          <w:fldChar w:fldCharType="end"/>
        </w:r>
      </w:hyperlink>
    </w:p>
    <w:p w14:paraId="587F8B0D" w14:textId="6ECB7985"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26" w:history="1">
        <w:r w:rsidR="005B619F" w:rsidRPr="005B619F">
          <w:rPr>
            <w:rStyle w:val="Hypertextovprepojenie"/>
            <w:rFonts w:eastAsiaTheme="minorHAnsi"/>
            <w:noProof/>
            <w:lang w:eastAsia="en-US"/>
          </w:rPr>
          <w:t>GRAF 2 – Investície zo zdrojov EÚ (b.c., mld. eur)</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_Toc101881926 \h </w:instrText>
        </w:r>
        <w:r w:rsidR="005B619F" w:rsidRPr="005B619F">
          <w:rPr>
            <w:noProof/>
            <w:webHidden/>
          </w:rPr>
        </w:r>
        <w:r w:rsidR="005B619F" w:rsidRPr="005B619F">
          <w:rPr>
            <w:noProof/>
            <w:webHidden/>
          </w:rPr>
          <w:fldChar w:fldCharType="separate"/>
        </w:r>
        <w:r w:rsidR="005D3280">
          <w:rPr>
            <w:noProof/>
            <w:webHidden/>
          </w:rPr>
          <w:t>10</w:t>
        </w:r>
        <w:r w:rsidR="005B619F" w:rsidRPr="005B619F">
          <w:rPr>
            <w:noProof/>
            <w:webHidden/>
          </w:rPr>
          <w:fldChar w:fldCharType="end"/>
        </w:r>
      </w:hyperlink>
    </w:p>
    <w:p w14:paraId="30065095" w14:textId="5479EE8C"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27" w:history="1">
        <w:r w:rsidR="005B619F" w:rsidRPr="005B619F">
          <w:rPr>
            <w:rStyle w:val="Hypertextovprepojenie"/>
            <w:rFonts w:eastAsiaTheme="minorHAnsi"/>
            <w:noProof/>
            <w:lang w:eastAsia="en-US"/>
          </w:rPr>
          <w:t>GRAF 3 – Príspevky k rastu HDP (stále ceny, p. b.)</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_Toc101881927 \h </w:instrText>
        </w:r>
        <w:r w:rsidR="005B619F" w:rsidRPr="005B619F">
          <w:rPr>
            <w:noProof/>
            <w:webHidden/>
          </w:rPr>
        </w:r>
        <w:r w:rsidR="005B619F" w:rsidRPr="005B619F">
          <w:rPr>
            <w:noProof/>
            <w:webHidden/>
          </w:rPr>
          <w:fldChar w:fldCharType="separate"/>
        </w:r>
        <w:r w:rsidR="005D3280">
          <w:rPr>
            <w:noProof/>
            <w:webHidden/>
          </w:rPr>
          <w:t>11</w:t>
        </w:r>
        <w:r w:rsidR="005B619F" w:rsidRPr="005B619F">
          <w:rPr>
            <w:noProof/>
            <w:webHidden/>
          </w:rPr>
          <w:fldChar w:fldCharType="end"/>
        </w:r>
      </w:hyperlink>
    </w:p>
    <w:p w14:paraId="7D4E3C51" w14:textId="652DB447"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28" w:history="1">
        <w:r w:rsidR="005B619F" w:rsidRPr="005B619F">
          <w:rPr>
            <w:rStyle w:val="Hypertextovprepojenie"/>
            <w:rFonts w:eastAsiaTheme="minorHAnsi"/>
            <w:noProof/>
            <w:lang w:eastAsia="en-US"/>
          </w:rPr>
          <w:t>GRAF 4 – Príspevky k rastu zamestnanosti ESA (p. b.)</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_Toc101881928 \h </w:instrText>
        </w:r>
        <w:r w:rsidR="005B619F" w:rsidRPr="005B619F">
          <w:rPr>
            <w:noProof/>
            <w:webHidden/>
          </w:rPr>
        </w:r>
        <w:r w:rsidR="005B619F" w:rsidRPr="005B619F">
          <w:rPr>
            <w:noProof/>
            <w:webHidden/>
          </w:rPr>
          <w:fldChar w:fldCharType="separate"/>
        </w:r>
        <w:r w:rsidR="005D3280">
          <w:rPr>
            <w:noProof/>
            <w:webHidden/>
          </w:rPr>
          <w:t>11</w:t>
        </w:r>
        <w:r w:rsidR="005B619F" w:rsidRPr="005B619F">
          <w:rPr>
            <w:noProof/>
            <w:webHidden/>
          </w:rPr>
          <w:fldChar w:fldCharType="end"/>
        </w:r>
      </w:hyperlink>
    </w:p>
    <w:p w14:paraId="3D6CE79C" w14:textId="6B8BA3CE"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29" w:history="1">
        <w:r w:rsidR="005B619F" w:rsidRPr="005B619F">
          <w:rPr>
            <w:rStyle w:val="Hypertextovprepojenie"/>
            <w:rFonts w:eastAsiaTheme="minorHAnsi"/>
            <w:noProof/>
            <w:lang w:eastAsia="en-US"/>
          </w:rPr>
          <w:t>GRAF 5 – Externé nerovnováhy – zložky salda bežného účtu platobnej bilancie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_Toc101881929 \h </w:instrText>
        </w:r>
        <w:r w:rsidR="005B619F" w:rsidRPr="005B619F">
          <w:rPr>
            <w:noProof/>
            <w:webHidden/>
          </w:rPr>
        </w:r>
        <w:r w:rsidR="005B619F" w:rsidRPr="005B619F">
          <w:rPr>
            <w:noProof/>
            <w:webHidden/>
          </w:rPr>
          <w:fldChar w:fldCharType="separate"/>
        </w:r>
        <w:r w:rsidR="005D3280">
          <w:rPr>
            <w:noProof/>
            <w:webHidden/>
          </w:rPr>
          <w:t>11</w:t>
        </w:r>
        <w:r w:rsidR="005B619F" w:rsidRPr="005B619F">
          <w:rPr>
            <w:noProof/>
            <w:webHidden/>
          </w:rPr>
          <w:fldChar w:fldCharType="end"/>
        </w:r>
      </w:hyperlink>
    </w:p>
    <w:p w14:paraId="15FE3300" w14:textId="1DE21FB2"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0" w:history="1">
        <w:r w:rsidR="005B619F" w:rsidRPr="005B619F">
          <w:rPr>
            <w:rStyle w:val="Hypertextovprepojenie"/>
            <w:rFonts w:eastAsiaTheme="minorHAnsi"/>
            <w:noProof/>
            <w:lang w:eastAsia="en-US"/>
          </w:rPr>
          <w:t>GRAF 6 – Štruktúra spotrebiteľskej inflácie – medziročné príspevky zložiek k CPI (v p. b.)</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_Toc101881930 \h </w:instrText>
        </w:r>
        <w:r w:rsidR="005B619F" w:rsidRPr="005B619F">
          <w:rPr>
            <w:noProof/>
            <w:webHidden/>
          </w:rPr>
        </w:r>
        <w:r w:rsidR="005B619F" w:rsidRPr="005B619F">
          <w:rPr>
            <w:noProof/>
            <w:webHidden/>
          </w:rPr>
          <w:fldChar w:fldCharType="separate"/>
        </w:r>
        <w:r w:rsidR="005D3280">
          <w:rPr>
            <w:noProof/>
            <w:webHidden/>
          </w:rPr>
          <w:t>11</w:t>
        </w:r>
        <w:r w:rsidR="005B619F" w:rsidRPr="005B619F">
          <w:rPr>
            <w:noProof/>
            <w:webHidden/>
          </w:rPr>
          <w:fldChar w:fldCharType="end"/>
        </w:r>
      </w:hyperlink>
    </w:p>
    <w:p w14:paraId="53F74CFB" w14:textId="5B7771F2"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1" w:history="1">
        <w:r w:rsidR="005B619F" w:rsidRPr="005B619F">
          <w:rPr>
            <w:rStyle w:val="Hypertextovprepojenie"/>
            <w:rFonts w:eastAsiaTheme="minorHAnsi"/>
            <w:noProof/>
            <w:lang w:eastAsia="en-US"/>
          </w:rPr>
          <w:t xml:space="preserve">GRAF 7 – </w:t>
        </w:r>
        <w:r w:rsidR="005B619F" w:rsidRPr="005B619F">
          <w:rPr>
            <w:rStyle w:val="Hypertextovprepojenie"/>
            <w:noProof/>
          </w:rPr>
          <w:t xml:space="preserve"> </w:t>
        </w:r>
        <w:r w:rsidR="005B619F" w:rsidRPr="005B619F">
          <w:rPr>
            <w:rStyle w:val="Hypertextovprepojenie"/>
            <w:rFonts w:eastAsiaTheme="minorHAnsi"/>
            <w:noProof/>
            <w:lang w:eastAsia="en-US"/>
          </w:rPr>
          <w:t>Reakcia akciových trhov (23.feb = 1</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_Toc101881931 \h </w:instrText>
        </w:r>
        <w:r w:rsidR="005B619F" w:rsidRPr="005B619F">
          <w:rPr>
            <w:noProof/>
            <w:webHidden/>
          </w:rPr>
        </w:r>
        <w:r w:rsidR="005B619F" w:rsidRPr="005B619F">
          <w:rPr>
            <w:noProof/>
            <w:webHidden/>
          </w:rPr>
          <w:fldChar w:fldCharType="separate"/>
        </w:r>
        <w:r w:rsidR="005D3280">
          <w:rPr>
            <w:noProof/>
            <w:webHidden/>
          </w:rPr>
          <w:t>12</w:t>
        </w:r>
        <w:r w:rsidR="005B619F" w:rsidRPr="005B619F">
          <w:rPr>
            <w:noProof/>
            <w:webHidden/>
          </w:rPr>
          <w:fldChar w:fldCharType="end"/>
        </w:r>
      </w:hyperlink>
    </w:p>
    <w:p w14:paraId="51512C0C" w14:textId="13E5E6E7"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2" w:history="1">
        <w:r w:rsidR="005B619F" w:rsidRPr="005B619F">
          <w:rPr>
            <w:rStyle w:val="Hypertextovprepojenie"/>
            <w:rFonts w:eastAsiaTheme="minorHAnsi"/>
            <w:noProof/>
            <w:lang w:eastAsia="en-US"/>
          </w:rPr>
          <w:t xml:space="preserve">GRAF 8 – </w:t>
        </w:r>
        <w:r w:rsidR="005B619F" w:rsidRPr="005B619F">
          <w:rPr>
            <w:rStyle w:val="Hypertextovprepojenie"/>
            <w:rFonts w:eastAsiaTheme="minorHAnsi" w:cs="Arial"/>
            <w:bCs/>
            <w:noProof/>
            <w:lang w:eastAsia="en-US"/>
          </w:rPr>
          <w:t>Cena ropy Brent (USD/bl.)</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_Toc101881932 \h </w:instrText>
        </w:r>
        <w:r w:rsidR="005B619F" w:rsidRPr="005B619F">
          <w:rPr>
            <w:noProof/>
            <w:webHidden/>
          </w:rPr>
        </w:r>
        <w:r w:rsidR="005B619F" w:rsidRPr="005B619F">
          <w:rPr>
            <w:noProof/>
            <w:webHidden/>
          </w:rPr>
          <w:fldChar w:fldCharType="separate"/>
        </w:r>
        <w:r w:rsidR="005D3280">
          <w:rPr>
            <w:noProof/>
            <w:webHidden/>
          </w:rPr>
          <w:t>12</w:t>
        </w:r>
        <w:r w:rsidR="005B619F" w:rsidRPr="005B619F">
          <w:rPr>
            <w:noProof/>
            <w:webHidden/>
          </w:rPr>
          <w:fldChar w:fldCharType="end"/>
        </w:r>
      </w:hyperlink>
    </w:p>
    <w:p w14:paraId="3213B3A8" w14:textId="75099E37"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3" w:history="1">
        <w:r w:rsidR="005B619F" w:rsidRPr="005B619F">
          <w:rPr>
            <w:rStyle w:val="Hypertextovprepojenie"/>
            <w:rFonts w:eastAsiaTheme="minorHAnsi"/>
            <w:noProof/>
            <w:lang w:eastAsia="en-US"/>
          </w:rPr>
          <w:t>GRAF 9 – Príspevky výrobných faktorov k rastu potenciálneho produktu (p. b.) - prístup MF SR</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_Toc101881933 \h </w:instrText>
        </w:r>
        <w:r w:rsidR="005B619F" w:rsidRPr="005B619F">
          <w:rPr>
            <w:noProof/>
            <w:webHidden/>
          </w:rPr>
        </w:r>
        <w:r w:rsidR="005B619F" w:rsidRPr="005B619F">
          <w:rPr>
            <w:noProof/>
            <w:webHidden/>
          </w:rPr>
          <w:fldChar w:fldCharType="separate"/>
        </w:r>
        <w:r w:rsidR="005D3280">
          <w:rPr>
            <w:noProof/>
            <w:webHidden/>
          </w:rPr>
          <w:t>13</w:t>
        </w:r>
        <w:r w:rsidR="005B619F" w:rsidRPr="005B619F">
          <w:rPr>
            <w:noProof/>
            <w:webHidden/>
          </w:rPr>
          <w:fldChar w:fldCharType="end"/>
        </w:r>
      </w:hyperlink>
    </w:p>
    <w:p w14:paraId="38E01211" w14:textId="7760C5C5"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4" w:history="1">
        <w:r w:rsidR="005B619F" w:rsidRPr="005B619F">
          <w:rPr>
            <w:rStyle w:val="Hypertextovprepojenie"/>
            <w:rFonts w:eastAsiaTheme="minorHAnsi"/>
            <w:noProof/>
            <w:lang w:eastAsia="en-US"/>
          </w:rPr>
          <w:t>GRAF 10 – Produkčná medzera (% pot. HDP) – prístup MF SR</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_Toc101881934 \h </w:instrText>
        </w:r>
        <w:r w:rsidR="005B619F" w:rsidRPr="005B619F">
          <w:rPr>
            <w:noProof/>
            <w:webHidden/>
          </w:rPr>
        </w:r>
        <w:r w:rsidR="005B619F" w:rsidRPr="005B619F">
          <w:rPr>
            <w:noProof/>
            <w:webHidden/>
          </w:rPr>
          <w:fldChar w:fldCharType="separate"/>
        </w:r>
        <w:r w:rsidR="005D3280">
          <w:rPr>
            <w:noProof/>
            <w:webHidden/>
          </w:rPr>
          <w:t>13</w:t>
        </w:r>
        <w:r w:rsidR="005B619F" w:rsidRPr="005B619F">
          <w:rPr>
            <w:noProof/>
            <w:webHidden/>
          </w:rPr>
          <w:fldChar w:fldCharType="end"/>
        </w:r>
      </w:hyperlink>
    </w:p>
    <w:p w14:paraId="0721EE72" w14:textId="6E50D18F"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5" w:history="1">
        <w:r w:rsidR="005B619F" w:rsidRPr="005B619F">
          <w:rPr>
            <w:rStyle w:val="Hypertextovprepojenie"/>
            <w:rFonts w:eastAsiaTheme="minorHAnsi"/>
            <w:noProof/>
            <w:lang w:eastAsia="en-US"/>
          </w:rPr>
          <w:t>GRAF 11 – H</w:t>
        </w:r>
        <w:r w:rsidR="005B619F" w:rsidRPr="005B619F">
          <w:rPr>
            <w:rStyle w:val="Hypertextovprepojenie"/>
            <w:rFonts w:cs="Arial"/>
            <w:noProof/>
          </w:rPr>
          <w:t>DP Slovenska v prognóze a v scenári s vážnejšími dopadmi vojny (index, 2019 = 100)</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_Toc101881935 \h </w:instrText>
        </w:r>
        <w:r w:rsidR="005B619F" w:rsidRPr="005B619F">
          <w:rPr>
            <w:noProof/>
            <w:webHidden/>
          </w:rPr>
        </w:r>
        <w:r w:rsidR="005B619F" w:rsidRPr="005B619F">
          <w:rPr>
            <w:noProof/>
            <w:webHidden/>
          </w:rPr>
          <w:fldChar w:fldCharType="separate"/>
        </w:r>
        <w:r w:rsidR="005D3280">
          <w:rPr>
            <w:noProof/>
            <w:webHidden/>
          </w:rPr>
          <w:t>14</w:t>
        </w:r>
        <w:r w:rsidR="005B619F" w:rsidRPr="005B619F">
          <w:rPr>
            <w:noProof/>
            <w:webHidden/>
          </w:rPr>
          <w:fldChar w:fldCharType="end"/>
        </w:r>
      </w:hyperlink>
    </w:p>
    <w:p w14:paraId="3BC53DD7" w14:textId="46DDF931"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6" w:history="1">
        <w:r w:rsidR="005B619F" w:rsidRPr="005B619F">
          <w:rPr>
            <w:rStyle w:val="Hypertextovprepojenie"/>
            <w:rFonts w:eastAsiaTheme="minorHAnsi"/>
            <w:noProof/>
            <w:lang w:eastAsia="en-US"/>
          </w:rPr>
          <w:t xml:space="preserve">GRAF 12 – </w:t>
        </w:r>
        <w:r w:rsidR="005B619F" w:rsidRPr="005B619F">
          <w:rPr>
            <w:rStyle w:val="Hypertextovprepojenie"/>
            <w:rFonts w:cs="Arial"/>
            <w:noProof/>
          </w:rPr>
          <w:t>Zamestnanosť v prognóze a v scenári s vážnejšími dopadmi vojny (index, 2019 = 100)</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_Toc101881936 \h </w:instrText>
        </w:r>
        <w:r w:rsidR="005B619F" w:rsidRPr="005B619F">
          <w:rPr>
            <w:noProof/>
            <w:webHidden/>
          </w:rPr>
        </w:r>
        <w:r w:rsidR="005B619F" w:rsidRPr="005B619F">
          <w:rPr>
            <w:noProof/>
            <w:webHidden/>
          </w:rPr>
          <w:fldChar w:fldCharType="separate"/>
        </w:r>
        <w:r w:rsidR="005D3280">
          <w:rPr>
            <w:noProof/>
            <w:webHidden/>
          </w:rPr>
          <w:t>14</w:t>
        </w:r>
        <w:r w:rsidR="005B619F" w:rsidRPr="005B619F">
          <w:rPr>
            <w:noProof/>
            <w:webHidden/>
          </w:rPr>
          <w:fldChar w:fldCharType="end"/>
        </w:r>
      </w:hyperlink>
    </w:p>
    <w:p w14:paraId="18E24450" w14:textId="3D714CA8"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7" w:history="1">
        <w:r w:rsidR="005B619F" w:rsidRPr="005B619F">
          <w:rPr>
            <w:rStyle w:val="Hypertextovprepojenie"/>
            <w:rFonts w:eastAsiaTheme="minorHAnsi"/>
            <w:noProof/>
            <w:lang w:eastAsia="en-US"/>
          </w:rPr>
          <w:t xml:space="preserve">GRAF 13 – </w:t>
        </w:r>
        <w:r w:rsidR="005B619F" w:rsidRPr="005B619F">
          <w:rPr>
            <w:rStyle w:val="Hypertextovprepojenie"/>
            <w:noProof/>
          </w:rPr>
          <w:t>Plnenie schváleného rozpočtu - rozdiely na hlavných položkách (ESA 2010), príspevky v mil. eur</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_Toc101881937 \h </w:instrText>
        </w:r>
        <w:r w:rsidR="005B619F" w:rsidRPr="005B619F">
          <w:rPr>
            <w:noProof/>
            <w:webHidden/>
          </w:rPr>
        </w:r>
        <w:r w:rsidR="005B619F" w:rsidRPr="005B619F">
          <w:rPr>
            <w:noProof/>
            <w:webHidden/>
          </w:rPr>
          <w:fldChar w:fldCharType="separate"/>
        </w:r>
        <w:r w:rsidR="005D3280">
          <w:rPr>
            <w:noProof/>
            <w:webHidden/>
          </w:rPr>
          <w:t>16</w:t>
        </w:r>
        <w:r w:rsidR="005B619F" w:rsidRPr="005B619F">
          <w:rPr>
            <w:noProof/>
            <w:webHidden/>
          </w:rPr>
          <w:fldChar w:fldCharType="end"/>
        </w:r>
      </w:hyperlink>
    </w:p>
    <w:p w14:paraId="3B63776C" w14:textId="31219725"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8" w:history="1">
        <w:r w:rsidR="005B619F" w:rsidRPr="005B619F">
          <w:rPr>
            <w:rStyle w:val="Hypertextovprepojenie"/>
            <w:rFonts w:eastAsiaTheme="minorHAnsi"/>
            <w:noProof/>
            <w:lang w:eastAsia="en-US"/>
          </w:rPr>
          <w:t>GRAF 14 – Zmena odhadu daňovo-odvodových príjmov VS za rok 2021 oproti rozpočtu (v % HDP, ESA2010)</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_Toc101881938 \h </w:instrText>
        </w:r>
        <w:r w:rsidR="005B619F" w:rsidRPr="005B619F">
          <w:rPr>
            <w:noProof/>
            <w:webHidden/>
          </w:rPr>
        </w:r>
        <w:r w:rsidR="005B619F" w:rsidRPr="005B619F">
          <w:rPr>
            <w:noProof/>
            <w:webHidden/>
          </w:rPr>
          <w:fldChar w:fldCharType="separate"/>
        </w:r>
        <w:r w:rsidR="005D3280">
          <w:rPr>
            <w:noProof/>
            <w:webHidden/>
          </w:rPr>
          <w:t>18</w:t>
        </w:r>
        <w:r w:rsidR="005B619F" w:rsidRPr="005B619F">
          <w:rPr>
            <w:noProof/>
            <w:webHidden/>
          </w:rPr>
          <w:fldChar w:fldCharType="end"/>
        </w:r>
      </w:hyperlink>
    </w:p>
    <w:p w14:paraId="71E93336" w14:textId="3456FF10"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39" w:history="1">
        <w:r w:rsidR="005B619F" w:rsidRPr="005B619F">
          <w:rPr>
            <w:rStyle w:val="Hypertextovprepojenie"/>
            <w:rFonts w:eastAsiaTheme="minorHAnsi"/>
            <w:noProof/>
            <w:lang w:eastAsia="en-US"/>
          </w:rPr>
          <w:t>GRAF 15 – Plnenie schváleného rozpočtu - rozdiely na hlavných položkách (príspevky v mil. eur, ESA2010)</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_Toc101881939 \h </w:instrText>
        </w:r>
        <w:r w:rsidR="005B619F" w:rsidRPr="005B619F">
          <w:rPr>
            <w:noProof/>
            <w:webHidden/>
          </w:rPr>
        </w:r>
        <w:r w:rsidR="005B619F" w:rsidRPr="005B619F">
          <w:rPr>
            <w:noProof/>
            <w:webHidden/>
          </w:rPr>
          <w:fldChar w:fldCharType="separate"/>
        </w:r>
        <w:r w:rsidR="005D3280">
          <w:rPr>
            <w:noProof/>
            <w:webHidden/>
          </w:rPr>
          <w:t>19</w:t>
        </w:r>
        <w:r w:rsidR="005B619F" w:rsidRPr="005B619F">
          <w:rPr>
            <w:noProof/>
            <w:webHidden/>
          </w:rPr>
          <w:fldChar w:fldCharType="end"/>
        </w:r>
      </w:hyperlink>
    </w:p>
    <w:p w14:paraId="1A5E9BAD" w14:textId="44BDC7CF"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0" w:history="1">
        <w:r w:rsidR="005B619F" w:rsidRPr="005B619F">
          <w:rPr>
            <w:rStyle w:val="Hypertextovprepojenie"/>
            <w:noProof/>
          </w:rPr>
          <w:t>GRAF 16 –</w:t>
        </w:r>
        <w:r w:rsidR="005B619F" w:rsidRPr="005B619F">
          <w:rPr>
            <w:rStyle w:val="Hypertextovprepojenie"/>
            <w:bCs/>
            <w:noProof/>
          </w:rPr>
          <w:t xml:space="preserve"> Súhrn opatrení </w:t>
        </w:r>
        <w:r w:rsidR="005B619F" w:rsidRPr="005B619F">
          <w:rPr>
            <w:rStyle w:val="Hypertextovprepojenie"/>
            <w:noProof/>
          </w:rPr>
          <w:t>prijatých v boji proti koronavírusu (odhad do konca roka, v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_Toc101881940 \h </w:instrText>
        </w:r>
        <w:r w:rsidR="005B619F" w:rsidRPr="005B619F">
          <w:rPr>
            <w:noProof/>
            <w:webHidden/>
          </w:rPr>
        </w:r>
        <w:r w:rsidR="005B619F" w:rsidRPr="005B619F">
          <w:rPr>
            <w:noProof/>
            <w:webHidden/>
          </w:rPr>
          <w:fldChar w:fldCharType="separate"/>
        </w:r>
        <w:r w:rsidR="005D3280">
          <w:rPr>
            <w:noProof/>
            <w:webHidden/>
          </w:rPr>
          <w:t>20</w:t>
        </w:r>
        <w:r w:rsidR="005B619F" w:rsidRPr="005B619F">
          <w:rPr>
            <w:noProof/>
            <w:webHidden/>
          </w:rPr>
          <w:fldChar w:fldCharType="end"/>
        </w:r>
      </w:hyperlink>
    </w:p>
    <w:p w14:paraId="3A86F578" w14:textId="09FC1F35"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1" w:history="1">
        <w:r w:rsidR="005B619F" w:rsidRPr="005B619F">
          <w:rPr>
            <w:rStyle w:val="Hypertextovprepojenie"/>
            <w:rFonts w:eastAsiaTheme="minorHAnsi"/>
            <w:noProof/>
            <w:lang w:eastAsia="en-US"/>
          </w:rPr>
          <w:t>GRAF 17 – Zmena odhadu daňovo-odvodových príjmov VS na rok 2022 oproti rozpočtu (v % HDP, ESA2010)</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_Toc101881941 \h </w:instrText>
        </w:r>
        <w:r w:rsidR="005B619F" w:rsidRPr="005B619F">
          <w:rPr>
            <w:noProof/>
            <w:webHidden/>
          </w:rPr>
        </w:r>
        <w:r w:rsidR="005B619F" w:rsidRPr="005B619F">
          <w:rPr>
            <w:noProof/>
            <w:webHidden/>
          </w:rPr>
          <w:fldChar w:fldCharType="separate"/>
        </w:r>
        <w:r w:rsidR="005D3280">
          <w:rPr>
            <w:noProof/>
            <w:webHidden/>
          </w:rPr>
          <w:t>21</w:t>
        </w:r>
        <w:r w:rsidR="005B619F" w:rsidRPr="005B619F">
          <w:rPr>
            <w:noProof/>
            <w:webHidden/>
          </w:rPr>
          <w:fldChar w:fldCharType="end"/>
        </w:r>
      </w:hyperlink>
    </w:p>
    <w:p w14:paraId="6683CA38" w14:textId="1C1A0B25"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2" w:history="1">
        <w:r w:rsidR="005B619F" w:rsidRPr="005B619F">
          <w:rPr>
            <w:rStyle w:val="Hypertextovprepojenie"/>
            <w:rFonts w:eastAsiaTheme="minorHAnsi"/>
            <w:noProof/>
            <w:lang w:eastAsia="en-US"/>
          </w:rPr>
          <w:t>GRAF 18 – Prognóza počtu žiadateľov o dočasné útočisko v tisícoch</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_Toc101881942 \h </w:instrText>
        </w:r>
        <w:r w:rsidR="005B619F" w:rsidRPr="005B619F">
          <w:rPr>
            <w:noProof/>
            <w:webHidden/>
          </w:rPr>
        </w:r>
        <w:r w:rsidR="005B619F" w:rsidRPr="005B619F">
          <w:rPr>
            <w:noProof/>
            <w:webHidden/>
          </w:rPr>
          <w:fldChar w:fldCharType="separate"/>
        </w:r>
        <w:r w:rsidR="005D3280">
          <w:rPr>
            <w:noProof/>
            <w:webHidden/>
          </w:rPr>
          <w:t>23</w:t>
        </w:r>
        <w:r w:rsidR="005B619F" w:rsidRPr="005B619F">
          <w:rPr>
            <w:noProof/>
            <w:webHidden/>
          </w:rPr>
          <w:fldChar w:fldCharType="end"/>
        </w:r>
      </w:hyperlink>
    </w:p>
    <w:p w14:paraId="68F1A713" w14:textId="26092CDF"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3" w:history="1">
        <w:r w:rsidR="005B619F" w:rsidRPr="005B619F">
          <w:rPr>
            <w:rStyle w:val="Hypertextovprepojenie"/>
            <w:rFonts w:eastAsiaTheme="minorHAnsi"/>
            <w:noProof/>
          </w:rPr>
          <w:t>GRAF 19 –</w:t>
        </w:r>
        <w:r w:rsidR="005B619F" w:rsidRPr="005B619F">
          <w:rPr>
            <w:rStyle w:val="Hypertextovprepojenie"/>
            <w:rFonts w:eastAsia="NeueHaasGroteskText W02" w:cs="Arial"/>
            <w:bCs/>
            <w:noProof/>
            <w:u w:color="2C9ADC"/>
          </w:rPr>
          <w:t> Plánovaný vývoj štrukturálneho salda smerom k MTO (bez reforiem s vplyvom na dlhodobú udržateľnosť)</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_Toc101881943 \h </w:instrText>
        </w:r>
        <w:r w:rsidR="005B619F" w:rsidRPr="005B619F">
          <w:rPr>
            <w:noProof/>
            <w:webHidden/>
          </w:rPr>
        </w:r>
        <w:r w:rsidR="005B619F" w:rsidRPr="005B619F">
          <w:rPr>
            <w:noProof/>
            <w:webHidden/>
          </w:rPr>
          <w:fldChar w:fldCharType="separate"/>
        </w:r>
        <w:r w:rsidR="005D3280">
          <w:rPr>
            <w:noProof/>
            <w:webHidden/>
          </w:rPr>
          <w:t>26</w:t>
        </w:r>
        <w:r w:rsidR="005B619F" w:rsidRPr="005B619F">
          <w:rPr>
            <w:noProof/>
            <w:webHidden/>
          </w:rPr>
          <w:fldChar w:fldCharType="end"/>
        </w:r>
      </w:hyperlink>
    </w:p>
    <w:p w14:paraId="19A370DA" w14:textId="4DFD914D"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4" w:history="1">
        <w:r w:rsidR="005B619F" w:rsidRPr="005B619F">
          <w:rPr>
            <w:rStyle w:val="Hypertextovprepojenie"/>
            <w:rFonts w:eastAsiaTheme="minorHAnsi" w:cs="Arial Narrow"/>
            <w:bCs/>
            <w:noProof/>
            <w:lang w:eastAsia="en-US"/>
          </w:rPr>
          <w:t xml:space="preserve">GRAF </w:t>
        </w:r>
        <w:r w:rsidR="005B619F" w:rsidRPr="005B619F">
          <w:rPr>
            <w:rStyle w:val="Hypertextovprepojenie"/>
            <w:rFonts w:eastAsiaTheme="minorHAnsi"/>
            <w:noProof/>
            <w:lang w:eastAsia="en-US"/>
          </w:rPr>
          <w:t>20 –</w:t>
        </w:r>
        <w:r w:rsidR="005B619F" w:rsidRPr="005B619F">
          <w:rPr>
            <w:rStyle w:val="Hypertextovprepojenie"/>
            <w:rFonts w:eastAsia="NeueHaasGroteskText W02" w:cs="Arial"/>
            <w:bCs/>
            <w:noProof/>
            <w:u w:color="2C9ADC"/>
          </w:rPr>
          <w:t>  Vývoj národne financovaných investícií a  upravených bežných výdavkov (bez EÚ) v rozpočtovom rámci a odporúčania EK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_Toc101881944 \h </w:instrText>
        </w:r>
        <w:r w:rsidR="005B619F" w:rsidRPr="005B619F">
          <w:rPr>
            <w:noProof/>
            <w:webHidden/>
          </w:rPr>
        </w:r>
        <w:r w:rsidR="005B619F" w:rsidRPr="005B619F">
          <w:rPr>
            <w:noProof/>
            <w:webHidden/>
          </w:rPr>
          <w:fldChar w:fldCharType="separate"/>
        </w:r>
        <w:r w:rsidR="005D3280">
          <w:rPr>
            <w:noProof/>
            <w:webHidden/>
          </w:rPr>
          <w:t>27</w:t>
        </w:r>
        <w:r w:rsidR="005B619F" w:rsidRPr="005B619F">
          <w:rPr>
            <w:noProof/>
            <w:webHidden/>
          </w:rPr>
          <w:fldChar w:fldCharType="end"/>
        </w:r>
      </w:hyperlink>
    </w:p>
    <w:p w14:paraId="2E2D12B8" w14:textId="30A44FD2"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5" w:history="1">
        <w:r w:rsidR="005B619F" w:rsidRPr="005B619F">
          <w:rPr>
            <w:rStyle w:val="Hypertextovprepojenie"/>
            <w:rFonts w:eastAsiaTheme="minorHAnsi"/>
            <w:noProof/>
            <w:lang w:eastAsia="en-US"/>
          </w:rPr>
          <w:t xml:space="preserve">GRAF 21 – </w:t>
        </w:r>
        <w:r w:rsidR="005B619F" w:rsidRPr="005B619F">
          <w:rPr>
            <w:rStyle w:val="Hypertextovprepojenie"/>
            <w:rFonts w:eastAsia="NeueHaasGroteskText W02" w:cs="Arial"/>
            <w:bCs/>
            <w:noProof/>
            <w:u w:color="2C9ADC"/>
          </w:rPr>
          <w:t>Deficit VS v rozpočtovom rámci bez opatrení, ciele a deficit zodpovedajúci odporúčaniam EK* pre 2023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_Toc101881945 \h </w:instrText>
        </w:r>
        <w:r w:rsidR="005B619F" w:rsidRPr="005B619F">
          <w:rPr>
            <w:noProof/>
            <w:webHidden/>
          </w:rPr>
        </w:r>
        <w:r w:rsidR="005B619F" w:rsidRPr="005B619F">
          <w:rPr>
            <w:noProof/>
            <w:webHidden/>
          </w:rPr>
          <w:fldChar w:fldCharType="separate"/>
        </w:r>
        <w:r w:rsidR="005D3280">
          <w:rPr>
            <w:noProof/>
            <w:webHidden/>
          </w:rPr>
          <w:t>27</w:t>
        </w:r>
        <w:r w:rsidR="005B619F" w:rsidRPr="005B619F">
          <w:rPr>
            <w:noProof/>
            <w:webHidden/>
          </w:rPr>
          <w:fldChar w:fldCharType="end"/>
        </w:r>
      </w:hyperlink>
    </w:p>
    <w:p w14:paraId="1233E72D" w14:textId="7F75CB9B"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6" w:history="1">
        <w:r w:rsidR="005B619F" w:rsidRPr="005B619F">
          <w:rPr>
            <w:rStyle w:val="Hypertextovprepojenie"/>
            <w:rFonts w:eastAsiaTheme="minorHAnsi"/>
            <w:noProof/>
          </w:rPr>
          <w:t>GRAF 22</w:t>
        </w:r>
        <w:r w:rsidR="005B619F" w:rsidRPr="005B619F">
          <w:rPr>
            <w:rStyle w:val="Hypertextovprepojenie"/>
            <w:noProof/>
          </w:rPr>
          <w:t xml:space="preserve"> – Príspevky k fiškálnej pozícii SR meranej metodikou EK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_Toc101881946 \h </w:instrText>
        </w:r>
        <w:r w:rsidR="005B619F" w:rsidRPr="005B619F">
          <w:rPr>
            <w:noProof/>
            <w:webHidden/>
          </w:rPr>
        </w:r>
        <w:r w:rsidR="005B619F" w:rsidRPr="005B619F">
          <w:rPr>
            <w:noProof/>
            <w:webHidden/>
          </w:rPr>
          <w:fldChar w:fldCharType="separate"/>
        </w:r>
        <w:r w:rsidR="005D3280">
          <w:rPr>
            <w:noProof/>
            <w:webHidden/>
          </w:rPr>
          <w:t>28</w:t>
        </w:r>
        <w:r w:rsidR="005B619F" w:rsidRPr="005B619F">
          <w:rPr>
            <w:noProof/>
            <w:webHidden/>
          </w:rPr>
          <w:fldChar w:fldCharType="end"/>
        </w:r>
      </w:hyperlink>
    </w:p>
    <w:p w14:paraId="6C386404" w14:textId="54330B83"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7" w:history="1">
        <w:r w:rsidR="005B619F" w:rsidRPr="005B619F">
          <w:rPr>
            <w:rStyle w:val="Hypertextovprepojenie"/>
            <w:rFonts w:cs="Arial"/>
            <w:noProof/>
          </w:rPr>
          <w:t>GRAF 23 – Počet nezaopatrených detí podľa veku</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_Toc101881947 \h </w:instrText>
        </w:r>
        <w:r w:rsidR="005B619F" w:rsidRPr="005B619F">
          <w:rPr>
            <w:noProof/>
            <w:webHidden/>
          </w:rPr>
        </w:r>
        <w:r w:rsidR="005B619F" w:rsidRPr="005B619F">
          <w:rPr>
            <w:noProof/>
            <w:webHidden/>
          </w:rPr>
          <w:fldChar w:fldCharType="separate"/>
        </w:r>
        <w:r w:rsidR="005D3280">
          <w:rPr>
            <w:noProof/>
            <w:webHidden/>
          </w:rPr>
          <w:t>30</w:t>
        </w:r>
        <w:r w:rsidR="005B619F" w:rsidRPr="005B619F">
          <w:rPr>
            <w:noProof/>
            <w:webHidden/>
          </w:rPr>
          <w:fldChar w:fldCharType="end"/>
        </w:r>
      </w:hyperlink>
    </w:p>
    <w:p w14:paraId="4A61CFE9" w14:textId="4A9AA5E6"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8" w:history="1">
        <w:r w:rsidR="005B619F" w:rsidRPr="005B619F">
          <w:rPr>
            <w:rStyle w:val="Hypertextovprepojenie"/>
            <w:rFonts w:cs="Arial"/>
            <w:noProof/>
          </w:rPr>
          <w:t>GRAF 24 – Vplyv opatrení na riziko chudoby</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_Toc101881948 \h </w:instrText>
        </w:r>
        <w:r w:rsidR="005B619F" w:rsidRPr="005B619F">
          <w:rPr>
            <w:noProof/>
            <w:webHidden/>
          </w:rPr>
        </w:r>
        <w:r w:rsidR="005B619F" w:rsidRPr="005B619F">
          <w:rPr>
            <w:noProof/>
            <w:webHidden/>
          </w:rPr>
          <w:fldChar w:fldCharType="separate"/>
        </w:r>
        <w:r w:rsidR="005D3280">
          <w:rPr>
            <w:noProof/>
            <w:webHidden/>
          </w:rPr>
          <w:t>30</w:t>
        </w:r>
        <w:r w:rsidR="005B619F" w:rsidRPr="005B619F">
          <w:rPr>
            <w:noProof/>
            <w:webHidden/>
          </w:rPr>
          <w:fldChar w:fldCharType="end"/>
        </w:r>
      </w:hyperlink>
    </w:p>
    <w:p w14:paraId="2571EB32" w14:textId="5952E819"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49" w:history="1">
        <w:r w:rsidR="005B619F" w:rsidRPr="005B619F">
          <w:rPr>
            <w:rStyle w:val="Hypertextovprepojenie"/>
            <w:rFonts w:cs="Arial"/>
            <w:noProof/>
          </w:rPr>
          <w:t>GRAF 25 – Podiel nákladov na zvýšenie rodinnej politiky</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_Toc101881949 \h </w:instrText>
        </w:r>
        <w:r w:rsidR="005B619F" w:rsidRPr="005B619F">
          <w:rPr>
            <w:noProof/>
            <w:webHidden/>
          </w:rPr>
        </w:r>
        <w:r w:rsidR="005B619F" w:rsidRPr="005B619F">
          <w:rPr>
            <w:noProof/>
            <w:webHidden/>
          </w:rPr>
          <w:fldChar w:fldCharType="separate"/>
        </w:r>
        <w:r w:rsidR="005D3280">
          <w:rPr>
            <w:noProof/>
            <w:webHidden/>
          </w:rPr>
          <w:t>30</w:t>
        </w:r>
        <w:r w:rsidR="005B619F" w:rsidRPr="005B619F">
          <w:rPr>
            <w:noProof/>
            <w:webHidden/>
          </w:rPr>
          <w:fldChar w:fldCharType="end"/>
        </w:r>
      </w:hyperlink>
    </w:p>
    <w:p w14:paraId="1E58B6EE" w14:textId="58411739"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0" w:history="1">
        <w:r w:rsidR="005B619F" w:rsidRPr="005B619F">
          <w:rPr>
            <w:rStyle w:val="Hypertextovprepojenie"/>
            <w:rFonts w:cs="Arial"/>
            <w:noProof/>
          </w:rPr>
          <w:t>GRAF 26 – Percentuálna zmena disponibilných príjmov</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_Toc101881950 \h </w:instrText>
        </w:r>
        <w:r w:rsidR="005B619F" w:rsidRPr="005B619F">
          <w:rPr>
            <w:noProof/>
            <w:webHidden/>
          </w:rPr>
        </w:r>
        <w:r w:rsidR="005B619F" w:rsidRPr="005B619F">
          <w:rPr>
            <w:noProof/>
            <w:webHidden/>
          </w:rPr>
          <w:fldChar w:fldCharType="separate"/>
        </w:r>
        <w:r w:rsidR="005D3280">
          <w:rPr>
            <w:noProof/>
            <w:webHidden/>
          </w:rPr>
          <w:t>30</w:t>
        </w:r>
        <w:r w:rsidR="005B619F" w:rsidRPr="005B619F">
          <w:rPr>
            <w:noProof/>
            <w:webHidden/>
          </w:rPr>
          <w:fldChar w:fldCharType="end"/>
        </w:r>
      </w:hyperlink>
    </w:p>
    <w:p w14:paraId="4C6E932A" w14:textId="20429621"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1" w:history="1">
        <w:r w:rsidR="005B619F" w:rsidRPr="005B619F">
          <w:rPr>
            <w:rStyle w:val="Hypertextovprepojenie"/>
            <w:noProof/>
          </w:rPr>
          <w:t xml:space="preserve">GRAF 27 – </w:t>
        </w:r>
        <w:r w:rsidR="005B619F" w:rsidRPr="005B619F">
          <w:rPr>
            <w:rStyle w:val="Hypertextovprepojenie"/>
            <w:rFonts w:eastAsiaTheme="minorHAnsi"/>
            <w:noProof/>
            <w:lang w:eastAsia="en-US"/>
          </w:rPr>
          <w:t>Hrubý a čistý dlh verejnej správy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_Toc101881951 \h </w:instrText>
        </w:r>
        <w:r w:rsidR="005B619F" w:rsidRPr="005B619F">
          <w:rPr>
            <w:noProof/>
            <w:webHidden/>
          </w:rPr>
        </w:r>
        <w:r w:rsidR="005B619F" w:rsidRPr="005B619F">
          <w:rPr>
            <w:noProof/>
            <w:webHidden/>
          </w:rPr>
          <w:fldChar w:fldCharType="separate"/>
        </w:r>
        <w:r w:rsidR="005D3280">
          <w:rPr>
            <w:noProof/>
            <w:webHidden/>
          </w:rPr>
          <w:t>32</w:t>
        </w:r>
        <w:r w:rsidR="005B619F" w:rsidRPr="005B619F">
          <w:rPr>
            <w:noProof/>
            <w:webHidden/>
          </w:rPr>
          <w:fldChar w:fldCharType="end"/>
        </w:r>
      </w:hyperlink>
    </w:p>
    <w:p w14:paraId="49108FC5" w14:textId="78BA5EFE"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2" w:history="1">
        <w:r w:rsidR="005B619F" w:rsidRPr="005B619F">
          <w:rPr>
            <w:rStyle w:val="Hypertextovprepojenie"/>
            <w:rFonts w:eastAsiaTheme="minorHAnsi"/>
            <w:noProof/>
            <w:lang w:eastAsia="en-US"/>
          </w:rPr>
          <w:t>GRAF 28 – Príspevky k medziročnej zmene hrubého dlhu VS (p. b.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_Toc101881952 \h </w:instrText>
        </w:r>
        <w:r w:rsidR="005B619F" w:rsidRPr="005B619F">
          <w:rPr>
            <w:noProof/>
            <w:webHidden/>
          </w:rPr>
        </w:r>
        <w:r w:rsidR="005B619F" w:rsidRPr="005B619F">
          <w:rPr>
            <w:noProof/>
            <w:webHidden/>
          </w:rPr>
          <w:fldChar w:fldCharType="separate"/>
        </w:r>
        <w:r w:rsidR="005D3280">
          <w:rPr>
            <w:noProof/>
            <w:webHidden/>
          </w:rPr>
          <w:t>33</w:t>
        </w:r>
        <w:r w:rsidR="005B619F" w:rsidRPr="005B619F">
          <w:rPr>
            <w:noProof/>
            <w:webHidden/>
          </w:rPr>
          <w:fldChar w:fldCharType="end"/>
        </w:r>
      </w:hyperlink>
    </w:p>
    <w:p w14:paraId="1B68466B" w14:textId="10D4C564"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3" w:history="1">
        <w:r w:rsidR="005B619F" w:rsidRPr="005B619F">
          <w:rPr>
            <w:rStyle w:val="Hypertextovprepojenie"/>
            <w:rFonts w:eastAsiaTheme="minorHAnsi"/>
            <w:noProof/>
            <w:lang w:eastAsia="en-US"/>
          </w:rPr>
          <w:t>GRAF 29 – Vývoj hrubého dlhu v konsolidačném scenári v porovnaní so scenárom bez konsolidácie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_Toc101881953 \h </w:instrText>
        </w:r>
        <w:r w:rsidR="005B619F" w:rsidRPr="005B619F">
          <w:rPr>
            <w:noProof/>
            <w:webHidden/>
          </w:rPr>
        </w:r>
        <w:r w:rsidR="005B619F" w:rsidRPr="005B619F">
          <w:rPr>
            <w:noProof/>
            <w:webHidden/>
          </w:rPr>
          <w:fldChar w:fldCharType="separate"/>
        </w:r>
        <w:r w:rsidR="005D3280">
          <w:rPr>
            <w:noProof/>
            <w:webHidden/>
          </w:rPr>
          <w:t>33</w:t>
        </w:r>
        <w:r w:rsidR="005B619F" w:rsidRPr="005B619F">
          <w:rPr>
            <w:noProof/>
            <w:webHidden/>
          </w:rPr>
          <w:fldChar w:fldCharType="end"/>
        </w:r>
      </w:hyperlink>
    </w:p>
    <w:p w14:paraId="0A624626" w14:textId="55F0A4D0"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4" w:history="1">
        <w:r w:rsidR="005B619F" w:rsidRPr="005B619F">
          <w:rPr>
            <w:rStyle w:val="Hypertextovprepojenie"/>
            <w:rFonts w:cs="Arial"/>
            <w:noProof/>
          </w:rPr>
          <w:t>GRAF 30 – Indikátor udržateľnosti S1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_Toc101881954 \h </w:instrText>
        </w:r>
        <w:r w:rsidR="005B619F" w:rsidRPr="005B619F">
          <w:rPr>
            <w:noProof/>
            <w:webHidden/>
          </w:rPr>
        </w:r>
        <w:r w:rsidR="005B619F" w:rsidRPr="005B619F">
          <w:rPr>
            <w:noProof/>
            <w:webHidden/>
          </w:rPr>
          <w:fldChar w:fldCharType="separate"/>
        </w:r>
        <w:r w:rsidR="005D3280">
          <w:rPr>
            <w:noProof/>
            <w:webHidden/>
          </w:rPr>
          <w:t>34</w:t>
        </w:r>
        <w:r w:rsidR="005B619F" w:rsidRPr="005B619F">
          <w:rPr>
            <w:noProof/>
            <w:webHidden/>
          </w:rPr>
          <w:fldChar w:fldCharType="end"/>
        </w:r>
      </w:hyperlink>
    </w:p>
    <w:p w14:paraId="7729DA05" w14:textId="01053FCB"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5" w:history="1">
        <w:r w:rsidR="005B619F" w:rsidRPr="005B619F">
          <w:rPr>
            <w:rStyle w:val="Hypertextovprepojenie"/>
            <w:rFonts w:cs="Arial"/>
            <w:noProof/>
          </w:rPr>
          <w:t>GRAF 31 – Indikátor udržateľnosti S2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_Toc101881955 \h </w:instrText>
        </w:r>
        <w:r w:rsidR="005B619F" w:rsidRPr="005B619F">
          <w:rPr>
            <w:noProof/>
            <w:webHidden/>
          </w:rPr>
        </w:r>
        <w:r w:rsidR="005B619F" w:rsidRPr="005B619F">
          <w:rPr>
            <w:noProof/>
            <w:webHidden/>
          </w:rPr>
          <w:fldChar w:fldCharType="separate"/>
        </w:r>
        <w:r w:rsidR="005D3280">
          <w:rPr>
            <w:noProof/>
            <w:webHidden/>
          </w:rPr>
          <w:t>34</w:t>
        </w:r>
        <w:r w:rsidR="005B619F" w:rsidRPr="005B619F">
          <w:rPr>
            <w:noProof/>
            <w:webHidden/>
          </w:rPr>
          <w:fldChar w:fldCharType="end"/>
        </w:r>
      </w:hyperlink>
    </w:p>
    <w:p w14:paraId="1B9DF731" w14:textId="0E3D3369"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6" w:history="1">
        <w:r w:rsidR="005B619F" w:rsidRPr="005B619F">
          <w:rPr>
            <w:rStyle w:val="Hypertextovprepojenie"/>
            <w:rFonts w:cs="Arial"/>
            <w:noProof/>
          </w:rPr>
          <w:t>GRAF 32 – Vplyv reformy I. piliera na výdavky dôchodkového systému (v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_Toc101881956 \h </w:instrText>
        </w:r>
        <w:r w:rsidR="005B619F" w:rsidRPr="005B619F">
          <w:rPr>
            <w:noProof/>
            <w:webHidden/>
          </w:rPr>
        </w:r>
        <w:r w:rsidR="005B619F" w:rsidRPr="005B619F">
          <w:rPr>
            <w:noProof/>
            <w:webHidden/>
          </w:rPr>
          <w:fldChar w:fldCharType="separate"/>
        </w:r>
        <w:r w:rsidR="005D3280">
          <w:rPr>
            <w:noProof/>
            <w:webHidden/>
          </w:rPr>
          <w:t>36</w:t>
        </w:r>
        <w:r w:rsidR="005B619F" w:rsidRPr="005B619F">
          <w:rPr>
            <w:noProof/>
            <w:webHidden/>
          </w:rPr>
          <w:fldChar w:fldCharType="end"/>
        </w:r>
      </w:hyperlink>
    </w:p>
    <w:p w14:paraId="1620D291" w14:textId="1598CF98"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7" w:history="1">
        <w:r w:rsidR="005B619F" w:rsidRPr="005B619F">
          <w:rPr>
            <w:rStyle w:val="Hypertextovprepojenie"/>
            <w:rFonts w:cs="Arial"/>
            <w:noProof/>
          </w:rPr>
          <w:t>GRAF 33 – Zmena S2 pri zavedení jednotlivých opatrení a pri zavedení reformy ako celku (v p. b.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_Toc101881957 \h </w:instrText>
        </w:r>
        <w:r w:rsidR="005B619F" w:rsidRPr="005B619F">
          <w:rPr>
            <w:noProof/>
            <w:webHidden/>
          </w:rPr>
        </w:r>
        <w:r w:rsidR="005B619F" w:rsidRPr="005B619F">
          <w:rPr>
            <w:noProof/>
            <w:webHidden/>
          </w:rPr>
          <w:fldChar w:fldCharType="separate"/>
        </w:r>
        <w:r w:rsidR="005D3280">
          <w:rPr>
            <w:noProof/>
            <w:webHidden/>
          </w:rPr>
          <w:t>36</w:t>
        </w:r>
        <w:r w:rsidR="005B619F" w:rsidRPr="005B619F">
          <w:rPr>
            <w:noProof/>
            <w:webHidden/>
          </w:rPr>
          <w:fldChar w:fldCharType="end"/>
        </w:r>
      </w:hyperlink>
    </w:p>
    <w:p w14:paraId="043ACE42" w14:textId="7272D1A5"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8" w:history="1">
        <w:r w:rsidR="005B619F" w:rsidRPr="005B619F">
          <w:rPr>
            <w:rStyle w:val="Hypertextovprepojenie"/>
            <w:rFonts w:cs="Arial"/>
            <w:noProof/>
          </w:rPr>
          <w:t xml:space="preserve">GRAF 34 – </w:t>
        </w:r>
        <w:r w:rsidR="005B619F" w:rsidRPr="005B619F">
          <w:rPr>
            <w:rStyle w:val="Hypertextovprepojenie"/>
            <w:noProof/>
          </w:rPr>
          <w:t>Daňové príjmy VS 2020 v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_Toc101881958 \h </w:instrText>
        </w:r>
        <w:r w:rsidR="005B619F" w:rsidRPr="005B619F">
          <w:rPr>
            <w:noProof/>
            <w:webHidden/>
          </w:rPr>
        </w:r>
        <w:r w:rsidR="005B619F" w:rsidRPr="005B619F">
          <w:rPr>
            <w:noProof/>
            <w:webHidden/>
          </w:rPr>
          <w:fldChar w:fldCharType="separate"/>
        </w:r>
        <w:r w:rsidR="005D3280">
          <w:rPr>
            <w:noProof/>
            <w:webHidden/>
          </w:rPr>
          <w:t>38</w:t>
        </w:r>
        <w:r w:rsidR="005B619F" w:rsidRPr="005B619F">
          <w:rPr>
            <w:noProof/>
            <w:webHidden/>
          </w:rPr>
          <w:fldChar w:fldCharType="end"/>
        </w:r>
      </w:hyperlink>
    </w:p>
    <w:p w14:paraId="5F077BB0" w14:textId="1C977913"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59" w:history="1">
        <w:r w:rsidR="005B619F" w:rsidRPr="005B619F">
          <w:rPr>
            <w:rStyle w:val="Hypertextovprepojenie"/>
            <w:rFonts w:eastAsiaTheme="minorHAnsi"/>
            <w:noProof/>
            <w:lang w:eastAsia="en-US"/>
          </w:rPr>
          <w:t xml:space="preserve">GRAF 35 </w:t>
        </w:r>
        <w:r w:rsidR="005B619F" w:rsidRPr="005B619F">
          <w:rPr>
            <w:rStyle w:val="Hypertextovprepojenie"/>
            <w:noProof/>
          </w:rPr>
          <w:t>– Zmena daňového zaťaženia 2020 vs. 2012 (% zmena daňového zaťaženia v pomere k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_Toc101881959 \h </w:instrText>
        </w:r>
        <w:r w:rsidR="005B619F" w:rsidRPr="005B619F">
          <w:rPr>
            <w:noProof/>
            <w:webHidden/>
          </w:rPr>
        </w:r>
        <w:r w:rsidR="005B619F" w:rsidRPr="005B619F">
          <w:rPr>
            <w:noProof/>
            <w:webHidden/>
          </w:rPr>
          <w:fldChar w:fldCharType="separate"/>
        </w:r>
        <w:r w:rsidR="005D3280">
          <w:rPr>
            <w:noProof/>
            <w:webHidden/>
          </w:rPr>
          <w:t>38</w:t>
        </w:r>
        <w:r w:rsidR="005B619F" w:rsidRPr="005B619F">
          <w:rPr>
            <w:noProof/>
            <w:webHidden/>
          </w:rPr>
          <w:fldChar w:fldCharType="end"/>
        </w:r>
      </w:hyperlink>
    </w:p>
    <w:p w14:paraId="3D20F43E" w14:textId="51416491"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60" w:history="1">
        <w:r w:rsidR="005B619F" w:rsidRPr="005B619F">
          <w:rPr>
            <w:rStyle w:val="Hypertextovprepojenie"/>
            <w:rFonts w:eastAsiaTheme="minorHAnsi"/>
            <w:noProof/>
            <w:lang w:eastAsia="en-US"/>
          </w:rPr>
          <w:t>GRAF 36 – P</w:t>
        </w:r>
        <w:r w:rsidR="005B619F" w:rsidRPr="005B619F">
          <w:rPr>
            <w:rStyle w:val="Hypertextovprepojenie"/>
            <w:noProof/>
          </w:rPr>
          <w:t>riestor pre zmenu daňového mixu</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_Toc101881960 \h </w:instrText>
        </w:r>
        <w:r w:rsidR="005B619F" w:rsidRPr="005B619F">
          <w:rPr>
            <w:noProof/>
            <w:webHidden/>
          </w:rPr>
        </w:r>
        <w:r w:rsidR="005B619F" w:rsidRPr="005B619F">
          <w:rPr>
            <w:noProof/>
            <w:webHidden/>
          </w:rPr>
          <w:fldChar w:fldCharType="separate"/>
        </w:r>
        <w:r w:rsidR="005D3280">
          <w:rPr>
            <w:noProof/>
            <w:webHidden/>
          </w:rPr>
          <w:t>39</w:t>
        </w:r>
        <w:r w:rsidR="005B619F" w:rsidRPr="005B619F">
          <w:rPr>
            <w:noProof/>
            <w:webHidden/>
          </w:rPr>
          <w:fldChar w:fldCharType="end"/>
        </w:r>
      </w:hyperlink>
    </w:p>
    <w:p w14:paraId="3446B82E" w14:textId="49CDCADD"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61" w:history="1">
        <w:r w:rsidR="005B619F" w:rsidRPr="005B619F">
          <w:rPr>
            <w:rStyle w:val="Hypertextovprepojenie"/>
            <w:rFonts w:eastAsiaTheme="minorHAnsi"/>
            <w:noProof/>
            <w:lang w:eastAsia="en-US"/>
          </w:rPr>
          <w:t xml:space="preserve">GRAF 37 </w:t>
        </w:r>
        <w:r w:rsidR="005B619F" w:rsidRPr="005B619F">
          <w:rPr>
            <w:rStyle w:val="Hypertextovprepojenie"/>
            <w:noProof/>
          </w:rPr>
          <w:t>– Daňová medzera na DPH (% z pot. výberu)</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_Toc101881961 \h </w:instrText>
        </w:r>
        <w:r w:rsidR="005B619F" w:rsidRPr="005B619F">
          <w:rPr>
            <w:noProof/>
            <w:webHidden/>
          </w:rPr>
        </w:r>
        <w:r w:rsidR="005B619F" w:rsidRPr="005B619F">
          <w:rPr>
            <w:noProof/>
            <w:webHidden/>
          </w:rPr>
          <w:fldChar w:fldCharType="separate"/>
        </w:r>
        <w:r w:rsidR="005D3280">
          <w:rPr>
            <w:noProof/>
            <w:webHidden/>
          </w:rPr>
          <w:t>39</w:t>
        </w:r>
        <w:r w:rsidR="005B619F" w:rsidRPr="005B619F">
          <w:rPr>
            <w:noProof/>
            <w:webHidden/>
          </w:rPr>
          <w:fldChar w:fldCharType="end"/>
        </w:r>
      </w:hyperlink>
    </w:p>
    <w:p w14:paraId="18148565" w14:textId="64C309DD"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62" w:history="1">
        <w:r w:rsidR="005B619F" w:rsidRPr="005B619F">
          <w:rPr>
            <w:rStyle w:val="Hypertextovprepojenie"/>
            <w:rFonts w:cs="Arial"/>
            <w:noProof/>
          </w:rPr>
          <w:t xml:space="preserve">GRAF 38 – </w:t>
        </w:r>
        <w:r w:rsidR="005B619F" w:rsidRPr="005B619F">
          <w:rPr>
            <w:rStyle w:val="Hypertextovprepojenie"/>
            <w:noProof/>
          </w:rPr>
          <w:t>Vývoj celkových výdavkov verejnej správy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_Toc101881962 \h </w:instrText>
        </w:r>
        <w:r w:rsidR="005B619F" w:rsidRPr="005B619F">
          <w:rPr>
            <w:noProof/>
            <w:webHidden/>
          </w:rPr>
        </w:r>
        <w:r w:rsidR="005B619F" w:rsidRPr="005B619F">
          <w:rPr>
            <w:noProof/>
            <w:webHidden/>
          </w:rPr>
          <w:fldChar w:fldCharType="separate"/>
        </w:r>
        <w:r w:rsidR="005D3280">
          <w:rPr>
            <w:noProof/>
            <w:webHidden/>
          </w:rPr>
          <w:t>40</w:t>
        </w:r>
        <w:r w:rsidR="005B619F" w:rsidRPr="005B619F">
          <w:rPr>
            <w:noProof/>
            <w:webHidden/>
          </w:rPr>
          <w:fldChar w:fldCharType="end"/>
        </w:r>
      </w:hyperlink>
    </w:p>
    <w:p w14:paraId="664E2E82" w14:textId="221926BE"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63" w:history="1">
        <w:r w:rsidR="005B619F" w:rsidRPr="005B619F">
          <w:rPr>
            <w:rStyle w:val="Hypertextovprepojenie"/>
            <w:rFonts w:cs="Arial"/>
            <w:noProof/>
          </w:rPr>
          <w:t xml:space="preserve">GRAF 39 – </w:t>
        </w:r>
        <w:r w:rsidR="005B619F" w:rsidRPr="005B619F">
          <w:rPr>
            <w:rStyle w:val="Hypertextovprepojenie"/>
            <w:noProof/>
          </w:rPr>
          <w:t>Celkové výdavky verejnej správy v 2020 (% HDP)</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_Toc101881963 \h </w:instrText>
        </w:r>
        <w:r w:rsidR="005B619F" w:rsidRPr="005B619F">
          <w:rPr>
            <w:noProof/>
            <w:webHidden/>
          </w:rPr>
        </w:r>
        <w:r w:rsidR="005B619F" w:rsidRPr="005B619F">
          <w:rPr>
            <w:noProof/>
            <w:webHidden/>
          </w:rPr>
          <w:fldChar w:fldCharType="separate"/>
        </w:r>
        <w:r w:rsidR="005D3280">
          <w:rPr>
            <w:noProof/>
            <w:webHidden/>
          </w:rPr>
          <w:t>40</w:t>
        </w:r>
        <w:r w:rsidR="005B619F" w:rsidRPr="005B619F">
          <w:rPr>
            <w:noProof/>
            <w:webHidden/>
          </w:rPr>
          <w:fldChar w:fldCharType="end"/>
        </w:r>
      </w:hyperlink>
    </w:p>
    <w:p w14:paraId="605B219E" w14:textId="4AE1DEB3" w:rsidR="005B619F" w:rsidRPr="005B619F" w:rsidRDefault="0047025F">
      <w:pPr>
        <w:pStyle w:val="Zoznamobrzkov"/>
        <w:tabs>
          <w:tab w:val="right" w:leader="dot" w:pos="9060"/>
        </w:tabs>
        <w:rPr>
          <w:rFonts w:asciiTheme="minorHAnsi" w:eastAsiaTheme="minorEastAsia" w:hAnsiTheme="minorHAnsi" w:cstheme="minorBidi"/>
          <w:noProof/>
        </w:rPr>
      </w:pPr>
      <w:hyperlink w:anchor="_Toc101881964" w:history="1">
        <w:r w:rsidR="005B619F" w:rsidRPr="005B619F">
          <w:rPr>
            <w:rStyle w:val="Hypertextovprepojenie"/>
            <w:rFonts w:cs="Arial"/>
            <w:noProof/>
          </w:rPr>
          <w:t>GRAF 40 – Transfery verejnej správy, daňové výdavky a vybrané oblasti revízie (modrou) (priemer 2018 – 2021, mil. eur)</w:t>
        </w:r>
        <w:r w:rsidR="005B619F" w:rsidRPr="005B619F">
          <w:rPr>
            <w:noProof/>
            <w:webHidden/>
          </w:rPr>
          <w:tab/>
        </w:r>
        <w:r w:rsidR="005B619F" w:rsidRPr="005B619F">
          <w:rPr>
            <w:noProof/>
            <w:webHidden/>
          </w:rPr>
          <w:fldChar w:fldCharType="begin"/>
        </w:r>
        <w:r w:rsidR="005B619F" w:rsidRPr="005B619F">
          <w:rPr>
            <w:noProof/>
            <w:webHidden/>
          </w:rPr>
          <w:instrText xml:space="preserve"> PAGEREF _Toc101881964 \h </w:instrText>
        </w:r>
        <w:r w:rsidR="005B619F" w:rsidRPr="005B619F">
          <w:rPr>
            <w:noProof/>
            <w:webHidden/>
          </w:rPr>
        </w:r>
        <w:r w:rsidR="005B619F" w:rsidRPr="005B619F">
          <w:rPr>
            <w:noProof/>
            <w:webHidden/>
          </w:rPr>
          <w:fldChar w:fldCharType="separate"/>
        </w:r>
        <w:r w:rsidR="005D3280">
          <w:rPr>
            <w:noProof/>
            <w:webHidden/>
          </w:rPr>
          <w:t>68</w:t>
        </w:r>
        <w:r w:rsidR="005B619F" w:rsidRPr="005B619F">
          <w:rPr>
            <w:noProof/>
            <w:webHidden/>
          </w:rPr>
          <w:fldChar w:fldCharType="end"/>
        </w:r>
      </w:hyperlink>
    </w:p>
    <w:p w14:paraId="52C50F3B" w14:textId="7805AA20" w:rsidR="00490255" w:rsidRPr="00887108" w:rsidRDefault="00315902" w:rsidP="00315902">
      <w:pPr>
        <w:pStyle w:val="Nadpis1"/>
        <w:spacing w:before="240" w:after="240"/>
        <w:rPr>
          <w:b w:val="0"/>
          <w:szCs w:val="28"/>
        </w:rPr>
      </w:pPr>
      <w:r w:rsidRPr="005B619F">
        <w:rPr>
          <w:rStyle w:val="Hypertextovprepojenie"/>
          <w:rFonts w:eastAsiaTheme="minorHAnsi"/>
          <w:b w:val="0"/>
          <w:lang w:eastAsia="en-US"/>
        </w:rPr>
        <w:fldChar w:fldCharType="end"/>
      </w:r>
      <w:r w:rsidR="00916904" w:rsidRPr="00874D9F">
        <w:rPr>
          <w:b w:val="0"/>
        </w:rPr>
        <w:br w:type="page"/>
      </w:r>
      <w:bookmarkStart w:id="36" w:name="_Toc101880654"/>
      <w:bookmarkEnd w:id="0"/>
      <w:bookmarkEnd w:id="2"/>
      <w:bookmarkEnd w:id="3"/>
      <w:bookmarkEnd w:id="4"/>
      <w:bookmarkEnd w:id="5"/>
      <w:bookmarkEnd w:id="6"/>
      <w:bookmarkEnd w:id="7"/>
      <w:bookmarkEnd w:id="8"/>
      <w:bookmarkEnd w:id="9"/>
      <w:bookmarkEnd w:id="10"/>
      <w:bookmarkEnd w:id="11"/>
      <w:bookmarkEnd w:id="12"/>
      <w:bookmarkEnd w:id="13"/>
      <w:bookmarkEnd w:id="19"/>
      <w:bookmarkEnd w:id="20"/>
      <w:bookmarkEnd w:id="21"/>
      <w:bookmarkEnd w:id="22"/>
      <w:bookmarkEnd w:id="23"/>
      <w:r w:rsidR="00490255">
        <w:rPr>
          <w:szCs w:val="28"/>
        </w:rPr>
        <w:t>Hlavné výzvy a ciele hospodárskej politiky</w:t>
      </w:r>
      <w:bookmarkEnd w:id="36"/>
    </w:p>
    <w:p w14:paraId="6CE63E6C" w14:textId="3582E6BB" w:rsidR="00490255" w:rsidRPr="00F14B89" w:rsidRDefault="00490255" w:rsidP="00490255">
      <w:pPr>
        <w:jc w:val="both"/>
      </w:pPr>
      <w:r>
        <w:rPr>
          <w:b/>
        </w:rPr>
        <w:t xml:space="preserve">V rámci neistôt pri </w:t>
      </w:r>
      <w:r w:rsidRPr="00512266">
        <w:rPr>
          <w:b/>
        </w:rPr>
        <w:t>plánovan</w:t>
      </w:r>
      <w:r>
        <w:rPr>
          <w:b/>
        </w:rPr>
        <w:t>í</w:t>
      </w:r>
      <w:r w:rsidRPr="00512266">
        <w:rPr>
          <w:b/>
        </w:rPr>
        <w:t xml:space="preserve"> </w:t>
      </w:r>
      <w:r w:rsidRPr="00953198">
        <w:rPr>
          <w:b/>
        </w:rPr>
        <w:t xml:space="preserve">viacročného </w:t>
      </w:r>
      <w:r w:rsidRPr="00512266">
        <w:rPr>
          <w:b/>
        </w:rPr>
        <w:t xml:space="preserve">rozpočtu </w:t>
      </w:r>
      <w:r w:rsidRPr="000B637F">
        <w:rPr>
          <w:b/>
        </w:rPr>
        <w:t>nahrádza</w:t>
      </w:r>
      <w:r w:rsidRPr="00512266">
        <w:rPr>
          <w:b/>
        </w:rPr>
        <w:t xml:space="preserve"> </w:t>
      </w:r>
      <w:r>
        <w:rPr>
          <w:b/>
        </w:rPr>
        <w:t>doterajšiu p</w:t>
      </w:r>
      <w:r w:rsidRPr="000B637F">
        <w:rPr>
          <w:b/>
        </w:rPr>
        <w:t xml:space="preserve">andemickú krízu </w:t>
      </w:r>
      <w:r w:rsidRPr="00512266">
        <w:rPr>
          <w:b/>
        </w:rPr>
        <w:t>vojenský konf</w:t>
      </w:r>
      <w:r>
        <w:rPr>
          <w:b/>
        </w:rPr>
        <w:t>l</w:t>
      </w:r>
      <w:r w:rsidRPr="00512266">
        <w:rPr>
          <w:b/>
        </w:rPr>
        <w:t>ikt tesne za hranicami</w:t>
      </w:r>
      <w:r>
        <w:rPr>
          <w:b/>
        </w:rPr>
        <w:t xml:space="preserve"> Slovenska, prejavujúci sa aj</w:t>
      </w:r>
      <w:r w:rsidRPr="00512266">
        <w:rPr>
          <w:b/>
        </w:rPr>
        <w:t> </w:t>
      </w:r>
      <w:r>
        <w:rPr>
          <w:b/>
        </w:rPr>
        <w:t>silným</w:t>
      </w:r>
      <w:r w:rsidRPr="00512266">
        <w:rPr>
          <w:b/>
        </w:rPr>
        <w:t xml:space="preserve"> rast</w:t>
      </w:r>
      <w:r>
        <w:rPr>
          <w:b/>
        </w:rPr>
        <w:t>om</w:t>
      </w:r>
      <w:r w:rsidRPr="00512266">
        <w:rPr>
          <w:b/>
        </w:rPr>
        <w:t xml:space="preserve"> cien</w:t>
      </w:r>
      <w:r>
        <w:rPr>
          <w:b/>
        </w:rPr>
        <w:t xml:space="preserve"> a prílevom utečencov</w:t>
      </w:r>
      <w:r w:rsidRPr="00512266">
        <w:rPr>
          <w:b/>
        </w:rPr>
        <w:t>.</w:t>
      </w:r>
      <w:r>
        <w:t xml:space="preserve"> Pandémia spôsobená koronavírusom výrazným spôsobom ovplyvnila aj slovenské verejné financie. Celkové výdavky na pandémiu s vplyvom na rozpočet by mali dosiahnuť medzi rokmi 2020 až 2022 až takmer 6 % HDP. Aj keď pandemická situácia sa postupne upokojuje, rozpočet bude v tomto a ďalšom roku musieť reagovať na ďalšie výzvy. Prvou je prudký nárast cien smerom k dvojcifernému medziročnému rastu, akému Slovensko naposledy čelilo v minulom storočí (viac v kapitole 1). Vysoká inflácia, spôsobená najmä hospodárskym oživením po pandémii</w:t>
      </w:r>
      <w:r w:rsidR="004975D4">
        <w:t>,</w:t>
      </w:r>
      <w:r>
        <w:t xml:space="preserve"> sa prejavuje vyšš</w:t>
      </w:r>
      <w:r w:rsidR="000E4D54">
        <w:t>ími</w:t>
      </w:r>
      <w:r>
        <w:t xml:space="preserve"> príjm</w:t>
      </w:r>
      <w:r w:rsidR="000E4D54">
        <w:t>ami</w:t>
      </w:r>
      <w:r>
        <w:t xml:space="preserve">, no vytvára aj tlak na výdavkovej strane rozpočtu verejnej správy. Druhou výzvou je vojenská invázia Ruska na Ukrajine, ktorej dôsledkom sú nielen zvýšené inflačné tlaky, ale aj priame výdavky v rámci pomoci Ukrajine </w:t>
      </w:r>
      <w:r w:rsidR="003A5209">
        <w:t xml:space="preserve">vo vojenskom konflikte </w:t>
      </w:r>
      <w:r>
        <w:t xml:space="preserve">a výdavky súvisiace s príchodom utečencov na Slovensko (viac v kapitole 3). Neistota ďalšieho vývoja tak zotrváva aj naďalej značne vysoká a strednodobé plánovanie ostáva mimoriadne </w:t>
      </w:r>
      <w:r w:rsidRPr="00F14B89">
        <w:t>náročné</w:t>
      </w:r>
      <w:r w:rsidR="007B0A4D" w:rsidRPr="00F14B89">
        <w:t xml:space="preserve"> (</w:t>
      </w:r>
      <w:r w:rsidR="007B0A4D" w:rsidRPr="00636109">
        <w:rPr>
          <w:rFonts w:eastAsia="Calibri" w:cs="Arial"/>
          <w:b/>
          <w:bCs/>
          <w:color w:val="2C9ADC"/>
          <w:lang w:eastAsia="en-US"/>
        </w:rPr>
        <w:t>GRAF</w:t>
      </w:r>
      <w:r w:rsidR="000E4D54" w:rsidRPr="00636109">
        <w:rPr>
          <w:rFonts w:eastAsia="Calibri" w:cs="Arial"/>
          <w:b/>
          <w:bCs/>
          <w:color w:val="2C9ADC"/>
          <w:lang w:eastAsia="en-US"/>
        </w:rPr>
        <w:t xml:space="preserve"> 1</w:t>
      </w:r>
      <w:r w:rsidR="000E4D54" w:rsidRPr="00F14B89">
        <w:t>)</w:t>
      </w:r>
      <w:r w:rsidRPr="00F14B89">
        <w:t xml:space="preserve">. Obe výzvy zároveň sťažujú cieľ rýchleho poklesu deficitu z aktuálnych približne 5 % HDP výraznejšie pod hranicu </w:t>
      </w:r>
      <w:r w:rsidR="00D8768B" w:rsidRPr="00F14B89">
        <w:t xml:space="preserve">nadmerného deficitu </w:t>
      </w:r>
      <w:r w:rsidRPr="00F14B89">
        <w:t xml:space="preserve">3 % HDP, čo je </w:t>
      </w:r>
      <w:r w:rsidR="00D8768B" w:rsidRPr="00F14B89">
        <w:t xml:space="preserve">zároveň </w:t>
      </w:r>
      <w:r w:rsidRPr="00F14B89">
        <w:t>potrebná úroveň</w:t>
      </w:r>
      <w:r w:rsidR="00D8768B" w:rsidRPr="00F14B89">
        <w:t>,</w:t>
      </w:r>
      <w:r w:rsidRPr="00F14B89">
        <w:t xml:space="preserve"> aby sa vývoj dlhu trvalejšie stabilizoval pod hranicou 60 % HDP. </w:t>
      </w:r>
    </w:p>
    <w:p w14:paraId="57F595F7" w14:textId="77777777" w:rsidR="00490255" w:rsidRPr="00F14B89" w:rsidRDefault="00490255" w:rsidP="00490255">
      <w:pPr>
        <w:jc w:val="both"/>
        <w:rPr>
          <w:b/>
        </w:rPr>
      </w:pPr>
    </w:p>
    <w:p w14:paraId="038711C1" w14:textId="1291FA64" w:rsidR="00490255" w:rsidRDefault="00490255" w:rsidP="00490255">
      <w:pPr>
        <w:jc w:val="both"/>
      </w:pPr>
      <w:r w:rsidRPr="00F14B89">
        <w:rPr>
          <w:b/>
        </w:rPr>
        <w:t>V čase veľkej neistoty ekonomického prostredia prechádza aj slovenský rámec rozpočtových pravidiel výraznými zmenami, ktorý</w:t>
      </w:r>
      <w:r w:rsidR="00396DF3" w:rsidRPr="00F14B89">
        <w:rPr>
          <w:b/>
        </w:rPr>
        <w:t>ch</w:t>
      </w:r>
      <w:r w:rsidRPr="00F14B89">
        <w:rPr>
          <w:b/>
        </w:rPr>
        <w:t xml:space="preserve"> cieľom je zabezpečiť dlhodobú udržateľnosť verejných financií (</w:t>
      </w:r>
      <w:r w:rsidR="007B0A4D" w:rsidRPr="00636109">
        <w:rPr>
          <w:rFonts w:eastAsia="Calibri" w:cs="Arial"/>
          <w:b/>
          <w:bCs/>
          <w:color w:val="2C9ADC"/>
          <w:lang w:eastAsia="en-US"/>
        </w:rPr>
        <w:t>SCHÉMA 1</w:t>
      </w:r>
      <w:r w:rsidRPr="00F14B89">
        <w:rPr>
          <w:b/>
        </w:rPr>
        <w:t>).</w:t>
      </w:r>
      <w:r w:rsidRPr="00F14B89">
        <w:t xml:space="preserve"> Od roku 2023 bude numerické pravidlo v podobe viacročných výdavkových limitov ohraničovať maximálnu výšku výdavkov pod kontrolou vlády. Od budúceho roku by si tak malo nové pravidlo vyžiadať konsolidačné opatrenia v objeme približne pol miliardy eur (0,5 % HDP). To znamená aj prísnejší rámec než aktuálne stanovujú európske fiškálne pravidlá, ktoré umožňujú pre rok 2023 približne neutrálnu fiškálnu politiku (viac v kapitole </w:t>
      </w:r>
      <w:r w:rsidR="00614C05" w:rsidRPr="00636109">
        <w:t>3</w:t>
      </w:r>
      <w:r w:rsidRPr="00F14B89">
        <w:t>). V </w:t>
      </w:r>
      <w:r>
        <w:t>aktuálnom Programe stability sú limity výdavkov určené pre roky 2023 a 2024 zatiaľ indikatívne. Budú spresnené v júli na základe júnových prognóz a identifikovaného rizika dlhodobej udržateľnosti za minulý rok. Jesenný návrh rozpočtu už bude zostavený tak, aby plne rešpektoval záväzne vypočítaný výdavkový limit zo strany Rady pre rozpočtovú zodpovednosť</w:t>
      </w:r>
      <w:r w:rsidR="00355FCF">
        <w:t>, ktorý schváli Národná rada SR</w:t>
      </w:r>
      <w:r>
        <w:t>. Dovtedy má byť jasná aj podoba sankcií dlhovej brzdy</w:t>
      </w:r>
      <w:r w:rsidR="00786A94">
        <w:t xml:space="preserve"> z očakávanej novely zákona</w:t>
      </w:r>
      <w:r>
        <w:t>, ktoré musia výdavkové limity rovnako zohľadniť. Bez novelizácie dlhovej brzdy, ktorá sa očakáva v júni tohto roku, by bol na rok 2024 potrebný už nominálne vyrovnaný rozpočet, čo by znamenalo extrémne prísnu fiškálnu reštrikciu. Úlohou výdavkových limitov je navrátiť slovenské verejné financie z pásma vysokého rizika k stavu dlhodobej udržateľnosti, pričom postup má čo najviac zohľadniť aj ekonomický cyklus. Nový rámec pravidiel bude zároveň vo významnej miere internalizovať politiky vlád prejavujúce sa až v dlhšom horizonte, teda najmä pozitívne a negatívne zmeny v dôchodkovom systéme (</w:t>
      </w:r>
      <w:r w:rsidRPr="00F14B89">
        <w:t xml:space="preserve">viac v kapitole </w:t>
      </w:r>
      <w:r w:rsidR="004975D4">
        <w:t>4</w:t>
      </w:r>
      <w:r w:rsidRPr="00F14B89">
        <w:t>).</w:t>
      </w:r>
    </w:p>
    <w:p w14:paraId="6FC0D79A" w14:textId="77777777" w:rsidR="00490255" w:rsidRDefault="00490255" w:rsidP="00490255">
      <w:pPr>
        <w:jc w:val="both"/>
      </w:pPr>
    </w:p>
    <w:tbl>
      <w:tblPr>
        <w:tblW w:w="9269" w:type="dxa"/>
        <w:tblCellMar>
          <w:left w:w="70" w:type="dxa"/>
          <w:right w:w="70" w:type="dxa"/>
        </w:tblCellMar>
        <w:tblLook w:val="0000" w:firstRow="0" w:lastRow="0" w:firstColumn="0" w:lastColumn="0" w:noHBand="0" w:noVBand="0"/>
      </w:tblPr>
      <w:tblGrid>
        <w:gridCol w:w="4528"/>
        <w:gridCol w:w="146"/>
        <w:gridCol w:w="4595"/>
      </w:tblGrid>
      <w:tr w:rsidR="00E42F52" w:rsidRPr="007D733B" w14:paraId="320E2C1C" w14:textId="77777777" w:rsidTr="00636109">
        <w:trPr>
          <w:trHeight w:val="25"/>
        </w:trPr>
        <w:tc>
          <w:tcPr>
            <w:tcW w:w="4528" w:type="dxa"/>
            <w:tcBorders>
              <w:top w:val="nil"/>
              <w:left w:val="nil"/>
              <w:bottom w:val="single" w:sz="8" w:space="0" w:color="auto"/>
              <w:right w:val="nil"/>
            </w:tcBorders>
            <w:shd w:val="clear" w:color="auto" w:fill="auto"/>
            <w:noWrap/>
            <w:vAlign w:val="center"/>
          </w:tcPr>
          <w:p w14:paraId="541C1B84" w14:textId="18ACE9C9" w:rsidR="00490255" w:rsidRPr="00A531B5" w:rsidRDefault="00490255" w:rsidP="000E4D54">
            <w:pPr>
              <w:keepNext/>
              <w:outlineLvl w:val="2"/>
              <w:rPr>
                <w:rFonts w:eastAsia="Calibri" w:cs="Arial"/>
                <w:b/>
                <w:bCs/>
                <w:color w:val="2C9ADC"/>
                <w:sz w:val="20"/>
                <w:szCs w:val="26"/>
                <w:lang w:eastAsia="en-US"/>
              </w:rPr>
            </w:pPr>
            <w:bookmarkStart w:id="37" w:name="_Toc101881925"/>
            <w:r w:rsidRPr="00903B7A">
              <w:rPr>
                <w:rFonts w:eastAsiaTheme="minorHAnsi"/>
                <w:b/>
                <w:bCs/>
                <w:color w:val="2C9ADC"/>
                <w:sz w:val="20"/>
                <w:szCs w:val="20"/>
                <w:lang w:eastAsia="en-US"/>
              </w:rPr>
              <w:t>G</w:t>
            </w:r>
            <w:r w:rsidR="00903B7A" w:rsidRPr="00903B7A">
              <w:rPr>
                <w:rFonts w:eastAsiaTheme="minorHAnsi"/>
                <w:b/>
                <w:bCs/>
                <w:color w:val="2C9ADC"/>
                <w:sz w:val="20"/>
                <w:szCs w:val="20"/>
                <w:lang w:eastAsia="en-US"/>
              </w:rPr>
              <w:t>RAF</w:t>
            </w:r>
            <w:r w:rsidRPr="00903B7A">
              <w:rPr>
                <w:rFonts w:eastAsiaTheme="minorHAnsi"/>
                <w:b/>
                <w:bCs/>
                <w:color w:val="2C9ADC"/>
                <w:sz w:val="20"/>
                <w:szCs w:val="20"/>
                <w:lang w:eastAsia="en-US"/>
              </w:rPr>
              <w:t xml:space="preserve"> </w:t>
            </w:r>
            <w:r w:rsidR="00903B7A" w:rsidRPr="00903B7A">
              <w:rPr>
                <w:rFonts w:eastAsiaTheme="minorHAnsi"/>
                <w:b/>
                <w:color w:val="2C9ADC"/>
                <w:sz w:val="20"/>
                <w:szCs w:val="20"/>
                <w:lang w:eastAsia="en-US"/>
              </w:rPr>
              <w:fldChar w:fldCharType="begin"/>
            </w:r>
            <w:r w:rsidR="00903B7A" w:rsidRPr="00903B7A">
              <w:rPr>
                <w:rFonts w:eastAsiaTheme="minorHAnsi"/>
                <w:b/>
                <w:color w:val="2C9ADC"/>
                <w:sz w:val="20"/>
                <w:szCs w:val="20"/>
                <w:lang w:eastAsia="en-US"/>
              </w:rPr>
              <w:instrText xml:space="preserve"> SEQ GRAF \* ARABIC </w:instrText>
            </w:r>
            <w:r w:rsidR="00903B7A" w:rsidRPr="00903B7A">
              <w:rPr>
                <w:rFonts w:eastAsiaTheme="minorHAnsi"/>
                <w:b/>
                <w:color w:val="2C9ADC"/>
                <w:sz w:val="20"/>
                <w:szCs w:val="20"/>
                <w:lang w:eastAsia="en-US"/>
              </w:rPr>
              <w:fldChar w:fldCharType="separate"/>
            </w:r>
            <w:r w:rsidR="005D3280">
              <w:rPr>
                <w:rFonts w:eastAsiaTheme="minorHAnsi"/>
                <w:b/>
                <w:noProof/>
                <w:color w:val="2C9ADC"/>
                <w:sz w:val="20"/>
                <w:szCs w:val="20"/>
                <w:lang w:eastAsia="en-US"/>
              </w:rPr>
              <w:t>1</w:t>
            </w:r>
            <w:r w:rsidR="00903B7A" w:rsidRPr="00903B7A">
              <w:rPr>
                <w:rFonts w:eastAsiaTheme="minorHAnsi"/>
                <w:b/>
                <w:color w:val="2C9ADC"/>
                <w:sz w:val="20"/>
                <w:szCs w:val="20"/>
                <w:lang w:eastAsia="en-US"/>
              </w:rPr>
              <w:fldChar w:fldCharType="end"/>
            </w:r>
            <w:r w:rsidRPr="00A531B5">
              <w:rPr>
                <w:rFonts w:eastAsia="Calibri" w:cs="Arial"/>
                <w:b/>
                <w:bCs/>
                <w:color w:val="2C9ADC"/>
                <w:sz w:val="20"/>
                <w:szCs w:val="26"/>
                <w:lang w:eastAsia="en-US"/>
              </w:rPr>
              <w:t xml:space="preserve"> </w:t>
            </w:r>
            <w:r w:rsidR="00874D9F">
              <w:rPr>
                <w:rFonts w:eastAsia="Calibri" w:cs="Arial"/>
                <w:b/>
                <w:bCs/>
                <w:color w:val="2C9ADC"/>
                <w:sz w:val="20"/>
                <w:szCs w:val="26"/>
                <w:lang w:eastAsia="en-US"/>
              </w:rPr>
              <w:t xml:space="preserve">– </w:t>
            </w:r>
            <w:r w:rsidRPr="00A531B5">
              <w:rPr>
                <w:rFonts w:eastAsia="Calibri" w:cs="Arial"/>
                <w:b/>
                <w:bCs/>
                <w:color w:val="2C9ADC"/>
                <w:sz w:val="20"/>
                <w:szCs w:val="26"/>
                <w:lang w:eastAsia="en-US"/>
              </w:rPr>
              <w:t>Index ekonomickej neistoty</w:t>
            </w:r>
            <w:r w:rsidR="00E42F52">
              <w:rPr>
                <w:rFonts w:eastAsia="Calibri" w:cs="Arial"/>
                <w:b/>
                <w:bCs/>
                <w:color w:val="2C9ADC"/>
                <w:sz w:val="20"/>
                <w:szCs w:val="26"/>
                <w:lang w:eastAsia="en-US"/>
              </w:rPr>
              <w:t xml:space="preserve"> (index, HDP vážený priemer)</w:t>
            </w:r>
            <w:bookmarkEnd w:id="37"/>
          </w:p>
        </w:tc>
        <w:tc>
          <w:tcPr>
            <w:tcW w:w="146" w:type="dxa"/>
            <w:tcBorders>
              <w:top w:val="nil"/>
              <w:left w:val="nil"/>
              <w:bottom w:val="nil"/>
              <w:right w:val="nil"/>
            </w:tcBorders>
          </w:tcPr>
          <w:p w14:paraId="5558786F" w14:textId="77777777" w:rsidR="00490255" w:rsidRPr="00A531B5" w:rsidRDefault="00490255" w:rsidP="000E4D54">
            <w:pPr>
              <w:rPr>
                <w:rFonts w:eastAsia="Calibri" w:cs="Arial"/>
                <w:b/>
                <w:bCs/>
                <w:color w:val="2C9ADC"/>
                <w:sz w:val="20"/>
                <w:szCs w:val="26"/>
                <w:lang w:eastAsia="en-US"/>
              </w:rPr>
            </w:pPr>
          </w:p>
        </w:tc>
        <w:tc>
          <w:tcPr>
            <w:tcW w:w="4595" w:type="dxa"/>
            <w:tcBorders>
              <w:top w:val="nil"/>
              <w:left w:val="nil"/>
              <w:bottom w:val="single" w:sz="8" w:space="0" w:color="auto"/>
              <w:right w:val="nil"/>
            </w:tcBorders>
            <w:shd w:val="clear" w:color="auto" w:fill="auto"/>
            <w:noWrap/>
          </w:tcPr>
          <w:p w14:paraId="3E11203A" w14:textId="7A44E66B" w:rsidR="00490255" w:rsidRPr="00A531B5" w:rsidRDefault="00903B7A">
            <w:pPr>
              <w:keepNext/>
              <w:outlineLvl w:val="2"/>
              <w:rPr>
                <w:rFonts w:eastAsia="Calibri" w:cs="Arial"/>
                <w:b/>
                <w:bCs/>
                <w:color w:val="2C9ADC"/>
                <w:sz w:val="20"/>
                <w:szCs w:val="26"/>
                <w:lang w:eastAsia="en-US"/>
              </w:rPr>
            </w:pPr>
            <w:r>
              <w:rPr>
                <w:rFonts w:eastAsia="Calibri" w:cs="Arial"/>
                <w:b/>
                <w:bCs/>
                <w:color w:val="2C9ADC"/>
                <w:sz w:val="20"/>
                <w:szCs w:val="26"/>
                <w:lang w:eastAsia="en-US"/>
              </w:rPr>
              <w:t>SCHÉMA</w:t>
            </w:r>
            <w:r w:rsidR="00490255" w:rsidRPr="00A531B5">
              <w:rPr>
                <w:rFonts w:eastAsia="Calibri" w:cs="Arial"/>
                <w:b/>
                <w:bCs/>
                <w:color w:val="2C9ADC"/>
                <w:sz w:val="20"/>
                <w:szCs w:val="26"/>
                <w:lang w:eastAsia="en-US"/>
              </w:rPr>
              <w:t xml:space="preserve"> </w:t>
            </w:r>
            <w:r w:rsidR="00874D9F">
              <w:rPr>
                <w:rFonts w:eastAsia="Calibri" w:cs="Arial"/>
                <w:b/>
                <w:bCs/>
                <w:color w:val="2C9ADC"/>
                <w:sz w:val="20"/>
                <w:szCs w:val="26"/>
                <w:lang w:eastAsia="en-US"/>
              </w:rPr>
              <w:t>1</w:t>
            </w:r>
            <w:r w:rsidR="00490255" w:rsidRPr="00A531B5">
              <w:rPr>
                <w:rFonts w:eastAsia="Calibri" w:cs="Arial"/>
                <w:b/>
                <w:bCs/>
                <w:color w:val="2C9ADC"/>
                <w:sz w:val="20"/>
                <w:szCs w:val="26"/>
                <w:lang w:eastAsia="en-US"/>
              </w:rPr>
              <w:t xml:space="preserve"> </w:t>
            </w:r>
            <w:r w:rsidR="00874D9F">
              <w:rPr>
                <w:rFonts w:eastAsia="Calibri" w:cs="Arial"/>
                <w:b/>
                <w:bCs/>
                <w:color w:val="2C9ADC"/>
                <w:sz w:val="20"/>
                <w:szCs w:val="26"/>
                <w:lang w:eastAsia="en-US"/>
              </w:rPr>
              <w:t xml:space="preserve">– </w:t>
            </w:r>
            <w:r w:rsidR="00490255" w:rsidRPr="00A531B5">
              <w:rPr>
                <w:rFonts w:eastAsia="Calibri" w:cs="Arial"/>
                <w:b/>
                <w:bCs/>
                <w:color w:val="2C9ADC"/>
                <w:sz w:val="20"/>
                <w:szCs w:val="26"/>
                <w:lang w:eastAsia="en-US"/>
              </w:rPr>
              <w:t>Závádzanie výdavkových limitov</w:t>
            </w:r>
          </w:p>
        </w:tc>
      </w:tr>
      <w:tr w:rsidR="00E42F52" w:rsidRPr="007D733B" w14:paraId="44D68BD3" w14:textId="77777777" w:rsidTr="00E42F52">
        <w:trPr>
          <w:trHeight w:val="2537"/>
        </w:trPr>
        <w:tc>
          <w:tcPr>
            <w:tcW w:w="4528" w:type="dxa"/>
            <w:tcBorders>
              <w:top w:val="single" w:sz="8" w:space="0" w:color="auto"/>
              <w:left w:val="nil"/>
              <w:bottom w:val="nil"/>
              <w:right w:val="nil"/>
            </w:tcBorders>
            <w:shd w:val="clear" w:color="auto" w:fill="auto"/>
            <w:noWrap/>
            <w:vAlign w:val="center"/>
          </w:tcPr>
          <w:p w14:paraId="64BEFC3F" w14:textId="57742F18" w:rsidR="00490255" w:rsidRPr="007D733B" w:rsidRDefault="00E42F52" w:rsidP="000E4D54">
            <w:pPr>
              <w:rPr>
                <w:rFonts w:cs="Arial"/>
                <w:sz w:val="16"/>
                <w:szCs w:val="16"/>
                <w:highlight w:val="yellow"/>
              </w:rPr>
            </w:pPr>
            <w:r>
              <w:rPr>
                <w:noProof/>
              </w:rPr>
              <w:drawing>
                <wp:inline distT="0" distB="0" distL="0" distR="0" wp14:anchorId="1F3F90A6" wp14:editId="324151C6">
                  <wp:extent cx="2764790" cy="1888671"/>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146" w:type="dxa"/>
            <w:tcBorders>
              <w:top w:val="nil"/>
              <w:left w:val="nil"/>
              <w:bottom w:val="nil"/>
              <w:right w:val="nil"/>
            </w:tcBorders>
            <w:shd w:val="clear" w:color="auto" w:fill="auto"/>
          </w:tcPr>
          <w:p w14:paraId="0DDFE112" w14:textId="77777777" w:rsidR="00490255" w:rsidRPr="007D733B" w:rsidRDefault="00490255" w:rsidP="000E4D54">
            <w:pPr>
              <w:rPr>
                <w:rFonts w:cs="Arial"/>
                <w:sz w:val="20"/>
                <w:szCs w:val="20"/>
                <w:highlight w:val="yellow"/>
              </w:rPr>
            </w:pPr>
          </w:p>
        </w:tc>
        <w:tc>
          <w:tcPr>
            <w:tcW w:w="4595" w:type="dxa"/>
            <w:tcBorders>
              <w:top w:val="single" w:sz="8" w:space="0" w:color="auto"/>
              <w:left w:val="nil"/>
              <w:bottom w:val="nil"/>
              <w:right w:val="nil"/>
            </w:tcBorders>
            <w:shd w:val="clear" w:color="auto" w:fill="auto"/>
            <w:noWrap/>
            <w:vAlign w:val="center"/>
          </w:tcPr>
          <w:p w14:paraId="60CA1D65" w14:textId="77777777" w:rsidR="00490255" w:rsidRPr="007D733B" w:rsidRDefault="00490255" w:rsidP="000E4D54">
            <w:pPr>
              <w:jc w:val="center"/>
              <w:rPr>
                <w:rFonts w:cs="Arial"/>
                <w:sz w:val="20"/>
                <w:szCs w:val="20"/>
                <w:highlight w:val="yellow"/>
              </w:rPr>
            </w:pPr>
            <w:r>
              <w:rPr>
                <w:noProof/>
              </w:rPr>
              <w:drawing>
                <wp:inline distT="0" distB="0" distL="0" distR="0" wp14:anchorId="1432202D" wp14:editId="6166B2D5">
                  <wp:extent cx="2828925" cy="1341120"/>
                  <wp:effectExtent l="0" t="95250" r="0" b="10668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r w:rsidR="00E42F52" w:rsidRPr="007D733B" w14:paraId="04FA9599" w14:textId="77777777" w:rsidTr="00E42F52">
        <w:trPr>
          <w:trHeight w:val="89"/>
        </w:trPr>
        <w:tc>
          <w:tcPr>
            <w:tcW w:w="4528" w:type="dxa"/>
            <w:tcBorders>
              <w:top w:val="single" w:sz="4" w:space="0" w:color="auto"/>
              <w:left w:val="nil"/>
              <w:right w:val="nil"/>
            </w:tcBorders>
            <w:shd w:val="clear" w:color="auto" w:fill="auto"/>
            <w:noWrap/>
            <w:vAlign w:val="center"/>
          </w:tcPr>
          <w:p w14:paraId="75BEF936" w14:textId="48B3D7C5" w:rsidR="00490255" w:rsidRPr="00873D3A" w:rsidRDefault="00490255" w:rsidP="000E4D54">
            <w:pPr>
              <w:jc w:val="right"/>
              <w:rPr>
                <w:rFonts w:cs="Arial Narrow"/>
                <w:i/>
                <w:iCs/>
                <w:sz w:val="16"/>
                <w:szCs w:val="16"/>
              </w:rPr>
            </w:pPr>
            <w:r w:rsidRPr="00873D3A">
              <w:rPr>
                <w:rFonts w:cs="Arial Narrow"/>
                <w:i/>
                <w:iCs/>
                <w:sz w:val="16"/>
                <w:szCs w:val="16"/>
              </w:rPr>
              <w:t>Zdroj: MF SR</w:t>
            </w:r>
            <w:r w:rsidR="00E42F52" w:rsidRPr="00873D3A">
              <w:rPr>
                <w:rFonts w:cs="Arial Narrow"/>
                <w:i/>
                <w:iCs/>
                <w:sz w:val="16"/>
                <w:szCs w:val="16"/>
              </w:rPr>
              <w:t>, MMF</w:t>
            </w:r>
          </w:p>
        </w:tc>
        <w:tc>
          <w:tcPr>
            <w:tcW w:w="146" w:type="dxa"/>
            <w:tcBorders>
              <w:top w:val="nil"/>
              <w:left w:val="nil"/>
              <w:right w:val="nil"/>
            </w:tcBorders>
            <w:shd w:val="clear" w:color="auto" w:fill="auto"/>
          </w:tcPr>
          <w:p w14:paraId="3A6B8B79" w14:textId="77777777" w:rsidR="00490255" w:rsidRPr="00873D3A" w:rsidRDefault="00490255" w:rsidP="000E4D54">
            <w:pPr>
              <w:jc w:val="right"/>
              <w:rPr>
                <w:rFonts w:cs="Arial Narrow"/>
                <w:sz w:val="20"/>
                <w:szCs w:val="20"/>
              </w:rPr>
            </w:pPr>
          </w:p>
        </w:tc>
        <w:tc>
          <w:tcPr>
            <w:tcW w:w="4595" w:type="dxa"/>
            <w:tcBorders>
              <w:top w:val="single" w:sz="4" w:space="0" w:color="auto"/>
              <w:left w:val="nil"/>
              <w:right w:val="nil"/>
            </w:tcBorders>
            <w:shd w:val="clear" w:color="auto" w:fill="auto"/>
            <w:noWrap/>
            <w:vAlign w:val="center"/>
          </w:tcPr>
          <w:p w14:paraId="4AD2685D" w14:textId="77777777" w:rsidR="00490255" w:rsidRPr="00873D3A" w:rsidRDefault="00490255" w:rsidP="000E4D54">
            <w:pPr>
              <w:spacing w:before="40"/>
              <w:jc w:val="right"/>
              <w:rPr>
                <w:rFonts w:cs="Arial Narrow"/>
                <w:i/>
                <w:iCs/>
                <w:sz w:val="16"/>
                <w:szCs w:val="16"/>
              </w:rPr>
            </w:pPr>
            <w:r w:rsidRPr="00873D3A">
              <w:rPr>
                <w:rFonts w:cs="Arial Narrow"/>
                <w:i/>
                <w:iCs/>
                <w:sz w:val="16"/>
                <w:szCs w:val="16"/>
              </w:rPr>
              <w:t>Zdroj: MF SR</w:t>
            </w:r>
          </w:p>
        </w:tc>
      </w:tr>
    </w:tbl>
    <w:p w14:paraId="1C49D1F2" w14:textId="77777777" w:rsidR="00490255" w:rsidRDefault="00490255" w:rsidP="00490255">
      <w:pPr>
        <w:jc w:val="both"/>
      </w:pPr>
    </w:p>
    <w:p w14:paraId="30696E68" w14:textId="7BDBCF36" w:rsidR="00873D3A" w:rsidRDefault="00490255" w:rsidP="00636109">
      <w:pPr>
        <w:jc w:val="both"/>
        <w:rPr>
          <w:color w:val="000000" w:themeColor="text1"/>
        </w:rPr>
      </w:pPr>
      <w:r>
        <w:rPr>
          <w:b/>
          <w:bCs/>
        </w:rPr>
        <w:t>Ďalšou výzvou pre rozpočet bude čerpanie prostriedkov z európskeho rozpočtu, ktoré budú zmierňovať negatívne efekty konsolidácie na ekonomiku</w:t>
      </w:r>
      <w:r>
        <w:t xml:space="preserve">. Dostupné zdroje z rozpočtu EÚ budú historické, čo zároveň znamená výzvu pre plánovanie a technickú </w:t>
      </w:r>
      <w:r w:rsidRPr="00B77647">
        <w:rPr>
          <w:color w:val="000000" w:themeColor="text1"/>
        </w:rPr>
        <w:t xml:space="preserve">prípravu projektov. Z celkového balíka Plánu obnovy a odolnosti na úrovni </w:t>
      </w:r>
      <w:r w:rsidRPr="0078069E">
        <w:rPr>
          <w:color w:val="000000" w:themeColor="text1"/>
        </w:rPr>
        <w:t>vyše 6 miliárd sa očakáva</w:t>
      </w:r>
      <w:r w:rsidRPr="00B77647">
        <w:rPr>
          <w:color w:val="000000" w:themeColor="text1"/>
        </w:rPr>
        <w:t xml:space="preserve"> už v tomto a budúcom roku spustenie </w:t>
      </w:r>
      <w:r w:rsidR="009262F5">
        <w:rPr>
          <w:color w:val="000000" w:themeColor="text1"/>
        </w:rPr>
        <w:t>projektov za vyše 3 miliardy eur</w:t>
      </w:r>
      <w:r w:rsidRPr="00B77647">
        <w:rPr>
          <w:color w:val="000000" w:themeColor="text1"/>
        </w:rPr>
        <w:t>. Rokom 2023 tiež bude končiť III. Programovacie obdobie EŠIF, pričom cieľom je dočerpať v tomto a budúcom roku ostávajúcu až polovicu celkových dostupných zdrojov (viac v kapitole 4).</w:t>
      </w:r>
    </w:p>
    <w:p w14:paraId="080E20B3" w14:textId="77777777" w:rsidR="00490255" w:rsidRPr="0031438B" w:rsidRDefault="00490255" w:rsidP="003B2A65">
      <w:pPr>
        <w:pStyle w:val="Nadpis1"/>
        <w:keepLines/>
        <w:numPr>
          <w:ilvl w:val="0"/>
          <w:numId w:val="2"/>
        </w:numPr>
        <w:spacing w:before="240" w:after="240"/>
        <w:rPr>
          <w:color w:val="2C9ADC"/>
          <w:szCs w:val="28"/>
        </w:rPr>
      </w:pPr>
      <w:bookmarkStart w:id="38" w:name="_Toc70700320"/>
      <w:bookmarkStart w:id="39" w:name="_Toc101880655"/>
      <w:r w:rsidRPr="0031438B">
        <w:rPr>
          <w:color w:val="2C9ADC"/>
          <w:szCs w:val="28"/>
        </w:rPr>
        <w:t>EKONOMICKÝ VÝHĽAD A PREDPOKLADY</w:t>
      </w:r>
      <w:bookmarkEnd w:id="38"/>
      <w:bookmarkEnd w:id="39"/>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90255" w:rsidRPr="00544806" w14:paraId="77B50D6B" w14:textId="77777777" w:rsidTr="000E4D54">
        <w:tc>
          <w:tcPr>
            <w:tcW w:w="9072" w:type="dxa"/>
          </w:tcPr>
          <w:p w14:paraId="21092AA0" w14:textId="77777777" w:rsidR="00490255" w:rsidRPr="00544806" w:rsidRDefault="00490255" w:rsidP="00614C05">
            <w:pPr>
              <w:pStyle w:val="odsekzatabukou"/>
              <w:spacing w:before="120" w:after="120"/>
              <w:rPr>
                <w:i/>
                <w:highlight w:val="yellow"/>
              </w:rPr>
            </w:pPr>
            <w:r>
              <w:rPr>
                <w:i/>
              </w:rPr>
              <w:t>Slovenská ekonomika sa v roku 2022 bude zotavovať z tretej a štvrtej vlny šírenia koronavírusu, oživenie však zbrzdí i</w:t>
            </w:r>
            <w:r w:rsidRPr="00253168">
              <w:rPr>
                <w:i/>
              </w:rPr>
              <w:t>nvázia Ruska na Ukrajinu</w:t>
            </w:r>
            <w:r>
              <w:rPr>
                <w:i/>
              </w:rPr>
              <w:t>.</w:t>
            </w:r>
            <w:r w:rsidRPr="00253168">
              <w:rPr>
                <w:i/>
              </w:rPr>
              <w:t xml:space="preserve"> </w:t>
            </w:r>
            <w:r>
              <w:rPr>
                <w:i/>
              </w:rPr>
              <w:t xml:space="preserve">Hrubý domáci produkt </w:t>
            </w:r>
            <w:r w:rsidRPr="00253168">
              <w:rPr>
                <w:i/>
              </w:rPr>
              <w:t xml:space="preserve">tento rok </w:t>
            </w:r>
            <w:r>
              <w:rPr>
                <w:i/>
              </w:rPr>
              <w:t>vz</w:t>
            </w:r>
            <w:r w:rsidRPr="00253168">
              <w:rPr>
                <w:i/>
              </w:rPr>
              <w:t>r</w:t>
            </w:r>
            <w:r>
              <w:rPr>
                <w:i/>
              </w:rPr>
              <w:t>a</w:t>
            </w:r>
            <w:r w:rsidRPr="00253168">
              <w:rPr>
                <w:i/>
              </w:rPr>
              <w:t xml:space="preserve">stie </w:t>
            </w:r>
            <w:r>
              <w:rPr>
                <w:i/>
              </w:rPr>
              <w:t xml:space="preserve">o </w:t>
            </w:r>
            <w:r w:rsidRPr="00253168">
              <w:rPr>
                <w:i/>
              </w:rPr>
              <w:t>2,1 %. V marci a druhom štvrťroku dôjde k výpadkom exportov do Ruska, Bieloruska a</w:t>
            </w:r>
            <w:r>
              <w:rPr>
                <w:i/>
              </w:rPr>
              <w:t xml:space="preserve"> </w:t>
            </w:r>
            <w:r w:rsidRPr="00253168">
              <w:rPr>
                <w:i/>
              </w:rPr>
              <w:t>Ukrajiny a</w:t>
            </w:r>
            <w:r>
              <w:rPr>
                <w:i/>
              </w:rPr>
              <w:t> </w:t>
            </w:r>
            <w:r w:rsidRPr="00253168">
              <w:rPr>
                <w:i/>
              </w:rPr>
              <w:t>poklesne</w:t>
            </w:r>
            <w:r>
              <w:rPr>
                <w:i/>
              </w:rPr>
              <w:t xml:space="preserve"> </w:t>
            </w:r>
            <w:r w:rsidRPr="00253168">
              <w:rPr>
                <w:i/>
              </w:rPr>
              <w:t>aj</w:t>
            </w:r>
            <w:r>
              <w:rPr>
                <w:i/>
              </w:rPr>
              <w:t xml:space="preserve"> </w:t>
            </w:r>
            <w:r w:rsidRPr="00253168">
              <w:rPr>
                <w:i/>
              </w:rPr>
              <w:t>dopyt v</w:t>
            </w:r>
            <w:r>
              <w:rPr>
                <w:i/>
              </w:rPr>
              <w:t> </w:t>
            </w:r>
            <w:r w:rsidRPr="00253168">
              <w:rPr>
                <w:i/>
              </w:rPr>
              <w:t>eurozóne</w:t>
            </w:r>
            <w:r>
              <w:rPr>
                <w:i/>
              </w:rPr>
              <w:t xml:space="preserve"> </w:t>
            </w:r>
            <w:r w:rsidRPr="00253168">
              <w:rPr>
                <w:i/>
              </w:rPr>
              <w:t>a</w:t>
            </w:r>
            <w:r>
              <w:rPr>
                <w:i/>
              </w:rPr>
              <w:t> </w:t>
            </w:r>
            <w:r w:rsidRPr="00253168">
              <w:rPr>
                <w:i/>
              </w:rPr>
              <w:t>krajinách</w:t>
            </w:r>
            <w:r>
              <w:rPr>
                <w:i/>
              </w:rPr>
              <w:t xml:space="preserve"> </w:t>
            </w:r>
            <w:r w:rsidRPr="00253168">
              <w:rPr>
                <w:i/>
              </w:rPr>
              <w:t>V3.</w:t>
            </w:r>
            <w:r>
              <w:rPr>
                <w:i/>
              </w:rPr>
              <w:t xml:space="preserve"> </w:t>
            </w:r>
            <w:r w:rsidRPr="00253168">
              <w:rPr>
                <w:i/>
              </w:rPr>
              <w:t>Rastúce</w:t>
            </w:r>
            <w:r>
              <w:rPr>
                <w:i/>
              </w:rPr>
              <w:t xml:space="preserve"> </w:t>
            </w:r>
            <w:r w:rsidRPr="00253168">
              <w:rPr>
                <w:i/>
              </w:rPr>
              <w:t>ceny energií sa budú pretavovať do zvyšovania cien spotrebiteľských tovarov a služieb, čo bude znižovať spotrebu domácností. Priemysel pocíti nedostatok súčiastok a zamestnanosť porastie iba mierne. V</w:t>
            </w:r>
            <w:r>
              <w:rPr>
                <w:i/>
              </w:rPr>
              <w:t xml:space="preserve"> </w:t>
            </w:r>
            <w:r w:rsidRPr="00253168">
              <w:rPr>
                <w:i/>
              </w:rPr>
              <w:t xml:space="preserve">základnom scenári predpokladáme oživenie v druhej polovici roka. Očakávame, že v budúcom roku HDP vzrastie o 5,3 %, pod čo sa podpíše oživenie po odznení konfliktu a čerpanie fondov EÚ. </w:t>
            </w:r>
            <w:r w:rsidRPr="002F2407">
              <w:rPr>
                <w:i/>
              </w:rPr>
              <w:t xml:space="preserve">V ďalších rokoch </w:t>
            </w:r>
            <w:r>
              <w:rPr>
                <w:i/>
              </w:rPr>
              <w:t>bude e</w:t>
            </w:r>
            <w:r w:rsidRPr="00977065">
              <w:rPr>
                <w:i/>
              </w:rPr>
              <w:t>konomický vývoj tlmiť očakávaná konsolidácia verejných financií, ku ktorej vláda plánuje pristúpiť od rok</w:t>
            </w:r>
            <w:r>
              <w:rPr>
                <w:i/>
              </w:rPr>
              <w:t>u 2023. R</w:t>
            </w:r>
            <w:r w:rsidRPr="002F2407">
              <w:rPr>
                <w:i/>
              </w:rPr>
              <w:t>ast klesne pod 2 % a ekonomika sa prestane prehrievať.</w:t>
            </w:r>
            <w:r>
              <w:rPr>
                <w:i/>
              </w:rPr>
              <w:t xml:space="preserve"> V roku 2025 bude hrubý domáci</w:t>
            </w:r>
            <w:r w:rsidRPr="00544806" w:rsidDel="00544806">
              <w:rPr>
                <w:i/>
              </w:rPr>
              <w:t xml:space="preserve"> </w:t>
            </w:r>
            <w:r>
              <w:rPr>
                <w:i/>
              </w:rPr>
              <w:t xml:space="preserve">produkt o takmer desatinu vyšší než v predkrízovom roku 2019. </w:t>
            </w:r>
            <w:r w:rsidRPr="00544806">
              <w:rPr>
                <w:i/>
              </w:rPr>
              <w:t xml:space="preserve">Z dôvodu veľkej neistoty uvádzame tiež alternatívny scenár predpokladajúci vážnejšie </w:t>
            </w:r>
            <w:r>
              <w:rPr>
                <w:i/>
              </w:rPr>
              <w:t xml:space="preserve">vplyvy na dodávateľské reťazce a </w:t>
            </w:r>
            <w:r w:rsidRPr="00544806">
              <w:rPr>
                <w:i/>
              </w:rPr>
              <w:t>exporty.</w:t>
            </w:r>
            <w:r>
              <w:t xml:space="preserve"> </w:t>
            </w:r>
            <w:r>
              <w:rPr>
                <w:i/>
              </w:rPr>
              <w:t>HDP v roku 2025 je v tomto scenári o 3 % nižší, než v základnej prognóze.</w:t>
            </w:r>
          </w:p>
        </w:tc>
      </w:tr>
    </w:tbl>
    <w:p w14:paraId="77D0C524" w14:textId="77777777" w:rsidR="00490255" w:rsidRPr="00544806" w:rsidRDefault="00490255" w:rsidP="00315902">
      <w:pPr>
        <w:pStyle w:val="Nadpis2"/>
        <w:keepLines/>
        <w:numPr>
          <w:ilvl w:val="1"/>
          <w:numId w:val="2"/>
        </w:numPr>
        <w:spacing w:before="240" w:after="120" w:line="276" w:lineRule="auto"/>
        <w:rPr>
          <w:i/>
        </w:rPr>
      </w:pPr>
      <w:bookmarkStart w:id="40" w:name="_Toc449429100"/>
      <w:bookmarkStart w:id="41" w:name="_Toc480443988"/>
      <w:bookmarkStart w:id="42" w:name="_Toc480444320"/>
      <w:bookmarkStart w:id="43" w:name="_Toc480444493"/>
      <w:bookmarkStart w:id="44" w:name="_Toc70700321"/>
      <w:bookmarkStart w:id="45" w:name="_Toc101880656"/>
      <w:r w:rsidRPr="00315902">
        <w:rPr>
          <w:b/>
          <w:color w:val="2C9ADC"/>
          <w:szCs w:val="28"/>
        </w:rPr>
        <w:t>Ek</w:t>
      </w:r>
      <w:r w:rsidRPr="00734319">
        <w:rPr>
          <w:b/>
          <w:color w:val="2C9ADC"/>
          <w:szCs w:val="28"/>
        </w:rPr>
        <w:t>onomický vývoj na Slovensku v roku 20</w:t>
      </w:r>
      <w:bookmarkEnd w:id="40"/>
      <w:bookmarkEnd w:id="41"/>
      <w:bookmarkEnd w:id="42"/>
      <w:bookmarkEnd w:id="43"/>
      <w:r w:rsidRPr="00734319">
        <w:rPr>
          <w:b/>
          <w:color w:val="2C9ADC"/>
          <w:szCs w:val="28"/>
        </w:rPr>
        <w:t>2</w:t>
      </w:r>
      <w:bookmarkEnd w:id="44"/>
      <w:r w:rsidRPr="00734319">
        <w:rPr>
          <w:b/>
          <w:color w:val="2C9ADC"/>
          <w:szCs w:val="28"/>
        </w:rPr>
        <w:t>1</w:t>
      </w:r>
      <w:bookmarkEnd w:id="45"/>
      <w:r w:rsidRPr="00544806">
        <w:rPr>
          <w:i/>
        </w:rPr>
        <w:t xml:space="preserve"> </w:t>
      </w:r>
      <w:r w:rsidRPr="00544806">
        <w:rPr>
          <w:i/>
        </w:rPr>
        <w:tab/>
      </w:r>
    </w:p>
    <w:p w14:paraId="1F27FF46" w14:textId="77777777" w:rsidR="00490255" w:rsidRDefault="00490255" w:rsidP="00490255">
      <w:pPr>
        <w:jc w:val="both"/>
      </w:pPr>
      <w:r w:rsidRPr="008B2B95">
        <w:rPr>
          <w:b/>
        </w:rPr>
        <w:t>Slovenská ekonomi</w:t>
      </w:r>
      <w:r w:rsidRPr="00E607A4">
        <w:rPr>
          <w:b/>
        </w:rPr>
        <w:t>ka sa v roku 2021 čiastočne zotavila z prudkého prepadu a reálne HDP posilnilo o 3 %.</w:t>
      </w:r>
      <w:r w:rsidRPr="004014CD">
        <w:t xml:space="preserve"> K zotaveniu prispel najmä domáci dopyt</w:t>
      </w:r>
      <w:r>
        <w:t>,</w:t>
      </w:r>
      <w:r w:rsidRPr="00E607A4">
        <w:t xml:space="preserve"> </w:t>
      </w:r>
      <w:r w:rsidRPr="0082637D">
        <w:t>pričom spotreba domácnosti by stúpla aj výraznejšie, nebyť šírenia pandémie na začiatku a konci roka</w:t>
      </w:r>
      <w:r w:rsidRPr="004014CD">
        <w:t xml:space="preserve">. Vyššie vládne výdavky podporili ekonomiku aj disponibilné príjmy domácností. </w:t>
      </w:r>
      <w:r w:rsidRPr="0082637D">
        <w:t>Hoci globálny dopyt sa v pandémii presunul zo služieb k tovarom, po sľubnom začiatku roka slovenskému exportu začali chýbať súčiastky. Priemysel tak vo zvyšku roka zvoľnil a vyrábal čiastočne do zásob.</w:t>
      </w:r>
      <w:r>
        <w:t xml:space="preserve"> </w:t>
      </w:r>
      <w:r w:rsidRPr="004014CD">
        <w:t>Zamestnanosť zatiaľ silnejšie zotavenie nepocítila, dynamicky však rástli mzdy. Rast cien začal zrýchľovať najmä pod vplyvom ponukových faktorov.</w:t>
      </w:r>
    </w:p>
    <w:p w14:paraId="5C78EA62" w14:textId="77777777" w:rsidR="00490255" w:rsidRPr="00D36BBE" w:rsidRDefault="00490255" w:rsidP="00490255">
      <w:pPr>
        <w:pStyle w:val="Nadpis2"/>
        <w:keepLines/>
        <w:numPr>
          <w:ilvl w:val="1"/>
          <w:numId w:val="2"/>
        </w:numPr>
        <w:spacing w:before="240" w:after="120" w:line="276" w:lineRule="auto"/>
        <w:rPr>
          <w:b/>
          <w:color w:val="2C9ADC"/>
          <w:szCs w:val="28"/>
        </w:rPr>
      </w:pPr>
      <w:bookmarkStart w:id="46" w:name="_Toc70700322"/>
      <w:bookmarkStart w:id="47" w:name="_Toc101880657"/>
      <w:r w:rsidRPr="00D36BBE">
        <w:rPr>
          <w:b/>
          <w:color w:val="2C9ADC"/>
          <w:szCs w:val="28"/>
        </w:rPr>
        <w:t>Strednodobá prognóza</w:t>
      </w:r>
      <w:r w:rsidRPr="00D36BBE">
        <w:rPr>
          <w:rStyle w:val="Odkaznapoznmkupodiarou"/>
          <w:b/>
        </w:rPr>
        <w:footnoteReference w:id="2"/>
      </w:r>
      <w:r w:rsidRPr="00D36BBE">
        <w:rPr>
          <w:b/>
          <w:color w:val="2C9ADC"/>
          <w:szCs w:val="28"/>
        </w:rPr>
        <w:t xml:space="preserve"> vývoja ekonomiky na roky 202</w:t>
      </w:r>
      <w:r>
        <w:rPr>
          <w:b/>
          <w:color w:val="2C9ADC"/>
          <w:szCs w:val="28"/>
        </w:rPr>
        <w:t>2</w:t>
      </w:r>
      <w:r w:rsidRPr="00D36BBE">
        <w:rPr>
          <w:b/>
          <w:color w:val="2C9ADC"/>
          <w:szCs w:val="28"/>
        </w:rPr>
        <w:t xml:space="preserve"> až 202</w:t>
      </w:r>
      <w:bookmarkEnd w:id="46"/>
      <w:r>
        <w:rPr>
          <w:b/>
          <w:color w:val="2C9ADC"/>
          <w:szCs w:val="28"/>
        </w:rPr>
        <w:t>5</w:t>
      </w:r>
      <w:bookmarkEnd w:id="47"/>
    </w:p>
    <w:p w14:paraId="25C49628" w14:textId="77777777" w:rsidR="00490255" w:rsidRDefault="00490255" w:rsidP="00490255">
      <w:pPr>
        <w:pStyle w:val="Odsek"/>
        <w:rPr>
          <w:b/>
          <w:highlight w:val="yellow"/>
        </w:rPr>
      </w:pPr>
      <w:r>
        <w:rPr>
          <w:b/>
        </w:rPr>
        <w:t>Hrubý domáci produkt</w:t>
      </w:r>
      <w:r w:rsidRPr="00A35C92">
        <w:rPr>
          <w:b/>
        </w:rPr>
        <w:t xml:space="preserve"> v roku 2022 stúpne o 2,1 %.</w:t>
      </w:r>
      <w:r>
        <w:t xml:space="preserve"> Invázia Ruska na Ukrajinu je hlavným dôvodom spomalenia ekonomického rastu oproti prognóze z februára 2022, ktorá predpokladala rast na úrovni 3,5 %. Vojenský konflikt a sankcie proti Rusku výrazne obmedzia slovenské exporty do tohto regiónu a spôsobia tiež spomalenie ekonomického rastu našich obchodných partnerov. Vojna na Ukrajine prispeje k ďalšiemu zvyšovaniu cien energií, čo sa prejaví aj v cenách spotrebiteľských tovarov a služieb. Vyššia inflácia bude tlmiť domácu spotrebu nielen v tomto, ale aj v nasledujúcich rokoch. Zamestnanosť aj napriek nižšiemu tempu rastu ekonomiky stúpne. Mzdy porastú tempom 6,9 %, nebudú však stíhať rásť s infláciou</w:t>
      </w:r>
      <w:r w:rsidRPr="00014B55">
        <w:t>, ktorá v tomto roku presiahne 8 %.</w:t>
      </w:r>
    </w:p>
    <w:p w14:paraId="01C14D3C" w14:textId="77777777" w:rsidR="00490255" w:rsidRDefault="00490255" w:rsidP="00490255">
      <w:pPr>
        <w:pStyle w:val="Odsek"/>
        <w:rPr>
          <w:b/>
          <w:highlight w:val="yellow"/>
        </w:rPr>
      </w:pPr>
      <w:r>
        <w:rPr>
          <w:b/>
        </w:rPr>
        <w:t>Prognóza predpokladá</w:t>
      </w:r>
      <w:r w:rsidRPr="002517C3">
        <w:rPr>
          <w:b/>
        </w:rPr>
        <w:t>, že slovenský vývoz bude najsilnejšie zasiahnutý vývojom na Ukrajine v marci až júni.</w:t>
      </w:r>
      <w:r>
        <w:t xml:space="preserve"> V tomto období sa vývoz do Ruska, Bieloruska a na Ukrajinu takmer úplne zastaví. Zahraničný obchod bude tiež tlmený pomalším rastom v eurozóne a krajinách V3 a pretrvávajúcimi problémami s úzkymi hrdlami v dodávateľských reťazcoch. Fungovanie týchto reťazcov bude komplikovať obmedzenie nákladnej leteckej dopravy ponad región a fakt, že Rusko a Ukrajina sú významnými producentmi viacerých kľúčových komodít. Export sa začne zotavovať v druhej polovici roka, ale nie všetky firmy vyvážajúce do Ruska dokážu nájsť iné trhy.</w:t>
      </w:r>
      <w:r w:rsidRPr="000F7810">
        <w:rPr>
          <w:b/>
          <w:highlight w:val="yellow"/>
        </w:rPr>
        <w:t xml:space="preserve"> </w:t>
      </w:r>
    </w:p>
    <w:p w14:paraId="6FBC9BF5" w14:textId="6A6FF124" w:rsidR="00490255" w:rsidRDefault="00490255" w:rsidP="00490255">
      <w:pPr>
        <w:pStyle w:val="Odsek"/>
      </w:pPr>
      <w:r>
        <w:rPr>
          <w:b/>
        </w:rPr>
        <w:t>V</w:t>
      </w:r>
      <w:r w:rsidRPr="001F5035">
        <w:rPr>
          <w:b/>
        </w:rPr>
        <w:t xml:space="preserve"> roku 2023 slovenská ekonomika porastie tempom 5,3 %.</w:t>
      </w:r>
      <w:r>
        <w:t xml:space="preserve"> Základný scenár aktuálnej prognózy predpokladá, že vojna na Ukrajine sa skončí v priebehu roku 2022 a v ďalšom roku ekonomiku potiahne oživenie exportov a investície z dočerpávania EÚ fondov z dôvodu ukončenia tretieho programového obdobia. Zvýši sa tiež objem prostriedkov plynúcich z Plánu obnovy a odolnosti. V ďalších rokoch ekonomický rast klesne pod 2 % a ekonomika sa prestane prehrievať. Ekonomický vývoj bude tlmiť očakávaná konsolidácia verejných financií, ku ktorej vláda plánuje pristúpiť už od budúceho roka. K nižšiemu rastu bude tiež prispievať návrat čerpania fondov EÚ na bežné hodnoty a pomalší prítok mladých ľudí na trh práce z dôvodu demografických zmien.</w:t>
      </w:r>
    </w:p>
    <w:p w14:paraId="6382E9BD" w14:textId="77777777" w:rsidR="00FA1A55" w:rsidRPr="000F7810" w:rsidRDefault="00FA1A55" w:rsidP="00490255">
      <w:pPr>
        <w:pStyle w:val="Odsek"/>
        <w:rPr>
          <w:b/>
          <w:highlight w:val="yellow"/>
        </w:rPr>
      </w:pPr>
    </w:p>
    <w:tbl>
      <w:tblPr>
        <w:tblW w:w="9161" w:type="dxa"/>
        <w:jc w:val="center"/>
        <w:tblCellMar>
          <w:left w:w="70" w:type="dxa"/>
          <w:right w:w="70" w:type="dxa"/>
        </w:tblCellMar>
        <w:tblLook w:val="04A0" w:firstRow="1" w:lastRow="0" w:firstColumn="1" w:lastColumn="0" w:noHBand="0" w:noVBand="1"/>
      </w:tblPr>
      <w:tblGrid>
        <w:gridCol w:w="478"/>
        <w:gridCol w:w="4533"/>
        <w:gridCol w:w="878"/>
        <w:gridCol w:w="548"/>
        <w:gridCol w:w="548"/>
        <w:gridCol w:w="523"/>
        <w:gridCol w:w="551"/>
        <w:gridCol w:w="551"/>
        <w:gridCol w:w="551"/>
      </w:tblGrid>
      <w:tr w:rsidR="00490255" w:rsidRPr="00D23961" w14:paraId="7C5D01B8" w14:textId="77777777" w:rsidTr="000E4D54">
        <w:trPr>
          <w:trHeight w:val="283"/>
          <w:jc w:val="center"/>
        </w:trPr>
        <w:tc>
          <w:tcPr>
            <w:tcW w:w="9161" w:type="dxa"/>
            <w:gridSpan w:val="9"/>
            <w:tcBorders>
              <w:top w:val="nil"/>
              <w:left w:val="nil"/>
              <w:bottom w:val="single" w:sz="8" w:space="0" w:color="auto"/>
              <w:right w:val="nil"/>
            </w:tcBorders>
            <w:shd w:val="clear" w:color="auto" w:fill="auto"/>
            <w:noWrap/>
            <w:vAlign w:val="center"/>
            <w:hideMark/>
          </w:tcPr>
          <w:p w14:paraId="31B809CE" w14:textId="1FF97756" w:rsidR="00490255" w:rsidRPr="00D23961" w:rsidRDefault="00490255" w:rsidP="000E4D54">
            <w:pPr>
              <w:pStyle w:val="Nadpis3"/>
              <w:spacing w:before="120"/>
              <w:rPr>
                <w:rFonts w:eastAsiaTheme="minorHAnsi"/>
                <w:color w:val="2C9ADC"/>
                <w:lang w:eastAsia="en-US"/>
              </w:rPr>
            </w:pPr>
            <w:bookmarkStart w:id="48" w:name="_Toc101880680"/>
            <w:r w:rsidRPr="00D23961">
              <w:rPr>
                <w:rFonts w:eastAsiaTheme="minorHAnsi"/>
                <w:color w:val="2C9ADC" w:themeColor="accent1"/>
                <w:lang w:eastAsia="en-US"/>
              </w:rPr>
              <w:t xml:space="preserve">TABUĽKA </w:t>
            </w:r>
            <w:r w:rsidRPr="00D23961">
              <w:rPr>
                <w:rFonts w:eastAsiaTheme="minorHAnsi"/>
                <w:color w:val="2C9ADC" w:themeColor="accent1"/>
                <w:lang w:eastAsia="en-US"/>
              </w:rPr>
              <w:fldChar w:fldCharType="begin"/>
            </w:r>
            <w:r w:rsidRPr="00D23961">
              <w:rPr>
                <w:rFonts w:eastAsiaTheme="minorHAnsi"/>
                <w:color w:val="2C9ADC" w:themeColor="accent1"/>
                <w:lang w:eastAsia="en-US"/>
              </w:rPr>
              <w:instrText xml:space="preserve"> SEQ TABUĽKA \* ARABIC </w:instrText>
            </w:r>
            <w:r w:rsidRPr="00D23961">
              <w:rPr>
                <w:rFonts w:eastAsiaTheme="minorHAnsi"/>
                <w:color w:val="2C9ADC" w:themeColor="accent1"/>
                <w:lang w:eastAsia="en-US"/>
              </w:rPr>
              <w:fldChar w:fldCharType="separate"/>
            </w:r>
            <w:r w:rsidR="005D3280">
              <w:rPr>
                <w:rFonts w:eastAsiaTheme="minorHAnsi"/>
                <w:noProof/>
                <w:color w:val="2C9ADC" w:themeColor="accent1"/>
                <w:lang w:eastAsia="en-US"/>
              </w:rPr>
              <w:t>1</w:t>
            </w:r>
            <w:r w:rsidRPr="00D23961">
              <w:rPr>
                <w:rFonts w:eastAsiaTheme="minorHAnsi"/>
                <w:color w:val="2C9ADC" w:themeColor="accent1"/>
                <w:lang w:eastAsia="en-US"/>
              </w:rPr>
              <w:fldChar w:fldCharType="end"/>
            </w:r>
            <w:r w:rsidRPr="00D23961">
              <w:rPr>
                <w:rFonts w:eastAsiaTheme="minorHAnsi"/>
                <w:color w:val="2C9ADC" w:themeColor="accent1"/>
                <w:lang w:eastAsia="en-US"/>
              </w:rPr>
              <w:t xml:space="preserve"> – Prognóza </w:t>
            </w:r>
            <w:r w:rsidRPr="00D23961">
              <w:rPr>
                <w:rFonts w:eastAsiaTheme="minorHAnsi"/>
                <w:color w:val="2C9ADC"/>
                <w:lang w:eastAsia="en-US"/>
              </w:rPr>
              <w:t>vybraných indikátorov vývoja ekonomiky SR pre roky 2022 až 2025</w:t>
            </w:r>
            <w:r w:rsidRPr="00D23961">
              <w:rPr>
                <w:rStyle w:val="Odkaznapoznmkupodiarou"/>
                <w:rFonts w:eastAsiaTheme="minorHAnsi"/>
                <w:color w:val="2C9ADC"/>
              </w:rPr>
              <w:footnoteReference w:id="3"/>
            </w:r>
            <w:bookmarkEnd w:id="48"/>
          </w:p>
        </w:tc>
      </w:tr>
      <w:tr w:rsidR="00490255" w:rsidRPr="00D23961" w14:paraId="7C45E67A" w14:textId="77777777" w:rsidTr="000E4D54">
        <w:trPr>
          <w:trHeight w:val="283"/>
          <w:jc w:val="center"/>
        </w:trPr>
        <w:tc>
          <w:tcPr>
            <w:tcW w:w="478" w:type="dxa"/>
            <w:tcBorders>
              <w:top w:val="single" w:sz="8" w:space="0" w:color="auto"/>
              <w:left w:val="nil"/>
              <w:bottom w:val="single" w:sz="6" w:space="0" w:color="auto"/>
              <w:right w:val="nil"/>
            </w:tcBorders>
            <w:shd w:val="clear" w:color="auto" w:fill="auto"/>
            <w:noWrap/>
            <w:vAlign w:val="center"/>
            <w:hideMark/>
          </w:tcPr>
          <w:p w14:paraId="1717E08A" w14:textId="77777777" w:rsidR="00490255" w:rsidRPr="00D23961" w:rsidRDefault="00490255" w:rsidP="000E4D54">
            <w:pPr>
              <w:jc w:val="center"/>
              <w:rPr>
                <w:rFonts w:cs="Times New Roman"/>
                <w:b/>
                <w:bCs/>
                <w:color w:val="000000"/>
                <w:sz w:val="20"/>
                <w:szCs w:val="20"/>
              </w:rPr>
            </w:pPr>
            <w:r w:rsidRPr="00D23961">
              <w:rPr>
                <w:rFonts w:cs="Arial"/>
                <w:b/>
                <w:bCs/>
                <w:color w:val="000000"/>
                <w:sz w:val="20"/>
                <w:szCs w:val="20"/>
              </w:rPr>
              <w:t>P. č.</w:t>
            </w:r>
          </w:p>
        </w:tc>
        <w:tc>
          <w:tcPr>
            <w:tcW w:w="4533" w:type="dxa"/>
            <w:tcBorders>
              <w:top w:val="single" w:sz="8" w:space="0" w:color="auto"/>
              <w:left w:val="nil"/>
              <w:bottom w:val="single" w:sz="6" w:space="0" w:color="auto"/>
              <w:right w:val="nil"/>
            </w:tcBorders>
            <w:shd w:val="clear" w:color="auto" w:fill="auto"/>
            <w:noWrap/>
            <w:vAlign w:val="center"/>
            <w:hideMark/>
          </w:tcPr>
          <w:p w14:paraId="0A0DC8CE" w14:textId="77777777" w:rsidR="00490255" w:rsidRPr="00D23961" w:rsidRDefault="00490255" w:rsidP="000E4D54">
            <w:pPr>
              <w:jc w:val="center"/>
              <w:rPr>
                <w:rFonts w:cs="Times New Roman"/>
                <w:b/>
                <w:bCs/>
                <w:color w:val="000000"/>
                <w:sz w:val="20"/>
                <w:szCs w:val="20"/>
              </w:rPr>
            </w:pPr>
            <w:r w:rsidRPr="00D23961">
              <w:rPr>
                <w:rFonts w:cs="Arial"/>
                <w:b/>
                <w:bCs/>
                <w:color w:val="000000"/>
                <w:sz w:val="20"/>
                <w:szCs w:val="20"/>
              </w:rPr>
              <w:t>Ukazovateľ</w:t>
            </w:r>
          </w:p>
        </w:tc>
        <w:tc>
          <w:tcPr>
            <w:tcW w:w="878" w:type="dxa"/>
            <w:tcBorders>
              <w:top w:val="single" w:sz="8" w:space="0" w:color="auto"/>
              <w:left w:val="nil"/>
              <w:bottom w:val="single" w:sz="6" w:space="0" w:color="auto"/>
              <w:right w:val="nil"/>
            </w:tcBorders>
            <w:shd w:val="clear" w:color="auto" w:fill="auto"/>
            <w:noWrap/>
            <w:vAlign w:val="center"/>
            <w:hideMark/>
          </w:tcPr>
          <w:p w14:paraId="4DDD42EE" w14:textId="77777777" w:rsidR="00490255" w:rsidRPr="00D23961" w:rsidRDefault="00490255" w:rsidP="000E4D54">
            <w:pPr>
              <w:jc w:val="center"/>
              <w:rPr>
                <w:rFonts w:cs="Times New Roman"/>
                <w:b/>
                <w:bCs/>
                <w:color w:val="000000"/>
                <w:sz w:val="20"/>
                <w:szCs w:val="20"/>
              </w:rPr>
            </w:pPr>
            <w:r w:rsidRPr="00D23961">
              <w:rPr>
                <w:rFonts w:cs="Arial"/>
                <w:b/>
                <w:bCs/>
                <w:color w:val="000000"/>
                <w:sz w:val="20"/>
                <w:szCs w:val="20"/>
              </w:rPr>
              <w:t> </w:t>
            </w:r>
          </w:p>
        </w:tc>
        <w:tc>
          <w:tcPr>
            <w:tcW w:w="1096" w:type="dxa"/>
            <w:gridSpan w:val="2"/>
            <w:tcBorders>
              <w:top w:val="single" w:sz="8" w:space="0" w:color="auto"/>
              <w:left w:val="nil"/>
              <w:bottom w:val="single" w:sz="6" w:space="0" w:color="auto"/>
              <w:right w:val="nil"/>
            </w:tcBorders>
            <w:shd w:val="clear" w:color="auto" w:fill="auto"/>
            <w:noWrap/>
            <w:vAlign w:val="center"/>
            <w:hideMark/>
          </w:tcPr>
          <w:p w14:paraId="3C5D71DD" w14:textId="77777777" w:rsidR="00490255" w:rsidRPr="00D23961" w:rsidRDefault="00490255" w:rsidP="000E4D54">
            <w:pPr>
              <w:jc w:val="center"/>
              <w:rPr>
                <w:rFonts w:cs="Times New Roman"/>
                <w:b/>
                <w:bCs/>
                <w:color w:val="000000"/>
                <w:sz w:val="20"/>
                <w:szCs w:val="20"/>
              </w:rPr>
            </w:pPr>
            <w:r w:rsidRPr="00D23961">
              <w:rPr>
                <w:rFonts w:cs="Arial"/>
                <w:b/>
                <w:bCs/>
                <w:color w:val="000000"/>
                <w:sz w:val="20"/>
                <w:szCs w:val="20"/>
              </w:rPr>
              <w:t>Skutočnosť</w:t>
            </w:r>
          </w:p>
        </w:tc>
        <w:tc>
          <w:tcPr>
            <w:tcW w:w="2176" w:type="dxa"/>
            <w:gridSpan w:val="4"/>
            <w:tcBorders>
              <w:top w:val="single" w:sz="8" w:space="0" w:color="auto"/>
              <w:left w:val="nil"/>
              <w:bottom w:val="single" w:sz="6" w:space="0" w:color="auto"/>
              <w:right w:val="nil"/>
            </w:tcBorders>
            <w:shd w:val="clear" w:color="auto" w:fill="auto"/>
            <w:noWrap/>
            <w:vAlign w:val="center"/>
            <w:hideMark/>
          </w:tcPr>
          <w:p w14:paraId="67E5F71C" w14:textId="77777777" w:rsidR="00490255" w:rsidRPr="00D23961" w:rsidRDefault="00490255" w:rsidP="000E4D54">
            <w:pPr>
              <w:jc w:val="center"/>
              <w:rPr>
                <w:rFonts w:cs="Times New Roman"/>
                <w:b/>
                <w:bCs/>
                <w:color w:val="000000"/>
                <w:sz w:val="20"/>
                <w:szCs w:val="20"/>
              </w:rPr>
            </w:pPr>
            <w:r w:rsidRPr="00D23961">
              <w:rPr>
                <w:rFonts w:cs="Arial"/>
                <w:b/>
                <w:bCs/>
                <w:color w:val="000000"/>
                <w:sz w:val="20"/>
                <w:szCs w:val="20"/>
              </w:rPr>
              <w:t>Prognóza</w:t>
            </w:r>
          </w:p>
        </w:tc>
      </w:tr>
      <w:tr w:rsidR="00490255" w:rsidRPr="00D23961" w14:paraId="6435E685" w14:textId="77777777" w:rsidTr="000E4D54">
        <w:trPr>
          <w:trHeight w:val="283"/>
          <w:jc w:val="center"/>
        </w:trPr>
        <w:tc>
          <w:tcPr>
            <w:tcW w:w="478" w:type="dxa"/>
            <w:tcBorders>
              <w:top w:val="single" w:sz="6" w:space="0" w:color="auto"/>
              <w:left w:val="nil"/>
              <w:bottom w:val="single" w:sz="6" w:space="0" w:color="auto"/>
              <w:right w:val="nil"/>
            </w:tcBorders>
            <w:shd w:val="clear" w:color="auto" w:fill="auto"/>
            <w:noWrap/>
            <w:vAlign w:val="center"/>
            <w:hideMark/>
          </w:tcPr>
          <w:p w14:paraId="20A7D972" w14:textId="77777777" w:rsidR="00490255" w:rsidRPr="00D23961" w:rsidRDefault="00490255" w:rsidP="000E4D54">
            <w:pPr>
              <w:jc w:val="center"/>
              <w:rPr>
                <w:rFonts w:cs="Times New Roman"/>
                <w:b/>
                <w:bCs/>
                <w:color w:val="000000"/>
                <w:sz w:val="20"/>
                <w:szCs w:val="20"/>
              </w:rPr>
            </w:pPr>
            <w:r w:rsidRPr="00D23961">
              <w:rPr>
                <w:rFonts w:cs="Times New Roman"/>
                <w:b/>
                <w:bCs/>
                <w:color w:val="000000"/>
                <w:sz w:val="20"/>
                <w:szCs w:val="20"/>
              </w:rPr>
              <w:t> </w:t>
            </w:r>
          </w:p>
        </w:tc>
        <w:tc>
          <w:tcPr>
            <w:tcW w:w="4533" w:type="dxa"/>
            <w:tcBorders>
              <w:top w:val="single" w:sz="6" w:space="0" w:color="auto"/>
              <w:left w:val="nil"/>
              <w:bottom w:val="single" w:sz="6" w:space="0" w:color="auto"/>
              <w:right w:val="nil"/>
            </w:tcBorders>
            <w:shd w:val="clear" w:color="auto" w:fill="auto"/>
            <w:noWrap/>
            <w:vAlign w:val="center"/>
            <w:hideMark/>
          </w:tcPr>
          <w:p w14:paraId="624DBF75" w14:textId="77777777" w:rsidR="00490255" w:rsidRPr="00D23961" w:rsidRDefault="00490255" w:rsidP="000E4D54">
            <w:pPr>
              <w:jc w:val="center"/>
              <w:rPr>
                <w:rFonts w:cs="Times New Roman"/>
                <w:b/>
                <w:bCs/>
                <w:color w:val="000000"/>
                <w:sz w:val="20"/>
                <w:szCs w:val="20"/>
              </w:rPr>
            </w:pPr>
            <w:r w:rsidRPr="00D23961">
              <w:rPr>
                <w:rFonts w:cs="Times New Roman"/>
                <w:b/>
                <w:bCs/>
                <w:color w:val="000000"/>
                <w:sz w:val="20"/>
                <w:szCs w:val="20"/>
              </w:rPr>
              <w:t> </w:t>
            </w:r>
          </w:p>
        </w:tc>
        <w:tc>
          <w:tcPr>
            <w:tcW w:w="878" w:type="dxa"/>
            <w:tcBorders>
              <w:top w:val="single" w:sz="6" w:space="0" w:color="auto"/>
              <w:left w:val="nil"/>
              <w:bottom w:val="single" w:sz="6" w:space="0" w:color="auto"/>
              <w:right w:val="nil"/>
            </w:tcBorders>
            <w:shd w:val="clear" w:color="auto" w:fill="auto"/>
            <w:noWrap/>
            <w:vAlign w:val="center"/>
            <w:hideMark/>
          </w:tcPr>
          <w:p w14:paraId="5BB6CB90" w14:textId="77777777" w:rsidR="00490255" w:rsidRPr="00D23961" w:rsidRDefault="00490255" w:rsidP="000E4D54">
            <w:pPr>
              <w:jc w:val="center"/>
              <w:rPr>
                <w:rFonts w:cs="Times New Roman"/>
                <w:b/>
                <w:bCs/>
                <w:color w:val="000000"/>
                <w:sz w:val="20"/>
                <w:szCs w:val="20"/>
              </w:rPr>
            </w:pPr>
            <w:r w:rsidRPr="00D23961">
              <w:rPr>
                <w:rFonts w:cs="Arial"/>
                <w:b/>
                <w:bCs/>
                <w:color w:val="000000"/>
                <w:sz w:val="20"/>
                <w:szCs w:val="20"/>
              </w:rPr>
              <w:t>m. j.</w:t>
            </w:r>
          </w:p>
        </w:tc>
        <w:tc>
          <w:tcPr>
            <w:tcW w:w="548" w:type="dxa"/>
            <w:tcBorders>
              <w:top w:val="single" w:sz="6" w:space="0" w:color="auto"/>
              <w:left w:val="nil"/>
              <w:bottom w:val="single" w:sz="6" w:space="0" w:color="auto"/>
              <w:right w:val="nil"/>
            </w:tcBorders>
            <w:shd w:val="clear" w:color="auto" w:fill="auto"/>
            <w:noWrap/>
            <w:vAlign w:val="center"/>
            <w:hideMark/>
          </w:tcPr>
          <w:p w14:paraId="0EAC27E9" w14:textId="77777777" w:rsidR="00490255" w:rsidRPr="00D23961" w:rsidRDefault="00490255" w:rsidP="000E4D54">
            <w:pPr>
              <w:jc w:val="center"/>
              <w:rPr>
                <w:rFonts w:cs="Calibri"/>
                <w:b/>
                <w:bCs/>
                <w:color w:val="000000"/>
                <w:sz w:val="18"/>
                <w:szCs w:val="18"/>
              </w:rPr>
            </w:pPr>
            <w:r w:rsidRPr="00D23961">
              <w:rPr>
                <w:rFonts w:cs="Calibri"/>
                <w:b/>
                <w:bCs/>
                <w:color w:val="000000"/>
                <w:sz w:val="18"/>
                <w:szCs w:val="18"/>
              </w:rPr>
              <w:t>2020</w:t>
            </w:r>
          </w:p>
        </w:tc>
        <w:tc>
          <w:tcPr>
            <w:tcW w:w="548" w:type="dxa"/>
            <w:tcBorders>
              <w:top w:val="single" w:sz="6" w:space="0" w:color="auto"/>
              <w:left w:val="nil"/>
              <w:bottom w:val="single" w:sz="6" w:space="0" w:color="auto"/>
              <w:right w:val="nil"/>
            </w:tcBorders>
            <w:shd w:val="clear" w:color="auto" w:fill="auto"/>
            <w:noWrap/>
            <w:vAlign w:val="center"/>
            <w:hideMark/>
          </w:tcPr>
          <w:p w14:paraId="7D83CBE4" w14:textId="77777777" w:rsidR="00490255" w:rsidRPr="00D23961" w:rsidRDefault="00490255" w:rsidP="000E4D54">
            <w:pPr>
              <w:jc w:val="center"/>
              <w:rPr>
                <w:rFonts w:cs="Calibri"/>
                <w:b/>
                <w:bCs/>
                <w:color w:val="000000"/>
                <w:sz w:val="18"/>
                <w:szCs w:val="18"/>
              </w:rPr>
            </w:pPr>
            <w:r w:rsidRPr="00D23961">
              <w:rPr>
                <w:rFonts w:cs="Calibri"/>
                <w:b/>
                <w:bCs/>
                <w:color w:val="000000"/>
                <w:sz w:val="18"/>
                <w:szCs w:val="18"/>
              </w:rPr>
              <w:t>2021</w:t>
            </w:r>
          </w:p>
        </w:tc>
        <w:tc>
          <w:tcPr>
            <w:tcW w:w="523" w:type="dxa"/>
            <w:tcBorders>
              <w:top w:val="single" w:sz="6" w:space="0" w:color="auto"/>
              <w:left w:val="nil"/>
              <w:bottom w:val="single" w:sz="6" w:space="0" w:color="auto"/>
              <w:right w:val="nil"/>
            </w:tcBorders>
            <w:shd w:val="clear" w:color="auto" w:fill="auto"/>
            <w:noWrap/>
            <w:vAlign w:val="center"/>
            <w:hideMark/>
          </w:tcPr>
          <w:p w14:paraId="4431D726" w14:textId="77777777" w:rsidR="00490255" w:rsidRPr="00D23961" w:rsidRDefault="00490255" w:rsidP="000E4D54">
            <w:pPr>
              <w:jc w:val="center"/>
              <w:rPr>
                <w:rFonts w:cs="Calibri"/>
                <w:b/>
                <w:bCs/>
                <w:color w:val="000000"/>
                <w:sz w:val="18"/>
                <w:szCs w:val="18"/>
              </w:rPr>
            </w:pPr>
            <w:r w:rsidRPr="00D23961">
              <w:rPr>
                <w:rFonts w:cs="Calibri"/>
                <w:b/>
                <w:bCs/>
                <w:color w:val="000000"/>
                <w:sz w:val="18"/>
                <w:szCs w:val="18"/>
              </w:rPr>
              <w:t>2022</w:t>
            </w:r>
          </w:p>
        </w:tc>
        <w:tc>
          <w:tcPr>
            <w:tcW w:w="551" w:type="dxa"/>
            <w:tcBorders>
              <w:top w:val="single" w:sz="6" w:space="0" w:color="auto"/>
              <w:left w:val="nil"/>
              <w:bottom w:val="single" w:sz="6" w:space="0" w:color="auto"/>
              <w:right w:val="nil"/>
            </w:tcBorders>
            <w:shd w:val="clear" w:color="auto" w:fill="auto"/>
            <w:noWrap/>
            <w:vAlign w:val="center"/>
            <w:hideMark/>
          </w:tcPr>
          <w:p w14:paraId="4717A73E" w14:textId="77777777" w:rsidR="00490255" w:rsidRPr="00D23961" w:rsidRDefault="00490255" w:rsidP="000E4D54">
            <w:pPr>
              <w:jc w:val="center"/>
              <w:rPr>
                <w:rFonts w:cs="Calibri"/>
                <w:b/>
                <w:bCs/>
                <w:color w:val="000000"/>
                <w:sz w:val="18"/>
                <w:szCs w:val="18"/>
              </w:rPr>
            </w:pPr>
            <w:r w:rsidRPr="00D23961">
              <w:rPr>
                <w:rFonts w:cs="Calibri"/>
                <w:b/>
                <w:bCs/>
                <w:color w:val="000000"/>
                <w:sz w:val="18"/>
                <w:szCs w:val="18"/>
              </w:rPr>
              <w:t>2023</w:t>
            </w:r>
          </w:p>
        </w:tc>
        <w:tc>
          <w:tcPr>
            <w:tcW w:w="551" w:type="dxa"/>
            <w:tcBorders>
              <w:top w:val="single" w:sz="6" w:space="0" w:color="auto"/>
              <w:left w:val="nil"/>
              <w:bottom w:val="single" w:sz="6" w:space="0" w:color="auto"/>
              <w:right w:val="nil"/>
            </w:tcBorders>
            <w:shd w:val="clear" w:color="auto" w:fill="auto"/>
            <w:noWrap/>
            <w:vAlign w:val="center"/>
            <w:hideMark/>
          </w:tcPr>
          <w:p w14:paraId="7177D893" w14:textId="77777777" w:rsidR="00490255" w:rsidRPr="00D23961" w:rsidRDefault="00490255" w:rsidP="000E4D54">
            <w:pPr>
              <w:jc w:val="center"/>
              <w:rPr>
                <w:rFonts w:cs="Calibri"/>
                <w:b/>
                <w:bCs/>
                <w:color w:val="000000"/>
                <w:sz w:val="18"/>
                <w:szCs w:val="18"/>
              </w:rPr>
            </w:pPr>
            <w:r w:rsidRPr="00D23961">
              <w:rPr>
                <w:rFonts w:cs="Calibri"/>
                <w:b/>
                <w:bCs/>
                <w:color w:val="000000"/>
                <w:sz w:val="18"/>
                <w:szCs w:val="18"/>
              </w:rPr>
              <w:t>2024</w:t>
            </w:r>
          </w:p>
        </w:tc>
        <w:tc>
          <w:tcPr>
            <w:tcW w:w="551" w:type="dxa"/>
            <w:tcBorders>
              <w:top w:val="single" w:sz="6" w:space="0" w:color="auto"/>
              <w:left w:val="nil"/>
              <w:bottom w:val="single" w:sz="6" w:space="0" w:color="auto"/>
              <w:right w:val="nil"/>
            </w:tcBorders>
            <w:shd w:val="clear" w:color="auto" w:fill="auto"/>
            <w:noWrap/>
            <w:vAlign w:val="center"/>
            <w:hideMark/>
          </w:tcPr>
          <w:p w14:paraId="1DBC848D" w14:textId="77777777" w:rsidR="00490255" w:rsidRPr="00D23961" w:rsidRDefault="00490255" w:rsidP="000E4D54">
            <w:pPr>
              <w:jc w:val="center"/>
              <w:rPr>
                <w:rFonts w:cs="Calibri"/>
                <w:b/>
                <w:bCs/>
                <w:color w:val="000000"/>
                <w:sz w:val="18"/>
                <w:szCs w:val="18"/>
              </w:rPr>
            </w:pPr>
            <w:r w:rsidRPr="00D23961">
              <w:rPr>
                <w:rFonts w:cs="Calibri"/>
                <w:b/>
                <w:bCs/>
                <w:color w:val="000000"/>
                <w:sz w:val="18"/>
                <w:szCs w:val="18"/>
              </w:rPr>
              <w:t>2025</w:t>
            </w:r>
          </w:p>
        </w:tc>
      </w:tr>
      <w:tr w:rsidR="00490255" w:rsidRPr="00D23961" w14:paraId="2F33551E" w14:textId="77777777" w:rsidTr="000E4D54">
        <w:trPr>
          <w:trHeight w:val="272"/>
          <w:jc w:val="center"/>
        </w:trPr>
        <w:tc>
          <w:tcPr>
            <w:tcW w:w="478" w:type="dxa"/>
            <w:tcBorders>
              <w:top w:val="single" w:sz="6" w:space="0" w:color="auto"/>
              <w:left w:val="nil"/>
              <w:bottom w:val="nil"/>
              <w:right w:val="nil"/>
            </w:tcBorders>
            <w:shd w:val="clear" w:color="auto" w:fill="auto"/>
            <w:noWrap/>
            <w:vAlign w:val="center"/>
            <w:hideMark/>
          </w:tcPr>
          <w:p w14:paraId="02D9593B"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1</w:t>
            </w:r>
          </w:p>
        </w:tc>
        <w:tc>
          <w:tcPr>
            <w:tcW w:w="4533" w:type="dxa"/>
            <w:tcBorders>
              <w:top w:val="single" w:sz="6" w:space="0" w:color="auto"/>
              <w:left w:val="nil"/>
              <w:bottom w:val="nil"/>
              <w:right w:val="nil"/>
            </w:tcBorders>
            <w:shd w:val="clear" w:color="auto" w:fill="auto"/>
            <w:noWrap/>
            <w:vAlign w:val="center"/>
            <w:hideMark/>
          </w:tcPr>
          <w:p w14:paraId="6740E8E6" w14:textId="77777777" w:rsidR="00490255" w:rsidRPr="00D23961" w:rsidRDefault="00490255" w:rsidP="000E4D54">
            <w:pPr>
              <w:rPr>
                <w:rFonts w:cs="Times New Roman"/>
                <w:color w:val="000000"/>
                <w:sz w:val="20"/>
                <w:szCs w:val="20"/>
              </w:rPr>
            </w:pPr>
            <w:r w:rsidRPr="00D23961">
              <w:rPr>
                <w:rFonts w:cs="Arial"/>
                <w:color w:val="000000"/>
                <w:sz w:val="20"/>
                <w:szCs w:val="20"/>
              </w:rPr>
              <w:t>HDP, bežné ceny</w:t>
            </w:r>
          </w:p>
        </w:tc>
        <w:tc>
          <w:tcPr>
            <w:tcW w:w="878" w:type="dxa"/>
            <w:tcBorders>
              <w:top w:val="single" w:sz="6" w:space="0" w:color="auto"/>
              <w:left w:val="nil"/>
              <w:bottom w:val="nil"/>
              <w:right w:val="nil"/>
            </w:tcBorders>
            <w:shd w:val="clear" w:color="auto" w:fill="auto"/>
            <w:noWrap/>
            <w:vAlign w:val="center"/>
            <w:hideMark/>
          </w:tcPr>
          <w:p w14:paraId="4033AFCD"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mld. eur</w:t>
            </w:r>
          </w:p>
        </w:tc>
        <w:tc>
          <w:tcPr>
            <w:tcW w:w="548" w:type="dxa"/>
            <w:tcBorders>
              <w:top w:val="single" w:sz="6" w:space="0" w:color="auto"/>
              <w:left w:val="nil"/>
              <w:bottom w:val="nil"/>
              <w:right w:val="nil"/>
            </w:tcBorders>
            <w:shd w:val="clear" w:color="auto" w:fill="auto"/>
            <w:noWrap/>
            <w:vAlign w:val="center"/>
            <w:hideMark/>
          </w:tcPr>
          <w:p w14:paraId="19EC19B3" w14:textId="77777777" w:rsidR="00490255" w:rsidRPr="00D23961" w:rsidRDefault="00490255" w:rsidP="000E4D54">
            <w:pPr>
              <w:jc w:val="center"/>
              <w:rPr>
                <w:rFonts w:cs="Calibri"/>
                <w:color w:val="000000"/>
                <w:sz w:val="18"/>
                <w:szCs w:val="18"/>
              </w:rPr>
            </w:pPr>
            <w:r w:rsidRPr="00D23961">
              <w:rPr>
                <w:rFonts w:cs="Calibri"/>
                <w:color w:val="000000"/>
                <w:sz w:val="18"/>
                <w:szCs w:val="18"/>
              </w:rPr>
              <w:t>92,1</w:t>
            </w:r>
          </w:p>
        </w:tc>
        <w:tc>
          <w:tcPr>
            <w:tcW w:w="548" w:type="dxa"/>
            <w:tcBorders>
              <w:top w:val="single" w:sz="6" w:space="0" w:color="auto"/>
              <w:left w:val="nil"/>
              <w:bottom w:val="nil"/>
              <w:right w:val="nil"/>
            </w:tcBorders>
            <w:shd w:val="clear" w:color="auto" w:fill="auto"/>
            <w:noWrap/>
            <w:vAlign w:val="center"/>
            <w:hideMark/>
          </w:tcPr>
          <w:p w14:paraId="11A2B3C8" w14:textId="77777777" w:rsidR="00490255" w:rsidRPr="00D23961" w:rsidRDefault="00490255" w:rsidP="000E4D54">
            <w:pPr>
              <w:jc w:val="center"/>
              <w:rPr>
                <w:rFonts w:cs="Calibri"/>
                <w:color w:val="000000"/>
                <w:sz w:val="18"/>
                <w:szCs w:val="18"/>
              </w:rPr>
            </w:pPr>
            <w:r w:rsidRPr="00D23961">
              <w:rPr>
                <w:rFonts w:cs="Calibri"/>
                <w:color w:val="000000"/>
                <w:sz w:val="18"/>
                <w:szCs w:val="18"/>
              </w:rPr>
              <w:t>97,1</w:t>
            </w:r>
          </w:p>
        </w:tc>
        <w:tc>
          <w:tcPr>
            <w:tcW w:w="523" w:type="dxa"/>
            <w:tcBorders>
              <w:top w:val="single" w:sz="6" w:space="0" w:color="auto"/>
              <w:left w:val="nil"/>
              <w:bottom w:val="nil"/>
              <w:right w:val="nil"/>
            </w:tcBorders>
            <w:shd w:val="clear" w:color="auto" w:fill="auto"/>
            <w:noWrap/>
            <w:vAlign w:val="center"/>
            <w:hideMark/>
          </w:tcPr>
          <w:p w14:paraId="29D7CBA3" w14:textId="77777777" w:rsidR="00490255" w:rsidRPr="00D23961" w:rsidRDefault="00490255" w:rsidP="000E4D54">
            <w:pPr>
              <w:jc w:val="center"/>
              <w:rPr>
                <w:rFonts w:cs="Calibri"/>
                <w:color w:val="000000"/>
                <w:sz w:val="18"/>
                <w:szCs w:val="18"/>
              </w:rPr>
            </w:pPr>
            <w:r w:rsidRPr="00D23961">
              <w:rPr>
                <w:rFonts w:cs="Calibri"/>
                <w:color w:val="000000"/>
                <w:sz w:val="18"/>
                <w:szCs w:val="18"/>
              </w:rPr>
              <w:t>106,5</w:t>
            </w:r>
          </w:p>
        </w:tc>
        <w:tc>
          <w:tcPr>
            <w:tcW w:w="551" w:type="dxa"/>
            <w:tcBorders>
              <w:top w:val="single" w:sz="6" w:space="0" w:color="auto"/>
              <w:left w:val="nil"/>
              <w:bottom w:val="nil"/>
              <w:right w:val="nil"/>
            </w:tcBorders>
            <w:shd w:val="clear" w:color="auto" w:fill="auto"/>
            <w:noWrap/>
            <w:vAlign w:val="center"/>
            <w:hideMark/>
          </w:tcPr>
          <w:p w14:paraId="56ABE6BC" w14:textId="77777777" w:rsidR="00490255" w:rsidRPr="00D23961" w:rsidRDefault="00490255" w:rsidP="000E4D54">
            <w:pPr>
              <w:jc w:val="center"/>
              <w:rPr>
                <w:rFonts w:cs="Calibri"/>
                <w:color w:val="000000"/>
                <w:sz w:val="18"/>
                <w:szCs w:val="18"/>
              </w:rPr>
            </w:pPr>
            <w:r w:rsidRPr="00D23961">
              <w:rPr>
                <w:rFonts w:cs="Calibri"/>
                <w:color w:val="000000"/>
                <w:sz w:val="18"/>
                <w:szCs w:val="18"/>
              </w:rPr>
              <w:t>117,9</w:t>
            </w:r>
          </w:p>
        </w:tc>
        <w:tc>
          <w:tcPr>
            <w:tcW w:w="551" w:type="dxa"/>
            <w:tcBorders>
              <w:top w:val="single" w:sz="6" w:space="0" w:color="auto"/>
              <w:left w:val="nil"/>
              <w:bottom w:val="nil"/>
              <w:right w:val="nil"/>
            </w:tcBorders>
            <w:shd w:val="clear" w:color="auto" w:fill="auto"/>
            <w:noWrap/>
            <w:vAlign w:val="center"/>
            <w:hideMark/>
          </w:tcPr>
          <w:p w14:paraId="1BBF8ED2" w14:textId="77777777" w:rsidR="00490255" w:rsidRPr="00D23961" w:rsidRDefault="00490255" w:rsidP="000E4D54">
            <w:pPr>
              <w:jc w:val="center"/>
              <w:rPr>
                <w:rFonts w:cs="Calibri"/>
                <w:color w:val="000000"/>
                <w:sz w:val="18"/>
                <w:szCs w:val="18"/>
              </w:rPr>
            </w:pPr>
            <w:r w:rsidRPr="00D23961">
              <w:rPr>
                <w:rFonts w:cs="Calibri"/>
                <w:color w:val="000000"/>
                <w:sz w:val="18"/>
                <w:szCs w:val="18"/>
              </w:rPr>
              <w:t>122,8</w:t>
            </w:r>
          </w:p>
        </w:tc>
        <w:tc>
          <w:tcPr>
            <w:tcW w:w="551" w:type="dxa"/>
            <w:tcBorders>
              <w:top w:val="single" w:sz="6" w:space="0" w:color="auto"/>
              <w:left w:val="nil"/>
              <w:bottom w:val="nil"/>
              <w:right w:val="nil"/>
            </w:tcBorders>
            <w:shd w:val="clear" w:color="auto" w:fill="auto"/>
            <w:noWrap/>
            <w:vAlign w:val="center"/>
            <w:hideMark/>
          </w:tcPr>
          <w:p w14:paraId="1ED6BD92" w14:textId="77777777" w:rsidR="00490255" w:rsidRPr="00D23961" w:rsidRDefault="00490255" w:rsidP="000E4D54">
            <w:pPr>
              <w:jc w:val="center"/>
              <w:rPr>
                <w:rFonts w:cs="Calibri"/>
                <w:color w:val="000000"/>
                <w:sz w:val="18"/>
                <w:szCs w:val="18"/>
              </w:rPr>
            </w:pPr>
            <w:r w:rsidRPr="00D23961">
              <w:rPr>
                <w:rFonts w:cs="Calibri"/>
                <w:color w:val="000000"/>
                <w:sz w:val="18"/>
                <w:szCs w:val="18"/>
              </w:rPr>
              <w:t>127,7</w:t>
            </w:r>
          </w:p>
        </w:tc>
      </w:tr>
      <w:tr w:rsidR="00490255" w:rsidRPr="00D23961" w14:paraId="7E0CCF35"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5F5539E3"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2</w:t>
            </w:r>
          </w:p>
        </w:tc>
        <w:tc>
          <w:tcPr>
            <w:tcW w:w="4533" w:type="dxa"/>
            <w:tcBorders>
              <w:top w:val="nil"/>
              <w:left w:val="nil"/>
              <w:bottom w:val="nil"/>
              <w:right w:val="nil"/>
            </w:tcBorders>
            <w:shd w:val="clear" w:color="auto" w:fill="auto"/>
            <w:noWrap/>
            <w:vAlign w:val="center"/>
            <w:hideMark/>
          </w:tcPr>
          <w:p w14:paraId="639A9912" w14:textId="77777777" w:rsidR="00490255" w:rsidRPr="00D23961" w:rsidRDefault="00490255" w:rsidP="000E4D54">
            <w:pPr>
              <w:rPr>
                <w:rFonts w:cs="Times New Roman"/>
                <w:color w:val="000000"/>
                <w:sz w:val="20"/>
                <w:szCs w:val="20"/>
              </w:rPr>
            </w:pPr>
            <w:r w:rsidRPr="00D23961">
              <w:rPr>
                <w:rFonts w:cs="Arial"/>
                <w:color w:val="000000"/>
                <w:sz w:val="20"/>
                <w:szCs w:val="20"/>
              </w:rPr>
              <w:t>HDP, stále ceny</w:t>
            </w:r>
          </w:p>
        </w:tc>
        <w:tc>
          <w:tcPr>
            <w:tcW w:w="878" w:type="dxa"/>
            <w:tcBorders>
              <w:top w:val="nil"/>
              <w:left w:val="nil"/>
              <w:bottom w:val="nil"/>
              <w:right w:val="nil"/>
            </w:tcBorders>
            <w:shd w:val="clear" w:color="auto" w:fill="auto"/>
            <w:noWrap/>
            <w:vAlign w:val="center"/>
            <w:hideMark/>
          </w:tcPr>
          <w:p w14:paraId="3CEF3F0D"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4152A4B3" w14:textId="77777777" w:rsidR="00490255" w:rsidRPr="00D23961" w:rsidRDefault="00490255" w:rsidP="000E4D54">
            <w:pPr>
              <w:jc w:val="center"/>
              <w:rPr>
                <w:rFonts w:cs="Calibri"/>
                <w:color w:val="000000"/>
                <w:sz w:val="18"/>
                <w:szCs w:val="18"/>
              </w:rPr>
            </w:pPr>
            <w:r w:rsidRPr="00D23961">
              <w:rPr>
                <w:rFonts w:cs="Calibri"/>
                <w:color w:val="000000"/>
                <w:sz w:val="18"/>
                <w:szCs w:val="18"/>
              </w:rPr>
              <w:t>-4,4</w:t>
            </w:r>
          </w:p>
        </w:tc>
        <w:tc>
          <w:tcPr>
            <w:tcW w:w="548" w:type="dxa"/>
            <w:tcBorders>
              <w:top w:val="nil"/>
              <w:left w:val="nil"/>
              <w:bottom w:val="nil"/>
              <w:right w:val="nil"/>
            </w:tcBorders>
            <w:shd w:val="clear" w:color="auto" w:fill="auto"/>
            <w:noWrap/>
            <w:vAlign w:val="center"/>
            <w:hideMark/>
          </w:tcPr>
          <w:p w14:paraId="1A852BBD" w14:textId="77777777" w:rsidR="00490255" w:rsidRPr="00D23961" w:rsidRDefault="00490255" w:rsidP="000E4D54">
            <w:pPr>
              <w:jc w:val="center"/>
              <w:rPr>
                <w:rFonts w:cs="Calibri"/>
                <w:color w:val="000000"/>
                <w:sz w:val="18"/>
                <w:szCs w:val="18"/>
              </w:rPr>
            </w:pPr>
            <w:r w:rsidRPr="00D23961">
              <w:rPr>
                <w:rFonts w:cs="Calibri"/>
                <w:color w:val="000000"/>
                <w:sz w:val="18"/>
                <w:szCs w:val="18"/>
              </w:rPr>
              <w:t>3,0</w:t>
            </w:r>
          </w:p>
        </w:tc>
        <w:tc>
          <w:tcPr>
            <w:tcW w:w="523" w:type="dxa"/>
            <w:tcBorders>
              <w:top w:val="nil"/>
              <w:left w:val="nil"/>
              <w:bottom w:val="nil"/>
              <w:right w:val="nil"/>
            </w:tcBorders>
            <w:shd w:val="clear" w:color="auto" w:fill="auto"/>
            <w:noWrap/>
            <w:vAlign w:val="center"/>
            <w:hideMark/>
          </w:tcPr>
          <w:p w14:paraId="01EBBACB" w14:textId="77777777" w:rsidR="00490255" w:rsidRPr="00D23961" w:rsidRDefault="00490255" w:rsidP="000E4D54">
            <w:pPr>
              <w:jc w:val="center"/>
              <w:rPr>
                <w:rFonts w:cs="Calibri"/>
                <w:color w:val="000000"/>
                <w:sz w:val="18"/>
                <w:szCs w:val="18"/>
              </w:rPr>
            </w:pPr>
            <w:r w:rsidRPr="00D23961">
              <w:rPr>
                <w:rFonts w:cs="Calibri"/>
                <w:color w:val="000000"/>
                <w:sz w:val="18"/>
                <w:szCs w:val="18"/>
              </w:rPr>
              <w:t>2,1</w:t>
            </w:r>
          </w:p>
        </w:tc>
        <w:tc>
          <w:tcPr>
            <w:tcW w:w="551" w:type="dxa"/>
            <w:tcBorders>
              <w:top w:val="nil"/>
              <w:left w:val="nil"/>
              <w:bottom w:val="nil"/>
              <w:right w:val="nil"/>
            </w:tcBorders>
            <w:shd w:val="clear" w:color="auto" w:fill="auto"/>
            <w:noWrap/>
            <w:vAlign w:val="center"/>
            <w:hideMark/>
          </w:tcPr>
          <w:p w14:paraId="4B69BC03" w14:textId="77777777" w:rsidR="00490255" w:rsidRPr="00D23961" w:rsidRDefault="00490255" w:rsidP="000E4D54">
            <w:pPr>
              <w:jc w:val="center"/>
              <w:rPr>
                <w:rFonts w:cs="Calibri"/>
                <w:color w:val="000000"/>
                <w:sz w:val="18"/>
                <w:szCs w:val="18"/>
              </w:rPr>
            </w:pPr>
            <w:r w:rsidRPr="00D23961">
              <w:rPr>
                <w:rFonts w:cs="Calibri"/>
                <w:color w:val="000000"/>
                <w:sz w:val="18"/>
                <w:szCs w:val="18"/>
              </w:rPr>
              <w:t>5,3</w:t>
            </w:r>
          </w:p>
        </w:tc>
        <w:tc>
          <w:tcPr>
            <w:tcW w:w="551" w:type="dxa"/>
            <w:tcBorders>
              <w:top w:val="nil"/>
              <w:left w:val="nil"/>
              <w:bottom w:val="nil"/>
              <w:right w:val="nil"/>
            </w:tcBorders>
            <w:shd w:val="clear" w:color="auto" w:fill="auto"/>
            <w:noWrap/>
            <w:vAlign w:val="center"/>
            <w:hideMark/>
          </w:tcPr>
          <w:p w14:paraId="325E96C2" w14:textId="77777777" w:rsidR="00490255" w:rsidRPr="00D23961" w:rsidRDefault="00490255" w:rsidP="000E4D54">
            <w:pPr>
              <w:jc w:val="center"/>
              <w:rPr>
                <w:rFonts w:cs="Calibri"/>
                <w:color w:val="000000"/>
                <w:sz w:val="18"/>
                <w:szCs w:val="18"/>
              </w:rPr>
            </w:pPr>
            <w:r w:rsidRPr="00D23961">
              <w:rPr>
                <w:rFonts w:cs="Calibri"/>
                <w:color w:val="000000"/>
                <w:sz w:val="18"/>
                <w:szCs w:val="18"/>
              </w:rPr>
              <w:t>1,8</w:t>
            </w:r>
          </w:p>
        </w:tc>
        <w:tc>
          <w:tcPr>
            <w:tcW w:w="551" w:type="dxa"/>
            <w:tcBorders>
              <w:top w:val="nil"/>
              <w:left w:val="nil"/>
              <w:bottom w:val="nil"/>
              <w:right w:val="nil"/>
            </w:tcBorders>
            <w:shd w:val="clear" w:color="auto" w:fill="auto"/>
            <w:noWrap/>
            <w:vAlign w:val="center"/>
            <w:hideMark/>
          </w:tcPr>
          <w:p w14:paraId="71CA6EE2" w14:textId="77777777" w:rsidR="00490255" w:rsidRPr="00D23961" w:rsidRDefault="00490255" w:rsidP="000E4D54">
            <w:pPr>
              <w:jc w:val="center"/>
              <w:rPr>
                <w:rFonts w:cs="Calibri"/>
                <w:color w:val="000000"/>
                <w:sz w:val="18"/>
                <w:szCs w:val="18"/>
              </w:rPr>
            </w:pPr>
            <w:r w:rsidRPr="00D23961">
              <w:rPr>
                <w:rFonts w:cs="Calibri"/>
                <w:color w:val="000000"/>
                <w:sz w:val="18"/>
                <w:szCs w:val="18"/>
              </w:rPr>
              <w:t>1,8</w:t>
            </w:r>
          </w:p>
        </w:tc>
      </w:tr>
      <w:tr w:rsidR="00490255" w:rsidRPr="00D23961" w14:paraId="3CDE4A77"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4C760EE0"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3</w:t>
            </w:r>
          </w:p>
        </w:tc>
        <w:tc>
          <w:tcPr>
            <w:tcW w:w="4533" w:type="dxa"/>
            <w:tcBorders>
              <w:top w:val="nil"/>
              <w:left w:val="nil"/>
              <w:bottom w:val="nil"/>
              <w:right w:val="nil"/>
            </w:tcBorders>
            <w:shd w:val="clear" w:color="auto" w:fill="auto"/>
            <w:vAlign w:val="center"/>
            <w:hideMark/>
          </w:tcPr>
          <w:p w14:paraId="6825937F" w14:textId="77777777" w:rsidR="00490255" w:rsidRPr="00D23961" w:rsidRDefault="00490255" w:rsidP="000E4D54">
            <w:pPr>
              <w:rPr>
                <w:rFonts w:cs="Times New Roman"/>
                <w:color w:val="0000FF"/>
                <w:sz w:val="20"/>
                <w:szCs w:val="20"/>
                <w:u w:val="single"/>
              </w:rPr>
            </w:pPr>
            <w:r w:rsidRPr="00D23961">
              <w:rPr>
                <w:rFonts w:cs="Arial"/>
                <w:color w:val="000000"/>
                <w:sz w:val="20"/>
                <w:szCs w:val="20"/>
              </w:rPr>
              <w:t xml:space="preserve">     Konečná spotreba domácností a NISD</w:t>
            </w:r>
            <w:r w:rsidRPr="00D23961">
              <w:rPr>
                <w:rStyle w:val="Odkaznapoznmkupodiarou"/>
                <w:color w:val="000000"/>
                <w:sz w:val="18"/>
                <w:szCs w:val="18"/>
              </w:rPr>
              <w:footnoteReference w:id="4"/>
            </w:r>
          </w:p>
        </w:tc>
        <w:tc>
          <w:tcPr>
            <w:tcW w:w="878" w:type="dxa"/>
            <w:tcBorders>
              <w:top w:val="nil"/>
              <w:left w:val="nil"/>
              <w:bottom w:val="nil"/>
              <w:right w:val="nil"/>
            </w:tcBorders>
            <w:shd w:val="clear" w:color="auto" w:fill="auto"/>
            <w:noWrap/>
            <w:vAlign w:val="center"/>
            <w:hideMark/>
          </w:tcPr>
          <w:p w14:paraId="04984D1A"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61D28961" w14:textId="77777777" w:rsidR="00490255" w:rsidRPr="00D23961" w:rsidRDefault="00490255" w:rsidP="000E4D54">
            <w:pPr>
              <w:jc w:val="center"/>
              <w:rPr>
                <w:rFonts w:cs="Calibri"/>
                <w:color w:val="000000"/>
                <w:sz w:val="18"/>
                <w:szCs w:val="18"/>
              </w:rPr>
            </w:pPr>
            <w:r w:rsidRPr="00D23961">
              <w:rPr>
                <w:rFonts w:cs="Calibri"/>
                <w:color w:val="000000"/>
                <w:sz w:val="18"/>
                <w:szCs w:val="18"/>
              </w:rPr>
              <w:t>-1,3</w:t>
            </w:r>
          </w:p>
        </w:tc>
        <w:tc>
          <w:tcPr>
            <w:tcW w:w="548" w:type="dxa"/>
            <w:tcBorders>
              <w:top w:val="nil"/>
              <w:left w:val="nil"/>
              <w:bottom w:val="nil"/>
              <w:right w:val="nil"/>
            </w:tcBorders>
            <w:shd w:val="clear" w:color="auto" w:fill="auto"/>
            <w:noWrap/>
            <w:vAlign w:val="center"/>
            <w:hideMark/>
          </w:tcPr>
          <w:p w14:paraId="64ED2B26" w14:textId="77777777" w:rsidR="00490255" w:rsidRPr="00D23961" w:rsidRDefault="00490255" w:rsidP="000E4D54">
            <w:pPr>
              <w:jc w:val="center"/>
              <w:rPr>
                <w:rFonts w:cs="Calibri"/>
                <w:color w:val="000000"/>
                <w:sz w:val="18"/>
                <w:szCs w:val="18"/>
              </w:rPr>
            </w:pPr>
            <w:r w:rsidRPr="00D23961">
              <w:rPr>
                <w:rFonts w:cs="Calibri"/>
                <w:color w:val="000000"/>
                <w:sz w:val="18"/>
                <w:szCs w:val="18"/>
              </w:rPr>
              <w:t>1,2</w:t>
            </w:r>
          </w:p>
        </w:tc>
        <w:tc>
          <w:tcPr>
            <w:tcW w:w="523" w:type="dxa"/>
            <w:tcBorders>
              <w:top w:val="nil"/>
              <w:left w:val="nil"/>
              <w:bottom w:val="nil"/>
              <w:right w:val="nil"/>
            </w:tcBorders>
            <w:shd w:val="clear" w:color="auto" w:fill="auto"/>
            <w:noWrap/>
            <w:vAlign w:val="center"/>
            <w:hideMark/>
          </w:tcPr>
          <w:p w14:paraId="799D33A2" w14:textId="77777777" w:rsidR="00490255" w:rsidRPr="00D23961" w:rsidRDefault="00490255" w:rsidP="000E4D54">
            <w:pPr>
              <w:jc w:val="center"/>
              <w:rPr>
                <w:rFonts w:cs="Calibri"/>
                <w:color w:val="000000"/>
                <w:sz w:val="18"/>
                <w:szCs w:val="18"/>
              </w:rPr>
            </w:pPr>
            <w:r w:rsidRPr="00D23961">
              <w:rPr>
                <w:rFonts w:cs="Calibri"/>
                <w:color w:val="000000"/>
                <w:sz w:val="18"/>
                <w:szCs w:val="18"/>
              </w:rPr>
              <w:t>1,4</w:t>
            </w:r>
          </w:p>
        </w:tc>
        <w:tc>
          <w:tcPr>
            <w:tcW w:w="551" w:type="dxa"/>
            <w:tcBorders>
              <w:top w:val="nil"/>
              <w:left w:val="nil"/>
              <w:bottom w:val="nil"/>
              <w:right w:val="nil"/>
            </w:tcBorders>
            <w:shd w:val="clear" w:color="auto" w:fill="auto"/>
            <w:noWrap/>
            <w:vAlign w:val="center"/>
            <w:hideMark/>
          </w:tcPr>
          <w:p w14:paraId="1ED2BE19" w14:textId="77777777" w:rsidR="00490255" w:rsidRPr="00D23961" w:rsidRDefault="00490255" w:rsidP="000E4D54">
            <w:pPr>
              <w:jc w:val="center"/>
              <w:rPr>
                <w:rFonts w:cs="Calibri"/>
                <w:color w:val="000000"/>
                <w:sz w:val="18"/>
                <w:szCs w:val="18"/>
              </w:rPr>
            </w:pPr>
            <w:r w:rsidRPr="00D23961">
              <w:rPr>
                <w:rFonts w:cs="Calibri"/>
                <w:color w:val="000000"/>
                <w:sz w:val="18"/>
                <w:szCs w:val="18"/>
              </w:rPr>
              <w:t>2,3</w:t>
            </w:r>
          </w:p>
        </w:tc>
        <w:tc>
          <w:tcPr>
            <w:tcW w:w="551" w:type="dxa"/>
            <w:tcBorders>
              <w:top w:val="nil"/>
              <w:left w:val="nil"/>
              <w:bottom w:val="nil"/>
              <w:right w:val="nil"/>
            </w:tcBorders>
            <w:shd w:val="clear" w:color="auto" w:fill="auto"/>
            <w:noWrap/>
            <w:vAlign w:val="center"/>
            <w:hideMark/>
          </w:tcPr>
          <w:p w14:paraId="15D37C75" w14:textId="77777777" w:rsidR="00490255" w:rsidRPr="00D23961" w:rsidRDefault="00490255" w:rsidP="000E4D54">
            <w:pPr>
              <w:jc w:val="center"/>
              <w:rPr>
                <w:rFonts w:cs="Calibri"/>
                <w:color w:val="000000"/>
                <w:sz w:val="18"/>
                <w:szCs w:val="18"/>
              </w:rPr>
            </w:pPr>
            <w:r w:rsidRPr="00D23961">
              <w:rPr>
                <w:rFonts w:cs="Calibri"/>
                <w:color w:val="000000"/>
                <w:sz w:val="18"/>
                <w:szCs w:val="18"/>
              </w:rPr>
              <w:t>2,8</w:t>
            </w:r>
          </w:p>
        </w:tc>
        <w:tc>
          <w:tcPr>
            <w:tcW w:w="551" w:type="dxa"/>
            <w:tcBorders>
              <w:top w:val="nil"/>
              <w:left w:val="nil"/>
              <w:bottom w:val="nil"/>
              <w:right w:val="nil"/>
            </w:tcBorders>
            <w:shd w:val="clear" w:color="auto" w:fill="auto"/>
            <w:noWrap/>
            <w:vAlign w:val="center"/>
            <w:hideMark/>
          </w:tcPr>
          <w:p w14:paraId="6D5A50E5" w14:textId="77777777" w:rsidR="00490255" w:rsidRPr="00D23961" w:rsidRDefault="00490255" w:rsidP="000E4D54">
            <w:pPr>
              <w:jc w:val="center"/>
              <w:rPr>
                <w:rFonts w:cs="Calibri"/>
                <w:color w:val="000000"/>
                <w:sz w:val="18"/>
                <w:szCs w:val="18"/>
              </w:rPr>
            </w:pPr>
            <w:r w:rsidRPr="00D23961">
              <w:rPr>
                <w:rFonts w:cs="Calibri"/>
                <w:color w:val="000000"/>
                <w:sz w:val="18"/>
                <w:szCs w:val="18"/>
              </w:rPr>
              <w:t>2,1</w:t>
            </w:r>
          </w:p>
        </w:tc>
      </w:tr>
      <w:tr w:rsidR="00490255" w:rsidRPr="00D23961" w14:paraId="39BF84DC"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36DB9903"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4</w:t>
            </w:r>
          </w:p>
        </w:tc>
        <w:tc>
          <w:tcPr>
            <w:tcW w:w="4533" w:type="dxa"/>
            <w:tcBorders>
              <w:top w:val="nil"/>
              <w:left w:val="nil"/>
              <w:bottom w:val="nil"/>
              <w:right w:val="nil"/>
            </w:tcBorders>
            <w:shd w:val="clear" w:color="auto" w:fill="auto"/>
            <w:vAlign w:val="center"/>
            <w:hideMark/>
          </w:tcPr>
          <w:p w14:paraId="2189E381" w14:textId="77777777" w:rsidR="00490255" w:rsidRPr="00D23961" w:rsidRDefault="00490255" w:rsidP="000E4D54">
            <w:pPr>
              <w:rPr>
                <w:rFonts w:cs="Times New Roman"/>
                <w:color w:val="000000"/>
                <w:sz w:val="20"/>
                <w:szCs w:val="20"/>
              </w:rPr>
            </w:pPr>
            <w:r w:rsidRPr="00D23961">
              <w:rPr>
                <w:rFonts w:cs="Arial"/>
                <w:color w:val="000000"/>
                <w:sz w:val="20"/>
                <w:szCs w:val="20"/>
              </w:rPr>
              <w:t xml:space="preserve">     Konečná spotreba verejnej správy </w:t>
            </w:r>
          </w:p>
        </w:tc>
        <w:tc>
          <w:tcPr>
            <w:tcW w:w="878" w:type="dxa"/>
            <w:tcBorders>
              <w:top w:val="nil"/>
              <w:left w:val="nil"/>
              <w:bottom w:val="nil"/>
              <w:right w:val="nil"/>
            </w:tcBorders>
            <w:shd w:val="clear" w:color="auto" w:fill="auto"/>
            <w:noWrap/>
            <w:vAlign w:val="center"/>
            <w:hideMark/>
          </w:tcPr>
          <w:p w14:paraId="41E9966B"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393C5672" w14:textId="77777777" w:rsidR="00490255" w:rsidRPr="00D23961" w:rsidRDefault="00490255" w:rsidP="000E4D54">
            <w:pPr>
              <w:jc w:val="center"/>
              <w:rPr>
                <w:rFonts w:cs="Calibri"/>
                <w:color w:val="000000"/>
                <w:sz w:val="18"/>
                <w:szCs w:val="18"/>
              </w:rPr>
            </w:pPr>
            <w:r w:rsidRPr="00D23961">
              <w:rPr>
                <w:rFonts w:cs="Calibri"/>
                <w:color w:val="000000"/>
                <w:sz w:val="18"/>
                <w:szCs w:val="18"/>
              </w:rPr>
              <w:t>0,9</w:t>
            </w:r>
          </w:p>
        </w:tc>
        <w:tc>
          <w:tcPr>
            <w:tcW w:w="548" w:type="dxa"/>
            <w:tcBorders>
              <w:top w:val="nil"/>
              <w:left w:val="nil"/>
              <w:bottom w:val="nil"/>
              <w:right w:val="nil"/>
            </w:tcBorders>
            <w:shd w:val="clear" w:color="auto" w:fill="auto"/>
            <w:noWrap/>
            <w:vAlign w:val="center"/>
            <w:hideMark/>
          </w:tcPr>
          <w:p w14:paraId="5ACD2981" w14:textId="77777777" w:rsidR="00490255" w:rsidRPr="00D23961" w:rsidRDefault="00490255" w:rsidP="000E4D54">
            <w:pPr>
              <w:jc w:val="center"/>
              <w:rPr>
                <w:rFonts w:cs="Calibri"/>
                <w:color w:val="000000"/>
                <w:sz w:val="18"/>
                <w:szCs w:val="18"/>
              </w:rPr>
            </w:pPr>
            <w:r w:rsidRPr="00D23961">
              <w:rPr>
                <w:rFonts w:cs="Calibri"/>
                <w:color w:val="000000"/>
                <w:sz w:val="18"/>
                <w:szCs w:val="18"/>
              </w:rPr>
              <w:t>1,9</w:t>
            </w:r>
          </w:p>
        </w:tc>
        <w:tc>
          <w:tcPr>
            <w:tcW w:w="523" w:type="dxa"/>
            <w:tcBorders>
              <w:top w:val="nil"/>
              <w:left w:val="nil"/>
              <w:bottom w:val="nil"/>
              <w:right w:val="nil"/>
            </w:tcBorders>
            <w:shd w:val="clear" w:color="auto" w:fill="auto"/>
            <w:noWrap/>
            <w:vAlign w:val="center"/>
            <w:hideMark/>
          </w:tcPr>
          <w:p w14:paraId="0BBE2EC1" w14:textId="77777777" w:rsidR="00490255" w:rsidRPr="00D23961" w:rsidRDefault="00490255" w:rsidP="000E4D54">
            <w:pPr>
              <w:jc w:val="center"/>
              <w:rPr>
                <w:rFonts w:cs="Calibri"/>
                <w:color w:val="000000"/>
                <w:sz w:val="18"/>
                <w:szCs w:val="18"/>
              </w:rPr>
            </w:pPr>
            <w:r w:rsidRPr="00D23961">
              <w:rPr>
                <w:rFonts w:cs="Calibri"/>
                <w:color w:val="000000"/>
                <w:sz w:val="18"/>
                <w:szCs w:val="18"/>
              </w:rPr>
              <w:t>-3,9</w:t>
            </w:r>
          </w:p>
        </w:tc>
        <w:tc>
          <w:tcPr>
            <w:tcW w:w="551" w:type="dxa"/>
            <w:tcBorders>
              <w:top w:val="nil"/>
              <w:left w:val="nil"/>
              <w:bottom w:val="nil"/>
              <w:right w:val="nil"/>
            </w:tcBorders>
            <w:shd w:val="clear" w:color="auto" w:fill="auto"/>
            <w:noWrap/>
            <w:vAlign w:val="center"/>
            <w:hideMark/>
          </w:tcPr>
          <w:p w14:paraId="1A146361" w14:textId="77777777" w:rsidR="00490255" w:rsidRPr="00D23961" w:rsidRDefault="00490255" w:rsidP="000E4D54">
            <w:pPr>
              <w:jc w:val="center"/>
              <w:rPr>
                <w:rFonts w:cs="Calibri"/>
                <w:color w:val="000000"/>
                <w:sz w:val="18"/>
                <w:szCs w:val="18"/>
              </w:rPr>
            </w:pPr>
            <w:r w:rsidRPr="00D23961">
              <w:rPr>
                <w:rFonts w:cs="Calibri"/>
                <w:color w:val="000000"/>
                <w:sz w:val="18"/>
                <w:szCs w:val="18"/>
              </w:rPr>
              <w:t>0,2</w:t>
            </w:r>
          </w:p>
        </w:tc>
        <w:tc>
          <w:tcPr>
            <w:tcW w:w="551" w:type="dxa"/>
            <w:tcBorders>
              <w:top w:val="nil"/>
              <w:left w:val="nil"/>
              <w:bottom w:val="nil"/>
              <w:right w:val="nil"/>
            </w:tcBorders>
            <w:shd w:val="clear" w:color="auto" w:fill="auto"/>
            <w:noWrap/>
            <w:vAlign w:val="center"/>
            <w:hideMark/>
          </w:tcPr>
          <w:p w14:paraId="1B353BBC" w14:textId="77777777" w:rsidR="00490255" w:rsidRPr="00D23961" w:rsidRDefault="00490255" w:rsidP="000E4D54">
            <w:pPr>
              <w:jc w:val="center"/>
              <w:rPr>
                <w:rFonts w:cs="Calibri"/>
                <w:color w:val="000000"/>
                <w:sz w:val="18"/>
                <w:szCs w:val="18"/>
              </w:rPr>
            </w:pPr>
            <w:r w:rsidRPr="00D23961">
              <w:rPr>
                <w:rFonts w:cs="Calibri"/>
                <w:color w:val="000000"/>
                <w:sz w:val="18"/>
                <w:szCs w:val="18"/>
              </w:rPr>
              <w:t>-0,7</w:t>
            </w:r>
          </w:p>
        </w:tc>
        <w:tc>
          <w:tcPr>
            <w:tcW w:w="551" w:type="dxa"/>
            <w:tcBorders>
              <w:top w:val="nil"/>
              <w:left w:val="nil"/>
              <w:bottom w:val="nil"/>
              <w:right w:val="nil"/>
            </w:tcBorders>
            <w:shd w:val="clear" w:color="auto" w:fill="auto"/>
            <w:noWrap/>
            <w:vAlign w:val="center"/>
            <w:hideMark/>
          </w:tcPr>
          <w:p w14:paraId="64415750" w14:textId="77777777" w:rsidR="00490255" w:rsidRPr="00D23961" w:rsidRDefault="00490255" w:rsidP="000E4D54">
            <w:pPr>
              <w:jc w:val="center"/>
              <w:rPr>
                <w:rFonts w:cs="Calibri"/>
                <w:color w:val="000000"/>
                <w:sz w:val="18"/>
                <w:szCs w:val="18"/>
              </w:rPr>
            </w:pPr>
            <w:r w:rsidRPr="00D23961">
              <w:rPr>
                <w:rFonts w:cs="Calibri"/>
                <w:color w:val="000000"/>
                <w:sz w:val="18"/>
                <w:szCs w:val="18"/>
              </w:rPr>
              <w:t>-0,5</w:t>
            </w:r>
          </w:p>
        </w:tc>
      </w:tr>
      <w:tr w:rsidR="00490255" w:rsidRPr="00D23961" w14:paraId="08A94147"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0358BBE0"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5</w:t>
            </w:r>
          </w:p>
        </w:tc>
        <w:tc>
          <w:tcPr>
            <w:tcW w:w="4533" w:type="dxa"/>
            <w:tcBorders>
              <w:top w:val="nil"/>
              <w:left w:val="nil"/>
              <w:bottom w:val="nil"/>
              <w:right w:val="nil"/>
            </w:tcBorders>
            <w:shd w:val="clear" w:color="auto" w:fill="auto"/>
            <w:vAlign w:val="center"/>
            <w:hideMark/>
          </w:tcPr>
          <w:p w14:paraId="7E2C2C94" w14:textId="77777777" w:rsidR="00490255" w:rsidRPr="00D23961" w:rsidRDefault="00490255" w:rsidP="000E4D54">
            <w:pPr>
              <w:rPr>
                <w:rFonts w:cs="Times New Roman"/>
                <w:color w:val="000000"/>
                <w:sz w:val="20"/>
                <w:szCs w:val="20"/>
              </w:rPr>
            </w:pPr>
            <w:r w:rsidRPr="00D23961">
              <w:rPr>
                <w:rFonts w:cs="Arial"/>
                <w:color w:val="000000"/>
                <w:sz w:val="20"/>
                <w:szCs w:val="20"/>
              </w:rPr>
              <w:t xml:space="preserve">     Tvorba hrubého fixného kapitálu </w:t>
            </w:r>
          </w:p>
        </w:tc>
        <w:tc>
          <w:tcPr>
            <w:tcW w:w="878" w:type="dxa"/>
            <w:tcBorders>
              <w:top w:val="nil"/>
              <w:left w:val="nil"/>
              <w:bottom w:val="nil"/>
              <w:right w:val="nil"/>
            </w:tcBorders>
            <w:shd w:val="clear" w:color="auto" w:fill="auto"/>
            <w:noWrap/>
            <w:vAlign w:val="center"/>
            <w:hideMark/>
          </w:tcPr>
          <w:p w14:paraId="7FB73069"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31C915B8" w14:textId="77777777" w:rsidR="00490255" w:rsidRPr="00D23961" w:rsidRDefault="00490255" w:rsidP="000E4D54">
            <w:pPr>
              <w:jc w:val="center"/>
              <w:rPr>
                <w:rFonts w:cs="Calibri"/>
                <w:color w:val="000000"/>
                <w:sz w:val="18"/>
                <w:szCs w:val="18"/>
              </w:rPr>
            </w:pPr>
            <w:r w:rsidRPr="00D23961">
              <w:rPr>
                <w:rFonts w:cs="Calibri"/>
                <w:color w:val="000000"/>
                <w:sz w:val="18"/>
                <w:szCs w:val="18"/>
              </w:rPr>
              <w:t>-11,6</w:t>
            </w:r>
          </w:p>
        </w:tc>
        <w:tc>
          <w:tcPr>
            <w:tcW w:w="548" w:type="dxa"/>
            <w:tcBorders>
              <w:top w:val="nil"/>
              <w:left w:val="nil"/>
              <w:bottom w:val="nil"/>
              <w:right w:val="nil"/>
            </w:tcBorders>
            <w:shd w:val="clear" w:color="auto" w:fill="auto"/>
            <w:noWrap/>
            <w:vAlign w:val="center"/>
            <w:hideMark/>
          </w:tcPr>
          <w:p w14:paraId="0A530B24" w14:textId="77777777" w:rsidR="00490255" w:rsidRPr="00D23961" w:rsidRDefault="00490255" w:rsidP="000E4D54">
            <w:pPr>
              <w:jc w:val="center"/>
              <w:rPr>
                <w:rFonts w:cs="Calibri"/>
                <w:color w:val="000000"/>
                <w:sz w:val="18"/>
                <w:szCs w:val="18"/>
              </w:rPr>
            </w:pPr>
            <w:r w:rsidRPr="00D23961">
              <w:rPr>
                <w:rFonts w:cs="Calibri"/>
                <w:color w:val="000000"/>
                <w:sz w:val="18"/>
                <w:szCs w:val="18"/>
              </w:rPr>
              <w:t>0,6</w:t>
            </w:r>
          </w:p>
        </w:tc>
        <w:tc>
          <w:tcPr>
            <w:tcW w:w="523" w:type="dxa"/>
            <w:tcBorders>
              <w:top w:val="nil"/>
              <w:left w:val="nil"/>
              <w:bottom w:val="nil"/>
              <w:right w:val="nil"/>
            </w:tcBorders>
            <w:shd w:val="clear" w:color="auto" w:fill="auto"/>
            <w:noWrap/>
            <w:vAlign w:val="center"/>
            <w:hideMark/>
          </w:tcPr>
          <w:p w14:paraId="2EDF08A5" w14:textId="77777777" w:rsidR="00490255" w:rsidRPr="00D23961" w:rsidRDefault="00490255" w:rsidP="000E4D54">
            <w:pPr>
              <w:jc w:val="center"/>
              <w:rPr>
                <w:rFonts w:cs="Calibri"/>
                <w:color w:val="000000"/>
                <w:sz w:val="18"/>
                <w:szCs w:val="18"/>
              </w:rPr>
            </w:pPr>
            <w:r w:rsidRPr="00D23961">
              <w:rPr>
                <w:rFonts w:cs="Calibri"/>
                <w:color w:val="000000"/>
                <w:sz w:val="18"/>
                <w:szCs w:val="18"/>
              </w:rPr>
              <w:t>15,2</w:t>
            </w:r>
          </w:p>
        </w:tc>
        <w:tc>
          <w:tcPr>
            <w:tcW w:w="551" w:type="dxa"/>
            <w:tcBorders>
              <w:top w:val="nil"/>
              <w:left w:val="nil"/>
              <w:bottom w:val="nil"/>
              <w:right w:val="nil"/>
            </w:tcBorders>
            <w:shd w:val="clear" w:color="auto" w:fill="auto"/>
            <w:noWrap/>
            <w:vAlign w:val="center"/>
            <w:hideMark/>
          </w:tcPr>
          <w:p w14:paraId="3D5B6DFE" w14:textId="77777777" w:rsidR="00490255" w:rsidRPr="00D23961" w:rsidRDefault="00490255" w:rsidP="000E4D54">
            <w:pPr>
              <w:jc w:val="center"/>
              <w:rPr>
                <w:rFonts w:cs="Calibri"/>
                <w:color w:val="000000"/>
                <w:sz w:val="18"/>
                <w:szCs w:val="18"/>
              </w:rPr>
            </w:pPr>
            <w:r w:rsidRPr="00D23961">
              <w:rPr>
                <w:rFonts w:cs="Calibri"/>
                <w:color w:val="000000"/>
                <w:sz w:val="18"/>
                <w:szCs w:val="18"/>
              </w:rPr>
              <w:t>15,1</w:t>
            </w:r>
          </w:p>
        </w:tc>
        <w:tc>
          <w:tcPr>
            <w:tcW w:w="551" w:type="dxa"/>
            <w:tcBorders>
              <w:top w:val="nil"/>
              <w:left w:val="nil"/>
              <w:bottom w:val="nil"/>
              <w:right w:val="nil"/>
            </w:tcBorders>
            <w:shd w:val="clear" w:color="auto" w:fill="auto"/>
            <w:noWrap/>
            <w:vAlign w:val="center"/>
            <w:hideMark/>
          </w:tcPr>
          <w:p w14:paraId="7797911F" w14:textId="77777777" w:rsidR="00490255" w:rsidRPr="00D23961" w:rsidRDefault="00490255" w:rsidP="000E4D54">
            <w:pPr>
              <w:jc w:val="center"/>
              <w:rPr>
                <w:rFonts w:cs="Calibri"/>
                <w:color w:val="000000"/>
                <w:sz w:val="18"/>
                <w:szCs w:val="18"/>
              </w:rPr>
            </w:pPr>
            <w:r w:rsidRPr="00D23961">
              <w:rPr>
                <w:rFonts w:cs="Calibri"/>
                <w:color w:val="000000"/>
                <w:sz w:val="18"/>
                <w:szCs w:val="18"/>
              </w:rPr>
              <w:t>-2,5</w:t>
            </w:r>
          </w:p>
        </w:tc>
        <w:tc>
          <w:tcPr>
            <w:tcW w:w="551" w:type="dxa"/>
            <w:tcBorders>
              <w:top w:val="nil"/>
              <w:left w:val="nil"/>
              <w:bottom w:val="nil"/>
              <w:right w:val="nil"/>
            </w:tcBorders>
            <w:shd w:val="clear" w:color="auto" w:fill="auto"/>
            <w:noWrap/>
            <w:vAlign w:val="center"/>
            <w:hideMark/>
          </w:tcPr>
          <w:p w14:paraId="0CA74907" w14:textId="77777777" w:rsidR="00490255" w:rsidRPr="00D23961" w:rsidRDefault="00490255" w:rsidP="000E4D54">
            <w:pPr>
              <w:jc w:val="center"/>
              <w:rPr>
                <w:rFonts w:cs="Calibri"/>
                <w:color w:val="000000"/>
                <w:sz w:val="18"/>
                <w:szCs w:val="18"/>
              </w:rPr>
            </w:pPr>
            <w:r w:rsidRPr="00D23961">
              <w:rPr>
                <w:rFonts w:cs="Calibri"/>
                <w:color w:val="000000"/>
                <w:sz w:val="18"/>
                <w:szCs w:val="18"/>
              </w:rPr>
              <w:t>-0,6</w:t>
            </w:r>
          </w:p>
        </w:tc>
      </w:tr>
      <w:tr w:rsidR="00490255" w:rsidRPr="00D23961" w14:paraId="7C87D673"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6039E8F4"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6</w:t>
            </w:r>
          </w:p>
        </w:tc>
        <w:tc>
          <w:tcPr>
            <w:tcW w:w="4533" w:type="dxa"/>
            <w:tcBorders>
              <w:top w:val="nil"/>
              <w:left w:val="nil"/>
              <w:bottom w:val="nil"/>
              <w:right w:val="nil"/>
            </w:tcBorders>
            <w:shd w:val="clear" w:color="auto" w:fill="auto"/>
            <w:vAlign w:val="center"/>
            <w:hideMark/>
          </w:tcPr>
          <w:p w14:paraId="28AAC045" w14:textId="77777777" w:rsidR="00490255" w:rsidRPr="00D23961" w:rsidRDefault="00490255" w:rsidP="000E4D54">
            <w:pPr>
              <w:rPr>
                <w:rFonts w:cs="Times New Roman"/>
                <w:color w:val="000000"/>
                <w:sz w:val="20"/>
                <w:szCs w:val="20"/>
              </w:rPr>
            </w:pPr>
            <w:r w:rsidRPr="00D23961">
              <w:rPr>
                <w:rFonts w:cs="Arial"/>
                <w:color w:val="000000"/>
                <w:sz w:val="20"/>
                <w:szCs w:val="20"/>
              </w:rPr>
              <w:t xml:space="preserve">     Export tovarov a služieb </w:t>
            </w:r>
          </w:p>
        </w:tc>
        <w:tc>
          <w:tcPr>
            <w:tcW w:w="878" w:type="dxa"/>
            <w:tcBorders>
              <w:top w:val="nil"/>
              <w:left w:val="nil"/>
              <w:bottom w:val="nil"/>
              <w:right w:val="nil"/>
            </w:tcBorders>
            <w:shd w:val="clear" w:color="auto" w:fill="auto"/>
            <w:noWrap/>
            <w:vAlign w:val="center"/>
            <w:hideMark/>
          </w:tcPr>
          <w:p w14:paraId="399ED28F"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1D009A55" w14:textId="77777777" w:rsidR="00490255" w:rsidRPr="00D23961" w:rsidRDefault="00490255" w:rsidP="000E4D54">
            <w:pPr>
              <w:jc w:val="center"/>
              <w:rPr>
                <w:rFonts w:cs="Calibri"/>
                <w:color w:val="000000"/>
                <w:sz w:val="18"/>
                <w:szCs w:val="18"/>
              </w:rPr>
            </w:pPr>
            <w:r w:rsidRPr="00D23961">
              <w:rPr>
                <w:rFonts w:cs="Calibri"/>
                <w:color w:val="000000"/>
                <w:sz w:val="18"/>
                <w:szCs w:val="18"/>
              </w:rPr>
              <w:t>-7,3</w:t>
            </w:r>
          </w:p>
        </w:tc>
        <w:tc>
          <w:tcPr>
            <w:tcW w:w="548" w:type="dxa"/>
            <w:tcBorders>
              <w:top w:val="nil"/>
              <w:left w:val="nil"/>
              <w:bottom w:val="nil"/>
              <w:right w:val="nil"/>
            </w:tcBorders>
            <w:shd w:val="clear" w:color="auto" w:fill="auto"/>
            <w:noWrap/>
            <w:vAlign w:val="center"/>
            <w:hideMark/>
          </w:tcPr>
          <w:p w14:paraId="3B2D7550" w14:textId="77777777" w:rsidR="00490255" w:rsidRPr="00D23961" w:rsidRDefault="00490255" w:rsidP="000E4D54">
            <w:pPr>
              <w:jc w:val="center"/>
              <w:rPr>
                <w:rFonts w:cs="Calibri"/>
                <w:color w:val="000000"/>
                <w:sz w:val="18"/>
                <w:szCs w:val="18"/>
              </w:rPr>
            </w:pPr>
            <w:r w:rsidRPr="00D23961">
              <w:rPr>
                <w:rFonts w:cs="Calibri"/>
                <w:color w:val="000000"/>
                <w:sz w:val="18"/>
                <w:szCs w:val="18"/>
              </w:rPr>
              <w:t>10,2</w:t>
            </w:r>
          </w:p>
        </w:tc>
        <w:tc>
          <w:tcPr>
            <w:tcW w:w="523" w:type="dxa"/>
            <w:tcBorders>
              <w:top w:val="nil"/>
              <w:left w:val="nil"/>
              <w:bottom w:val="nil"/>
              <w:right w:val="nil"/>
            </w:tcBorders>
            <w:shd w:val="clear" w:color="auto" w:fill="auto"/>
            <w:noWrap/>
            <w:vAlign w:val="center"/>
            <w:hideMark/>
          </w:tcPr>
          <w:p w14:paraId="59FA4E02" w14:textId="77777777" w:rsidR="00490255" w:rsidRPr="00D23961" w:rsidRDefault="00490255" w:rsidP="000E4D54">
            <w:pPr>
              <w:jc w:val="center"/>
              <w:rPr>
                <w:rFonts w:cs="Calibri"/>
                <w:color w:val="000000"/>
                <w:sz w:val="18"/>
                <w:szCs w:val="18"/>
              </w:rPr>
            </w:pPr>
            <w:r w:rsidRPr="00D23961">
              <w:rPr>
                <w:rFonts w:cs="Calibri"/>
                <w:color w:val="000000"/>
                <w:sz w:val="18"/>
                <w:szCs w:val="18"/>
              </w:rPr>
              <w:t>1,5</w:t>
            </w:r>
          </w:p>
        </w:tc>
        <w:tc>
          <w:tcPr>
            <w:tcW w:w="551" w:type="dxa"/>
            <w:tcBorders>
              <w:top w:val="nil"/>
              <w:left w:val="nil"/>
              <w:bottom w:val="nil"/>
              <w:right w:val="nil"/>
            </w:tcBorders>
            <w:shd w:val="clear" w:color="auto" w:fill="auto"/>
            <w:noWrap/>
            <w:vAlign w:val="center"/>
            <w:hideMark/>
          </w:tcPr>
          <w:p w14:paraId="728F9BA8" w14:textId="77777777" w:rsidR="00490255" w:rsidRPr="00D23961" w:rsidRDefault="00490255" w:rsidP="000E4D54">
            <w:pPr>
              <w:jc w:val="center"/>
              <w:rPr>
                <w:rFonts w:cs="Calibri"/>
                <w:color w:val="000000"/>
                <w:sz w:val="18"/>
                <w:szCs w:val="18"/>
              </w:rPr>
            </w:pPr>
            <w:r w:rsidRPr="00D23961">
              <w:rPr>
                <w:rFonts w:cs="Calibri"/>
                <w:color w:val="000000"/>
                <w:sz w:val="18"/>
                <w:szCs w:val="18"/>
              </w:rPr>
              <w:t>9,0</w:t>
            </w:r>
          </w:p>
        </w:tc>
        <w:tc>
          <w:tcPr>
            <w:tcW w:w="551" w:type="dxa"/>
            <w:tcBorders>
              <w:top w:val="nil"/>
              <w:left w:val="nil"/>
              <w:bottom w:val="nil"/>
              <w:right w:val="nil"/>
            </w:tcBorders>
            <w:shd w:val="clear" w:color="auto" w:fill="auto"/>
            <w:noWrap/>
            <w:vAlign w:val="center"/>
            <w:hideMark/>
          </w:tcPr>
          <w:p w14:paraId="0A5382AE" w14:textId="77777777" w:rsidR="00490255" w:rsidRPr="00D23961" w:rsidRDefault="00490255" w:rsidP="000E4D54">
            <w:pPr>
              <w:jc w:val="center"/>
              <w:rPr>
                <w:rFonts w:cs="Calibri"/>
                <w:color w:val="000000"/>
                <w:sz w:val="18"/>
                <w:szCs w:val="18"/>
              </w:rPr>
            </w:pPr>
            <w:r w:rsidRPr="00D23961">
              <w:rPr>
                <w:rFonts w:cs="Calibri"/>
                <w:color w:val="000000"/>
                <w:sz w:val="18"/>
                <w:szCs w:val="18"/>
              </w:rPr>
              <w:t>4,7</w:t>
            </w:r>
          </w:p>
        </w:tc>
        <w:tc>
          <w:tcPr>
            <w:tcW w:w="551" w:type="dxa"/>
            <w:tcBorders>
              <w:top w:val="nil"/>
              <w:left w:val="nil"/>
              <w:bottom w:val="nil"/>
              <w:right w:val="nil"/>
            </w:tcBorders>
            <w:shd w:val="clear" w:color="auto" w:fill="auto"/>
            <w:noWrap/>
            <w:vAlign w:val="center"/>
            <w:hideMark/>
          </w:tcPr>
          <w:p w14:paraId="40C9106C" w14:textId="77777777" w:rsidR="00490255" w:rsidRPr="00D23961" w:rsidRDefault="00490255" w:rsidP="000E4D54">
            <w:pPr>
              <w:jc w:val="center"/>
              <w:rPr>
                <w:rFonts w:cs="Calibri"/>
                <w:color w:val="000000"/>
                <w:sz w:val="18"/>
                <w:szCs w:val="18"/>
              </w:rPr>
            </w:pPr>
            <w:r w:rsidRPr="00D23961">
              <w:rPr>
                <w:rFonts w:cs="Calibri"/>
                <w:color w:val="000000"/>
                <w:sz w:val="18"/>
                <w:szCs w:val="18"/>
              </w:rPr>
              <w:t>3,1</w:t>
            </w:r>
          </w:p>
        </w:tc>
      </w:tr>
      <w:tr w:rsidR="00490255" w:rsidRPr="00D23961" w14:paraId="388B5E00"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023AE41B"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7</w:t>
            </w:r>
          </w:p>
        </w:tc>
        <w:tc>
          <w:tcPr>
            <w:tcW w:w="4533" w:type="dxa"/>
            <w:tcBorders>
              <w:top w:val="nil"/>
              <w:left w:val="nil"/>
              <w:bottom w:val="nil"/>
              <w:right w:val="nil"/>
            </w:tcBorders>
            <w:shd w:val="clear" w:color="auto" w:fill="auto"/>
            <w:vAlign w:val="center"/>
            <w:hideMark/>
          </w:tcPr>
          <w:p w14:paraId="284D89B2" w14:textId="77777777" w:rsidR="00490255" w:rsidRPr="00D23961" w:rsidRDefault="00490255" w:rsidP="000E4D54">
            <w:pPr>
              <w:rPr>
                <w:rFonts w:cs="Times New Roman"/>
                <w:color w:val="000000"/>
                <w:sz w:val="20"/>
                <w:szCs w:val="20"/>
              </w:rPr>
            </w:pPr>
            <w:r w:rsidRPr="00D23961">
              <w:rPr>
                <w:rFonts w:cs="Arial"/>
                <w:color w:val="000000"/>
                <w:sz w:val="20"/>
                <w:szCs w:val="20"/>
              </w:rPr>
              <w:t xml:space="preserve">     Import tovarov a služieb </w:t>
            </w:r>
          </w:p>
        </w:tc>
        <w:tc>
          <w:tcPr>
            <w:tcW w:w="878" w:type="dxa"/>
            <w:tcBorders>
              <w:top w:val="nil"/>
              <w:left w:val="nil"/>
              <w:bottom w:val="nil"/>
              <w:right w:val="nil"/>
            </w:tcBorders>
            <w:shd w:val="clear" w:color="auto" w:fill="auto"/>
            <w:noWrap/>
            <w:vAlign w:val="center"/>
            <w:hideMark/>
          </w:tcPr>
          <w:p w14:paraId="41A839BF"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6DBC3B30" w14:textId="77777777" w:rsidR="00490255" w:rsidRPr="00D23961" w:rsidRDefault="00490255" w:rsidP="000E4D54">
            <w:pPr>
              <w:jc w:val="center"/>
              <w:rPr>
                <w:rFonts w:cs="Calibri"/>
                <w:color w:val="000000"/>
                <w:sz w:val="18"/>
                <w:szCs w:val="18"/>
              </w:rPr>
            </w:pPr>
            <w:r w:rsidRPr="00D23961">
              <w:rPr>
                <w:rFonts w:cs="Calibri"/>
                <w:color w:val="000000"/>
                <w:sz w:val="18"/>
                <w:szCs w:val="18"/>
              </w:rPr>
              <w:t>-8,2</w:t>
            </w:r>
          </w:p>
        </w:tc>
        <w:tc>
          <w:tcPr>
            <w:tcW w:w="548" w:type="dxa"/>
            <w:tcBorders>
              <w:top w:val="nil"/>
              <w:left w:val="nil"/>
              <w:bottom w:val="nil"/>
              <w:right w:val="nil"/>
            </w:tcBorders>
            <w:shd w:val="clear" w:color="auto" w:fill="auto"/>
            <w:noWrap/>
            <w:vAlign w:val="center"/>
            <w:hideMark/>
          </w:tcPr>
          <w:p w14:paraId="6937825E" w14:textId="77777777" w:rsidR="00490255" w:rsidRPr="00D23961" w:rsidRDefault="00490255" w:rsidP="000E4D54">
            <w:pPr>
              <w:jc w:val="center"/>
              <w:rPr>
                <w:rFonts w:cs="Calibri"/>
                <w:color w:val="000000"/>
                <w:sz w:val="18"/>
                <w:szCs w:val="18"/>
              </w:rPr>
            </w:pPr>
            <w:r w:rsidRPr="00D23961">
              <w:rPr>
                <w:rFonts w:cs="Calibri"/>
                <w:color w:val="000000"/>
                <w:sz w:val="18"/>
                <w:szCs w:val="18"/>
              </w:rPr>
              <w:t>11,2</w:t>
            </w:r>
          </w:p>
        </w:tc>
        <w:tc>
          <w:tcPr>
            <w:tcW w:w="523" w:type="dxa"/>
            <w:tcBorders>
              <w:top w:val="nil"/>
              <w:left w:val="nil"/>
              <w:bottom w:val="nil"/>
              <w:right w:val="nil"/>
            </w:tcBorders>
            <w:shd w:val="clear" w:color="auto" w:fill="auto"/>
            <w:noWrap/>
            <w:vAlign w:val="center"/>
            <w:hideMark/>
          </w:tcPr>
          <w:p w14:paraId="11913993" w14:textId="77777777" w:rsidR="00490255" w:rsidRPr="00D23961" w:rsidRDefault="00490255" w:rsidP="000E4D54">
            <w:pPr>
              <w:jc w:val="center"/>
              <w:rPr>
                <w:rFonts w:cs="Calibri"/>
                <w:color w:val="000000"/>
                <w:sz w:val="18"/>
                <w:szCs w:val="18"/>
              </w:rPr>
            </w:pPr>
            <w:r w:rsidRPr="00D23961">
              <w:rPr>
                <w:rFonts w:cs="Calibri"/>
                <w:color w:val="000000"/>
                <w:sz w:val="18"/>
                <w:szCs w:val="18"/>
              </w:rPr>
              <w:t>1,8</w:t>
            </w:r>
          </w:p>
        </w:tc>
        <w:tc>
          <w:tcPr>
            <w:tcW w:w="551" w:type="dxa"/>
            <w:tcBorders>
              <w:top w:val="nil"/>
              <w:left w:val="nil"/>
              <w:bottom w:val="nil"/>
              <w:right w:val="nil"/>
            </w:tcBorders>
            <w:shd w:val="clear" w:color="auto" w:fill="auto"/>
            <w:noWrap/>
            <w:vAlign w:val="center"/>
            <w:hideMark/>
          </w:tcPr>
          <w:p w14:paraId="0B5A85B0" w14:textId="77777777" w:rsidR="00490255" w:rsidRPr="00D23961" w:rsidRDefault="00490255" w:rsidP="000E4D54">
            <w:pPr>
              <w:jc w:val="center"/>
              <w:rPr>
                <w:rFonts w:cs="Calibri"/>
                <w:color w:val="000000"/>
                <w:sz w:val="18"/>
                <w:szCs w:val="18"/>
              </w:rPr>
            </w:pPr>
            <w:r w:rsidRPr="00D23961">
              <w:rPr>
                <w:rFonts w:cs="Calibri"/>
                <w:color w:val="000000"/>
                <w:sz w:val="18"/>
                <w:szCs w:val="18"/>
              </w:rPr>
              <w:t>8,4</w:t>
            </w:r>
          </w:p>
        </w:tc>
        <w:tc>
          <w:tcPr>
            <w:tcW w:w="551" w:type="dxa"/>
            <w:tcBorders>
              <w:top w:val="nil"/>
              <w:left w:val="nil"/>
              <w:bottom w:val="nil"/>
              <w:right w:val="nil"/>
            </w:tcBorders>
            <w:shd w:val="clear" w:color="auto" w:fill="auto"/>
            <w:noWrap/>
            <w:vAlign w:val="center"/>
            <w:hideMark/>
          </w:tcPr>
          <w:p w14:paraId="2AC756C7" w14:textId="77777777" w:rsidR="00490255" w:rsidRPr="00D23961" w:rsidRDefault="00490255" w:rsidP="000E4D54">
            <w:pPr>
              <w:jc w:val="center"/>
              <w:rPr>
                <w:rFonts w:cs="Calibri"/>
                <w:color w:val="000000"/>
                <w:sz w:val="18"/>
                <w:szCs w:val="18"/>
              </w:rPr>
            </w:pPr>
            <w:r w:rsidRPr="00D23961">
              <w:rPr>
                <w:rFonts w:cs="Calibri"/>
                <w:color w:val="000000"/>
                <w:sz w:val="18"/>
                <w:szCs w:val="18"/>
              </w:rPr>
              <w:t>3,9</w:t>
            </w:r>
          </w:p>
        </w:tc>
        <w:tc>
          <w:tcPr>
            <w:tcW w:w="551" w:type="dxa"/>
            <w:tcBorders>
              <w:top w:val="nil"/>
              <w:left w:val="nil"/>
              <w:bottom w:val="nil"/>
              <w:right w:val="nil"/>
            </w:tcBorders>
            <w:shd w:val="clear" w:color="auto" w:fill="auto"/>
            <w:noWrap/>
            <w:vAlign w:val="center"/>
            <w:hideMark/>
          </w:tcPr>
          <w:p w14:paraId="3C58DFB8" w14:textId="77777777" w:rsidR="00490255" w:rsidRPr="00D23961" w:rsidRDefault="00490255" w:rsidP="000E4D54">
            <w:pPr>
              <w:jc w:val="center"/>
              <w:rPr>
                <w:rFonts w:cs="Calibri"/>
                <w:color w:val="000000"/>
                <w:sz w:val="18"/>
                <w:szCs w:val="18"/>
              </w:rPr>
            </w:pPr>
            <w:r w:rsidRPr="00D23961">
              <w:rPr>
                <w:rFonts w:cs="Calibri"/>
                <w:color w:val="000000"/>
                <w:sz w:val="18"/>
                <w:szCs w:val="18"/>
              </w:rPr>
              <w:t>2,3</w:t>
            </w:r>
          </w:p>
        </w:tc>
      </w:tr>
      <w:tr w:rsidR="00490255" w:rsidRPr="00D23961" w14:paraId="1837ABB0"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55A1FCC4"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8</w:t>
            </w:r>
          </w:p>
        </w:tc>
        <w:tc>
          <w:tcPr>
            <w:tcW w:w="4533" w:type="dxa"/>
            <w:tcBorders>
              <w:top w:val="nil"/>
              <w:left w:val="nil"/>
              <w:bottom w:val="nil"/>
              <w:right w:val="nil"/>
            </w:tcBorders>
            <w:shd w:val="clear" w:color="auto" w:fill="auto"/>
            <w:noWrap/>
            <w:vAlign w:val="center"/>
            <w:hideMark/>
          </w:tcPr>
          <w:p w14:paraId="426AD214" w14:textId="77777777" w:rsidR="00490255" w:rsidRPr="00D23961" w:rsidRDefault="00490255" w:rsidP="000E4D54">
            <w:pPr>
              <w:rPr>
                <w:rFonts w:cs="Times New Roman"/>
                <w:color w:val="000000"/>
                <w:sz w:val="20"/>
                <w:szCs w:val="20"/>
              </w:rPr>
            </w:pPr>
            <w:r w:rsidRPr="00D23961">
              <w:rPr>
                <w:rFonts w:cs="Arial"/>
                <w:color w:val="000000"/>
                <w:sz w:val="20"/>
                <w:szCs w:val="20"/>
              </w:rPr>
              <w:t>Produkčná medzera (podiel na potenciálnom produkte)</w:t>
            </w:r>
          </w:p>
        </w:tc>
        <w:tc>
          <w:tcPr>
            <w:tcW w:w="878" w:type="dxa"/>
            <w:tcBorders>
              <w:top w:val="nil"/>
              <w:left w:val="nil"/>
              <w:bottom w:val="nil"/>
              <w:right w:val="nil"/>
            </w:tcBorders>
            <w:shd w:val="clear" w:color="auto" w:fill="auto"/>
            <w:noWrap/>
            <w:vAlign w:val="center"/>
            <w:hideMark/>
          </w:tcPr>
          <w:p w14:paraId="170A322B"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7D335A7C" w14:textId="77777777" w:rsidR="00490255" w:rsidRPr="00D23961" w:rsidRDefault="00490255" w:rsidP="000E4D54">
            <w:pPr>
              <w:jc w:val="center"/>
              <w:rPr>
                <w:rFonts w:cs="Calibri"/>
                <w:color w:val="000000"/>
                <w:sz w:val="18"/>
                <w:szCs w:val="18"/>
              </w:rPr>
            </w:pPr>
            <w:r w:rsidRPr="00D23961">
              <w:rPr>
                <w:rFonts w:cs="Calibri"/>
                <w:color w:val="000000"/>
                <w:sz w:val="18"/>
                <w:szCs w:val="18"/>
              </w:rPr>
              <w:t>-3,2</w:t>
            </w:r>
          </w:p>
        </w:tc>
        <w:tc>
          <w:tcPr>
            <w:tcW w:w="548" w:type="dxa"/>
            <w:tcBorders>
              <w:top w:val="nil"/>
              <w:left w:val="nil"/>
              <w:bottom w:val="nil"/>
              <w:right w:val="nil"/>
            </w:tcBorders>
            <w:shd w:val="clear" w:color="auto" w:fill="auto"/>
            <w:noWrap/>
            <w:vAlign w:val="center"/>
            <w:hideMark/>
          </w:tcPr>
          <w:p w14:paraId="36233019" w14:textId="77777777" w:rsidR="00490255" w:rsidRPr="00D23961" w:rsidRDefault="00490255" w:rsidP="000E4D54">
            <w:pPr>
              <w:jc w:val="center"/>
              <w:rPr>
                <w:rFonts w:cs="Calibri"/>
                <w:color w:val="000000"/>
                <w:sz w:val="18"/>
                <w:szCs w:val="18"/>
              </w:rPr>
            </w:pPr>
            <w:r w:rsidRPr="00D23961">
              <w:rPr>
                <w:rFonts w:cs="Calibri"/>
                <w:color w:val="000000"/>
                <w:sz w:val="18"/>
                <w:szCs w:val="18"/>
              </w:rPr>
              <w:t>-1,6</w:t>
            </w:r>
          </w:p>
        </w:tc>
        <w:tc>
          <w:tcPr>
            <w:tcW w:w="523" w:type="dxa"/>
            <w:tcBorders>
              <w:top w:val="nil"/>
              <w:left w:val="nil"/>
              <w:bottom w:val="nil"/>
              <w:right w:val="nil"/>
            </w:tcBorders>
            <w:shd w:val="clear" w:color="auto" w:fill="auto"/>
            <w:noWrap/>
            <w:vAlign w:val="center"/>
            <w:hideMark/>
          </w:tcPr>
          <w:p w14:paraId="7EF8FC08" w14:textId="77777777" w:rsidR="00490255" w:rsidRPr="00D23961" w:rsidRDefault="00490255" w:rsidP="000E4D54">
            <w:pPr>
              <w:jc w:val="center"/>
              <w:rPr>
                <w:rFonts w:cs="Calibri"/>
                <w:color w:val="000000"/>
                <w:sz w:val="18"/>
                <w:szCs w:val="18"/>
              </w:rPr>
            </w:pPr>
            <w:r w:rsidRPr="00D23961">
              <w:rPr>
                <w:rFonts w:cs="Calibri"/>
                <w:color w:val="000000"/>
                <w:sz w:val="18"/>
                <w:szCs w:val="18"/>
              </w:rPr>
              <w:t>-0,9</w:t>
            </w:r>
          </w:p>
        </w:tc>
        <w:tc>
          <w:tcPr>
            <w:tcW w:w="551" w:type="dxa"/>
            <w:tcBorders>
              <w:top w:val="nil"/>
              <w:left w:val="nil"/>
              <w:bottom w:val="nil"/>
              <w:right w:val="nil"/>
            </w:tcBorders>
            <w:shd w:val="clear" w:color="auto" w:fill="auto"/>
            <w:noWrap/>
            <w:vAlign w:val="center"/>
            <w:hideMark/>
          </w:tcPr>
          <w:p w14:paraId="30E9ADA7" w14:textId="77777777" w:rsidR="00490255" w:rsidRPr="00D23961" w:rsidRDefault="00490255" w:rsidP="000E4D54">
            <w:pPr>
              <w:jc w:val="center"/>
              <w:rPr>
                <w:rFonts w:cs="Calibri"/>
                <w:color w:val="000000"/>
                <w:sz w:val="18"/>
                <w:szCs w:val="18"/>
              </w:rPr>
            </w:pPr>
            <w:r w:rsidRPr="00D23961">
              <w:rPr>
                <w:rFonts w:cs="Calibri"/>
                <w:color w:val="000000"/>
                <w:sz w:val="18"/>
                <w:szCs w:val="18"/>
              </w:rPr>
              <w:t>1,6</w:t>
            </w:r>
          </w:p>
        </w:tc>
        <w:tc>
          <w:tcPr>
            <w:tcW w:w="551" w:type="dxa"/>
            <w:tcBorders>
              <w:top w:val="nil"/>
              <w:left w:val="nil"/>
              <w:bottom w:val="nil"/>
              <w:right w:val="nil"/>
            </w:tcBorders>
            <w:shd w:val="clear" w:color="auto" w:fill="auto"/>
            <w:noWrap/>
            <w:vAlign w:val="center"/>
            <w:hideMark/>
          </w:tcPr>
          <w:p w14:paraId="0FB7A521" w14:textId="77777777" w:rsidR="00490255" w:rsidRPr="00D23961" w:rsidRDefault="00490255" w:rsidP="000E4D54">
            <w:pPr>
              <w:jc w:val="center"/>
              <w:rPr>
                <w:rFonts w:cs="Calibri"/>
                <w:color w:val="000000"/>
                <w:sz w:val="18"/>
                <w:szCs w:val="18"/>
              </w:rPr>
            </w:pPr>
            <w:r w:rsidRPr="00D23961">
              <w:rPr>
                <w:rFonts w:cs="Calibri"/>
                <w:color w:val="000000"/>
                <w:sz w:val="18"/>
                <w:szCs w:val="18"/>
              </w:rPr>
              <w:t>0,5</w:t>
            </w:r>
          </w:p>
        </w:tc>
        <w:tc>
          <w:tcPr>
            <w:tcW w:w="551" w:type="dxa"/>
            <w:tcBorders>
              <w:top w:val="nil"/>
              <w:left w:val="nil"/>
              <w:bottom w:val="nil"/>
              <w:right w:val="nil"/>
            </w:tcBorders>
            <w:shd w:val="clear" w:color="auto" w:fill="auto"/>
            <w:noWrap/>
            <w:vAlign w:val="center"/>
            <w:hideMark/>
          </w:tcPr>
          <w:p w14:paraId="1346A514" w14:textId="77777777" w:rsidR="00490255" w:rsidRPr="00D23961" w:rsidRDefault="00490255" w:rsidP="000E4D54">
            <w:pPr>
              <w:jc w:val="center"/>
              <w:rPr>
                <w:rFonts w:cs="Calibri"/>
                <w:color w:val="000000"/>
                <w:sz w:val="18"/>
                <w:szCs w:val="18"/>
              </w:rPr>
            </w:pPr>
            <w:r w:rsidRPr="00D23961">
              <w:rPr>
                <w:rFonts w:cs="Calibri"/>
                <w:color w:val="000000"/>
                <w:sz w:val="18"/>
                <w:szCs w:val="18"/>
              </w:rPr>
              <w:t>-0,1</w:t>
            </w:r>
          </w:p>
        </w:tc>
      </w:tr>
      <w:tr w:rsidR="00490255" w:rsidRPr="00D23961" w14:paraId="4B072ED3"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2AC233FD"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9</w:t>
            </w:r>
          </w:p>
        </w:tc>
        <w:tc>
          <w:tcPr>
            <w:tcW w:w="4533" w:type="dxa"/>
            <w:tcBorders>
              <w:top w:val="nil"/>
              <w:left w:val="nil"/>
              <w:bottom w:val="nil"/>
              <w:right w:val="nil"/>
            </w:tcBorders>
            <w:shd w:val="clear" w:color="auto" w:fill="auto"/>
            <w:noWrap/>
            <w:vAlign w:val="center"/>
            <w:hideMark/>
          </w:tcPr>
          <w:p w14:paraId="77513B76" w14:textId="77777777" w:rsidR="00490255" w:rsidRPr="00D23961" w:rsidRDefault="00490255" w:rsidP="000E4D54">
            <w:pPr>
              <w:rPr>
                <w:rFonts w:cs="Times New Roman"/>
                <w:color w:val="000000"/>
                <w:sz w:val="20"/>
                <w:szCs w:val="20"/>
              </w:rPr>
            </w:pPr>
            <w:r w:rsidRPr="00D23961">
              <w:rPr>
                <w:rFonts w:cs="Arial"/>
                <w:color w:val="000000"/>
                <w:sz w:val="20"/>
                <w:szCs w:val="20"/>
              </w:rPr>
              <w:t>Priem. mesačná mzda za hospodárstvo (nominálny rast)</w:t>
            </w:r>
          </w:p>
        </w:tc>
        <w:tc>
          <w:tcPr>
            <w:tcW w:w="878" w:type="dxa"/>
            <w:tcBorders>
              <w:top w:val="nil"/>
              <w:left w:val="nil"/>
              <w:bottom w:val="nil"/>
              <w:right w:val="nil"/>
            </w:tcBorders>
            <w:shd w:val="clear" w:color="auto" w:fill="auto"/>
            <w:noWrap/>
            <w:vAlign w:val="center"/>
            <w:hideMark/>
          </w:tcPr>
          <w:p w14:paraId="026313CF"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2DFB9C14" w14:textId="77777777" w:rsidR="00490255" w:rsidRPr="00D23961" w:rsidRDefault="00490255" w:rsidP="000E4D54">
            <w:pPr>
              <w:jc w:val="center"/>
              <w:rPr>
                <w:rFonts w:cs="Calibri"/>
                <w:color w:val="000000"/>
                <w:sz w:val="18"/>
                <w:szCs w:val="18"/>
              </w:rPr>
            </w:pPr>
            <w:r w:rsidRPr="00D23961">
              <w:rPr>
                <w:rFonts w:cs="Calibri"/>
                <w:color w:val="000000"/>
                <w:sz w:val="18"/>
                <w:szCs w:val="18"/>
              </w:rPr>
              <w:t>3,8</w:t>
            </w:r>
          </w:p>
        </w:tc>
        <w:tc>
          <w:tcPr>
            <w:tcW w:w="548" w:type="dxa"/>
            <w:tcBorders>
              <w:top w:val="nil"/>
              <w:left w:val="nil"/>
              <w:bottom w:val="nil"/>
              <w:right w:val="nil"/>
            </w:tcBorders>
            <w:shd w:val="clear" w:color="auto" w:fill="auto"/>
            <w:noWrap/>
            <w:vAlign w:val="center"/>
            <w:hideMark/>
          </w:tcPr>
          <w:p w14:paraId="289F87BB" w14:textId="77777777" w:rsidR="00490255" w:rsidRPr="00D23961" w:rsidRDefault="00490255" w:rsidP="000E4D54">
            <w:pPr>
              <w:jc w:val="center"/>
              <w:rPr>
                <w:rFonts w:cs="Calibri"/>
                <w:color w:val="000000"/>
                <w:sz w:val="18"/>
                <w:szCs w:val="18"/>
              </w:rPr>
            </w:pPr>
            <w:r w:rsidRPr="00D23961">
              <w:rPr>
                <w:rFonts w:cs="Calibri"/>
                <w:color w:val="000000"/>
                <w:sz w:val="18"/>
                <w:szCs w:val="18"/>
              </w:rPr>
              <w:t>6,9</w:t>
            </w:r>
          </w:p>
        </w:tc>
        <w:tc>
          <w:tcPr>
            <w:tcW w:w="523" w:type="dxa"/>
            <w:tcBorders>
              <w:top w:val="nil"/>
              <w:left w:val="nil"/>
              <w:bottom w:val="nil"/>
              <w:right w:val="nil"/>
            </w:tcBorders>
            <w:shd w:val="clear" w:color="auto" w:fill="auto"/>
            <w:noWrap/>
            <w:vAlign w:val="center"/>
            <w:hideMark/>
          </w:tcPr>
          <w:p w14:paraId="0B26E0F6" w14:textId="77777777" w:rsidR="00490255" w:rsidRPr="00D23961" w:rsidRDefault="00490255" w:rsidP="000E4D54">
            <w:pPr>
              <w:jc w:val="center"/>
              <w:rPr>
                <w:rFonts w:cs="Calibri"/>
                <w:color w:val="000000"/>
                <w:sz w:val="18"/>
                <w:szCs w:val="18"/>
              </w:rPr>
            </w:pPr>
            <w:r w:rsidRPr="00D23961">
              <w:rPr>
                <w:rFonts w:cs="Calibri"/>
                <w:color w:val="000000"/>
                <w:sz w:val="18"/>
                <w:szCs w:val="18"/>
              </w:rPr>
              <w:t>6,9</w:t>
            </w:r>
          </w:p>
        </w:tc>
        <w:tc>
          <w:tcPr>
            <w:tcW w:w="551" w:type="dxa"/>
            <w:tcBorders>
              <w:top w:val="nil"/>
              <w:left w:val="nil"/>
              <w:bottom w:val="nil"/>
              <w:right w:val="nil"/>
            </w:tcBorders>
            <w:shd w:val="clear" w:color="auto" w:fill="auto"/>
            <w:noWrap/>
            <w:vAlign w:val="center"/>
            <w:hideMark/>
          </w:tcPr>
          <w:p w14:paraId="6D90F08A" w14:textId="77777777" w:rsidR="00490255" w:rsidRPr="00D23961" w:rsidRDefault="00490255" w:rsidP="000E4D54">
            <w:pPr>
              <w:jc w:val="center"/>
              <w:rPr>
                <w:rFonts w:cs="Calibri"/>
                <w:color w:val="000000"/>
                <w:sz w:val="18"/>
                <w:szCs w:val="18"/>
              </w:rPr>
            </w:pPr>
            <w:r w:rsidRPr="00D23961">
              <w:rPr>
                <w:rFonts w:cs="Calibri"/>
                <w:color w:val="000000"/>
                <w:sz w:val="18"/>
                <w:szCs w:val="18"/>
              </w:rPr>
              <w:t>7,1</w:t>
            </w:r>
          </w:p>
        </w:tc>
        <w:tc>
          <w:tcPr>
            <w:tcW w:w="551" w:type="dxa"/>
            <w:tcBorders>
              <w:top w:val="nil"/>
              <w:left w:val="nil"/>
              <w:bottom w:val="nil"/>
              <w:right w:val="nil"/>
            </w:tcBorders>
            <w:shd w:val="clear" w:color="auto" w:fill="auto"/>
            <w:noWrap/>
            <w:vAlign w:val="center"/>
            <w:hideMark/>
          </w:tcPr>
          <w:p w14:paraId="6C68E0A8" w14:textId="77777777" w:rsidR="00490255" w:rsidRPr="00D23961" w:rsidRDefault="00490255" w:rsidP="000E4D54">
            <w:pPr>
              <w:jc w:val="center"/>
              <w:rPr>
                <w:rFonts w:cs="Calibri"/>
                <w:color w:val="000000"/>
                <w:sz w:val="18"/>
                <w:szCs w:val="18"/>
              </w:rPr>
            </w:pPr>
            <w:r w:rsidRPr="00D23961">
              <w:rPr>
                <w:rFonts w:cs="Calibri"/>
                <w:color w:val="000000"/>
                <w:sz w:val="18"/>
                <w:szCs w:val="18"/>
              </w:rPr>
              <w:t>4,8</w:t>
            </w:r>
          </w:p>
        </w:tc>
        <w:tc>
          <w:tcPr>
            <w:tcW w:w="551" w:type="dxa"/>
            <w:tcBorders>
              <w:top w:val="nil"/>
              <w:left w:val="nil"/>
              <w:bottom w:val="nil"/>
              <w:right w:val="nil"/>
            </w:tcBorders>
            <w:shd w:val="clear" w:color="auto" w:fill="auto"/>
            <w:noWrap/>
            <w:vAlign w:val="center"/>
            <w:hideMark/>
          </w:tcPr>
          <w:p w14:paraId="0E7F770F" w14:textId="77777777" w:rsidR="00490255" w:rsidRPr="00D23961" w:rsidRDefault="00490255" w:rsidP="000E4D54">
            <w:pPr>
              <w:jc w:val="center"/>
              <w:rPr>
                <w:rFonts w:cs="Calibri"/>
                <w:color w:val="000000"/>
                <w:sz w:val="18"/>
                <w:szCs w:val="18"/>
              </w:rPr>
            </w:pPr>
            <w:r w:rsidRPr="00D23961">
              <w:rPr>
                <w:rFonts w:cs="Calibri"/>
                <w:color w:val="000000"/>
                <w:sz w:val="18"/>
                <w:szCs w:val="18"/>
              </w:rPr>
              <w:t>4,1</w:t>
            </w:r>
          </w:p>
        </w:tc>
      </w:tr>
      <w:tr w:rsidR="00490255" w:rsidRPr="00D23961" w14:paraId="3D9917F9"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6D9C2D37"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10</w:t>
            </w:r>
          </w:p>
        </w:tc>
        <w:tc>
          <w:tcPr>
            <w:tcW w:w="4533" w:type="dxa"/>
            <w:tcBorders>
              <w:top w:val="nil"/>
              <w:left w:val="nil"/>
              <w:bottom w:val="nil"/>
              <w:right w:val="nil"/>
            </w:tcBorders>
            <w:shd w:val="clear" w:color="auto" w:fill="auto"/>
            <w:noWrap/>
            <w:vAlign w:val="center"/>
            <w:hideMark/>
          </w:tcPr>
          <w:p w14:paraId="1B7F8BA5" w14:textId="77777777" w:rsidR="00490255" w:rsidRPr="00D23961" w:rsidRDefault="00490255" w:rsidP="000E4D54">
            <w:pPr>
              <w:rPr>
                <w:rFonts w:cs="Times New Roman"/>
                <w:color w:val="000000"/>
                <w:sz w:val="20"/>
                <w:szCs w:val="20"/>
              </w:rPr>
            </w:pPr>
            <w:r w:rsidRPr="00D23961">
              <w:rPr>
                <w:rFonts w:cs="Arial"/>
                <w:color w:val="000000"/>
                <w:sz w:val="20"/>
                <w:szCs w:val="20"/>
              </w:rPr>
              <w:t>Priemerný rast zamestnanosti, podľa VZPS</w:t>
            </w:r>
          </w:p>
        </w:tc>
        <w:tc>
          <w:tcPr>
            <w:tcW w:w="878" w:type="dxa"/>
            <w:tcBorders>
              <w:top w:val="nil"/>
              <w:left w:val="nil"/>
              <w:bottom w:val="nil"/>
              <w:right w:val="nil"/>
            </w:tcBorders>
            <w:shd w:val="clear" w:color="auto" w:fill="auto"/>
            <w:noWrap/>
            <w:vAlign w:val="center"/>
            <w:hideMark/>
          </w:tcPr>
          <w:p w14:paraId="071D0BBE"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0058207D" w14:textId="77777777" w:rsidR="00490255" w:rsidRPr="00D23961" w:rsidRDefault="00490255" w:rsidP="000E4D54">
            <w:pPr>
              <w:jc w:val="center"/>
              <w:rPr>
                <w:rFonts w:cs="Calibri"/>
                <w:color w:val="000000"/>
                <w:sz w:val="18"/>
                <w:szCs w:val="18"/>
              </w:rPr>
            </w:pPr>
            <w:r w:rsidRPr="00D23961">
              <w:rPr>
                <w:rFonts w:cs="Calibri"/>
                <w:color w:val="000000"/>
                <w:sz w:val="18"/>
                <w:szCs w:val="18"/>
              </w:rPr>
              <w:t>-2,0</w:t>
            </w:r>
          </w:p>
        </w:tc>
        <w:tc>
          <w:tcPr>
            <w:tcW w:w="548" w:type="dxa"/>
            <w:tcBorders>
              <w:top w:val="nil"/>
              <w:left w:val="nil"/>
              <w:bottom w:val="nil"/>
              <w:right w:val="nil"/>
            </w:tcBorders>
            <w:shd w:val="clear" w:color="auto" w:fill="auto"/>
            <w:noWrap/>
            <w:vAlign w:val="center"/>
            <w:hideMark/>
          </w:tcPr>
          <w:p w14:paraId="4FE3122F" w14:textId="77777777" w:rsidR="00490255" w:rsidRPr="00D23961" w:rsidRDefault="00490255" w:rsidP="000E4D54">
            <w:pPr>
              <w:jc w:val="center"/>
              <w:rPr>
                <w:rFonts w:cs="Calibri"/>
                <w:color w:val="000000"/>
                <w:sz w:val="18"/>
                <w:szCs w:val="18"/>
              </w:rPr>
            </w:pPr>
            <w:r w:rsidRPr="00D23961">
              <w:rPr>
                <w:rFonts w:cs="Calibri"/>
                <w:color w:val="000000"/>
                <w:sz w:val="18"/>
                <w:szCs w:val="18"/>
              </w:rPr>
              <w:t>-0,7</w:t>
            </w:r>
          </w:p>
        </w:tc>
        <w:tc>
          <w:tcPr>
            <w:tcW w:w="523" w:type="dxa"/>
            <w:tcBorders>
              <w:top w:val="nil"/>
              <w:left w:val="nil"/>
              <w:bottom w:val="nil"/>
              <w:right w:val="nil"/>
            </w:tcBorders>
            <w:shd w:val="clear" w:color="auto" w:fill="auto"/>
            <w:noWrap/>
            <w:vAlign w:val="center"/>
            <w:hideMark/>
          </w:tcPr>
          <w:p w14:paraId="553D6672" w14:textId="77777777" w:rsidR="00490255" w:rsidRPr="00D23961" w:rsidRDefault="00490255" w:rsidP="000E4D54">
            <w:pPr>
              <w:jc w:val="center"/>
              <w:rPr>
                <w:rFonts w:cs="Calibri"/>
                <w:color w:val="000000"/>
                <w:sz w:val="18"/>
                <w:szCs w:val="18"/>
              </w:rPr>
            </w:pPr>
            <w:r w:rsidRPr="00D23961">
              <w:rPr>
                <w:rFonts w:cs="Calibri"/>
                <w:color w:val="000000"/>
                <w:sz w:val="18"/>
                <w:szCs w:val="18"/>
              </w:rPr>
              <w:t>1,6</w:t>
            </w:r>
          </w:p>
        </w:tc>
        <w:tc>
          <w:tcPr>
            <w:tcW w:w="551" w:type="dxa"/>
            <w:tcBorders>
              <w:top w:val="nil"/>
              <w:left w:val="nil"/>
              <w:bottom w:val="nil"/>
              <w:right w:val="nil"/>
            </w:tcBorders>
            <w:shd w:val="clear" w:color="auto" w:fill="auto"/>
            <w:noWrap/>
            <w:vAlign w:val="center"/>
            <w:hideMark/>
          </w:tcPr>
          <w:p w14:paraId="2F9015AE" w14:textId="77777777" w:rsidR="00490255" w:rsidRPr="00D23961" w:rsidRDefault="00490255" w:rsidP="000E4D54">
            <w:pPr>
              <w:jc w:val="center"/>
              <w:rPr>
                <w:rFonts w:cs="Calibri"/>
                <w:color w:val="000000"/>
                <w:sz w:val="18"/>
                <w:szCs w:val="18"/>
              </w:rPr>
            </w:pPr>
            <w:r w:rsidRPr="00D23961">
              <w:rPr>
                <w:rFonts w:cs="Calibri"/>
                <w:color w:val="000000"/>
                <w:sz w:val="18"/>
                <w:szCs w:val="18"/>
              </w:rPr>
              <w:t>1,6</w:t>
            </w:r>
          </w:p>
        </w:tc>
        <w:tc>
          <w:tcPr>
            <w:tcW w:w="551" w:type="dxa"/>
            <w:tcBorders>
              <w:top w:val="nil"/>
              <w:left w:val="nil"/>
              <w:bottom w:val="nil"/>
              <w:right w:val="nil"/>
            </w:tcBorders>
            <w:shd w:val="clear" w:color="auto" w:fill="auto"/>
            <w:noWrap/>
            <w:vAlign w:val="center"/>
            <w:hideMark/>
          </w:tcPr>
          <w:p w14:paraId="459C8E20" w14:textId="77777777" w:rsidR="00490255" w:rsidRPr="00D23961" w:rsidRDefault="00490255" w:rsidP="000E4D54">
            <w:pPr>
              <w:jc w:val="center"/>
              <w:rPr>
                <w:rFonts w:cs="Calibri"/>
                <w:color w:val="000000"/>
                <w:sz w:val="18"/>
                <w:szCs w:val="18"/>
              </w:rPr>
            </w:pPr>
            <w:r w:rsidRPr="00D23961">
              <w:rPr>
                <w:rFonts w:cs="Calibri"/>
                <w:color w:val="000000"/>
                <w:sz w:val="18"/>
                <w:szCs w:val="18"/>
              </w:rPr>
              <w:t>0,6</w:t>
            </w:r>
          </w:p>
        </w:tc>
        <w:tc>
          <w:tcPr>
            <w:tcW w:w="551" w:type="dxa"/>
            <w:tcBorders>
              <w:top w:val="nil"/>
              <w:left w:val="nil"/>
              <w:bottom w:val="nil"/>
              <w:right w:val="nil"/>
            </w:tcBorders>
            <w:shd w:val="clear" w:color="auto" w:fill="auto"/>
            <w:noWrap/>
            <w:vAlign w:val="center"/>
            <w:hideMark/>
          </w:tcPr>
          <w:p w14:paraId="22053A44" w14:textId="77777777" w:rsidR="00490255" w:rsidRPr="00D23961" w:rsidRDefault="00490255" w:rsidP="000E4D54">
            <w:pPr>
              <w:jc w:val="center"/>
              <w:rPr>
                <w:rFonts w:cs="Calibri"/>
                <w:color w:val="000000"/>
                <w:sz w:val="18"/>
                <w:szCs w:val="18"/>
              </w:rPr>
            </w:pPr>
            <w:r w:rsidRPr="00D23961">
              <w:rPr>
                <w:rFonts w:cs="Calibri"/>
                <w:color w:val="000000"/>
                <w:sz w:val="18"/>
                <w:szCs w:val="18"/>
              </w:rPr>
              <w:t>0,1</w:t>
            </w:r>
          </w:p>
        </w:tc>
      </w:tr>
      <w:tr w:rsidR="00490255" w:rsidRPr="00D23961" w14:paraId="69E87BA0"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35397A0F"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11</w:t>
            </w:r>
          </w:p>
        </w:tc>
        <w:tc>
          <w:tcPr>
            <w:tcW w:w="4533" w:type="dxa"/>
            <w:tcBorders>
              <w:top w:val="nil"/>
              <w:left w:val="nil"/>
              <w:bottom w:val="nil"/>
              <w:right w:val="nil"/>
            </w:tcBorders>
            <w:shd w:val="clear" w:color="auto" w:fill="auto"/>
            <w:vAlign w:val="center"/>
            <w:hideMark/>
          </w:tcPr>
          <w:p w14:paraId="790C59AD" w14:textId="77777777" w:rsidR="00490255" w:rsidRPr="00D23961" w:rsidRDefault="00490255" w:rsidP="000E4D54">
            <w:pPr>
              <w:rPr>
                <w:rFonts w:cs="Times New Roman"/>
                <w:color w:val="000000"/>
                <w:sz w:val="20"/>
                <w:szCs w:val="20"/>
              </w:rPr>
            </w:pPr>
            <w:r w:rsidRPr="00D23961">
              <w:rPr>
                <w:rFonts w:cs="Arial"/>
                <w:color w:val="000000"/>
                <w:sz w:val="20"/>
                <w:szCs w:val="20"/>
              </w:rPr>
              <w:t>Priemerný rast zamestnanosti, podľa ESA 2010</w:t>
            </w:r>
          </w:p>
        </w:tc>
        <w:tc>
          <w:tcPr>
            <w:tcW w:w="878" w:type="dxa"/>
            <w:tcBorders>
              <w:top w:val="nil"/>
              <w:left w:val="nil"/>
              <w:bottom w:val="nil"/>
              <w:right w:val="nil"/>
            </w:tcBorders>
            <w:shd w:val="clear" w:color="auto" w:fill="auto"/>
            <w:noWrap/>
            <w:vAlign w:val="center"/>
            <w:hideMark/>
          </w:tcPr>
          <w:p w14:paraId="69D945F2"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4F5D37BE" w14:textId="77777777" w:rsidR="00490255" w:rsidRPr="00D23961" w:rsidRDefault="00490255" w:rsidP="000E4D54">
            <w:pPr>
              <w:jc w:val="center"/>
              <w:rPr>
                <w:rFonts w:cs="Calibri"/>
                <w:color w:val="000000"/>
                <w:sz w:val="18"/>
                <w:szCs w:val="18"/>
              </w:rPr>
            </w:pPr>
            <w:r w:rsidRPr="00D23961">
              <w:rPr>
                <w:rFonts w:cs="Calibri"/>
                <w:color w:val="000000"/>
                <w:sz w:val="18"/>
                <w:szCs w:val="18"/>
              </w:rPr>
              <w:t>-1,9</w:t>
            </w:r>
          </w:p>
        </w:tc>
        <w:tc>
          <w:tcPr>
            <w:tcW w:w="548" w:type="dxa"/>
            <w:tcBorders>
              <w:top w:val="nil"/>
              <w:left w:val="nil"/>
              <w:bottom w:val="nil"/>
              <w:right w:val="nil"/>
            </w:tcBorders>
            <w:shd w:val="clear" w:color="auto" w:fill="auto"/>
            <w:noWrap/>
            <w:vAlign w:val="center"/>
            <w:hideMark/>
          </w:tcPr>
          <w:p w14:paraId="46306444" w14:textId="77777777" w:rsidR="00490255" w:rsidRPr="00D23961" w:rsidRDefault="00490255" w:rsidP="000E4D54">
            <w:pPr>
              <w:jc w:val="center"/>
              <w:rPr>
                <w:rFonts w:cs="Calibri"/>
                <w:color w:val="000000"/>
                <w:sz w:val="18"/>
                <w:szCs w:val="18"/>
              </w:rPr>
            </w:pPr>
            <w:r w:rsidRPr="00D23961">
              <w:rPr>
                <w:rFonts w:cs="Calibri"/>
                <w:color w:val="000000"/>
                <w:sz w:val="18"/>
                <w:szCs w:val="18"/>
              </w:rPr>
              <w:t>-0,6</w:t>
            </w:r>
          </w:p>
        </w:tc>
        <w:tc>
          <w:tcPr>
            <w:tcW w:w="523" w:type="dxa"/>
            <w:tcBorders>
              <w:top w:val="nil"/>
              <w:left w:val="nil"/>
              <w:bottom w:val="nil"/>
              <w:right w:val="nil"/>
            </w:tcBorders>
            <w:shd w:val="clear" w:color="auto" w:fill="auto"/>
            <w:noWrap/>
            <w:vAlign w:val="center"/>
            <w:hideMark/>
          </w:tcPr>
          <w:p w14:paraId="4983624A" w14:textId="77777777" w:rsidR="00490255" w:rsidRPr="00D23961" w:rsidRDefault="00490255" w:rsidP="000E4D54">
            <w:pPr>
              <w:jc w:val="center"/>
              <w:rPr>
                <w:rFonts w:cs="Calibri"/>
                <w:color w:val="000000"/>
                <w:sz w:val="18"/>
                <w:szCs w:val="18"/>
              </w:rPr>
            </w:pPr>
            <w:r w:rsidRPr="00D23961">
              <w:rPr>
                <w:rFonts w:cs="Calibri"/>
                <w:color w:val="000000"/>
                <w:sz w:val="18"/>
                <w:szCs w:val="18"/>
              </w:rPr>
              <w:t>0,6</w:t>
            </w:r>
          </w:p>
        </w:tc>
        <w:tc>
          <w:tcPr>
            <w:tcW w:w="551" w:type="dxa"/>
            <w:tcBorders>
              <w:top w:val="nil"/>
              <w:left w:val="nil"/>
              <w:bottom w:val="nil"/>
              <w:right w:val="nil"/>
            </w:tcBorders>
            <w:shd w:val="clear" w:color="auto" w:fill="auto"/>
            <w:noWrap/>
            <w:vAlign w:val="center"/>
            <w:hideMark/>
          </w:tcPr>
          <w:p w14:paraId="505E85B3" w14:textId="77777777" w:rsidR="00490255" w:rsidRPr="00D23961" w:rsidRDefault="00490255" w:rsidP="000E4D54">
            <w:pPr>
              <w:jc w:val="center"/>
              <w:rPr>
                <w:rFonts w:cs="Calibri"/>
                <w:color w:val="000000"/>
                <w:sz w:val="18"/>
                <w:szCs w:val="18"/>
              </w:rPr>
            </w:pPr>
            <w:r w:rsidRPr="00D23961">
              <w:rPr>
                <w:rFonts w:cs="Calibri"/>
                <w:color w:val="000000"/>
                <w:sz w:val="18"/>
                <w:szCs w:val="18"/>
              </w:rPr>
              <w:t>1,6</w:t>
            </w:r>
          </w:p>
        </w:tc>
        <w:tc>
          <w:tcPr>
            <w:tcW w:w="551" w:type="dxa"/>
            <w:tcBorders>
              <w:top w:val="nil"/>
              <w:left w:val="nil"/>
              <w:bottom w:val="nil"/>
              <w:right w:val="nil"/>
            </w:tcBorders>
            <w:shd w:val="clear" w:color="auto" w:fill="auto"/>
            <w:noWrap/>
            <w:vAlign w:val="center"/>
            <w:hideMark/>
          </w:tcPr>
          <w:p w14:paraId="553C158B" w14:textId="77777777" w:rsidR="00490255" w:rsidRPr="00D23961" w:rsidRDefault="00490255" w:rsidP="000E4D54">
            <w:pPr>
              <w:jc w:val="center"/>
              <w:rPr>
                <w:rFonts w:cs="Calibri"/>
                <w:color w:val="000000"/>
                <w:sz w:val="18"/>
                <w:szCs w:val="18"/>
              </w:rPr>
            </w:pPr>
            <w:r w:rsidRPr="00D23961">
              <w:rPr>
                <w:rFonts w:cs="Calibri"/>
                <w:color w:val="000000"/>
                <w:sz w:val="18"/>
                <w:szCs w:val="18"/>
              </w:rPr>
              <w:t>0,6</w:t>
            </w:r>
          </w:p>
        </w:tc>
        <w:tc>
          <w:tcPr>
            <w:tcW w:w="551" w:type="dxa"/>
            <w:tcBorders>
              <w:top w:val="nil"/>
              <w:left w:val="nil"/>
              <w:bottom w:val="nil"/>
              <w:right w:val="nil"/>
            </w:tcBorders>
            <w:shd w:val="clear" w:color="auto" w:fill="auto"/>
            <w:noWrap/>
            <w:vAlign w:val="center"/>
            <w:hideMark/>
          </w:tcPr>
          <w:p w14:paraId="7D135673" w14:textId="77777777" w:rsidR="00490255" w:rsidRPr="00D23961" w:rsidRDefault="00490255" w:rsidP="000E4D54">
            <w:pPr>
              <w:jc w:val="center"/>
              <w:rPr>
                <w:rFonts w:cs="Calibri"/>
                <w:color w:val="000000"/>
                <w:sz w:val="18"/>
                <w:szCs w:val="18"/>
              </w:rPr>
            </w:pPr>
            <w:r w:rsidRPr="00D23961">
              <w:rPr>
                <w:rFonts w:cs="Calibri"/>
                <w:color w:val="000000"/>
                <w:sz w:val="18"/>
                <w:szCs w:val="18"/>
              </w:rPr>
              <w:t>0,0</w:t>
            </w:r>
          </w:p>
        </w:tc>
      </w:tr>
      <w:tr w:rsidR="00490255" w:rsidRPr="00D23961" w14:paraId="696ED848"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16DBA117"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12</w:t>
            </w:r>
          </w:p>
        </w:tc>
        <w:tc>
          <w:tcPr>
            <w:tcW w:w="4533" w:type="dxa"/>
            <w:tcBorders>
              <w:top w:val="nil"/>
              <w:left w:val="nil"/>
              <w:bottom w:val="nil"/>
              <w:right w:val="nil"/>
            </w:tcBorders>
            <w:shd w:val="clear" w:color="auto" w:fill="auto"/>
            <w:vAlign w:val="center"/>
            <w:hideMark/>
          </w:tcPr>
          <w:p w14:paraId="02BF9B6B" w14:textId="77777777" w:rsidR="00490255" w:rsidRPr="00D23961" w:rsidRDefault="00490255" w:rsidP="000E4D54">
            <w:pPr>
              <w:rPr>
                <w:rFonts w:cs="Times New Roman"/>
                <w:color w:val="000000"/>
                <w:sz w:val="20"/>
                <w:szCs w:val="20"/>
              </w:rPr>
            </w:pPr>
            <w:r w:rsidRPr="00D23961">
              <w:rPr>
                <w:rFonts w:cs="Arial"/>
                <w:color w:val="000000"/>
                <w:sz w:val="20"/>
                <w:szCs w:val="20"/>
              </w:rPr>
              <w:t>Priemerná miera nezamestnanosti, podľa VZPS</w:t>
            </w:r>
          </w:p>
        </w:tc>
        <w:tc>
          <w:tcPr>
            <w:tcW w:w="878" w:type="dxa"/>
            <w:tcBorders>
              <w:top w:val="nil"/>
              <w:left w:val="nil"/>
              <w:bottom w:val="nil"/>
              <w:right w:val="nil"/>
            </w:tcBorders>
            <w:shd w:val="clear" w:color="auto" w:fill="auto"/>
            <w:noWrap/>
            <w:vAlign w:val="center"/>
            <w:hideMark/>
          </w:tcPr>
          <w:p w14:paraId="0BBA03DC"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7A32B3F0" w14:textId="77777777" w:rsidR="00490255" w:rsidRPr="00D23961" w:rsidRDefault="00490255" w:rsidP="000E4D54">
            <w:pPr>
              <w:jc w:val="center"/>
              <w:rPr>
                <w:rFonts w:cs="Calibri"/>
                <w:color w:val="000000"/>
                <w:sz w:val="18"/>
                <w:szCs w:val="18"/>
              </w:rPr>
            </w:pPr>
            <w:r w:rsidRPr="00D23961">
              <w:rPr>
                <w:rFonts w:cs="Calibri"/>
                <w:color w:val="000000"/>
                <w:sz w:val="18"/>
                <w:szCs w:val="18"/>
              </w:rPr>
              <w:t>6,7</w:t>
            </w:r>
          </w:p>
        </w:tc>
        <w:tc>
          <w:tcPr>
            <w:tcW w:w="548" w:type="dxa"/>
            <w:tcBorders>
              <w:top w:val="nil"/>
              <w:left w:val="nil"/>
              <w:bottom w:val="nil"/>
              <w:right w:val="nil"/>
            </w:tcBorders>
            <w:shd w:val="clear" w:color="auto" w:fill="auto"/>
            <w:noWrap/>
            <w:vAlign w:val="center"/>
            <w:hideMark/>
          </w:tcPr>
          <w:p w14:paraId="062DE4AF" w14:textId="77777777" w:rsidR="00490255" w:rsidRPr="00D23961" w:rsidRDefault="00490255" w:rsidP="000E4D54">
            <w:pPr>
              <w:jc w:val="center"/>
              <w:rPr>
                <w:rFonts w:cs="Calibri"/>
                <w:color w:val="000000"/>
                <w:sz w:val="18"/>
                <w:szCs w:val="18"/>
              </w:rPr>
            </w:pPr>
            <w:r w:rsidRPr="00D23961">
              <w:rPr>
                <w:rFonts w:cs="Calibri"/>
                <w:color w:val="000000"/>
                <w:sz w:val="18"/>
                <w:szCs w:val="18"/>
              </w:rPr>
              <w:t>6,9</w:t>
            </w:r>
          </w:p>
        </w:tc>
        <w:tc>
          <w:tcPr>
            <w:tcW w:w="523" w:type="dxa"/>
            <w:tcBorders>
              <w:top w:val="nil"/>
              <w:left w:val="nil"/>
              <w:bottom w:val="nil"/>
              <w:right w:val="nil"/>
            </w:tcBorders>
            <w:shd w:val="clear" w:color="auto" w:fill="auto"/>
            <w:noWrap/>
            <w:vAlign w:val="center"/>
            <w:hideMark/>
          </w:tcPr>
          <w:p w14:paraId="29AAC480" w14:textId="77777777" w:rsidR="00490255" w:rsidRPr="00D23961" w:rsidRDefault="00490255" w:rsidP="000E4D54">
            <w:pPr>
              <w:jc w:val="center"/>
              <w:rPr>
                <w:rFonts w:cs="Calibri"/>
                <w:color w:val="000000"/>
                <w:sz w:val="18"/>
                <w:szCs w:val="18"/>
              </w:rPr>
            </w:pPr>
            <w:r w:rsidRPr="00D23961">
              <w:rPr>
                <w:rFonts w:cs="Calibri"/>
                <w:color w:val="000000"/>
                <w:sz w:val="18"/>
                <w:szCs w:val="18"/>
              </w:rPr>
              <w:t>6,6</w:t>
            </w:r>
          </w:p>
        </w:tc>
        <w:tc>
          <w:tcPr>
            <w:tcW w:w="551" w:type="dxa"/>
            <w:tcBorders>
              <w:top w:val="nil"/>
              <w:left w:val="nil"/>
              <w:bottom w:val="nil"/>
              <w:right w:val="nil"/>
            </w:tcBorders>
            <w:shd w:val="clear" w:color="auto" w:fill="auto"/>
            <w:noWrap/>
            <w:vAlign w:val="center"/>
            <w:hideMark/>
          </w:tcPr>
          <w:p w14:paraId="17411B73" w14:textId="77777777" w:rsidR="00490255" w:rsidRPr="00D23961" w:rsidRDefault="00490255" w:rsidP="000E4D54">
            <w:pPr>
              <w:jc w:val="center"/>
              <w:rPr>
                <w:rFonts w:cs="Calibri"/>
                <w:color w:val="000000"/>
                <w:sz w:val="18"/>
                <w:szCs w:val="18"/>
              </w:rPr>
            </w:pPr>
            <w:r w:rsidRPr="00D23961">
              <w:rPr>
                <w:rFonts w:cs="Calibri"/>
                <w:color w:val="000000"/>
                <w:sz w:val="18"/>
                <w:szCs w:val="18"/>
              </w:rPr>
              <w:t>5,6</w:t>
            </w:r>
          </w:p>
        </w:tc>
        <w:tc>
          <w:tcPr>
            <w:tcW w:w="551" w:type="dxa"/>
            <w:tcBorders>
              <w:top w:val="nil"/>
              <w:left w:val="nil"/>
              <w:bottom w:val="nil"/>
              <w:right w:val="nil"/>
            </w:tcBorders>
            <w:shd w:val="clear" w:color="auto" w:fill="auto"/>
            <w:noWrap/>
            <w:vAlign w:val="center"/>
            <w:hideMark/>
          </w:tcPr>
          <w:p w14:paraId="37C6C00D" w14:textId="77777777" w:rsidR="00490255" w:rsidRPr="00D23961" w:rsidRDefault="00490255" w:rsidP="000E4D54">
            <w:pPr>
              <w:jc w:val="center"/>
              <w:rPr>
                <w:rFonts w:cs="Calibri"/>
                <w:color w:val="000000"/>
                <w:sz w:val="18"/>
                <w:szCs w:val="18"/>
              </w:rPr>
            </w:pPr>
            <w:r w:rsidRPr="00D23961">
              <w:rPr>
                <w:rFonts w:cs="Calibri"/>
                <w:color w:val="000000"/>
                <w:sz w:val="18"/>
                <w:szCs w:val="18"/>
              </w:rPr>
              <w:t>5,4</w:t>
            </w:r>
          </w:p>
        </w:tc>
        <w:tc>
          <w:tcPr>
            <w:tcW w:w="551" w:type="dxa"/>
            <w:tcBorders>
              <w:top w:val="nil"/>
              <w:left w:val="nil"/>
              <w:bottom w:val="nil"/>
              <w:right w:val="nil"/>
            </w:tcBorders>
            <w:shd w:val="clear" w:color="auto" w:fill="auto"/>
            <w:noWrap/>
            <w:vAlign w:val="center"/>
            <w:hideMark/>
          </w:tcPr>
          <w:p w14:paraId="5EC2922E" w14:textId="77777777" w:rsidR="00490255" w:rsidRPr="00D23961" w:rsidRDefault="00490255" w:rsidP="000E4D54">
            <w:pPr>
              <w:jc w:val="center"/>
              <w:rPr>
                <w:rFonts w:cs="Calibri"/>
                <w:color w:val="000000"/>
                <w:sz w:val="18"/>
                <w:szCs w:val="18"/>
              </w:rPr>
            </w:pPr>
            <w:r w:rsidRPr="00D23961">
              <w:rPr>
                <w:rFonts w:cs="Calibri"/>
                <w:color w:val="000000"/>
                <w:sz w:val="18"/>
                <w:szCs w:val="18"/>
              </w:rPr>
              <w:t>5,2</w:t>
            </w:r>
          </w:p>
        </w:tc>
      </w:tr>
      <w:tr w:rsidR="00490255" w:rsidRPr="00D23961" w14:paraId="26D53AE4"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5C6C3FBC"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13</w:t>
            </w:r>
          </w:p>
        </w:tc>
        <w:tc>
          <w:tcPr>
            <w:tcW w:w="4533" w:type="dxa"/>
            <w:tcBorders>
              <w:top w:val="nil"/>
              <w:left w:val="nil"/>
              <w:bottom w:val="nil"/>
              <w:right w:val="nil"/>
            </w:tcBorders>
            <w:shd w:val="clear" w:color="auto" w:fill="auto"/>
            <w:vAlign w:val="center"/>
            <w:hideMark/>
          </w:tcPr>
          <w:p w14:paraId="3FD5F99F" w14:textId="77777777" w:rsidR="00490255" w:rsidRPr="00D23961" w:rsidRDefault="00490255" w:rsidP="000E4D54">
            <w:pPr>
              <w:rPr>
                <w:rFonts w:cs="Times New Roman"/>
                <w:color w:val="000000"/>
                <w:sz w:val="20"/>
                <w:szCs w:val="20"/>
              </w:rPr>
            </w:pPr>
            <w:r w:rsidRPr="00D23961">
              <w:rPr>
                <w:rFonts w:cs="Arial"/>
                <w:color w:val="000000"/>
                <w:sz w:val="20"/>
                <w:szCs w:val="20"/>
              </w:rPr>
              <w:t>Priemerná evidovaná miera nezamestnanosti</w:t>
            </w:r>
          </w:p>
        </w:tc>
        <w:tc>
          <w:tcPr>
            <w:tcW w:w="878" w:type="dxa"/>
            <w:tcBorders>
              <w:top w:val="nil"/>
              <w:left w:val="nil"/>
              <w:bottom w:val="nil"/>
              <w:right w:val="nil"/>
            </w:tcBorders>
            <w:shd w:val="clear" w:color="auto" w:fill="auto"/>
            <w:noWrap/>
            <w:vAlign w:val="center"/>
            <w:hideMark/>
          </w:tcPr>
          <w:p w14:paraId="0ED618F0"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4687704D" w14:textId="77777777" w:rsidR="00490255" w:rsidRPr="00D23961" w:rsidRDefault="00490255" w:rsidP="000E4D54">
            <w:pPr>
              <w:jc w:val="center"/>
              <w:rPr>
                <w:rFonts w:cs="Calibri"/>
                <w:color w:val="000000"/>
                <w:sz w:val="18"/>
                <w:szCs w:val="18"/>
              </w:rPr>
            </w:pPr>
            <w:r w:rsidRPr="00D23961">
              <w:rPr>
                <w:rFonts w:cs="Calibri"/>
                <w:color w:val="000000"/>
                <w:sz w:val="18"/>
                <w:szCs w:val="18"/>
              </w:rPr>
              <w:t>6,8</w:t>
            </w:r>
          </w:p>
        </w:tc>
        <w:tc>
          <w:tcPr>
            <w:tcW w:w="548" w:type="dxa"/>
            <w:tcBorders>
              <w:top w:val="nil"/>
              <w:left w:val="nil"/>
              <w:bottom w:val="nil"/>
              <w:right w:val="nil"/>
            </w:tcBorders>
            <w:shd w:val="clear" w:color="auto" w:fill="auto"/>
            <w:noWrap/>
            <w:vAlign w:val="center"/>
            <w:hideMark/>
          </w:tcPr>
          <w:p w14:paraId="54EC0DE4" w14:textId="77777777" w:rsidR="00490255" w:rsidRPr="00D23961" w:rsidRDefault="00490255" w:rsidP="000E4D54">
            <w:pPr>
              <w:jc w:val="center"/>
              <w:rPr>
                <w:rFonts w:cs="Calibri"/>
                <w:color w:val="000000"/>
                <w:sz w:val="18"/>
                <w:szCs w:val="18"/>
              </w:rPr>
            </w:pPr>
            <w:r w:rsidRPr="00D23961">
              <w:rPr>
                <w:rFonts w:cs="Calibri"/>
                <w:color w:val="000000"/>
                <w:sz w:val="18"/>
                <w:szCs w:val="18"/>
              </w:rPr>
              <w:t>7,5</w:t>
            </w:r>
          </w:p>
        </w:tc>
        <w:tc>
          <w:tcPr>
            <w:tcW w:w="523" w:type="dxa"/>
            <w:tcBorders>
              <w:top w:val="nil"/>
              <w:left w:val="nil"/>
              <w:bottom w:val="nil"/>
              <w:right w:val="nil"/>
            </w:tcBorders>
            <w:shd w:val="clear" w:color="auto" w:fill="auto"/>
            <w:noWrap/>
            <w:vAlign w:val="center"/>
            <w:hideMark/>
          </w:tcPr>
          <w:p w14:paraId="7EDDCE73" w14:textId="77777777" w:rsidR="00490255" w:rsidRPr="00D23961" w:rsidRDefault="00490255" w:rsidP="000E4D54">
            <w:pPr>
              <w:jc w:val="center"/>
              <w:rPr>
                <w:rFonts w:cs="Calibri"/>
                <w:color w:val="000000"/>
                <w:sz w:val="18"/>
                <w:szCs w:val="18"/>
              </w:rPr>
            </w:pPr>
            <w:r w:rsidRPr="00D23961">
              <w:rPr>
                <w:rFonts w:cs="Calibri"/>
                <w:color w:val="000000"/>
                <w:sz w:val="18"/>
                <w:szCs w:val="18"/>
              </w:rPr>
              <w:t>7,0</w:t>
            </w:r>
          </w:p>
        </w:tc>
        <w:tc>
          <w:tcPr>
            <w:tcW w:w="551" w:type="dxa"/>
            <w:tcBorders>
              <w:top w:val="nil"/>
              <w:left w:val="nil"/>
              <w:bottom w:val="nil"/>
              <w:right w:val="nil"/>
            </w:tcBorders>
            <w:shd w:val="clear" w:color="auto" w:fill="auto"/>
            <w:noWrap/>
            <w:vAlign w:val="center"/>
            <w:hideMark/>
          </w:tcPr>
          <w:p w14:paraId="1E45FDD4" w14:textId="77777777" w:rsidR="00490255" w:rsidRPr="00D23961" w:rsidRDefault="00490255" w:rsidP="000E4D54">
            <w:pPr>
              <w:jc w:val="center"/>
              <w:rPr>
                <w:rFonts w:cs="Calibri"/>
                <w:color w:val="000000"/>
                <w:sz w:val="18"/>
                <w:szCs w:val="18"/>
              </w:rPr>
            </w:pPr>
            <w:r w:rsidRPr="00D23961">
              <w:rPr>
                <w:rFonts w:cs="Calibri"/>
                <w:color w:val="000000"/>
                <w:sz w:val="18"/>
                <w:szCs w:val="18"/>
              </w:rPr>
              <w:t>6,0</w:t>
            </w:r>
          </w:p>
        </w:tc>
        <w:tc>
          <w:tcPr>
            <w:tcW w:w="551" w:type="dxa"/>
            <w:tcBorders>
              <w:top w:val="nil"/>
              <w:left w:val="nil"/>
              <w:bottom w:val="nil"/>
              <w:right w:val="nil"/>
            </w:tcBorders>
            <w:shd w:val="clear" w:color="auto" w:fill="auto"/>
            <w:noWrap/>
            <w:vAlign w:val="center"/>
            <w:hideMark/>
          </w:tcPr>
          <w:p w14:paraId="7E275ECA" w14:textId="77777777" w:rsidR="00490255" w:rsidRPr="00D23961" w:rsidRDefault="00490255" w:rsidP="000E4D54">
            <w:pPr>
              <w:jc w:val="center"/>
              <w:rPr>
                <w:rFonts w:cs="Calibri"/>
                <w:color w:val="000000"/>
                <w:sz w:val="18"/>
                <w:szCs w:val="18"/>
              </w:rPr>
            </w:pPr>
            <w:r w:rsidRPr="00D23961">
              <w:rPr>
                <w:rFonts w:cs="Calibri"/>
                <w:color w:val="000000"/>
                <w:sz w:val="18"/>
                <w:szCs w:val="18"/>
              </w:rPr>
              <w:t>5,8</w:t>
            </w:r>
          </w:p>
        </w:tc>
        <w:tc>
          <w:tcPr>
            <w:tcW w:w="551" w:type="dxa"/>
            <w:tcBorders>
              <w:top w:val="nil"/>
              <w:left w:val="nil"/>
              <w:bottom w:val="nil"/>
              <w:right w:val="nil"/>
            </w:tcBorders>
            <w:shd w:val="clear" w:color="auto" w:fill="auto"/>
            <w:noWrap/>
            <w:vAlign w:val="center"/>
            <w:hideMark/>
          </w:tcPr>
          <w:p w14:paraId="476C751A" w14:textId="77777777" w:rsidR="00490255" w:rsidRPr="00D23961" w:rsidRDefault="00490255" w:rsidP="000E4D54">
            <w:pPr>
              <w:jc w:val="center"/>
              <w:rPr>
                <w:rFonts w:cs="Calibri"/>
                <w:color w:val="000000"/>
                <w:sz w:val="18"/>
                <w:szCs w:val="18"/>
              </w:rPr>
            </w:pPr>
            <w:r w:rsidRPr="00D23961">
              <w:rPr>
                <w:rFonts w:cs="Calibri"/>
                <w:color w:val="000000"/>
                <w:sz w:val="18"/>
                <w:szCs w:val="18"/>
              </w:rPr>
              <w:t>5,6</w:t>
            </w:r>
          </w:p>
        </w:tc>
      </w:tr>
      <w:tr w:rsidR="00490255" w:rsidRPr="00D23961" w14:paraId="0A06EB57" w14:textId="77777777" w:rsidTr="000E4D54">
        <w:trPr>
          <w:trHeight w:val="272"/>
          <w:jc w:val="center"/>
        </w:trPr>
        <w:tc>
          <w:tcPr>
            <w:tcW w:w="478" w:type="dxa"/>
            <w:tcBorders>
              <w:top w:val="nil"/>
              <w:left w:val="nil"/>
              <w:bottom w:val="nil"/>
              <w:right w:val="nil"/>
            </w:tcBorders>
            <w:shd w:val="clear" w:color="auto" w:fill="auto"/>
            <w:noWrap/>
            <w:vAlign w:val="center"/>
            <w:hideMark/>
          </w:tcPr>
          <w:p w14:paraId="5D410B80"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14</w:t>
            </w:r>
          </w:p>
        </w:tc>
        <w:tc>
          <w:tcPr>
            <w:tcW w:w="4533" w:type="dxa"/>
            <w:tcBorders>
              <w:top w:val="nil"/>
              <w:left w:val="nil"/>
              <w:bottom w:val="nil"/>
              <w:right w:val="nil"/>
            </w:tcBorders>
            <w:shd w:val="clear" w:color="auto" w:fill="auto"/>
            <w:vAlign w:val="center"/>
            <w:hideMark/>
          </w:tcPr>
          <w:p w14:paraId="23632311" w14:textId="77777777" w:rsidR="00490255" w:rsidRPr="00D23961" w:rsidRDefault="00490255" w:rsidP="000E4D54">
            <w:pPr>
              <w:rPr>
                <w:rFonts w:cs="Times New Roman"/>
                <w:color w:val="000000"/>
                <w:sz w:val="20"/>
                <w:szCs w:val="20"/>
              </w:rPr>
            </w:pPr>
            <w:r w:rsidRPr="00D23961">
              <w:rPr>
                <w:rFonts w:cs="Arial"/>
                <w:color w:val="000000"/>
                <w:sz w:val="20"/>
                <w:szCs w:val="20"/>
              </w:rPr>
              <w:t>Harmonizovaný index spotrebiteľských cien (HICP)</w:t>
            </w:r>
          </w:p>
        </w:tc>
        <w:tc>
          <w:tcPr>
            <w:tcW w:w="878" w:type="dxa"/>
            <w:tcBorders>
              <w:top w:val="nil"/>
              <w:left w:val="nil"/>
              <w:bottom w:val="nil"/>
              <w:right w:val="nil"/>
            </w:tcBorders>
            <w:shd w:val="clear" w:color="auto" w:fill="auto"/>
            <w:noWrap/>
            <w:vAlign w:val="center"/>
            <w:hideMark/>
          </w:tcPr>
          <w:p w14:paraId="2D44F66E"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nil"/>
              <w:right w:val="nil"/>
            </w:tcBorders>
            <w:shd w:val="clear" w:color="auto" w:fill="auto"/>
            <w:noWrap/>
            <w:vAlign w:val="center"/>
            <w:hideMark/>
          </w:tcPr>
          <w:p w14:paraId="49AE96BA" w14:textId="77777777" w:rsidR="00490255" w:rsidRPr="00D23961" w:rsidRDefault="00490255" w:rsidP="000E4D54">
            <w:pPr>
              <w:jc w:val="center"/>
              <w:rPr>
                <w:rFonts w:cs="Calibri"/>
                <w:color w:val="000000"/>
                <w:sz w:val="18"/>
                <w:szCs w:val="18"/>
              </w:rPr>
            </w:pPr>
            <w:r w:rsidRPr="00D23961">
              <w:rPr>
                <w:rFonts w:cs="Calibri"/>
                <w:color w:val="000000"/>
                <w:sz w:val="18"/>
                <w:szCs w:val="18"/>
              </w:rPr>
              <w:t>2,0</w:t>
            </w:r>
          </w:p>
        </w:tc>
        <w:tc>
          <w:tcPr>
            <w:tcW w:w="548" w:type="dxa"/>
            <w:tcBorders>
              <w:top w:val="nil"/>
              <w:left w:val="nil"/>
              <w:bottom w:val="nil"/>
              <w:right w:val="nil"/>
            </w:tcBorders>
            <w:shd w:val="clear" w:color="auto" w:fill="auto"/>
            <w:noWrap/>
            <w:vAlign w:val="center"/>
            <w:hideMark/>
          </w:tcPr>
          <w:p w14:paraId="49D94353" w14:textId="77777777" w:rsidR="00490255" w:rsidRPr="00D23961" w:rsidRDefault="00490255" w:rsidP="000E4D54">
            <w:pPr>
              <w:jc w:val="center"/>
              <w:rPr>
                <w:rFonts w:cs="Calibri"/>
                <w:color w:val="000000"/>
                <w:sz w:val="18"/>
                <w:szCs w:val="18"/>
              </w:rPr>
            </w:pPr>
            <w:r w:rsidRPr="00D23961">
              <w:rPr>
                <w:rFonts w:cs="Calibri"/>
                <w:color w:val="000000"/>
                <w:sz w:val="18"/>
                <w:szCs w:val="18"/>
              </w:rPr>
              <w:t>2,8</w:t>
            </w:r>
          </w:p>
        </w:tc>
        <w:tc>
          <w:tcPr>
            <w:tcW w:w="523" w:type="dxa"/>
            <w:tcBorders>
              <w:top w:val="nil"/>
              <w:left w:val="nil"/>
              <w:bottom w:val="nil"/>
              <w:right w:val="nil"/>
            </w:tcBorders>
            <w:shd w:val="clear" w:color="auto" w:fill="auto"/>
            <w:noWrap/>
            <w:vAlign w:val="center"/>
            <w:hideMark/>
          </w:tcPr>
          <w:p w14:paraId="2EF89441" w14:textId="77777777" w:rsidR="00490255" w:rsidRPr="00D23961" w:rsidRDefault="00490255" w:rsidP="000E4D54">
            <w:pPr>
              <w:jc w:val="center"/>
              <w:rPr>
                <w:rFonts w:cs="Calibri"/>
                <w:color w:val="000000"/>
                <w:sz w:val="18"/>
                <w:szCs w:val="18"/>
              </w:rPr>
            </w:pPr>
            <w:r w:rsidRPr="00D23961">
              <w:rPr>
                <w:rFonts w:cs="Calibri"/>
                <w:color w:val="000000"/>
                <w:sz w:val="18"/>
                <w:szCs w:val="18"/>
              </w:rPr>
              <w:t>8,1</w:t>
            </w:r>
          </w:p>
        </w:tc>
        <w:tc>
          <w:tcPr>
            <w:tcW w:w="551" w:type="dxa"/>
            <w:tcBorders>
              <w:top w:val="nil"/>
              <w:left w:val="nil"/>
              <w:bottom w:val="nil"/>
              <w:right w:val="nil"/>
            </w:tcBorders>
            <w:shd w:val="clear" w:color="auto" w:fill="auto"/>
            <w:noWrap/>
            <w:vAlign w:val="center"/>
            <w:hideMark/>
          </w:tcPr>
          <w:p w14:paraId="115C57EF" w14:textId="77777777" w:rsidR="00490255" w:rsidRPr="00D23961" w:rsidRDefault="00490255" w:rsidP="000E4D54">
            <w:pPr>
              <w:jc w:val="center"/>
              <w:rPr>
                <w:rFonts w:cs="Calibri"/>
                <w:color w:val="000000"/>
                <w:sz w:val="18"/>
                <w:szCs w:val="18"/>
              </w:rPr>
            </w:pPr>
            <w:r w:rsidRPr="00D23961">
              <w:rPr>
                <w:rFonts w:cs="Calibri"/>
                <w:color w:val="000000"/>
                <w:sz w:val="18"/>
                <w:szCs w:val="18"/>
              </w:rPr>
              <w:t>6,7</w:t>
            </w:r>
          </w:p>
        </w:tc>
        <w:tc>
          <w:tcPr>
            <w:tcW w:w="551" w:type="dxa"/>
            <w:tcBorders>
              <w:top w:val="nil"/>
              <w:left w:val="nil"/>
              <w:bottom w:val="nil"/>
              <w:right w:val="nil"/>
            </w:tcBorders>
            <w:shd w:val="clear" w:color="auto" w:fill="auto"/>
            <w:noWrap/>
            <w:vAlign w:val="center"/>
            <w:hideMark/>
          </w:tcPr>
          <w:p w14:paraId="1EA628E5" w14:textId="77777777" w:rsidR="00490255" w:rsidRPr="00D23961" w:rsidRDefault="00490255" w:rsidP="000E4D54">
            <w:pPr>
              <w:jc w:val="center"/>
              <w:rPr>
                <w:rFonts w:cs="Calibri"/>
                <w:color w:val="000000"/>
                <w:sz w:val="18"/>
                <w:szCs w:val="18"/>
              </w:rPr>
            </w:pPr>
            <w:r w:rsidRPr="00D23961">
              <w:rPr>
                <w:rFonts w:cs="Calibri"/>
                <w:color w:val="000000"/>
                <w:sz w:val="18"/>
                <w:szCs w:val="18"/>
              </w:rPr>
              <w:t>2,0</w:t>
            </w:r>
          </w:p>
        </w:tc>
        <w:tc>
          <w:tcPr>
            <w:tcW w:w="551" w:type="dxa"/>
            <w:tcBorders>
              <w:top w:val="nil"/>
              <w:left w:val="nil"/>
              <w:bottom w:val="nil"/>
              <w:right w:val="nil"/>
            </w:tcBorders>
            <w:shd w:val="clear" w:color="auto" w:fill="auto"/>
            <w:noWrap/>
            <w:vAlign w:val="center"/>
            <w:hideMark/>
          </w:tcPr>
          <w:p w14:paraId="677B8E17" w14:textId="77777777" w:rsidR="00490255" w:rsidRPr="00D23961" w:rsidRDefault="00490255" w:rsidP="000E4D54">
            <w:pPr>
              <w:jc w:val="center"/>
              <w:rPr>
                <w:rFonts w:cs="Calibri"/>
                <w:color w:val="000000"/>
                <w:sz w:val="18"/>
                <w:szCs w:val="18"/>
              </w:rPr>
            </w:pPr>
            <w:r w:rsidRPr="00D23961">
              <w:rPr>
                <w:rFonts w:cs="Calibri"/>
                <w:color w:val="000000"/>
                <w:sz w:val="18"/>
                <w:szCs w:val="18"/>
              </w:rPr>
              <w:t>2,0</w:t>
            </w:r>
          </w:p>
        </w:tc>
      </w:tr>
      <w:tr w:rsidR="00490255" w:rsidRPr="00D23961" w14:paraId="3C53F218" w14:textId="77777777" w:rsidTr="000E4D54">
        <w:trPr>
          <w:trHeight w:val="272"/>
          <w:jc w:val="center"/>
        </w:trPr>
        <w:tc>
          <w:tcPr>
            <w:tcW w:w="478" w:type="dxa"/>
            <w:tcBorders>
              <w:top w:val="nil"/>
              <w:left w:val="nil"/>
              <w:bottom w:val="single" w:sz="8" w:space="0" w:color="auto"/>
              <w:right w:val="nil"/>
            </w:tcBorders>
            <w:shd w:val="clear" w:color="auto" w:fill="auto"/>
            <w:noWrap/>
            <w:vAlign w:val="center"/>
            <w:hideMark/>
          </w:tcPr>
          <w:p w14:paraId="467F1A0F"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15</w:t>
            </w:r>
          </w:p>
        </w:tc>
        <w:tc>
          <w:tcPr>
            <w:tcW w:w="4533" w:type="dxa"/>
            <w:tcBorders>
              <w:top w:val="nil"/>
              <w:left w:val="nil"/>
              <w:bottom w:val="single" w:sz="8" w:space="0" w:color="auto"/>
              <w:right w:val="nil"/>
            </w:tcBorders>
            <w:shd w:val="clear" w:color="auto" w:fill="auto"/>
            <w:vAlign w:val="center"/>
            <w:hideMark/>
          </w:tcPr>
          <w:p w14:paraId="151786CC" w14:textId="77777777" w:rsidR="00490255" w:rsidRPr="00D23961" w:rsidRDefault="00490255" w:rsidP="000E4D54">
            <w:pPr>
              <w:rPr>
                <w:rFonts w:cs="Times New Roman"/>
                <w:color w:val="000000"/>
                <w:sz w:val="20"/>
                <w:szCs w:val="20"/>
              </w:rPr>
            </w:pPr>
            <w:r w:rsidRPr="00D23961">
              <w:rPr>
                <w:rFonts w:cs="Arial"/>
                <w:color w:val="000000"/>
                <w:sz w:val="20"/>
                <w:szCs w:val="20"/>
              </w:rPr>
              <w:t>Bilancia bežného účtu (podiel na HDP)</w:t>
            </w:r>
          </w:p>
        </w:tc>
        <w:tc>
          <w:tcPr>
            <w:tcW w:w="878" w:type="dxa"/>
            <w:tcBorders>
              <w:top w:val="nil"/>
              <w:left w:val="nil"/>
              <w:bottom w:val="single" w:sz="8" w:space="0" w:color="auto"/>
              <w:right w:val="nil"/>
            </w:tcBorders>
            <w:shd w:val="clear" w:color="auto" w:fill="auto"/>
            <w:noWrap/>
            <w:vAlign w:val="center"/>
            <w:hideMark/>
          </w:tcPr>
          <w:p w14:paraId="429AEF50" w14:textId="77777777" w:rsidR="00490255" w:rsidRPr="00D23961" w:rsidRDefault="00490255" w:rsidP="000E4D54">
            <w:pPr>
              <w:jc w:val="center"/>
              <w:rPr>
                <w:rFonts w:cs="Times New Roman"/>
                <w:color w:val="000000"/>
                <w:sz w:val="20"/>
                <w:szCs w:val="20"/>
              </w:rPr>
            </w:pPr>
            <w:r w:rsidRPr="00D23961">
              <w:rPr>
                <w:rFonts w:cs="Arial"/>
                <w:color w:val="000000"/>
                <w:sz w:val="20"/>
                <w:szCs w:val="20"/>
              </w:rPr>
              <w:t>%</w:t>
            </w:r>
          </w:p>
        </w:tc>
        <w:tc>
          <w:tcPr>
            <w:tcW w:w="548" w:type="dxa"/>
            <w:tcBorders>
              <w:top w:val="nil"/>
              <w:left w:val="nil"/>
              <w:bottom w:val="single" w:sz="8" w:space="0" w:color="auto"/>
              <w:right w:val="nil"/>
            </w:tcBorders>
            <w:shd w:val="clear" w:color="auto" w:fill="auto"/>
            <w:noWrap/>
            <w:vAlign w:val="center"/>
            <w:hideMark/>
          </w:tcPr>
          <w:p w14:paraId="4CDBBA89" w14:textId="77777777" w:rsidR="00490255" w:rsidRPr="00D23961" w:rsidRDefault="00490255" w:rsidP="000E4D54">
            <w:pPr>
              <w:jc w:val="center"/>
              <w:rPr>
                <w:rFonts w:cs="Calibri"/>
                <w:color w:val="000000"/>
                <w:sz w:val="18"/>
                <w:szCs w:val="18"/>
              </w:rPr>
            </w:pPr>
            <w:r w:rsidRPr="00D23961">
              <w:rPr>
                <w:rFonts w:cs="Calibri"/>
                <w:color w:val="000000"/>
                <w:sz w:val="18"/>
                <w:szCs w:val="18"/>
              </w:rPr>
              <w:t>0,1</w:t>
            </w:r>
          </w:p>
        </w:tc>
        <w:tc>
          <w:tcPr>
            <w:tcW w:w="548" w:type="dxa"/>
            <w:tcBorders>
              <w:top w:val="nil"/>
              <w:left w:val="nil"/>
              <w:bottom w:val="single" w:sz="8" w:space="0" w:color="auto"/>
              <w:right w:val="nil"/>
            </w:tcBorders>
            <w:shd w:val="clear" w:color="auto" w:fill="auto"/>
            <w:noWrap/>
            <w:vAlign w:val="center"/>
            <w:hideMark/>
          </w:tcPr>
          <w:p w14:paraId="248FF7E2" w14:textId="77777777" w:rsidR="00490255" w:rsidRPr="00D23961" w:rsidRDefault="00490255" w:rsidP="000E4D54">
            <w:pPr>
              <w:jc w:val="center"/>
              <w:rPr>
                <w:rFonts w:cs="Calibri"/>
                <w:color w:val="000000"/>
                <w:sz w:val="18"/>
                <w:szCs w:val="18"/>
              </w:rPr>
            </w:pPr>
            <w:r w:rsidRPr="00D23961">
              <w:rPr>
                <w:rFonts w:cs="Calibri"/>
                <w:color w:val="000000"/>
                <w:sz w:val="18"/>
                <w:szCs w:val="18"/>
              </w:rPr>
              <w:t>-1,0</w:t>
            </w:r>
          </w:p>
        </w:tc>
        <w:tc>
          <w:tcPr>
            <w:tcW w:w="523" w:type="dxa"/>
            <w:tcBorders>
              <w:top w:val="nil"/>
              <w:left w:val="nil"/>
              <w:bottom w:val="single" w:sz="8" w:space="0" w:color="auto"/>
              <w:right w:val="nil"/>
            </w:tcBorders>
            <w:shd w:val="clear" w:color="auto" w:fill="auto"/>
            <w:noWrap/>
            <w:vAlign w:val="center"/>
            <w:hideMark/>
          </w:tcPr>
          <w:p w14:paraId="422551F9" w14:textId="77777777" w:rsidR="00490255" w:rsidRPr="00D23961" w:rsidRDefault="00490255" w:rsidP="000E4D54">
            <w:pPr>
              <w:jc w:val="center"/>
              <w:rPr>
                <w:rFonts w:cs="Calibri"/>
                <w:color w:val="000000"/>
                <w:sz w:val="18"/>
                <w:szCs w:val="18"/>
              </w:rPr>
            </w:pPr>
            <w:r w:rsidRPr="00D23961">
              <w:rPr>
                <w:rFonts w:cs="Calibri"/>
                <w:color w:val="000000"/>
                <w:sz w:val="18"/>
                <w:szCs w:val="18"/>
              </w:rPr>
              <w:t>-1,2</w:t>
            </w:r>
          </w:p>
        </w:tc>
        <w:tc>
          <w:tcPr>
            <w:tcW w:w="551" w:type="dxa"/>
            <w:tcBorders>
              <w:top w:val="nil"/>
              <w:left w:val="nil"/>
              <w:bottom w:val="single" w:sz="8" w:space="0" w:color="auto"/>
              <w:right w:val="nil"/>
            </w:tcBorders>
            <w:shd w:val="clear" w:color="auto" w:fill="auto"/>
            <w:noWrap/>
            <w:vAlign w:val="center"/>
            <w:hideMark/>
          </w:tcPr>
          <w:p w14:paraId="2CC69221" w14:textId="77777777" w:rsidR="00490255" w:rsidRPr="00D23961" w:rsidRDefault="00490255" w:rsidP="000E4D54">
            <w:pPr>
              <w:jc w:val="center"/>
              <w:rPr>
                <w:rFonts w:cs="Calibri"/>
                <w:color w:val="000000"/>
                <w:sz w:val="18"/>
                <w:szCs w:val="18"/>
              </w:rPr>
            </w:pPr>
            <w:r w:rsidRPr="00D23961">
              <w:rPr>
                <w:rFonts w:cs="Calibri"/>
                <w:color w:val="000000"/>
                <w:sz w:val="18"/>
                <w:szCs w:val="18"/>
              </w:rPr>
              <w:t>-1,0</w:t>
            </w:r>
          </w:p>
        </w:tc>
        <w:tc>
          <w:tcPr>
            <w:tcW w:w="551" w:type="dxa"/>
            <w:tcBorders>
              <w:top w:val="nil"/>
              <w:left w:val="nil"/>
              <w:bottom w:val="single" w:sz="8" w:space="0" w:color="auto"/>
              <w:right w:val="nil"/>
            </w:tcBorders>
            <w:shd w:val="clear" w:color="auto" w:fill="auto"/>
            <w:noWrap/>
            <w:vAlign w:val="center"/>
            <w:hideMark/>
          </w:tcPr>
          <w:p w14:paraId="58E0B934" w14:textId="77777777" w:rsidR="00490255" w:rsidRPr="00D23961" w:rsidRDefault="00490255" w:rsidP="000E4D54">
            <w:pPr>
              <w:jc w:val="center"/>
              <w:rPr>
                <w:rFonts w:cs="Calibri"/>
                <w:color w:val="000000"/>
                <w:sz w:val="18"/>
                <w:szCs w:val="18"/>
              </w:rPr>
            </w:pPr>
            <w:r w:rsidRPr="00D23961">
              <w:rPr>
                <w:rFonts w:cs="Calibri"/>
                <w:color w:val="000000"/>
                <w:sz w:val="18"/>
                <w:szCs w:val="18"/>
              </w:rPr>
              <w:t>-0,7</w:t>
            </w:r>
          </w:p>
        </w:tc>
        <w:tc>
          <w:tcPr>
            <w:tcW w:w="551" w:type="dxa"/>
            <w:tcBorders>
              <w:top w:val="nil"/>
              <w:left w:val="nil"/>
              <w:bottom w:val="single" w:sz="8" w:space="0" w:color="auto"/>
              <w:right w:val="nil"/>
            </w:tcBorders>
            <w:shd w:val="clear" w:color="auto" w:fill="auto"/>
            <w:noWrap/>
            <w:vAlign w:val="center"/>
            <w:hideMark/>
          </w:tcPr>
          <w:p w14:paraId="402DE917" w14:textId="77777777" w:rsidR="00490255" w:rsidRPr="00D23961" w:rsidRDefault="00490255" w:rsidP="000E4D54">
            <w:pPr>
              <w:jc w:val="center"/>
              <w:rPr>
                <w:rFonts w:cs="Calibri"/>
                <w:color w:val="000000"/>
                <w:sz w:val="18"/>
                <w:szCs w:val="18"/>
              </w:rPr>
            </w:pPr>
            <w:r w:rsidRPr="00D23961">
              <w:rPr>
                <w:rFonts w:cs="Calibri"/>
                <w:color w:val="000000"/>
                <w:sz w:val="18"/>
                <w:szCs w:val="18"/>
              </w:rPr>
              <w:t>-0,5</w:t>
            </w:r>
          </w:p>
        </w:tc>
      </w:tr>
      <w:tr w:rsidR="00490255" w:rsidRPr="000F7810" w14:paraId="4669CDD2" w14:textId="77777777" w:rsidTr="000E4D54">
        <w:trPr>
          <w:trHeight w:val="227"/>
          <w:jc w:val="center"/>
        </w:trPr>
        <w:tc>
          <w:tcPr>
            <w:tcW w:w="9161" w:type="dxa"/>
            <w:gridSpan w:val="9"/>
            <w:tcBorders>
              <w:top w:val="single" w:sz="8" w:space="0" w:color="auto"/>
              <w:left w:val="nil"/>
              <w:bottom w:val="nil"/>
              <w:right w:val="nil"/>
            </w:tcBorders>
            <w:shd w:val="clear" w:color="auto" w:fill="auto"/>
            <w:noWrap/>
            <w:vAlign w:val="center"/>
            <w:hideMark/>
          </w:tcPr>
          <w:p w14:paraId="7B7B5B48" w14:textId="77777777" w:rsidR="00490255" w:rsidRPr="00D23961" w:rsidRDefault="00490255" w:rsidP="000E4D54">
            <w:pPr>
              <w:pStyle w:val="poznmka"/>
              <w:rPr>
                <w:rFonts w:cs="Times New Roman"/>
              </w:rPr>
            </w:pPr>
            <w:r w:rsidRPr="00D23961">
              <w:t xml:space="preserve">Zdroj: MF SR                                                                                                              </w:t>
            </w:r>
          </w:p>
        </w:tc>
      </w:tr>
    </w:tbl>
    <w:tbl>
      <w:tblPr>
        <w:tblpPr w:leftFromText="142" w:rightFromText="142" w:vertAnchor="text" w:horzAnchor="margin" w:tblpY="458"/>
        <w:tblOverlap w:val="never"/>
        <w:tblW w:w="9067" w:type="dxa"/>
        <w:shd w:val="clear" w:color="auto" w:fill="AAD3F2"/>
        <w:tblLayout w:type="fixed"/>
        <w:tblCellMar>
          <w:left w:w="70" w:type="dxa"/>
          <w:right w:w="70" w:type="dxa"/>
        </w:tblCellMar>
        <w:tblLook w:val="01E0" w:firstRow="1" w:lastRow="1" w:firstColumn="1" w:lastColumn="1" w:noHBand="0" w:noVBand="0"/>
      </w:tblPr>
      <w:tblGrid>
        <w:gridCol w:w="9067"/>
      </w:tblGrid>
      <w:tr w:rsidR="00490255" w:rsidRPr="000F7810" w14:paraId="3547951A" w14:textId="77777777" w:rsidTr="000E4D54">
        <w:trPr>
          <w:trHeight w:val="699"/>
        </w:trPr>
        <w:tc>
          <w:tcPr>
            <w:tcW w:w="9067" w:type="dxa"/>
            <w:shd w:val="clear" w:color="auto" w:fill="AAD3F2"/>
            <w:vAlign w:val="center"/>
          </w:tcPr>
          <w:p w14:paraId="6409C415" w14:textId="77777777" w:rsidR="00490255" w:rsidRPr="000F7810" w:rsidRDefault="00490255" w:rsidP="000E4D54">
            <w:pPr>
              <w:ind w:right="375"/>
              <w:jc w:val="both"/>
              <w:rPr>
                <w:rFonts w:eastAsia="NeueHaasGroteskText W02" w:cs="Times New Roman"/>
                <w:b/>
                <w:bCs/>
                <w:sz w:val="20"/>
                <w:szCs w:val="20"/>
                <w:highlight w:val="yellow"/>
                <w:u w:color="2C9ADC"/>
              </w:rPr>
            </w:pPr>
          </w:p>
          <w:p w14:paraId="65B44ED1" w14:textId="39FB29FA" w:rsidR="00490255" w:rsidRPr="00DE4C85" w:rsidRDefault="00490255" w:rsidP="000E4D54">
            <w:pPr>
              <w:ind w:right="375"/>
              <w:jc w:val="both"/>
              <w:rPr>
                <w:rFonts w:eastAsia="NeueHaasGroteskText W02" w:cs="Times New Roman"/>
                <w:b/>
                <w:bCs/>
                <w:color w:val="2C9ADC" w:themeColor="accent1"/>
                <w:u w:color="2C9ADC"/>
              </w:rPr>
            </w:pPr>
            <w:bookmarkStart w:id="49" w:name="_Toc101880472"/>
            <w:r w:rsidRPr="00DE4C85">
              <w:rPr>
                <w:b/>
                <w:color w:val="2C9ADC" w:themeColor="accent1"/>
              </w:rPr>
              <w:t xml:space="preserve">BOX </w:t>
            </w:r>
            <w:r w:rsidRPr="00DE4C85">
              <w:rPr>
                <w:b/>
                <w:color w:val="2C9ADC" w:themeColor="accent1"/>
              </w:rPr>
              <w:fldChar w:fldCharType="begin"/>
            </w:r>
            <w:r w:rsidRPr="00DE4C85">
              <w:rPr>
                <w:b/>
                <w:color w:val="2C9ADC" w:themeColor="accent1"/>
              </w:rPr>
              <w:instrText xml:space="preserve"> SEQ BOX \* ARABIC </w:instrText>
            </w:r>
            <w:r w:rsidRPr="00DE4C85">
              <w:rPr>
                <w:b/>
                <w:color w:val="2C9ADC" w:themeColor="accent1"/>
              </w:rPr>
              <w:fldChar w:fldCharType="separate"/>
            </w:r>
            <w:r w:rsidR="005D3280">
              <w:rPr>
                <w:b/>
                <w:noProof/>
                <w:color w:val="2C9ADC" w:themeColor="accent1"/>
              </w:rPr>
              <w:t>1</w:t>
            </w:r>
            <w:r w:rsidRPr="00DE4C85">
              <w:rPr>
                <w:b/>
                <w:color w:val="2C9ADC" w:themeColor="accent1"/>
              </w:rPr>
              <w:fldChar w:fldCharType="end"/>
            </w:r>
            <w:r w:rsidRPr="00DE4C85">
              <w:rPr>
                <w:b/>
                <w:color w:val="2C9ADC" w:themeColor="accent1"/>
              </w:rPr>
              <w:t xml:space="preserve"> – </w:t>
            </w:r>
            <w:r w:rsidRPr="00DE4C85">
              <w:rPr>
                <w:rFonts w:eastAsia="NeueHaasGroteskText W02" w:cs="Times New Roman"/>
                <w:b/>
                <w:bCs/>
                <w:color w:val="2C9ADC" w:themeColor="accent1"/>
                <w:u w:color="2C9ADC"/>
              </w:rPr>
              <w:t>Odhad vplyvov plánu obnovy na slovenskú ekonomiku v strednodobom horizonte</w:t>
            </w:r>
            <w:bookmarkEnd w:id="49"/>
          </w:p>
          <w:p w14:paraId="51408510" w14:textId="77777777" w:rsidR="00490255" w:rsidRPr="000F7810" w:rsidRDefault="00490255" w:rsidP="000E4D54">
            <w:pPr>
              <w:ind w:right="375"/>
              <w:jc w:val="both"/>
              <w:rPr>
                <w:rFonts w:eastAsia="NeueHaasGroteskText W02" w:cs="Times New Roman"/>
                <w:b/>
                <w:bCs/>
                <w:sz w:val="20"/>
                <w:szCs w:val="20"/>
                <w:highlight w:val="yellow"/>
                <w:u w:color="2C9ADC"/>
              </w:rPr>
            </w:pPr>
          </w:p>
          <w:p w14:paraId="333D8830" w14:textId="77777777" w:rsidR="00490255" w:rsidRPr="00B64FCD" w:rsidRDefault="00490255" w:rsidP="000E4D54">
            <w:pPr>
              <w:pStyle w:val="Odsek"/>
              <w:spacing w:line="259" w:lineRule="auto"/>
              <w:rPr>
                <w:rFonts w:cs="Times New Roman"/>
                <w:szCs w:val="20"/>
              </w:rPr>
            </w:pPr>
            <w:r w:rsidRPr="00B64FCD">
              <w:rPr>
                <w:rFonts w:cs="Times New Roman"/>
                <w:szCs w:val="20"/>
              </w:rPr>
              <w:t>Prognóza MF SR pracuje s údajmi o alokáciách Plánu obnovy a odolnosti (</w:t>
            </w:r>
            <w:r w:rsidRPr="00B64FCD">
              <w:rPr>
                <w:rFonts w:cs="Times New Roman"/>
                <w:b/>
                <w:color w:val="2C9ADC" w:themeColor="accent1"/>
                <w:szCs w:val="20"/>
              </w:rPr>
              <w:t>TABUĽKA 2</w:t>
            </w:r>
            <w:r w:rsidRPr="00B64FCD">
              <w:rPr>
                <w:rFonts w:cs="Times New Roman"/>
                <w:szCs w:val="20"/>
              </w:rPr>
              <w:t xml:space="preserve">), ktoré sú v súlade s kľúčom o prerozdeľovaní prostriedkov medzi krajinami. Predpokladaná alokácia nepočíta s nesplnením vopred dohodnutých míľnikov, ktoré sú podmienkou pre čerpanie peňazí z tohto nástroja. </w:t>
            </w:r>
          </w:p>
          <w:p w14:paraId="5A9E56F4" w14:textId="47B99391" w:rsidR="00490255" w:rsidRDefault="00490255" w:rsidP="000E4D54">
            <w:pPr>
              <w:pStyle w:val="Popis"/>
              <w:spacing w:before="60" w:after="60"/>
              <w:jc w:val="both"/>
              <w:rPr>
                <w:rFonts w:eastAsiaTheme="minorHAnsi"/>
                <w:sz w:val="20"/>
                <w:szCs w:val="20"/>
                <w:lang w:eastAsia="en-US"/>
              </w:rPr>
            </w:pPr>
            <w:bookmarkStart w:id="50" w:name="_Toc101880681"/>
            <w:r w:rsidRPr="004C2DD8">
              <w:rPr>
                <w:rFonts w:eastAsiaTheme="minorHAnsi"/>
                <w:lang w:eastAsia="en-US"/>
              </w:rPr>
              <w:t xml:space="preserve">TABUĽKA </w:t>
            </w:r>
            <w:r w:rsidRPr="004C2DD8">
              <w:rPr>
                <w:rFonts w:eastAsiaTheme="minorHAnsi"/>
                <w:lang w:eastAsia="en-US"/>
              </w:rPr>
              <w:fldChar w:fldCharType="begin"/>
            </w:r>
            <w:r w:rsidRPr="004C2DD8">
              <w:rPr>
                <w:rFonts w:eastAsiaTheme="minorHAnsi"/>
                <w:lang w:eastAsia="en-US"/>
              </w:rPr>
              <w:instrText xml:space="preserve"> SEQ TABUĽKA \* ARABIC </w:instrText>
            </w:r>
            <w:r w:rsidRPr="004C2DD8">
              <w:rPr>
                <w:rFonts w:eastAsiaTheme="minorHAnsi"/>
                <w:lang w:eastAsia="en-US"/>
              </w:rPr>
              <w:fldChar w:fldCharType="separate"/>
            </w:r>
            <w:r w:rsidR="005D3280">
              <w:rPr>
                <w:rFonts w:eastAsiaTheme="minorHAnsi"/>
                <w:noProof/>
                <w:lang w:eastAsia="en-US"/>
              </w:rPr>
              <w:t>2</w:t>
            </w:r>
            <w:r w:rsidRPr="004C2DD8">
              <w:rPr>
                <w:rFonts w:eastAsiaTheme="minorHAnsi"/>
                <w:lang w:eastAsia="en-US"/>
              </w:rPr>
              <w:fldChar w:fldCharType="end"/>
            </w:r>
            <w:r w:rsidRPr="004C2DD8">
              <w:rPr>
                <w:rFonts w:eastAsiaTheme="minorHAnsi"/>
                <w:lang w:eastAsia="en-US"/>
              </w:rPr>
              <w:t xml:space="preserve"> – </w:t>
            </w:r>
            <w:r w:rsidRPr="004C2DD8">
              <w:rPr>
                <w:rFonts w:eastAsiaTheme="minorHAnsi"/>
                <w:sz w:val="20"/>
                <w:szCs w:val="20"/>
                <w:lang w:eastAsia="en-US"/>
              </w:rPr>
              <w:t>Predpoklady realizácie výdavkov z Plánu obnovy a odolnosti SR z prognózy (mil. eur</w:t>
            </w:r>
            <w:r>
              <w:rPr>
                <w:rFonts w:eastAsiaTheme="minorHAnsi"/>
                <w:sz w:val="20"/>
                <w:szCs w:val="20"/>
                <w:lang w:eastAsia="en-US"/>
              </w:rPr>
              <w:t>, bez DPH</w:t>
            </w:r>
            <w:r w:rsidRPr="004C2DD8">
              <w:rPr>
                <w:rFonts w:eastAsiaTheme="minorHAnsi"/>
                <w:sz w:val="20"/>
                <w:szCs w:val="20"/>
                <w:lang w:eastAsia="en-US"/>
              </w:rPr>
              <w:t>)</w:t>
            </w:r>
            <w:bookmarkEnd w:id="50"/>
          </w:p>
          <w:tbl>
            <w:tblPr>
              <w:tblW w:w="8931" w:type="dxa"/>
              <w:tblLayout w:type="fixed"/>
              <w:tblCellMar>
                <w:left w:w="70" w:type="dxa"/>
                <w:right w:w="70" w:type="dxa"/>
              </w:tblCellMar>
              <w:tblLook w:val="04A0" w:firstRow="1" w:lastRow="0" w:firstColumn="1" w:lastColumn="0" w:noHBand="0" w:noVBand="1"/>
            </w:tblPr>
            <w:tblGrid>
              <w:gridCol w:w="1812"/>
              <w:gridCol w:w="1017"/>
              <w:gridCol w:w="1017"/>
              <w:gridCol w:w="1017"/>
              <w:gridCol w:w="1017"/>
              <w:gridCol w:w="1017"/>
              <w:gridCol w:w="1017"/>
              <w:gridCol w:w="1017"/>
            </w:tblGrid>
            <w:tr w:rsidR="00490255" w:rsidRPr="006822D7" w14:paraId="47B59A61" w14:textId="77777777" w:rsidTr="008F2110">
              <w:trPr>
                <w:trHeight w:val="256"/>
              </w:trPr>
              <w:tc>
                <w:tcPr>
                  <w:tcW w:w="1812" w:type="dxa"/>
                  <w:tcBorders>
                    <w:top w:val="single" w:sz="4" w:space="0" w:color="auto"/>
                    <w:bottom w:val="single" w:sz="4" w:space="0" w:color="auto"/>
                  </w:tcBorders>
                  <w:shd w:val="clear" w:color="auto" w:fill="auto"/>
                  <w:vAlign w:val="center"/>
                  <w:hideMark/>
                </w:tcPr>
                <w:p w14:paraId="077AAD5B" w14:textId="77777777" w:rsidR="00490255" w:rsidRPr="00265543" w:rsidRDefault="00490255" w:rsidP="0033368C">
                  <w:pPr>
                    <w:framePr w:hSpace="142" w:wrap="around" w:vAnchor="text" w:hAnchor="margin" w:y="458"/>
                    <w:suppressOverlap/>
                    <w:rPr>
                      <w:rFonts w:cs="Calibri"/>
                      <w:b/>
                      <w:bCs/>
                      <w:color w:val="000000"/>
                      <w:sz w:val="20"/>
                      <w:szCs w:val="20"/>
                    </w:rPr>
                  </w:pPr>
                  <w:r w:rsidRPr="00265543">
                    <w:rPr>
                      <w:rFonts w:cs="Calibri"/>
                      <w:b/>
                      <w:bCs/>
                      <w:color w:val="000000"/>
                      <w:sz w:val="20"/>
                      <w:szCs w:val="20"/>
                    </w:rPr>
                    <w:t> </w:t>
                  </w:r>
                </w:p>
              </w:tc>
              <w:tc>
                <w:tcPr>
                  <w:tcW w:w="1017" w:type="dxa"/>
                  <w:tcBorders>
                    <w:top w:val="single" w:sz="4" w:space="0" w:color="auto"/>
                    <w:bottom w:val="single" w:sz="4" w:space="0" w:color="auto"/>
                  </w:tcBorders>
                  <w:shd w:val="clear" w:color="auto" w:fill="auto"/>
                  <w:vAlign w:val="center"/>
                  <w:hideMark/>
                </w:tcPr>
                <w:p w14:paraId="08591FF4" w14:textId="77777777" w:rsidR="00490255" w:rsidRPr="00265543" w:rsidRDefault="00490255" w:rsidP="0033368C">
                  <w:pPr>
                    <w:framePr w:hSpace="142" w:wrap="around" w:vAnchor="text" w:hAnchor="margin" w:y="458"/>
                    <w:suppressOverlap/>
                    <w:jc w:val="center"/>
                    <w:rPr>
                      <w:rFonts w:cs="Calibri"/>
                      <w:b/>
                      <w:bCs/>
                      <w:color w:val="000000"/>
                      <w:sz w:val="20"/>
                      <w:szCs w:val="20"/>
                    </w:rPr>
                  </w:pPr>
                  <w:r w:rsidRPr="00265543">
                    <w:rPr>
                      <w:rFonts w:cs="Calibri"/>
                      <w:b/>
                      <w:bCs/>
                      <w:color w:val="000000"/>
                      <w:sz w:val="20"/>
                      <w:szCs w:val="20"/>
                    </w:rPr>
                    <w:t>2021</w:t>
                  </w:r>
                </w:p>
              </w:tc>
              <w:tc>
                <w:tcPr>
                  <w:tcW w:w="1017" w:type="dxa"/>
                  <w:tcBorders>
                    <w:top w:val="single" w:sz="4" w:space="0" w:color="auto"/>
                    <w:bottom w:val="single" w:sz="4" w:space="0" w:color="auto"/>
                  </w:tcBorders>
                  <w:shd w:val="clear" w:color="auto" w:fill="auto"/>
                  <w:vAlign w:val="center"/>
                  <w:hideMark/>
                </w:tcPr>
                <w:p w14:paraId="5E2B8757" w14:textId="77777777" w:rsidR="00490255" w:rsidRPr="00265543" w:rsidRDefault="00490255" w:rsidP="0033368C">
                  <w:pPr>
                    <w:framePr w:hSpace="142" w:wrap="around" w:vAnchor="text" w:hAnchor="margin" w:y="458"/>
                    <w:suppressOverlap/>
                    <w:jc w:val="center"/>
                    <w:rPr>
                      <w:rFonts w:cs="Calibri"/>
                      <w:b/>
                      <w:bCs/>
                      <w:color w:val="000000"/>
                      <w:sz w:val="20"/>
                      <w:szCs w:val="20"/>
                    </w:rPr>
                  </w:pPr>
                  <w:r w:rsidRPr="00265543">
                    <w:rPr>
                      <w:rFonts w:cs="Calibri"/>
                      <w:b/>
                      <w:bCs/>
                      <w:color w:val="000000"/>
                      <w:sz w:val="20"/>
                      <w:szCs w:val="20"/>
                    </w:rPr>
                    <w:t>2022</w:t>
                  </w:r>
                </w:p>
              </w:tc>
              <w:tc>
                <w:tcPr>
                  <w:tcW w:w="1017" w:type="dxa"/>
                  <w:tcBorders>
                    <w:top w:val="single" w:sz="4" w:space="0" w:color="auto"/>
                    <w:bottom w:val="single" w:sz="4" w:space="0" w:color="auto"/>
                  </w:tcBorders>
                  <w:shd w:val="clear" w:color="auto" w:fill="auto"/>
                  <w:vAlign w:val="center"/>
                  <w:hideMark/>
                </w:tcPr>
                <w:p w14:paraId="46F3FB2F" w14:textId="77777777" w:rsidR="00490255" w:rsidRPr="00265543" w:rsidRDefault="00490255" w:rsidP="0033368C">
                  <w:pPr>
                    <w:framePr w:hSpace="142" w:wrap="around" w:vAnchor="text" w:hAnchor="margin" w:y="458"/>
                    <w:suppressOverlap/>
                    <w:jc w:val="center"/>
                    <w:rPr>
                      <w:rFonts w:cs="Calibri"/>
                      <w:b/>
                      <w:bCs/>
                      <w:color w:val="000000"/>
                      <w:sz w:val="20"/>
                      <w:szCs w:val="20"/>
                    </w:rPr>
                  </w:pPr>
                  <w:r w:rsidRPr="00265543">
                    <w:rPr>
                      <w:rFonts w:cs="Calibri"/>
                      <w:b/>
                      <w:bCs/>
                      <w:color w:val="000000"/>
                      <w:sz w:val="20"/>
                      <w:szCs w:val="20"/>
                    </w:rPr>
                    <w:t>2023</w:t>
                  </w:r>
                </w:p>
              </w:tc>
              <w:tc>
                <w:tcPr>
                  <w:tcW w:w="1017" w:type="dxa"/>
                  <w:tcBorders>
                    <w:top w:val="single" w:sz="4" w:space="0" w:color="auto"/>
                    <w:bottom w:val="single" w:sz="4" w:space="0" w:color="auto"/>
                  </w:tcBorders>
                  <w:shd w:val="clear" w:color="auto" w:fill="auto"/>
                  <w:vAlign w:val="center"/>
                  <w:hideMark/>
                </w:tcPr>
                <w:p w14:paraId="18F8071A" w14:textId="77777777" w:rsidR="00490255" w:rsidRPr="00265543" w:rsidRDefault="00490255" w:rsidP="0033368C">
                  <w:pPr>
                    <w:framePr w:hSpace="142" w:wrap="around" w:vAnchor="text" w:hAnchor="margin" w:y="458"/>
                    <w:suppressOverlap/>
                    <w:jc w:val="center"/>
                    <w:rPr>
                      <w:rFonts w:cs="Calibri"/>
                      <w:b/>
                      <w:bCs/>
                      <w:color w:val="000000"/>
                      <w:sz w:val="20"/>
                      <w:szCs w:val="20"/>
                    </w:rPr>
                  </w:pPr>
                  <w:r w:rsidRPr="00265543">
                    <w:rPr>
                      <w:rFonts w:cs="Calibri"/>
                      <w:b/>
                      <w:bCs/>
                      <w:color w:val="000000"/>
                      <w:sz w:val="20"/>
                      <w:szCs w:val="20"/>
                    </w:rPr>
                    <w:t>2024</w:t>
                  </w:r>
                </w:p>
              </w:tc>
              <w:tc>
                <w:tcPr>
                  <w:tcW w:w="1017" w:type="dxa"/>
                  <w:tcBorders>
                    <w:top w:val="single" w:sz="4" w:space="0" w:color="auto"/>
                    <w:bottom w:val="single" w:sz="4" w:space="0" w:color="auto"/>
                  </w:tcBorders>
                  <w:shd w:val="clear" w:color="auto" w:fill="auto"/>
                  <w:vAlign w:val="center"/>
                  <w:hideMark/>
                </w:tcPr>
                <w:p w14:paraId="7E353FCA" w14:textId="77777777" w:rsidR="00490255" w:rsidRPr="00265543" w:rsidRDefault="00490255" w:rsidP="0033368C">
                  <w:pPr>
                    <w:framePr w:hSpace="142" w:wrap="around" w:vAnchor="text" w:hAnchor="margin" w:y="458"/>
                    <w:suppressOverlap/>
                    <w:jc w:val="center"/>
                    <w:rPr>
                      <w:rFonts w:cs="Calibri"/>
                      <w:b/>
                      <w:bCs/>
                      <w:color w:val="000000"/>
                      <w:sz w:val="20"/>
                      <w:szCs w:val="20"/>
                    </w:rPr>
                  </w:pPr>
                  <w:r w:rsidRPr="00265543">
                    <w:rPr>
                      <w:rFonts w:cs="Calibri"/>
                      <w:b/>
                      <w:bCs/>
                      <w:color w:val="000000"/>
                      <w:sz w:val="20"/>
                      <w:szCs w:val="20"/>
                    </w:rPr>
                    <w:t>2025</w:t>
                  </w:r>
                </w:p>
              </w:tc>
              <w:tc>
                <w:tcPr>
                  <w:tcW w:w="1017" w:type="dxa"/>
                  <w:tcBorders>
                    <w:top w:val="single" w:sz="4" w:space="0" w:color="auto"/>
                    <w:bottom w:val="single" w:sz="4" w:space="0" w:color="auto"/>
                  </w:tcBorders>
                  <w:shd w:val="clear" w:color="auto" w:fill="auto"/>
                  <w:vAlign w:val="center"/>
                  <w:hideMark/>
                </w:tcPr>
                <w:p w14:paraId="5BDD364C" w14:textId="77777777" w:rsidR="00490255" w:rsidRPr="00265543" w:rsidRDefault="00490255" w:rsidP="0033368C">
                  <w:pPr>
                    <w:framePr w:hSpace="142" w:wrap="around" w:vAnchor="text" w:hAnchor="margin" w:y="458"/>
                    <w:suppressOverlap/>
                    <w:jc w:val="center"/>
                    <w:rPr>
                      <w:rFonts w:cs="Calibri"/>
                      <w:b/>
                      <w:bCs/>
                      <w:color w:val="000000"/>
                      <w:sz w:val="20"/>
                      <w:szCs w:val="20"/>
                    </w:rPr>
                  </w:pPr>
                  <w:r w:rsidRPr="00265543">
                    <w:rPr>
                      <w:rFonts w:cs="Calibri"/>
                      <w:b/>
                      <w:bCs/>
                      <w:color w:val="000000"/>
                      <w:sz w:val="20"/>
                      <w:szCs w:val="20"/>
                    </w:rPr>
                    <w:t>2026</w:t>
                  </w:r>
                </w:p>
              </w:tc>
              <w:tc>
                <w:tcPr>
                  <w:tcW w:w="1017" w:type="dxa"/>
                  <w:tcBorders>
                    <w:top w:val="single" w:sz="4" w:space="0" w:color="auto"/>
                    <w:bottom w:val="single" w:sz="4" w:space="0" w:color="auto"/>
                  </w:tcBorders>
                  <w:shd w:val="clear" w:color="auto" w:fill="auto"/>
                  <w:vAlign w:val="center"/>
                  <w:hideMark/>
                </w:tcPr>
                <w:p w14:paraId="5078DCA6" w14:textId="040DDE87" w:rsidR="00490255" w:rsidRPr="00265543" w:rsidRDefault="009228C7" w:rsidP="0033368C">
                  <w:pPr>
                    <w:framePr w:hSpace="142" w:wrap="around" w:vAnchor="text" w:hAnchor="margin" w:y="458"/>
                    <w:suppressOverlap/>
                    <w:jc w:val="center"/>
                    <w:rPr>
                      <w:rFonts w:cs="Calibri"/>
                      <w:b/>
                      <w:bCs/>
                      <w:color w:val="000000"/>
                      <w:sz w:val="20"/>
                      <w:szCs w:val="20"/>
                    </w:rPr>
                  </w:pPr>
                  <w:r w:rsidRPr="00265543">
                    <w:rPr>
                      <w:rFonts w:cs="Calibri"/>
                      <w:b/>
                      <w:bCs/>
                      <w:color w:val="000000"/>
                      <w:sz w:val="20"/>
                      <w:szCs w:val="20"/>
                    </w:rPr>
                    <w:t>S</w:t>
                  </w:r>
                  <w:r w:rsidR="00490255" w:rsidRPr="00265543">
                    <w:rPr>
                      <w:rFonts w:cs="Calibri"/>
                      <w:b/>
                      <w:bCs/>
                      <w:color w:val="000000"/>
                      <w:sz w:val="20"/>
                      <w:szCs w:val="20"/>
                    </w:rPr>
                    <w:t>polu</w:t>
                  </w:r>
                </w:p>
              </w:tc>
            </w:tr>
            <w:tr w:rsidR="00490255" w:rsidRPr="006822D7" w14:paraId="0E4D564F" w14:textId="77777777" w:rsidTr="008F2110">
              <w:trPr>
                <w:trHeight w:val="256"/>
              </w:trPr>
              <w:tc>
                <w:tcPr>
                  <w:tcW w:w="1812" w:type="dxa"/>
                  <w:tcBorders>
                    <w:top w:val="single" w:sz="4" w:space="0" w:color="auto"/>
                  </w:tcBorders>
                  <w:shd w:val="clear" w:color="auto" w:fill="auto"/>
                  <w:vAlign w:val="center"/>
                  <w:hideMark/>
                </w:tcPr>
                <w:p w14:paraId="1CF05F6B"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Plán obnovy spolu</w:t>
                  </w:r>
                </w:p>
              </w:tc>
              <w:tc>
                <w:tcPr>
                  <w:tcW w:w="1017" w:type="dxa"/>
                  <w:tcBorders>
                    <w:top w:val="single" w:sz="4" w:space="0" w:color="auto"/>
                  </w:tcBorders>
                  <w:shd w:val="clear" w:color="auto" w:fill="auto"/>
                  <w:vAlign w:val="center"/>
                  <w:hideMark/>
                </w:tcPr>
                <w:p w14:paraId="4C896017"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6</w:t>
                  </w:r>
                </w:p>
              </w:tc>
              <w:tc>
                <w:tcPr>
                  <w:tcW w:w="1017" w:type="dxa"/>
                  <w:tcBorders>
                    <w:top w:val="single" w:sz="4" w:space="0" w:color="auto"/>
                  </w:tcBorders>
                  <w:shd w:val="clear" w:color="auto" w:fill="auto"/>
                  <w:vAlign w:val="center"/>
                  <w:hideMark/>
                </w:tcPr>
                <w:p w14:paraId="4D38327D"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1 394</w:t>
                  </w:r>
                </w:p>
              </w:tc>
              <w:tc>
                <w:tcPr>
                  <w:tcW w:w="1017" w:type="dxa"/>
                  <w:tcBorders>
                    <w:top w:val="single" w:sz="4" w:space="0" w:color="auto"/>
                  </w:tcBorders>
                  <w:shd w:val="clear" w:color="auto" w:fill="auto"/>
                  <w:vAlign w:val="center"/>
                  <w:hideMark/>
                </w:tcPr>
                <w:p w14:paraId="7FF5C0F8"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1 555</w:t>
                  </w:r>
                </w:p>
              </w:tc>
              <w:tc>
                <w:tcPr>
                  <w:tcW w:w="1017" w:type="dxa"/>
                  <w:tcBorders>
                    <w:top w:val="single" w:sz="4" w:space="0" w:color="auto"/>
                  </w:tcBorders>
                  <w:shd w:val="clear" w:color="auto" w:fill="auto"/>
                  <w:vAlign w:val="center"/>
                  <w:hideMark/>
                </w:tcPr>
                <w:p w14:paraId="11F8E8F3"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1 548</w:t>
                  </w:r>
                </w:p>
              </w:tc>
              <w:tc>
                <w:tcPr>
                  <w:tcW w:w="1017" w:type="dxa"/>
                  <w:tcBorders>
                    <w:top w:val="single" w:sz="4" w:space="0" w:color="auto"/>
                  </w:tcBorders>
                  <w:shd w:val="clear" w:color="auto" w:fill="auto"/>
                  <w:vAlign w:val="center"/>
                  <w:hideMark/>
                </w:tcPr>
                <w:p w14:paraId="150D79B0"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1 131</w:t>
                  </w:r>
                </w:p>
              </w:tc>
              <w:tc>
                <w:tcPr>
                  <w:tcW w:w="1017" w:type="dxa"/>
                  <w:tcBorders>
                    <w:top w:val="single" w:sz="4" w:space="0" w:color="auto"/>
                  </w:tcBorders>
                  <w:shd w:val="clear" w:color="auto" w:fill="auto"/>
                  <w:vAlign w:val="center"/>
                  <w:hideMark/>
                </w:tcPr>
                <w:p w14:paraId="41020C62"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596</w:t>
                  </w:r>
                </w:p>
              </w:tc>
              <w:tc>
                <w:tcPr>
                  <w:tcW w:w="1017" w:type="dxa"/>
                  <w:tcBorders>
                    <w:top w:val="single" w:sz="4" w:space="0" w:color="auto"/>
                  </w:tcBorders>
                  <w:shd w:val="clear" w:color="auto" w:fill="auto"/>
                  <w:vAlign w:val="center"/>
                  <w:hideMark/>
                </w:tcPr>
                <w:p w14:paraId="06A1F554"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6 229</w:t>
                  </w:r>
                </w:p>
              </w:tc>
            </w:tr>
            <w:tr w:rsidR="00490255" w:rsidRPr="006822D7" w14:paraId="3DBEAEB1" w14:textId="77777777" w:rsidTr="008F2110">
              <w:trPr>
                <w:trHeight w:val="256"/>
              </w:trPr>
              <w:tc>
                <w:tcPr>
                  <w:tcW w:w="1812" w:type="dxa"/>
                  <w:shd w:val="clear" w:color="auto" w:fill="auto"/>
                  <w:vAlign w:val="center"/>
                  <w:hideMark/>
                </w:tcPr>
                <w:p w14:paraId="47F4D06B"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Kompenzácie</w:t>
                  </w:r>
                </w:p>
              </w:tc>
              <w:tc>
                <w:tcPr>
                  <w:tcW w:w="1017" w:type="dxa"/>
                  <w:shd w:val="clear" w:color="auto" w:fill="auto"/>
                  <w:vAlign w:val="center"/>
                  <w:hideMark/>
                </w:tcPr>
                <w:p w14:paraId="15EC69CC"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2</w:t>
                  </w:r>
                </w:p>
              </w:tc>
              <w:tc>
                <w:tcPr>
                  <w:tcW w:w="1017" w:type="dxa"/>
                  <w:shd w:val="clear" w:color="auto" w:fill="auto"/>
                  <w:vAlign w:val="center"/>
                  <w:hideMark/>
                </w:tcPr>
                <w:p w14:paraId="29A3712E"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133</w:t>
                  </w:r>
                </w:p>
              </w:tc>
              <w:tc>
                <w:tcPr>
                  <w:tcW w:w="1017" w:type="dxa"/>
                  <w:shd w:val="clear" w:color="auto" w:fill="auto"/>
                  <w:vAlign w:val="center"/>
                  <w:hideMark/>
                </w:tcPr>
                <w:p w14:paraId="7E39C2C8"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126</w:t>
                  </w:r>
                </w:p>
              </w:tc>
              <w:tc>
                <w:tcPr>
                  <w:tcW w:w="1017" w:type="dxa"/>
                  <w:shd w:val="clear" w:color="auto" w:fill="auto"/>
                  <w:vAlign w:val="center"/>
                  <w:hideMark/>
                </w:tcPr>
                <w:p w14:paraId="08F26108"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126</w:t>
                  </w:r>
                </w:p>
              </w:tc>
              <w:tc>
                <w:tcPr>
                  <w:tcW w:w="1017" w:type="dxa"/>
                  <w:shd w:val="clear" w:color="auto" w:fill="auto"/>
                  <w:vAlign w:val="center"/>
                  <w:hideMark/>
                </w:tcPr>
                <w:p w14:paraId="55811272"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115</w:t>
                  </w:r>
                </w:p>
              </w:tc>
              <w:tc>
                <w:tcPr>
                  <w:tcW w:w="1017" w:type="dxa"/>
                  <w:shd w:val="clear" w:color="auto" w:fill="auto"/>
                  <w:vAlign w:val="center"/>
                  <w:hideMark/>
                </w:tcPr>
                <w:p w14:paraId="53AD9580"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65</w:t>
                  </w:r>
                </w:p>
              </w:tc>
              <w:tc>
                <w:tcPr>
                  <w:tcW w:w="1017" w:type="dxa"/>
                  <w:shd w:val="clear" w:color="auto" w:fill="auto"/>
                  <w:vAlign w:val="center"/>
                  <w:hideMark/>
                </w:tcPr>
                <w:p w14:paraId="454D3387"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569</w:t>
                  </w:r>
                </w:p>
              </w:tc>
            </w:tr>
            <w:tr w:rsidR="00490255" w:rsidRPr="006822D7" w14:paraId="17761D82" w14:textId="77777777" w:rsidTr="008F2110">
              <w:trPr>
                <w:trHeight w:val="256"/>
              </w:trPr>
              <w:tc>
                <w:tcPr>
                  <w:tcW w:w="1812" w:type="dxa"/>
                  <w:shd w:val="clear" w:color="auto" w:fill="auto"/>
                  <w:vAlign w:val="center"/>
                  <w:hideMark/>
                </w:tcPr>
                <w:p w14:paraId="57407E50"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Medzispotreba</w:t>
                  </w:r>
                </w:p>
              </w:tc>
              <w:tc>
                <w:tcPr>
                  <w:tcW w:w="1017" w:type="dxa"/>
                  <w:shd w:val="clear" w:color="auto" w:fill="auto"/>
                  <w:vAlign w:val="center"/>
                  <w:hideMark/>
                </w:tcPr>
                <w:p w14:paraId="603A9DE0"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4</w:t>
                  </w:r>
                </w:p>
              </w:tc>
              <w:tc>
                <w:tcPr>
                  <w:tcW w:w="1017" w:type="dxa"/>
                  <w:shd w:val="clear" w:color="auto" w:fill="auto"/>
                  <w:vAlign w:val="center"/>
                  <w:hideMark/>
                </w:tcPr>
                <w:p w14:paraId="43C779E9"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99</w:t>
                  </w:r>
                </w:p>
              </w:tc>
              <w:tc>
                <w:tcPr>
                  <w:tcW w:w="1017" w:type="dxa"/>
                  <w:shd w:val="clear" w:color="auto" w:fill="auto"/>
                  <w:vAlign w:val="center"/>
                  <w:hideMark/>
                </w:tcPr>
                <w:p w14:paraId="569CA9D3"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66</w:t>
                  </w:r>
                </w:p>
              </w:tc>
              <w:tc>
                <w:tcPr>
                  <w:tcW w:w="1017" w:type="dxa"/>
                  <w:shd w:val="clear" w:color="auto" w:fill="auto"/>
                  <w:vAlign w:val="center"/>
                  <w:hideMark/>
                </w:tcPr>
                <w:p w14:paraId="532BD6BF"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70</w:t>
                  </w:r>
                </w:p>
              </w:tc>
              <w:tc>
                <w:tcPr>
                  <w:tcW w:w="1017" w:type="dxa"/>
                  <w:shd w:val="clear" w:color="auto" w:fill="auto"/>
                  <w:vAlign w:val="center"/>
                  <w:hideMark/>
                </w:tcPr>
                <w:p w14:paraId="53DA4815"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55</w:t>
                  </w:r>
                </w:p>
              </w:tc>
              <w:tc>
                <w:tcPr>
                  <w:tcW w:w="1017" w:type="dxa"/>
                  <w:shd w:val="clear" w:color="auto" w:fill="auto"/>
                  <w:vAlign w:val="center"/>
                  <w:hideMark/>
                </w:tcPr>
                <w:p w14:paraId="780C40A4"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41</w:t>
                  </w:r>
                </w:p>
              </w:tc>
              <w:tc>
                <w:tcPr>
                  <w:tcW w:w="1017" w:type="dxa"/>
                  <w:shd w:val="clear" w:color="auto" w:fill="auto"/>
                  <w:vAlign w:val="center"/>
                  <w:hideMark/>
                </w:tcPr>
                <w:p w14:paraId="0918CCD1"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333</w:t>
                  </w:r>
                </w:p>
              </w:tc>
            </w:tr>
            <w:tr w:rsidR="00490255" w:rsidRPr="006822D7" w14:paraId="515CB4CC" w14:textId="77777777" w:rsidTr="008F2110">
              <w:trPr>
                <w:trHeight w:val="256"/>
              </w:trPr>
              <w:tc>
                <w:tcPr>
                  <w:tcW w:w="1812" w:type="dxa"/>
                  <w:shd w:val="clear" w:color="auto" w:fill="auto"/>
                  <w:vAlign w:val="center"/>
                  <w:hideMark/>
                </w:tcPr>
                <w:p w14:paraId="2956C4D1"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Vládne investície</w:t>
                  </w:r>
                </w:p>
              </w:tc>
              <w:tc>
                <w:tcPr>
                  <w:tcW w:w="1017" w:type="dxa"/>
                  <w:shd w:val="clear" w:color="auto" w:fill="auto"/>
                  <w:vAlign w:val="center"/>
                  <w:hideMark/>
                </w:tcPr>
                <w:p w14:paraId="00C94F6F"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0</w:t>
                  </w:r>
                </w:p>
              </w:tc>
              <w:tc>
                <w:tcPr>
                  <w:tcW w:w="1017" w:type="dxa"/>
                  <w:shd w:val="clear" w:color="auto" w:fill="auto"/>
                  <w:vAlign w:val="center"/>
                  <w:hideMark/>
                </w:tcPr>
                <w:p w14:paraId="45F91011"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863</w:t>
                  </w:r>
                </w:p>
              </w:tc>
              <w:tc>
                <w:tcPr>
                  <w:tcW w:w="1017" w:type="dxa"/>
                  <w:shd w:val="clear" w:color="auto" w:fill="auto"/>
                  <w:vAlign w:val="center"/>
                  <w:hideMark/>
                </w:tcPr>
                <w:p w14:paraId="7EEA4599"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1 024</w:t>
                  </w:r>
                </w:p>
              </w:tc>
              <w:tc>
                <w:tcPr>
                  <w:tcW w:w="1017" w:type="dxa"/>
                  <w:shd w:val="clear" w:color="auto" w:fill="auto"/>
                  <w:vAlign w:val="center"/>
                  <w:hideMark/>
                </w:tcPr>
                <w:p w14:paraId="7C7CF9B0"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1 024</w:t>
                  </w:r>
                </w:p>
              </w:tc>
              <w:tc>
                <w:tcPr>
                  <w:tcW w:w="1017" w:type="dxa"/>
                  <w:shd w:val="clear" w:color="auto" w:fill="auto"/>
                  <w:vAlign w:val="center"/>
                  <w:hideMark/>
                </w:tcPr>
                <w:p w14:paraId="6183BF8F"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705</w:t>
                  </w:r>
                </w:p>
              </w:tc>
              <w:tc>
                <w:tcPr>
                  <w:tcW w:w="1017" w:type="dxa"/>
                  <w:shd w:val="clear" w:color="auto" w:fill="auto"/>
                  <w:vAlign w:val="center"/>
                  <w:hideMark/>
                </w:tcPr>
                <w:p w14:paraId="1658BD13"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381</w:t>
                  </w:r>
                </w:p>
              </w:tc>
              <w:tc>
                <w:tcPr>
                  <w:tcW w:w="1017" w:type="dxa"/>
                  <w:shd w:val="clear" w:color="auto" w:fill="auto"/>
                  <w:vAlign w:val="center"/>
                  <w:hideMark/>
                </w:tcPr>
                <w:p w14:paraId="655A397F"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3 996</w:t>
                  </w:r>
                </w:p>
              </w:tc>
            </w:tr>
            <w:tr w:rsidR="00490255" w:rsidRPr="006822D7" w14:paraId="7F03221C" w14:textId="77777777" w:rsidTr="008F2110">
              <w:trPr>
                <w:trHeight w:val="256"/>
              </w:trPr>
              <w:tc>
                <w:tcPr>
                  <w:tcW w:w="1812" w:type="dxa"/>
                  <w:shd w:val="clear" w:color="auto" w:fill="auto"/>
                  <w:vAlign w:val="center"/>
                  <w:hideMark/>
                </w:tcPr>
                <w:p w14:paraId="6C90D305"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Nat</w:t>
                  </w:r>
                  <w:r>
                    <w:rPr>
                      <w:rFonts w:cs="Calibri"/>
                      <w:color w:val="000000"/>
                      <w:sz w:val="20"/>
                      <w:szCs w:val="20"/>
                    </w:rPr>
                    <w:t>.</w:t>
                  </w:r>
                  <w:r w:rsidRPr="00265543">
                    <w:rPr>
                      <w:rFonts w:cs="Calibri"/>
                      <w:color w:val="000000"/>
                      <w:sz w:val="20"/>
                      <w:szCs w:val="20"/>
                    </w:rPr>
                    <w:t xml:space="preserve"> soc. transfery </w:t>
                  </w:r>
                </w:p>
              </w:tc>
              <w:tc>
                <w:tcPr>
                  <w:tcW w:w="1017" w:type="dxa"/>
                  <w:shd w:val="clear" w:color="auto" w:fill="auto"/>
                  <w:vAlign w:val="center"/>
                  <w:hideMark/>
                </w:tcPr>
                <w:p w14:paraId="0AFC49A7"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0</w:t>
                  </w:r>
                </w:p>
              </w:tc>
              <w:tc>
                <w:tcPr>
                  <w:tcW w:w="1017" w:type="dxa"/>
                  <w:shd w:val="clear" w:color="auto" w:fill="auto"/>
                  <w:vAlign w:val="center"/>
                  <w:hideMark/>
                </w:tcPr>
                <w:p w14:paraId="0BA22F43"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2</w:t>
                  </w:r>
                </w:p>
              </w:tc>
              <w:tc>
                <w:tcPr>
                  <w:tcW w:w="1017" w:type="dxa"/>
                  <w:shd w:val="clear" w:color="auto" w:fill="auto"/>
                  <w:vAlign w:val="center"/>
                  <w:hideMark/>
                </w:tcPr>
                <w:p w14:paraId="67FBDB87"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3</w:t>
                  </w:r>
                </w:p>
              </w:tc>
              <w:tc>
                <w:tcPr>
                  <w:tcW w:w="1017" w:type="dxa"/>
                  <w:shd w:val="clear" w:color="auto" w:fill="auto"/>
                  <w:vAlign w:val="center"/>
                  <w:hideMark/>
                </w:tcPr>
                <w:p w14:paraId="4421C11B"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4</w:t>
                  </w:r>
                </w:p>
              </w:tc>
              <w:tc>
                <w:tcPr>
                  <w:tcW w:w="1017" w:type="dxa"/>
                  <w:shd w:val="clear" w:color="auto" w:fill="auto"/>
                  <w:vAlign w:val="center"/>
                  <w:hideMark/>
                </w:tcPr>
                <w:p w14:paraId="5DF9F456"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5</w:t>
                  </w:r>
                </w:p>
              </w:tc>
              <w:tc>
                <w:tcPr>
                  <w:tcW w:w="1017" w:type="dxa"/>
                  <w:shd w:val="clear" w:color="auto" w:fill="auto"/>
                  <w:vAlign w:val="center"/>
                  <w:hideMark/>
                </w:tcPr>
                <w:p w14:paraId="591F64AD"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2</w:t>
                  </w:r>
                </w:p>
              </w:tc>
              <w:tc>
                <w:tcPr>
                  <w:tcW w:w="1017" w:type="dxa"/>
                  <w:shd w:val="clear" w:color="auto" w:fill="auto"/>
                  <w:vAlign w:val="center"/>
                  <w:hideMark/>
                </w:tcPr>
                <w:p w14:paraId="24662E18"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15</w:t>
                  </w:r>
                </w:p>
              </w:tc>
            </w:tr>
            <w:tr w:rsidR="00490255" w:rsidRPr="006822D7" w14:paraId="074C599E" w14:textId="77777777" w:rsidTr="008F2110">
              <w:trPr>
                <w:trHeight w:val="256"/>
              </w:trPr>
              <w:tc>
                <w:tcPr>
                  <w:tcW w:w="1812" w:type="dxa"/>
                  <w:shd w:val="clear" w:color="auto" w:fill="auto"/>
                  <w:vAlign w:val="center"/>
                  <w:hideMark/>
                </w:tcPr>
                <w:p w14:paraId="364092BE"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Sociálne transfery</w:t>
                  </w:r>
                </w:p>
              </w:tc>
              <w:tc>
                <w:tcPr>
                  <w:tcW w:w="1017" w:type="dxa"/>
                  <w:shd w:val="clear" w:color="auto" w:fill="auto"/>
                  <w:vAlign w:val="center"/>
                  <w:hideMark/>
                </w:tcPr>
                <w:p w14:paraId="664A658D"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0</w:t>
                  </w:r>
                </w:p>
              </w:tc>
              <w:tc>
                <w:tcPr>
                  <w:tcW w:w="1017" w:type="dxa"/>
                  <w:shd w:val="clear" w:color="auto" w:fill="auto"/>
                  <w:vAlign w:val="center"/>
                  <w:hideMark/>
                </w:tcPr>
                <w:p w14:paraId="4F26CCF4"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9</w:t>
                  </w:r>
                </w:p>
              </w:tc>
              <w:tc>
                <w:tcPr>
                  <w:tcW w:w="1017" w:type="dxa"/>
                  <w:shd w:val="clear" w:color="auto" w:fill="auto"/>
                  <w:vAlign w:val="center"/>
                  <w:hideMark/>
                </w:tcPr>
                <w:p w14:paraId="1E919AB6"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16</w:t>
                  </w:r>
                </w:p>
              </w:tc>
              <w:tc>
                <w:tcPr>
                  <w:tcW w:w="1017" w:type="dxa"/>
                  <w:shd w:val="clear" w:color="auto" w:fill="auto"/>
                  <w:vAlign w:val="center"/>
                  <w:hideMark/>
                </w:tcPr>
                <w:p w14:paraId="52E90B70"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23</w:t>
                  </w:r>
                </w:p>
              </w:tc>
              <w:tc>
                <w:tcPr>
                  <w:tcW w:w="1017" w:type="dxa"/>
                  <w:shd w:val="clear" w:color="auto" w:fill="auto"/>
                  <w:vAlign w:val="center"/>
                  <w:hideMark/>
                </w:tcPr>
                <w:p w14:paraId="5168A0ED"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16</w:t>
                  </w:r>
                </w:p>
              </w:tc>
              <w:tc>
                <w:tcPr>
                  <w:tcW w:w="1017" w:type="dxa"/>
                  <w:shd w:val="clear" w:color="auto" w:fill="auto"/>
                  <w:vAlign w:val="center"/>
                  <w:hideMark/>
                </w:tcPr>
                <w:p w14:paraId="35F28AC0"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8</w:t>
                  </w:r>
                </w:p>
              </w:tc>
              <w:tc>
                <w:tcPr>
                  <w:tcW w:w="1017" w:type="dxa"/>
                  <w:shd w:val="clear" w:color="auto" w:fill="auto"/>
                  <w:vAlign w:val="center"/>
                  <w:hideMark/>
                </w:tcPr>
                <w:p w14:paraId="34C1BBBF"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73</w:t>
                  </w:r>
                </w:p>
              </w:tc>
            </w:tr>
            <w:tr w:rsidR="00490255" w:rsidRPr="006822D7" w14:paraId="5BE0E84A" w14:textId="77777777" w:rsidTr="008F2110">
              <w:trPr>
                <w:trHeight w:val="256"/>
              </w:trPr>
              <w:tc>
                <w:tcPr>
                  <w:tcW w:w="1812" w:type="dxa"/>
                  <w:shd w:val="clear" w:color="auto" w:fill="auto"/>
                  <w:vAlign w:val="center"/>
                  <w:hideMark/>
                </w:tcPr>
                <w:p w14:paraId="1716C3F7"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Investície firiem</w:t>
                  </w:r>
                </w:p>
              </w:tc>
              <w:tc>
                <w:tcPr>
                  <w:tcW w:w="1017" w:type="dxa"/>
                  <w:shd w:val="clear" w:color="auto" w:fill="auto"/>
                  <w:vAlign w:val="center"/>
                  <w:hideMark/>
                </w:tcPr>
                <w:p w14:paraId="5F688BBB"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0</w:t>
                  </w:r>
                </w:p>
              </w:tc>
              <w:tc>
                <w:tcPr>
                  <w:tcW w:w="1017" w:type="dxa"/>
                  <w:shd w:val="clear" w:color="auto" w:fill="auto"/>
                  <w:vAlign w:val="center"/>
                  <w:hideMark/>
                </w:tcPr>
                <w:p w14:paraId="48C57D31"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225</w:t>
                  </w:r>
                </w:p>
              </w:tc>
              <w:tc>
                <w:tcPr>
                  <w:tcW w:w="1017" w:type="dxa"/>
                  <w:shd w:val="clear" w:color="auto" w:fill="auto"/>
                  <w:vAlign w:val="center"/>
                  <w:hideMark/>
                </w:tcPr>
                <w:p w14:paraId="5B60AF18"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211</w:t>
                  </w:r>
                </w:p>
              </w:tc>
              <w:tc>
                <w:tcPr>
                  <w:tcW w:w="1017" w:type="dxa"/>
                  <w:shd w:val="clear" w:color="auto" w:fill="auto"/>
                  <w:vAlign w:val="center"/>
                  <w:hideMark/>
                </w:tcPr>
                <w:p w14:paraId="272A13F2"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189</w:t>
                  </w:r>
                </w:p>
              </w:tc>
              <w:tc>
                <w:tcPr>
                  <w:tcW w:w="1017" w:type="dxa"/>
                  <w:shd w:val="clear" w:color="auto" w:fill="auto"/>
                  <w:vAlign w:val="center"/>
                  <w:hideMark/>
                </w:tcPr>
                <w:p w14:paraId="144BF7CB"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123</w:t>
                  </w:r>
                </w:p>
              </w:tc>
              <w:tc>
                <w:tcPr>
                  <w:tcW w:w="1017" w:type="dxa"/>
                  <w:shd w:val="clear" w:color="auto" w:fill="auto"/>
                  <w:vAlign w:val="center"/>
                  <w:hideMark/>
                </w:tcPr>
                <w:p w14:paraId="416DE829"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17</w:t>
                  </w:r>
                </w:p>
              </w:tc>
              <w:tc>
                <w:tcPr>
                  <w:tcW w:w="1017" w:type="dxa"/>
                  <w:shd w:val="clear" w:color="auto" w:fill="auto"/>
                  <w:vAlign w:val="center"/>
                  <w:hideMark/>
                </w:tcPr>
                <w:p w14:paraId="30703653"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766</w:t>
                  </w:r>
                </w:p>
              </w:tc>
            </w:tr>
            <w:tr w:rsidR="00490255" w:rsidRPr="006822D7" w14:paraId="2347DA1E" w14:textId="77777777" w:rsidTr="008F2110">
              <w:trPr>
                <w:trHeight w:val="256"/>
              </w:trPr>
              <w:tc>
                <w:tcPr>
                  <w:tcW w:w="1812" w:type="dxa"/>
                  <w:tcBorders>
                    <w:bottom w:val="single" w:sz="4" w:space="0" w:color="auto"/>
                  </w:tcBorders>
                  <w:shd w:val="clear" w:color="auto" w:fill="auto"/>
                  <w:vAlign w:val="center"/>
                  <w:hideMark/>
                </w:tcPr>
                <w:p w14:paraId="5E3C4C6D" w14:textId="77777777" w:rsidR="00490255" w:rsidRPr="00265543" w:rsidRDefault="00490255" w:rsidP="0033368C">
                  <w:pPr>
                    <w:framePr w:hSpace="142" w:wrap="around" w:vAnchor="text" w:hAnchor="margin" w:y="458"/>
                    <w:suppressOverlap/>
                    <w:rPr>
                      <w:rFonts w:cs="Calibri"/>
                      <w:color w:val="000000"/>
                      <w:sz w:val="20"/>
                      <w:szCs w:val="20"/>
                    </w:rPr>
                  </w:pPr>
                  <w:r w:rsidRPr="00265543">
                    <w:rPr>
                      <w:rFonts w:cs="Calibri"/>
                      <w:color w:val="000000"/>
                      <w:sz w:val="20"/>
                      <w:szCs w:val="20"/>
                    </w:rPr>
                    <w:t>Investície domácností</w:t>
                  </w:r>
                </w:p>
              </w:tc>
              <w:tc>
                <w:tcPr>
                  <w:tcW w:w="1017" w:type="dxa"/>
                  <w:tcBorders>
                    <w:bottom w:val="single" w:sz="4" w:space="0" w:color="auto"/>
                  </w:tcBorders>
                  <w:shd w:val="clear" w:color="auto" w:fill="auto"/>
                  <w:vAlign w:val="center"/>
                  <w:hideMark/>
                </w:tcPr>
                <w:p w14:paraId="4A4CE0DE"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0</w:t>
                  </w:r>
                </w:p>
              </w:tc>
              <w:tc>
                <w:tcPr>
                  <w:tcW w:w="1017" w:type="dxa"/>
                  <w:tcBorders>
                    <w:bottom w:val="single" w:sz="4" w:space="0" w:color="auto"/>
                  </w:tcBorders>
                  <w:shd w:val="clear" w:color="auto" w:fill="auto"/>
                  <w:vAlign w:val="center"/>
                  <w:hideMark/>
                </w:tcPr>
                <w:p w14:paraId="025B7460"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63</w:t>
                  </w:r>
                </w:p>
              </w:tc>
              <w:tc>
                <w:tcPr>
                  <w:tcW w:w="1017" w:type="dxa"/>
                  <w:tcBorders>
                    <w:bottom w:val="single" w:sz="4" w:space="0" w:color="auto"/>
                  </w:tcBorders>
                  <w:shd w:val="clear" w:color="auto" w:fill="auto"/>
                  <w:vAlign w:val="center"/>
                  <w:hideMark/>
                </w:tcPr>
                <w:p w14:paraId="098C448B"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109</w:t>
                  </w:r>
                </w:p>
              </w:tc>
              <w:tc>
                <w:tcPr>
                  <w:tcW w:w="1017" w:type="dxa"/>
                  <w:tcBorders>
                    <w:bottom w:val="single" w:sz="4" w:space="0" w:color="auto"/>
                  </w:tcBorders>
                  <w:shd w:val="clear" w:color="auto" w:fill="auto"/>
                  <w:vAlign w:val="center"/>
                  <w:hideMark/>
                </w:tcPr>
                <w:p w14:paraId="652E4EC7"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112</w:t>
                  </w:r>
                </w:p>
              </w:tc>
              <w:tc>
                <w:tcPr>
                  <w:tcW w:w="1017" w:type="dxa"/>
                  <w:tcBorders>
                    <w:bottom w:val="single" w:sz="4" w:space="0" w:color="auto"/>
                  </w:tcBorders>
                  <w:shd w:val="clear" w:color="auto" w:fill="auto"/>
                  <w:vAlign w:val="center"/>
                  <w:hideMark/>
                </w:tcPr>
                <w:p w14:paraId="3C9127AA"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112</w:t>
                  </w:r>
                </w:p>
              </w:tc>
              <w:tc>
                <w:tcPr>
                  <w:tcW w:w="1017" w:type="dxa"/>
                  <w:tcBorders>
                    <w:bottom w:val="single" w:sz="4" w:space="0" w:color="auto"/>
                  </w:tcBorders>
                  <w:shd w:val="clear" w:color="auto" w:fill="auto"/>
                  <w:vAlign w:val="center"/>
                  <w:hideMark/>
                </w:tcPr>
                <w:p w14:paraId="27AB6739"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81</w:t>
                  </w:r>
                </w:p>
              </w:tc>
              <w:tc>
                <w:tcPr>
                  <w:tcW w:w="1017" w:type="dxa"/>
                  <w:tcBorders>
                    <w:bottom w:val="single" w:sz="4" w:space="0" w:color="auto"/>
                  </w:tcBorders>
                  <w:shd w:val="clear" w:color="auto" w:fill="auto"/>
                  <w:vAlign w:val="center"/>
                  <w:hideMark/>
                </w:tcPr>
                <w:p w14:paraId="75A3AD9A" w14:textId="77777777" w:rsidR="00490255" w:rsidRPr="00265543" w:rsidRDefault="00490255" w:rsidP="0033368C">
                  <w:pPr>
                    <w:framePr w:hSpace="142" w:wrap="around" w:vAnchor="text" w:hAnchor="margin" w:y="458"/>
                    <w:suppressOverlap/>
                    <w:jc w:val="center"/>
                    <w:rPr>
                      <w:rFonts w:cs="Calibri"/>
                      <w:color w:val="000000"/>
                      <w:sz w:val="20"/>
                      <w:szCs w:val="20"/>
                    </w:rPr>
                  </w:pPr>
                  <w:r w:rsidRPr="00265543">
                    <w:rPr>
                      <w:rFonts w:cs="Calibri"/>
                      <w:color w:val="000000"/>
                      <w:sz w:val="20"/>
                      <w:szCs w:val="20"/>
                    </w:rPr>
                    <w:t>477</w:t>
                  </w:r>
                </w:p>
              </w:tc>
            </w:tr>
          </w:tbl>
          <w:p w14:paraId="46650700" w14:textId="077D3061" w:rsidR="00873D3A" w:rsidRPr="00873D3A" w:rsidRDefault="00CE6256" w:rsidP="00873D3A">
            <w:pPr>
              <w:jc w:val="both"/>
              <w:rPr>
                <w:rFonts w:cs="Calibri"/>
                <w:color w:val="1F497D"/>
              </w:rPr>
            </w:pPr>
            <w:r w:rsidRPr="001F2DD1">
              <w:rPr>
                <w:rFonts w:eastAsiaTheme="minorHAnsi" w:cs="Times New Roman"/>
                <w:i/>
                <w:sz w:val="16"/>
                <w:szCs w:val="20"/>
                <w:lang w:eastAsia="en-US"/>
              </w:rPr>
              <w:t>Po</w:t>
            </w:r>
            <w:r>
              <w:rPr>
                <w:rFonts w:eastAsiaTheme="minorHAnsi" w:cs="Times New Roman"/>
                <w:i/>
                <w:sz w:val="16"/>
                <w:szCs w:val="20"/>
                <w:lang w:eastAsia="en-US"/>
              </w:rPr>
              <w:t xml:space="preserve">zn.: </w:t>
            </w:r>
            <w:r w:rsidR="00873D3A">
              <w:t xml:space="preserve"> </w:t>
            </w:r>
            <w:r w:rsidR="00873D3A" w:rsidRPr="00873D3A">
              <w:rPr>
                <w:i/>
                <w:sz w:val="16"/>
                <w:szCs w:val="16"/>
              </w:rPr>
              <w:t>Prognóza MF SR pracuje s údajmi o alokáciách Plánu obnovy a odolnosti, ktoré sú v súlade s kľúčom o prerozdeľovaní prostriedkov medzi krajinami. Predpokladaná alokácia nepočíta s nesplnením vopred dohodnutých míľnikov, ktoré sú podmienkou pre čerpanie peňazí z tohto nástroja. Makroekonomická prognóza a rozpočet v Programe stability vychádzajú z rozdielnych predpokladov o čerpaní EÚ fondov. Rozpočet uvažuje s vyčerpaním celej sumy do konca roka 2023 (cca polovica celkovej dostupnej alokácie). Makroekonomická prognóza očakáva presunutie časti čerpania aj do roku 2024 (cca 0,7 mld. EUR) a prepadnutie časti zdrojov (cca 0,4 mld. EUR).</w:t>
            </w:r>
          </w:p>
          <w:p w14:paraId="7FF229FF" w14:textId="0B047E11" w:rsidR="008F2110" w:rsidRDefault="00CE6256" w:rsidP="00873D3A">
            <w:pPr>
              <w:rPr>
                <w:i/>
                <w:sz w:val="16"/>
              </w:rPr>
            </w:pPr>
            <w:r>
              <w:rPr>
                <w:rFonts w:eastAsiaTheme="minorHAnsi" w:cs="Times New Roman"/>
                <w:i/>
                <w:sz w:val="16"/>
                <w:szCs w:val="20"/>
                <w:lang w:eastAsia="en-US"/>
              </w:rPr>
              <w:t>Celkový objem výdavkov 6,23</w:t>
            </w:r>
            <w:r w:rsidRPr="001F2DD1">
              <w:rPr>
                <w:rFonts w:eastAsiaTheme="minorHAnsi" w:cs="Times New Roman"/>
                <w:i/>
                <w:sz w:val="16"/>
                <w:szCs w:val="20"/>
                <w:lang w:eastAsia="en-US"/>
              </w:rPr>
              <w:t xml:space="preserve"> mld. eur (bežné ceny) pre Plán obnovy vychádzal z predpokladov na začiatku marca 2022 a bol súčasťou marcovej makroprognózy</w:t>
            </w:r>
            <w:r>
              <w:rPr>
                <w:rFonts w:eastAsiaTheme="minorHAnsi" w:cs="Times New Roman"/>
                <w:i/>
                <w:sz w:val="16"/>
                <w:szCs w:val="20"/>
                <w:lang w:eastAsia="en-US"/>
              </w:rPr>
              <w:t>.</w:t>
            </w:r>
            <w:r>
              <w:rPr>
                <w:i/>
                <w:sz w:val="16"/>
              </w:rPr>
              <w:t xml:space="preserve">                                                                                                                                                                                                     </w:t>
            </w:r>
            <w:r w:rsidR="00490255" w:rsidRPr="009309FE">
              <w:rPr>
                <w:i/>
                <w:sz w:val="16"/>
              </w:rPr>
              <w:t>Zdroj: MF SR</w:t>
            </w:r>
          </w:p>
          <w:p w14:paraId="16877D67" w14:textId="6CCCE572" w:rsidR="00490255" w:rsidRPr="00265543" w:rsidRDefault="00490255" w:rsidP="00636109">
            <w:pPr>
              <w:rPr>
                <w:rFonts w:cs="Calibri"/>
                <w:color w:val="000000"/>
                <w:sz w:val="18"/>
                <w:szCs w:val="18"/>
              </w:rPr>
            </w:pPr>
          </w:p>
          <w:p w14:paraId="44375245" w14:textId="26DA2ECB" w:rsidR="00490255" w:rsidRDefault="00490255" w:rsidP="000E4D54">
            <w:pPr>
              <w:pStyle w:val="Odsek"/>
              <w:spacing w:after="0" w:line="259" w:lineRule="auto"/>
              <w:rPr>
                <w:rFonts w:eastAsiaTheme="minorHAnsi" w:cs="Times New Roman"/>
                <w:sz w:val="20"/>
                <w:szCs w:val="20"/>
                <w:highlight w:val="yellow"/>
                <w:lang w:eastAsia="en-US"/>
              </w:rPr>
            </w:pPr>
          </w:p>
          <w:p w14:paraId="1B41F811" w14:textId="73ECA041" w:rsidR="00FA1A55" w:rsidRDefault="00FA1A55" w:rsidP="000E4D54">
            <w:pPr>
              <w:pStyle w:val="Odsek"/>
              <w:spacing w:after="0" w:line="259" w:lineRule="auto"/>
              <w:rPr>
                <w:rFonts w:eastAsiaTheme="minorHAnsi" w:cs="Times New Roman"/>
                <w:sz w:val="20"/>
                <w:szCs w:val="20"/>
                <w:highlight w:val="yellow"/>
                <w:lang w:eastAsia="en-US"/>
              </w:rPr>
            </w:pPr>
          </w:p>
          <w:p w14:paraId="57CCCFF4" w14:textId="6578C35F" w:rsidR="00FA1A55" w:rsidRDefault="00FA1A55" w:rsidP="000E4D54">
            <w:pPr>
              <w:pStyle w:val="Odsek"/>
              <w:spacing w:after="0" w:line="259" w:lineRule="auto"/>
              <w:rPr>
                <w:rFonts w:eastAsiaTheme="minorHAnsi" w:cs="Times New Roman"/>
                <w:sz w:val="20"/>
                <w:szCs w:val="20"/>
                <w:highlight w:val="yellow"/>
                <w:lang w:eastAsia="en-US"/>
              </w:rPr>
            </w:pPr>
          </w:p>
          <w:p w14:paraId="64EBEF5F" w14:textId="5E09D7CC" w:rsidR="00FA1A55" w:rsidRDefault="00FA1A55" w:rsidP="000E4D54">
            <w:pPr>
              <w:pStyle w:val="Odsek"/>
              <w:spacing w:after="0" w:line="259" w:lineRule="auto"/>
              <w:rPr>
                <w:rFonts w:eastAsiaTheme="minorHAnsi" w:cs="Times New Roman"/>
                <w:sz w:val="20"/>
                <w:szCs w:val="20"/>
                <w:highlight w:val="yellow"/>
                <w:lang w:eastAsia="en-US"/>
              </w:rPr>
            </w:pPr>
          </w:p>
          <w:p w14:paraId="3AA89A48" w14:textId="3E553F4A" w:rsidR="00FA1A55" w:rsidRDefault="00FA1A55" w:rsidP="000E4D54">
            <w:pPr>
              <w:pStyle w:val="Odsek"/>
              <w:spacing w:after="0" w:line="259" w:lineRule="auto"/>
              <w:rPr>
                <w:rFonts w:eastAsiaTheme="minorHAnsi" w:cs="Times New Roman"/>
                <w:sz w:val="20"/>
                <w:szCs w:val="20"/>
                <w:highlight w:val="yellow"/>
                <w:lang w:eastAsia="en-US"/>
              </w:rPr>
            </w:pPr>
          </w:p>
          <w:p w14:paraId="6769D990" w14:textId="309B9A4C" w:rsidR="00FA1A55" w:rsidRDefault="00FA1A55" w:rsidP="000E4D54">
            <w:pPr>
              <w:pStyle w:val="Odsek"/>
              <w:spacing w:after="0" w:line="259" w:lineRule="auto"/>
              <w:rPr>
                <w:rFonts w:eastAsiaTheme="minorHAnsi" w:cs="Times New Roman"/>
                <w:sz w:val="20"/>
                <w:szCs w:val="20"/>
                <w:highlight w:val="yellow"/>
                <w:lang w:eastAsia="en-US"/>
              </w:rPr>
            </w:pPr>
          </w:p>
          <w:p w14:paraId="5C7B1021" w14:textId="77777777" w:rsidR="00FA1A55" w:rsidRPr="000F7810" w:rsidRDefault="00FA1A55" w:rsidP="000E4D54">
            <w:pPr>
              <w:pStyle w:val="Odsek"/>
              <w:spacing w:after="0" w:line="259" w:lineRule="auto"/>
              <w:rPr>
                <w:rFonts w:eastAsiaTheme="minorHAnsi" w:cs="Times New Roman"/>
                <w:sz w:val="20"/>
                <w:szCs w:val="20"/>
                <w:highlight w:val="yellow"/>
                <w:lang w:eastAsia="en-US"/>
              </w:rPr>
            </w:pPr>
          </w:p>
          <w:p w14:paraId="195C0A0B" w14:textId="1053F15B" w:rsidR="00490255" w:rsidRPr="008F4E8A" w:rsidRDefault="00490255" w:rsidP="000E4D54">
            <w:pPr>
              <w:pStyle w:val="Popis"/>
              <w:spacing w:before="60" w:after="60"/>
              <w:jc w:val="both"/>
              <w:rPr>
                <w:rFonts w:eastAsiaTheme="minorHAnsi"/>
                <w:sz w:val="20"/>
                <w:szCs w:val="20"/>
                <w:lang w:eastAsia="en-US"/>
              </w:rPr>
            </w:pPr>
            <w:bookmarkStart w:id="51" w:name="_Toc101881926"/>
            <w:r w:rsidRPr="008F4E8A">
              <w:rPr>
                <w:rFonts w:eastAsiaTheme="minorHAnsi"/>
                <w:color w:val="2C9ADC"/>
                <w:sz w:val="20"/>
                <w:szCs w:val="20"/>
                <w:lang w:eastAsia="en-US"/>
              </w:rPr>
              <w:t xml:space="preserve">GRAF </w:t>
            </w:r>
            <w:r w:rsidRPr="008F4E8A">
              <w:rPr>
                <w:rFonts w:eastAsiaTheme="minorHAnsi"/>
                <w:color w:val="2C9ADC"/>
                <w:sz w:val="20"/>
                <w:szCs w:val="20"/>
                <w:lang w:eastAsia="en-US"/>
              </w:rPr>
              <w:fldChar w:fldCharType="begin"/>
            </w:r>
            <w:r w:rsidRPr="008F4E8A">
              <w:rPr>
                <w:rFonts w:eastAsiaTheme="minorHAnsi"/>
                <w:color w:val="2C9ADC"/>
                <w:sz w:val="20"/>
                <w:szCs w:val="20"/>
                <w:lang w:eastAsia="en-US"/>
              </w:rPr>
              <w:instrText xml:space="preserve"> SEQ GRAF \* ARABIC </w:instrText>
            </w:r>
            <w:r w:rsidRPr="008F4E8A">
              <w:rPr>
                <w:rFonts w:eastAsiaTheme="minorHAnsi"/>
                <w:color w:val="2C9ADC"/>
                <w:sz w:val="20"/>
                <w:szCs w:val="20"/>
                <w:lang w:eastAsia="en-US"/>
              </w:rPr>
              <w:fldChar w:fldCharType="separate"/>
            </w:r>
            <w:r w:rsidR="005D3280">
              <w:rPr>
                <w:rFonts w:eastAsiaTheme="minorHAnsi"/>
                <w:noProof/>
                <w:color w:val="2C9ADC"/>
                <w:sz w:val="20"/>
                <w:szCs w:val="20"/>
                <w:lang w:eastAsia="en-US"/>
              </w:rPr>
              <w:t>2</w:t>
            </w:r>
            <w:r w:rsidRPr="008F4E8A">
              <w:rPr>
                <w:rFonts w:eastAsiaTheme="minorHAnsi"/>
                <w:color w:val="2C9ADC"/>
                <w:sz w:val="20"/>
                <w:szCs w:val="20"/>
                <w:lang w:eastAsia="en-US"/>
              </w:rPr>
              <w:fldChar w:fldCharType="end"/>
            </w:r>
            <w:r w:rsidRPr="008F4E8A">
              <w:rPr>
                <w:rFonts w:eastAsiaTheme="minorHAnsi"/>
                <w:color w:val="2C9ADC"/>
                <w:sz w:val="20"/>
                <w:szCs w:val="20"/>
                <w:lang w:eastAsia="en-US"/>
              </w:rPr>
              <w:t xml:space="preserve"> – </w:t>
            </w:r>
            <w:r>
              <w:rPr>
                <w:rFonts w:eastAsiaTheme="minorHAnsi"/>
                <w:sz w:val="20"/>
                <w:szCs w:val="20"/>
                <w:lang w:eastAsia="en-US"/>
              </w:rPr>
              <w:t>Investície zo zdrojov EÚ</w:t>
            </w:r>
            <w:r w:rsidRPr="008F4E8A">
              <w:rPr>
                <w:rFonts w:eastAsiaTheme="minorHAnsi"/>
                <w:sz w:val="20"/>
                <w:szCs w:val="20"/>
                <w:lang w:eastAsia="en-US"/>
              </w:rPr>
              <w:t xml:space="preserve"> (b.c., mld. eur)</w:t>
            </w:r>
            <w:bookmarkEnd w:id="51"/>
          </w:p>
          <w:p w14:paraId="7AFA0DD3" w14:textId="77777777" w:rsidR="00490255" w:rsidRDefault="00490255" w:rsidP="000E4D54">
            <w:pPr>
              <w:spacing w:after="240"/>
              <w:ind w:left="351"/>
              <w:rPr>
                <w:rFonts w:cs="Times New Roman"/>
                <w:sz w:val="20"/>
                <w:szCs w:val="20"/>
                <w:highlight w:val="yellow"/>
              </w:rPr>
            </w:pPr>
            <w:r>
              <w:rPr>
                <w:noProof/>
              </w:rPr>
              <w:drawing>
                <wp:inline distT="0" distB="0" distL="0" distR="0" wp14:anchorId="50543BAF" wp14:editId="4A829C0A">
                  <wp:extent cx="5259070" cy="1568496"/>
                  <wp:effectExtent l="0" t="0" r="0" b="0"/>
                  <wp:docPr id="53" name="Graf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8822" w:type="dxa"/>
              <w:tblLayout w:type="fixed"/>
              <w:tblCellMar>
                <w:left w:w="70" w:type="dxa"/>
                <w:right w:w="70" w:type="dxa"/>
              </w:tblCellMar>
              <w:tblLook w:val="04A0" w:firstRow="1" w:lastRow="0" w:firstColumn="1" w:lastColumn="0" w:noHBand="0" w:noVBand="1"/>
            </w:tblPr>
            <w:tblGrid>
              <w:gridCol w:w="8822"/>
            </w:tblGrid>
            <w:tr w:rsidR="00490255" w:rsidRPr="006729DA" w14:paraId="786DAB29" w14:textId="77777777" w:rsidTr="000E4D54">
              <w:trPr>
                <w:trHeight w:val="253"/>
              </w:trPr>
              <w:tc>
                <w:tcPr>
                  <w:tcW w:w="5746" w:type="dxa"/>
                  <w:tcBorders>
                    <w:top w:val="single" w:sz="4" w:space="0" w:color="auto"/>
                    <w:left w:val="nil"/>
                    <w:right w:val="nil"/>
                  </w:tcBorders>
                  <w:shd w:val="clear" w:color="auto" w:fill="auto"/>
                  <w:noWrap/>
                </w:tcPr>
                <w:p w14:paraId="65F162F1" w14:textId="77777777" w:rsidR="00490255" w:rsidRPr="006729DA" w:rsidRDefault="00490255" w:rsidP="0033368C">
                  <w:pPr>
                    <w:framePr w:hSpace="142" w:wrap="around" w:vAnchor="text" w:hAnchor="margin" w:y="458"/>
                    <w:spacing w:before="40"/>
                    <w:suppressOverlap/>
                    <w:jc w:val="right"/>
                    <w:rPr>
                      <w:rFonts w:cs="Times New Roman"/>
                      <w:color w:val="000000"/>
                      <w:sz w:val="16"/>
                      <w:szCs w:val="16"/>
                    </w:rPr>
                  </w:pPr>
                  <w:r w:rsidRPr="0090733D">
                    <w:rPr>
                      <w:rFonts w:cs="Times New Roman"/>
                      <w:sz w:val="20"/>
                      <w:szCs w:val="20"/>
                    </w:rPr>
                    <w:tab/>
                  </w:r>
                  <w:r w:rsidRPr="006729DA">
                    <w:rPr>
                      <w:rFonts w:cs="Times New Roman"/>
                      <w:i/>
                      <w:sz w:val="16"/>
                      <w:szCs w:val="16"/>
                    </w:rPr>
                    <w:t>Zdroj: MF SR</w:t>
                  </w:r>
                </w:p>
              </w:tc>
            </w:tr>
          </w:tbl>
          <w:p w14:paraId="646CD2ED" w14:textId="25BBB996" w:rsidR="00490255" w:rsidRPr="00B64FCD" w:rsidRDefault="00B64FCD" w:rsidP="000E4D54">
            <w:pPr>
              <w:spacing w:after="240"/>
              <w:jc w:val="both"/>
              <w:rPr>
                <w:rFonts w:cs="Times New Roman"/>
                <w:highlight w:val="yellow"/>
              </w:rPr>
            </w:pPr>
            <w:r>
              <w:rPr>
                <w:rFonts w:cs="Times New Roman"/>
                <w:b/>
                <w:sz w:val="20"/>
                <w:szCs w:val="20"/>
              </w:rPr>
              <w:br/>
            </w:r>
            <w:r w:rsidR="00490255" w:rsidRPr="00B64FCD">
              <w:rPr>
                <w:rFonts w:cs="Times New Roman"/>
                <w:b/>
              </w:rPr>
              <w:t>Prostriedky z Plánu obnovy a odolnosti zvýšia do roku 2026 HDP Slovenska o 2,7 % a zamestnanosť o 0,8 %.</w:t>
            </w:r>
            <w:r w:rsidR="00490255" w:rsidRPr="00B64FCD">
              <w:rPr>
                <w:rFonts w:cs="Times New Roman"/>
              </w:rPr>
              <w:t xml:space="preserve"> Vplyv na HDP dosiahne svoj vrchol v roku 2025 a podporí ho najmä tvorba fixného kapitálu a vyššia produktivita výrobných faktorov. Investície by mali byť v roku 2024 vďaka prostriedkom z Plánu obnovy a odolnosti o 8,5 % vyššie (</w:t>
            </w:r>
            <w:r w:rsidR="00490255" w:rsidRPr="00B64FCD">
              <w:rPr>
                <w:rFonts w:cs="Times New Roman"/>
                <w:b/>
                <w:color w:val="2C9ADC" w:themeColor="accent1"/>
              </w:rPr>
              <w:t xml:space="preserve">GRAF </w:t>
            </w:r>
            <w:r w:rsidR="00CC29D0">
              <w:rPr>
                <w:rFonts w:cs="Times New Roman"/>
                <w:b/>
                <w:color w:val="2C9ADC" w:themeColor="accent1"/>
              </w:rPr>
              <w:t>2</w:t>
            </w:r>
            <w:r w:rsidR="00490255" w:rsidRPr="00B64FCD">
              <w:rPr>
                <w:rFonts w:cs="Times New Roman"/>
              </w:rPr>
              <w:t>). Trh práce bude na stimul reagovať s miernym oneskorením a vrchol efektu dosiahne v roku 2025, kedy bude zamestnanosť o 1,1 % vyššia. Ekonomické vplyvy prezentované v </w:t>
            </w:r>
            <w:r w:rsidR="00490255" w:rsidRPr="00B64FCD">
              <w:rPr>
                <w:rFonts w:cs="Times New Roman"/>
                <w:b/>
                <w:color w:val="2C9ADC" w:themeColor="accent1"/>
              </w:rPr>
              <w:t>TABUĽKE 3</w:t>
            </w:r>
            <w:r w:rsidR="00490255" w:rsidRPr="00B64FCD">
              <w:rPr>
                <w:rFonts w:cs="Times New Roman"/>
              </w:rPr>
              <w:t xml:space="preserve"> a </w:t>
            </w:r>
            <w:r w:rsidR="00490255" w:rsidRPr="00B64FCD">
              <w:rPr>
                <w:rFonts w:cs="Times New Roman"/>
                <w:b/>
                <w:color w:val="2C9ADC" w:themeColor="accent1"/>
              </w:rPr>
              <w:t xml:space="preserve">GRAFOCH </w:t>
            </w:r>
            <w:r w:rsidR="006339F5">
              <w:rPr>
                <w:rFonts w:cs="Times New Roman"/>
                <w:b/>
                <w:color w:val="2C9ADC" w:themeColor="accent1"/>
              </w:rPr>
              <w:t>3</w:t>
            </w:r>
            <w:r w:rsidR="00490255" w:rsidRPr="00B64FCD">
              <w:rPr>
                <w:rFonts w:cs="Times New Roman"/>
                <w:b/>
                <w:color w:val="2C9ADC" w:themeColor="accent1"/>
              </w:rPr>
              <w:t xml:space="preserve"> </w:t>
            </w:r>
            <w:r w:rsidR="00490255" w:rsidRPr="00B64FCD">
              <w:rPr>
                <w:rFonts w:cs="Times New Roman"/>
              </w:rPr>
              <w:t>a</w:t>
            </w:r>
            <w:r w:rsidR="00490255" w:rsidRPr="00B64FCD">
              <w:rPr>
                <w:rFonts w:cs="Times New Roman"/>
                <w:b/>
                <w:color w:val="2C9ADC" w:themeColor="accent1"/>
              </w:rPr>
              <w:t xml:space="preserve"> </w:t>
            </w:r>
            <w:r w:rsidR="006339F5">
              <w:rPr>
                <w:rFonts w:cs="Times New Roman"/>
                <w:b/>
                <w:color w:val="2C9ADC" w:themeColor="accent1"/>
              </w:rPr>
              <w:t>4</w:t>
            </w:r>
            <w:r w:rsidR="00490255" w:rsidRPr="00B64FCD">
              <w:rPr>
                <w:rFonts w:cs="Times New Roman"/>
                <w:b/>
                <w:color w:val="2C9ADC" w:themeColor="accent1"/>
              </w:rPr>
              <w:t xml:space="preserve"> </w:t>
            </w:r>
            <w:r w:rsidR="00490255" w:rsidRPr="00B64FCD">
              <w:rPr>
                <w:rFonts w:cs="Times New Roman"/>
              </w:rPr>
              <w:t xml:space="preserve">sú odhadnuté prognostickým modelom a abstrahujú od pozitívnych vplyvov štrukturálnych reforiem, ktoré sú súčasťou Plánu obnovy a odolnosti. </w:t>
            </w:r>
          </w:p>
          <w:p w14:paraId="3DE4B80C" w14:textId="3F136636" w:rsidR="00490255" w:rsidRPr="00530FC0" w:rsidRDefault="00490255" w:rsidP="000E4D54">
            <w:pPr>
              <w:pStyle w:val="Popis"/>
              <w:spacing w:before="60" w:after="60"/>
              <w:rPr>
                <w:rFonts w:eastAsiaTheme="minorHAnsi"/>
                <w:sz w:val="20"/>
                <w:szCs w:val="20"/>
                <w:lang w:eastAsia="en-US"/>
              </w:rPr>
            </w:pPr>
            <w:bookmarkStart w:id="52" w:name="_Toc101880682"/>
            <w:r w:rsidRPr="00530FC0">
              <w:rPr>
                <w:rFonts w:eastAsiaTheme="minorHAnsi"/>
                <w:sz w:val="20"/>
                <w:szCs w:val="20"/>
                <w:lang w:eastAsia="en-US"/>
              </w:rPr>
              <w:t xml:space="preserve">TABUĽKA </w:t>
            </w:r>
            <w:r w:rsidRPr="00530FC0">
              <w:rPr>
                <w:rFonts w:eastAsiaTheme="minorHAnsi"/>
                <w:sz w:val="20"/>
                <w:szCs w:val="20"/>
                <w:lang w:eastAsia="en-US"/>
              </w:rPr>
              <w:fldChar w:fldCharType="begin"/>
            </w:r>
            <w:r w:rsidRPr="00530FC0">
              <w:rPr>
                <w:rFonts w:eastAsiaTheme="minorHAnsi"/>
                <w:sz w:val="20"/>
                <w:szCs w:val="20"/>
                <w:lang w:eastAsia="en-US"/>
              </w:rPr>
              <w:instrText xml:space="preserve"> SEQ TABUĽKA \* ARABIC </w:instrText>
            </w:r>
            <w:r w:rsidRPr="00530FC0">
              <w:rPr>
                <w:rFonts w:eastAsiaTheme="minorHAnsi"/>
                <w:sz w:val="20"/>
                <w:szCs w:val="20"/>
                <w:lang w:eastAsia="en-US"/>
              </w:rPr>
              <w:fldChar w:fldCharType="separate"/>
            </w:r>
            <w:r w:rsidR="005D3280">
              <w:rPr>
                <w:rFonts w:eastAsiaTheme="minorHAnsi"/>
                <w:noProof/>
                <w:sz w:val="20"/>
                <w:szCs w:val="20"/>
                <w:lang w:eastAsia="en-US"/>
              </w:rPr>
              <w:t>3</w:t>
            </w:r>
            <w:r w:rsidRPr="00530FC0">
              <w:rPr>
                <w:rFonts w:eastAsiaTheme="minorHAnsi"/>
                <w:sz w:val="20"/>
                <w:szCs w:val="20"/>
                <w:lang w:eastAsia="en-US"/>
              </w:rPr>
              <w:fldChar w:fldCharType="end"/>
            </w:r>
            <w:r w:rsidRPr="00530FC0">
              <w:rPr>
                <w:rFonts w:eastAsiaTheme="minorHAnsi"/>
                <w:sz w:val="20"/>
                <w:szCs w:val="20"/>
                <w:lang w:eastAsia="en-US"/>
              </w:rPr>
              <w:t xml:space="preserve"> – Vplyvy realizácie Plánu obnovy a odolnosti SR zahrnuté v prognóze</w:t>
            </w:r>
            <w:bookmarkEnd w:id="52"/>
          </w:p>
          <w:tbl>
            <w:tblPr>
              <w:tblW w:w="8822" w:type="dxa"/>
              <w:tblLayout w:type="fixed"/>
              <w:tblCellMar>
                <w:left w:w="70" w:type="dxa"/>
                <w:right w:w="70" w:type="dxa"/>
              </w:tblCellMar>
              <w:tblLook w:val="04A0" w:firstRow="1" w:lastRow="0" w:firstColumn="1" w:lastColumn="0" w:noHBand="0" w:noVBand="1"/>
            </w:tblPr>
            <w:tblGrid>
              <w:gridCol w:w="1005"/>
              <w:gridCol w:w="2071"/>
              <w:gridCol w:w="2249"/>
              <w:gridCol w:w="3497"/>
            </w:tblGrid>
            <w:tr w:rsidR="00490255" w:rsidRPr="0090733D" w14:paraId="578B86CE" w14:textId="77777777" w:rsidTr="000E4D54">
              <w:trPr>
                <w:trHeight w:val="253"/>
              </w:trPr>
              <w:tc>
                <w:tcPr>
                  <w:tcW w:w="8822" w:type="dxa"/>
                  <w:gridSpan w:val="4"/>
                  <w:tcBorders>
                    <w:top w:val="single" w:sz="4" w:space="0" w:color="auto"/>
                    <w:left w:val="nil"/>
                    <w:bottom w:val="single" w:sz="4" w:space="0" w:color="auto"/>
                    <w:right w:val="nil"/>
                  </w:tcBorders>
                  <w:shd w:val="clear" w:color="auto" w:fill="auto"/>
                  <w:vAlign w:val="center"/>
                  <w:hideMark/>
                </w:tcPr>
                <w:p w14:paraId="0A75780F" w14:textId="77777777" w:rsidR="00490255" w:rsidRPr="004B1DF6" w:rsidRDefault="00490255" w:rsidP="0033368C">
                  <w:pPr>
                    <w:framePr w:hSpace="142" w:wrap="around" w:vAnchor="text" w:hAnchor="margin" w:y="458"/>
                    <w:suppressOverlap/>
                    <w:rPr>
                      <w:rFonts w:cs="Times New Roman"/>
                      <w:color w:val="000000"/>
                      <w:sz w:val="20"/>
                      <w:szCs w:val="20"/>
                    </w:rPr>
                  </w:pPr>
                  <w:r w:rsidRPr="004B1DF6">
                    <w:rPr>
                      <w:rFonts w:cs="Times New Roman"/>
                      <w:color w:val="000000"/>
                      <w:sz w:val="20"/>
                      <w:szCs w:val="20"/>
                    </w:rPr>
                    <w:t>Zmena hodnoty jednotlivých premenných oproti vývoju bez plánu obnovy (v %)</w:t>
                  </w:r>
                </w:p>
              </w:tc>
            </w:tr>
            <w:tr w:rsidR="00490255" w:rsidRPr="0090733D" w14:paraId="6FAF3E8F" w14:textId="77777777" w:rsidTr="000E4D54">
              <w:trPr>
                <w:trHeight w:val="253"/>
              </w:trPr>
              <w:tc>
                <w:tcPr>
                  <w:tcW w:w="1005" w:type="dxa"/>
                  <w:tcBorders>
                    <w:top w:val="single" w:sz="4" w:space="0" w:color="auto"/>
                    <w:left w:val="nil"/>
                    <w:bottom w:val="single" w:sz="4" w:space="0" w:color="auto"/>
                    <w:right w:val="nil"/>
                  </w:tcBorders>
                  <w:shd w:val="clear" w:color="auto" w:fill="auto"/>
                  <w:noWrap/>
                  <w:vAlign w:val="bottom"/>
                  <w:hideMark/>
                </w:tcPr>
                <w:p w14:paraId="1EBF5EE3" w14:textId="77777777" w:rsidR="00490255" w:rsidRPr="004B1DF6" w:rsidRDefault="00490255" w:rsidP="0033368C">
                  <w:pPr>
                    <w:framePr w:hSpace="142" w:wrap="around" w:vAnchor="text" w:hAnchor="margin" w:y="458"/>
                    <w:suppressOverlap/>
                    <w:jc w:val="center"/>
                    <w:rPr>
                      <w:rFonts w:cs="Times New Roman"/>
                      <w:color w:val="000000"/>
                      <w:sz w:val="20"/>
                      <w:szCs w:val="20"/>
                    </w:rPr>
                  </w:pPr>
                </w:p>
              </w:tc>
              <w:tc>
                <w:tcPr>
                  <w:tcW w:w="2071" w:type="dxa"/>
                  <w:tcBorders>
                    <w:top w:val="single" w:sz="4" w:space="0" w:color="auto"/>
                    <w:left w:val="nil"/>
                    <w:bottom w:val="single" w:sz="4" w:space="0" w:color="auto"/>
                    <w:right w:val="nil"/>
                  </w:tcBorders>
                  <w:shd w:val="clear" w:color="auto" w:fill="auto"/>
                  <w:vAlign w:val="center"/>
                  <w:hideMark/>
                </w:tcPr>
                <w:p w14:paraId="2EA7D9F9" w14:textId="77777777" w:rsidR="00490255" w:rsidRPr="004B1DF6" w:rsidRDefault="00490255" w:rsidP="0033368C">
                  <w:pPr>
                    <w:framePr w:hSpace="142" w:wrap="around" w:vAnchor="text" w:hAnchor="margin" w:y="458"/>
                    <w:suppressOverlap/>
                    <w:jc w:val="center"/>
                    <w:rPr>
                      <w:rFonts w:cs="Times New Roman"/>
                      <w:b/>
                      <w:bCs/>
                      <w:color w:val="000000"/>
                      <w:sz w:val="20"/>
                      <w:szCs w:val="20"/>
                    </w:rPr>
                  </w:pPr>
                  <w:r w:rsidRPr="004B1DF6">
                    <w:rPr>
                      <w:rFonts w:cs="Times New Roman"/>
                      <w:b/>
                      <w:bCs/>
                      <w:color w:val="000000"/>
                      <w:sz w:val="20"/>
                      <w:szCs w:val="20"/>
                    </w:rPr>
                    <w:t>Reálne HDP</w:t>
                  </w:r>
                </w:p>
              </w:tc>
              <w:tc>
                <w:tcPr>
                  <w:tcW w:w="2249" w:type="dxa"/>
                  <w:tcBorders>
                    <w:top w:val="single" w:sz="4" w:space="0" w:color="auto"/>
                    <w:left w:val="nil"/>
                    <w:bottom w:val="single" w:sz="4" w:space="0" w:color="auto"/>
                    <w:right w:val="nil"/>
                  </w:tcBorders>
                  <w:shd w:val="clear" w:color="auto" w:fill="auto"/>
                  <w:vAlign w:val="center"/>
                  <w:hideMark/>
                </w:tcPr>
                <w:p w14:paraId="7861DF13" w14:textId="77777777" w:rsidR="00490255" w:rsidRPr="004B1DF6" w:rsidRDefault="00490255" w:rsidP="0033368C">
                  <w:pPr>
                    <w:framePr w:hSpace="142" w:wrap="around" w:vAnchor="text" w:hAnchor="margin" w:y="458"/>
                    <w:suppressOverlap/>
                    <w:jc w:val="center"/>
                    <w:rPr>
                      <w:rFonts w:cs="Times New Roman"/>
                      <w:b/>
                      <w:bCs/>
                      <w:color w:val="000000"/>
                      <w:sz w:val="20"/>
                      <w:szCs w:val="20"/>
                    </w:rPr>
                  </w:pPr>
                  <w:r w:rsidRPr="004B1DF6">
                    <w:rPr>
                      <w:rFonts w:cs="Times New Roman"/>
                      <w:b/>
                      <w:bCs/>
                      <w:color w:val="000000"/>
                      <w:sz w:val="20"/>
                      <w:szCs w:val="20"/>
                    </w:rPr>
                    <w:t>Reálne investície</w:t>
                  </w:r>
                </w:p>
              </w:tc>
              <w:tc>
                <w:tcPr>
                  <w:tcW w:w="3497" w:type="dxa"/>
                  <w:tcBorders>
                    <w:top w:val="single" w:sz="4" w:space="0" w:color="auto"/>
                    <w:left w:val="nil"/>
                    <w:bottom w:val="single" w:sz="4" w:space="0" w:color="auto"/>
                    <w:right w:val="nil"/>
                  </w:tcBorders>
                  <w:shd w:val="clear" w:color="auto" w:fill="auto"/>
                  <w:vAlign w:val="center"/>
                  <w:hideMark/>
                </w:tcPr>
                <w:p w14:paraId="5DB7CFE4" w14:textId="77777777" w:rsidR="00490255" w:rsidRPr="004B1DF6" w:rsidRDefault="00490255" w:rsidP="0033368C">
                  <w:pPr>
                    <w:framePr w:hSpace="142" w:wrap="around" w:vAnchor="text" w:hAnchor="margin" w:y="458"/>
                    <w:suppressOverlap/>
                    <w:jc w:val="center"/>
                    <w:rPr>
                      <w:rFonts w:cs="Times New Roman"/>
                      <w:b/>
                      <w:bCs/>
                      <w:color w:val="000000"/>
                      <w:sz w:val="20"/>
                      <w:szCs w:val="20"/>
                    </w:rPr>
                  </w:pPr>
                  <w:r w:rsidRPr="004B1DF6">
                    <w:rPr>
                      <w:rFonts w:cs="Times New Roman"/>
                      <w:b/>
                      <w:bCs/>
                      <w:color w:val="000000"/>
                      <w:sz w:val="20"/>
                      <w:szCs w:val="20"/>
                    </w:rPr>
                    <w:t>Celková zamestnanosť</w:t>
                  </w:r>
                </w:p>
              </w:tc>
            </w:tr>
            <w:tr w:rsidR="00490255" w:rsidRPr="0090733D" w14:paraId="3C06BE30" w14:textId="77777777" w:rsidTr="000E4D54">
              <w:trPr>
                <w:trHeight w:val="253"/>
              </w:trPr>
              <w:tc>
                <w:tcPr>
                  <w:tcW w:w="1005" w:type="dxa"/>
                  <w:tcBorders>
                    <w:top w:val="single" w:sz="4" w:space="0" w:color="auto"/>
                    <w:left w:val="nil"/>
                    <w:right w:val="nil"/>
                  </w:tcBorders>
                  <w:shd w:val="clear" w:color="auto" w:fill="auto"/>
                  <w:noWrap/>
                  <w:vAlign w:val="bottom"/>
                </w:tcPr>
                <w:p w14:paraId="30FFE0E5" w14:textId="77777777" w:rsidR="00490255" w:rsidRPr="004B1DF6" w:rsidRDefault="00490255" w:rsidP="0033368C">
                  <w:pPr>
                    <w:framePr w:hSpace="142" w:wrap="around" w:vAnchor="text" w:hAnchor="margin" w:y="458"/>
                    <w:suppressOverlap/>
                    <w:jc w:val="center"/>
                    <w:rPr>
                      <w:rFonts w:cs="Times New Roman"/>
                      <w:color w:val="000000"/>
                      <w:sz w:val="20"/>
                      <w:szCs w:val="20"/>
                    </w:rPr>
                  </w:pPr>
                  <w:r w:rsidRPr="004B1DF6">
                    <w:rPr>
                      <w:rFonts w:cs="Times New Roman"/>
                      <w:color w:val="000000"/>
                      <w:sz w:val="20"/>
                      <w:szCs w:val="20"/>
                    </w:rPr>
                    <w:t>2021</w:t>
                  </w:r>
                </w:p>
              </w:tc>
              <w:tc>
                <w:tcPr>
                  <w:tcW w:w="2071" w:type="dxa"/>
                  <w:tcBorders>
                    <w:top w:val="single" w:sz="4" w:space="0" w:color="auto"/>
                    <w:left w:val="nil"/>
                    <w:right w:val="nil"/>
                  </w:tcBorders>
                  <w:shd w:val="clear" w:color="auto" w:fill="auto"/>
                  <w:noWrap/>
                </w:tcPr>
                <w:p w14:paraId="63638F39"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0,0</w:t>
                  </w:r>
                </w:p>
              </w:tc>
              <w:tc>
                <w:tcPr>
                  <w:tcW w:w="2249" w:type="dxa"/>
                  <w:tcBorders>
                    <w:top w:val="single" w:sz="4" w:space="0" w:color="auto"/>
                    <w:left w:val="nil"/>
                    <w:right w:val="nil"/>
                  </w:tcBorders>
                  <w:shd w:val="clear" w:color="auto" w:fill="auto"/>
                  <w:noWrap/>
                </w:tcPr>
                <w:p w14:paraId="7D7A7C55"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0,0</w:t>
                  </w:r>
                </w:p>
              </w:tc>
              <w:tc>
                <w:tcPr>
                  <w:tcW w:w="3497" w:type="dxa"/>
                  <w:tcBorders>
                    <w:top w:val="single" w:sz="4" w:space="0" w:color="auto"/>
                    <w:left w:val="nil"/>
                    <w:right w:val="nil"/>
                  </w:tcBorders>
                  <w:shd w:val="clear" w:color="auto" w:fill="auto"/>
                  <w:noWrap/>
                </w:tcPr>
                <w:p w14:paraId="5F00C808"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0,0</w:t>
                  </w:r>
                </w:p>
              </w:tc>
            </w:tr>
            <w:tr w:rsidR="00490255" w:rsidRPr="0090733D" w14:paraId="57747C0A" w14:textId="77777777" w:rsidTr="000E4D54">
              <w:trPr>
                <w:trHeight w:val="253"/>
              </w:trPr>
              <w:tc>
                <w:tcPr>
                  <w:tcW w:w="1005" w:type="dxa"/>
                  <w:tcBorders>
                    <w:left w:val="nil"/>
                    <w:bottom w:val="nil"/>
                    <w:right w:val="nil"/>
                  </w:tcBorders>
                  <w:shd w:val="clear" w:color="auto" w:fill="auto"/>
                  <w:noWrap/>
                  <w:vAlign w:val="bottom"/>
                  <w:hideMark/>
                </w:tcPr>
                <w:p w14:paraId="69BB04C3" w14:textId="77777777" w:rsidR="00490255" w:rsidRPr="004B1DF6" w:rsidRDefault="00490255" w:rsidP="0033368C">
                  <w:pPr>
                    <w:framePr w:hSpace="142" w:wrap="around" w:vAnchor="text" w:hAnchor="margin" w:y="458"/>
                    <w:suppressOverlap/>
                    <w:jc w:val="center"/>
                    <w:rPr>
                      <w:rFonts w:cs="Times New Roman"/>
                      <w:color w:val="000000"/>
                      <w:sz w:val="20"/>
                      <w:szCs w:val="20"/>
                    </w:rPr>
                  </w:pPr>
                  <w:r w:rsidRPr="004B1DF6">
                    <w:rPr>
                      <w:rFonts w:cs="Times New Roman"/>
                      <w:color w:val="000000"/>
                      <w:sz w:val="20"/>
                      <w:szCs w:val="20"/>
                    </w:rPr>
                    <w:t>2022</w:t>
                  </w:r>
                </w:p>
              </w:tc>
              <w:tc>
                <w:tcPr>
                  <w:tcW w:w="2071" w:type="dxa"/>
                  <w:tcBorders>
                    <w:left w:val="nil"/>
                    <w:bottom w:val="nil"/>
                    <w:right w:val="nil"/>
                  </w:tcBorders>
                  <w:shd w:val="clear" w:color="auto" w:fill="auto"/>
                  <w:noWrap/>
                  <w:hideMark/>
                </w:tcPr>
                <w:p w14:paraId="46B29810"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1,5</w:t>
                  </w:r>
                </w:p>
              </w:tc>
              <w:tc>
                <w:tcPr>
                  <w:tcW w:w="2249" w:type="dxa"/>
                  <w:tcBorders>
                    <w:left w:val="nil"/>
                    <w:bottom w:val="nil"/>
                    <w:right w:val="nil"/>
                  </w:tcBorders>
                  <w:shd w:val="clear" w:color="auto" w:fill="auto"/>
                  <w:noWrap/>
                  <w:hideMark/>
                </w:tcPr>
                <w:p w14:paraId="4C8074E1"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7,4</w:t>
                  </w:r>
                </w:p>
              </w:tc>
              <w:tc>
                <w:tcPr>
                  <w:tcW w:w="3497" w:type="dxa"/>
                  <w:tcBorders>
                    <w:left w:val="nil"/>
                    <w:bottom w:val="nil"/>
                    <w:right w:val="nil"/>
                  </w:tcBorders>
                  <w:shd w:val="clear" w:color="auto" w:fill="auto"/>
                  <w:noWrap/>
                  <w:hideMark/>
                </w:tcPr>
                <w:p w14:paraId="7710B81F"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0,1</w:t>
                  </w:r>
                </w:p>
              </w:tc>
            </w:tr>
            <w:tr w:rsidR="00490255" w:rsidRPr="0090733D" w14:paraId="7EA288F2" w14:textId="77777777" w:rsidTr="000E4D54">
              <w:trPr>
                <w:trHeight w:val="253"/>
              </w:trPr>
              <w:tc>
                <w:tcPr>
                  <w:tcW w:w="1005" w:type="dxa"/>
                  <w:tcBorders>
                    <w:top w:val="nil"/>
                    <w:left w:val="nil"/>
                    <w:bottom w:val="nil"/>
                    <w:right w:val="nil"/>
                  </w:tcBorders>
                  <w:shd w:val="clear" w:color="auto" w:fill="auto"/>
                  <w:noWrap/>
                  <w:vAlign w:val="bottom"/>
                  <w:hideMark/>
                </w:tcPr>
                <w:p w14:paraId="2AC7725C" w14:textId="77777777" w:rsidR="00490255" w:rsidRPr="004B1DF6" w:rsidRDefault="00490255" w:rsidP="0033368C">
                  <w:pPr>
                    <w:framePr w:hSpace="142" w:wrap="around" w:vAnchor="text" w:hAnchor="margin" w:y="458"/>
                    <w:suppressOverlap/>
                    <w:jc w:val="center"/>
                    <w:rPr>
                      <w:rFonts w:cs="Times New Roman"/>
                      <w:color w:val="000000"/>
                      <w:sz w:val="20"/>
                      <w:szCs w:val="20"/>
                    </w:rPr>
                  </w:pPr>
                  <w:r w:rsidRPr="004B1DF6">
                    <w:rPr>
                      <w:rFonts w:cs="Times New Roman"/>
                      <w:color w:val="000000"/>
                      <w:sz w:val="20"/>
                      <w:szCs w:val="20"/>
                    </w:rPr>
                    <w:t>2023</w:t>
                  </w:r>
                </w:p>
              </w:tc>
              <w:tc>
                <w:tcPr>
                  <w:tcW w:w="2071" w:type="dxa"/>
                  <w:tcBorders>
                    <w:top w:val="nil"/>
                    <w:left w:val="nil"/>
                    <w:bottom w:val="nil"/>
                    <w:right w:val="nil"/>
                  </w:tcBorders>
                  <w:shd w:val="clear" w:color="auto" w:fill="auto"/>
                  <w:noWrap/>
                  <w:hideMark/>
                </w:tcPr>
                <w:p w14:paraId="407B0E63"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1,9</w:t>
                  </w:r>
                </w:p>
              </w:tc>
              <w:tc>
                <w:tcPr>
                  <w:tcW w:w="2249" w:type="dxa"/>
                  <w:tcBorders>
                    <w:top w:val="nil"/>
                    <w:left w:val="nil"/>
                    <w:bottom w:val="nil"/>
                    <w:right w:val="nil"/>
                  </w:tcBorders>
                  <w:shd w:val="clear" w:color="auto" w:fill="auto"/>
                  <w:noWrap/>
                  <w:hideMark/>
                </w:tcPr>
                <w:p w14:paraId="4BE3B312"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7,7</w:t>
                  </w:r>
                </w:p>
              </w:tc>
              <w:tc>
                <w:tcPr>
                  <w:tcW w:w="3497" w:type="dxa"/>
                  <w:tcBorders>
                    <w:top w:val="nil"/>
                    <w:left w:val="nil"/>
                    <w:bottom w:val="nil"/>
                    <w:right w:val="nil"/>
                  </w:tcBorders>
                  <w:shd w:val="clear" w:color="auto" w:fill="auto"/>
                  <w:noWrap/>
                  <w:hideMark/>
                </w:tcPr>
                <w:p w14:paraId="7959A1D6"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0,7</w:t>
                  </w:r>
                </w:p>
              </w:tc>
            </w:tr>
            <w:tr w:rsidR="00490255" w:rsidRPr="0090733D" w14:paraId="7F484219" w14:textId="77777777" w:rsidTr="000E4D54">
              <w:trPr>
                <w:trHeight w:val="253"/>
              </w:trPr>
              <w:tc>
                <w:tcPr>
                  <w:tcW w:w="1005" w:type="dxa"/>
                  <w:tcBorders>
                    <w:top w:val="nil"/>
                    <w:left w:val="nil"/>
                    <w:bottom w:val="nil"/>
                    <w:right w:val="nil"/>
                  </w:tcBorders>
                  <w:shd w:val="clear" w:color="auto" w:fill="auto"/>
                  <w:noWrap/>
                  <w:vAlign w:val="bottom"/>
                  <w:hideMark/>
                </w:tcPr>
                <w:p w14:paraId="3C6CB602" w14:textId="77777777" w:rsidR="00490255" w:rsidRPr="004B1DF6" w:rsidRDefault="00490255" w:rsidP="0033368C">
                  <w:pPr>
                    <w:framePr w:hSpace="142" w:wrap="around" w:vAnchor="text" w:hAnchor="margin" w:y="458"/>
                    <w:suppressOverlap/>
                    <w:jc w:val="center"/>
                    <w:rPr>
                      <w:rFonts w:cs="Times New Roman"/>
                      <w:color w:val="000000"/>
                      <w:sz w:val="20"/>
                      <w:szCs w:val="20"/>
                    </w:rPr>
                  </w:pPr>
                  <w:r w:rsidRPr="004B1DF6">
                    <w:rPr>
                      <w:rFonts w:cs="Times New Roman"/>
                      <w:color w:val="000000"/>
                      <w:sz w:val="20"/>
                      <w:szCs w:val="20"/>
                    </w:rPr>
                    <w:t>2024</w:t>
                  </w:r>
                </w:p>
              </w:tc>
              <w:tc>
                <w:tcPr>
                  <w:tcW w:w="2071" w:type="dxa"/>
                  <w:tcBorders>
                    <w:top w:val="nil"/>
                    <w:left w:val="nil"/>
                    <w:bottom w:val="nil"/>
                    <w:right w:val="nil"/>
                  </w:tcBorders>
                  <w:shd w:val="clear" w:color="auto" w:fill="auto"/>
                  <w:noWrap/>
                  <w:hideMark/>
                </w:tcPr>
                <w:p w14:paraId="318F3B93"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2,8</w:t>
                  </w:r>
                </w:p>
              </w:tc>
              <w:tc>
                <w:tcPr>
                  <w:tcW w:w="2249" w:type="dxa"/>
                  <w:tcBorders>
                    <w:top w:val="nil"/>
                    <w:left w:val="nil"/>
                    <w:bottom w:val="nil"/>
                    <w:right w:val="nil"/>
                  </w:tcBorders>
                  <w:shd w:val="clear" w:color="auto" w:fill="auto"/>
                  <w:noWrap/>
                  <w:hideMark/>
                </w:tcPr>
                <w:p w14:paraId="5EED4FDD"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8,5</w:t>
                  </w:r>
                </w:p>
              </w:tc>
              <w:tc>
                <w:tcPr>
                  <w:tcW w:w="3497" w:type="dxa"/>
                  <w:tcBorders>
                    <w:top w:val="nil"/>
                    <w:left w:val="nil"/>
                    <w:bottom w:val="nil"/>
                    <w:right w:val="nil"/>
                  </w:tcBorders>
                  <w:shd w:val="clear" w:color="auto" w:fill="auto"/>
                  <w:noWrap/>
                  <w:hideMark/>
                </w:tcPr>
                <w:p w14:paraId="511DCCD7"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1,0</w:t>
                  </w:r>
                </w:p>
              </w:tc>
            </w:tr>
            <w:tr w:rsidR="00490255" w:rsidRPr="0090733D" w14:paraId="782E93D1" w14:textId="77777777" w:rsidTr="000E4D54">
              <w:trPr>
                <w:trHeight w:val="253"/>
              </w:trPr>
              <w:tc>
                <w:tcPr>
                  <w:tcW w:w="1005" w:type="dxa"/>
                  <w:tcBorders>
                    <w:top w:val="nil"/>
                    <w:left w:val="nil"/>
                    <w:right w:val="nil"/>
                  </w:tcBorders>
                  <w:shd w:val="clear" w:color="auto" w:fill="auto"/>
                  <w:noWrap/>
                  <w:vAlign w:val="bottom"/>
                  <w:hideMark/>
                </w:tcPr>
                <w:p w14:paraId="121CABCD" w14:textId="77777777" w:rsidR="00490255" w:rsidRPr="004B1DF6" w:rsidRDefault="00490255" w:rsidP="0033368C">
                  <w:pPr>
                    <w:framePr w:hSpace="142" w:wrap="around" w:vAnchor="text" w:hAnchor="margin" w:y="458"/>
                    <w:suppressOverlap/>
                    <w:jc w:val="center"/>
                    <w:rPr>
                      <w:rFonts w:cs="Times New Roman"/>
                      <w:color w:val="000000"/>
                      <w:sz w:val="20"/>
                      <w:szCs w:val="20"/>
                    </w:rPr>
                  </w:pPr>
                  <w:r w:rsidRPr="004B1DF6">
                    <w:rPr>
                      <w:rFonts w:cs="Times New Roman"/>
                      <w:color w:val="000000"/>
                      <w:sz w:val="20"/>
                      <w:szCs w:val="20"/>
                    </w:rPr>
                    <w:t>2025</w:t>
                  </w:r>
                </w:p>
              </w:tc>
              <w:tc>
                <w:tcPr>
                  <w:tcW w:w="2071" w:type="dxa"/>
                  <w:tcBorders>
                    <w:top w:val="nil"/>
                    <w:left w:val="nil"/>
                    <w:right w:val="nil"/>
                  </w:tcBorders>
                  <w:shd w:val="clear" w:color="auto" w:fill="auto"/>
                  <w:noWrap/>
                  <w:hideMark/>
                </w:tcPr>
                <w:p w14:paraId="70F78E8B"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2,9</w:t>
                  </w:r>
                </w:p>
              </w:tc>
              <w:tc>
                <w:tcPr>
                  <w:tcW w:w="2249" w:type="dxa"/>
                  <w:tcBorders>
                    <w:top w:val="nil"/>
                    <w:left w:val="nil"/>
                    <w:right w:val="nil"/>
                  </w:tcBorders>
                  <w:shd w:val="clear" w:color="auto" w:fill="auto"/>
                  <w:noWrap/>
                  <w:hideMark/>
                </w:tcPr>
                <w:p w14:paraId="642457BD"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6,6</w:t>
                  </w:r>
                </w:p>
              </w:tc>
              <w:tc>
                <w:tcPr>
                  <w:tcW w:w="3497" w:type="dxa"/>
                  <w:tcBorders>
                    <w:top w:val="nil"/>
                    <w:left w:val="nil"/>
                    <w:right w:val="nil"/>
                  </w:tcBorders>
                  <w:shd w:val="clear" w:color="auto" w:fill="auto"/>
                  <w:noWrap/>
                  <w:hideMark/>
                </w:tcPr>
                <w:p w14:paraId="6146E791"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1,1</w:t>
                  </w:r>
                </w:p>
              </w:tc>
            </w:tr>
            <w:tr w:rsidR="00490255" w:rsidRPr="0090733D" w14:paraId="1D52160F" w14:textId="77777777" w:rsidTr="000E4D54">
              <w:trPr>
                <w:trHeight w:val="253"/>
              </w:trPr>
              <w:tc>
                <w:tcPr>
                  <w:tcW w:w="1005" w:type="dxa"/>
                  <w:tcBorders>
                    <w:top w:val="nil"/>
                    <w:left w:val="nil"/>
                    <w:bottom w:val="single" w:sz="4" w:space="0" w:color="auto"/>
                    <w:right w:val="nil"/>
                  </w:tcBorders>
                  <w:shd w:val="clear" w:color="auto" w:fill="auto"/>
                  <w:noWrap/>
                  <w:vAlign w:val="bottom"/>
                  <w:hideMark/>
                </w:tcPr>
                <w:p w14:paraId="2DE9B994" w14:textId="77777777" w:rsidR="00490255" w:rsidRPr="004B1DF6" w:rsidRDefault="00490255" w:rsidP="0033368C">
                  <w:pPr>
                    <w:framePr w:hSpace="142" w:wrap="around" w:vAnchor="text" w:hAnchor="margin" w:y="458"/>
                    <w:suppressOverlap/>
                    <w:jc w:val="center"/>
                    <w:rPr>
                      <w:rFonts w:cs="Times New Roman"/>
                      <w:color w:val="000000"/>
                      <w:sz w:val="20"/>
                      <w:szCs w:val="20"/>
                    </w:rPr>
                  </w:pPr>
                  <w:r w:rsidRPr="004B1DF6">
                    <w:rPr>
                      <w:rFonts w:cs="Times New Roman"/>
                      <w:color w:val="000000"/>
                      <w:sz w:val="20"/>
                      <w:szCs w:val="20"/>
                    </w:rPr>
                    <w:t>2026</w:t>
                  </w:r>
                </w:p>
              </w:tc>
              <w:tc>
                <w:tcPr>
                  <w:tcW w:w="2071" w:type="dxa"/>
                  <w:tcBorders>
                    <w:top w:val="nil"/>
                    <w:left w:val="nil"/>
                    <w:bottom w:val="single" w:sz="4" w:space="0" w:color="auto"/>
                    <w:right w:val="nil"/>
                  </w:tcBorders>
                  <w:shd w:val="clear" w:color="auto" w:fill="auto"/>
                  <w:noWrap/>
                  <w:hideMark/>
                </w:tcPr>
                <w:p w14:paraId="7A8137F5"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2,7</w:t>
                  </w:r>
                </w:p>
              </w:tc>
              <w:tc>
                <w:tcPr>
                  <w:tcW w:w="2249" w:type="dxa"/>
                  <w:tcBorders>
                    <w:top w:val="nil"/>
                    <w:left w:val="nil"/>
                    <w:bottom w:val="single" w:sz="4" w:space="0" w:color="auto"/>
                    <w:right w:val="nil"/>
                  </w:tcBorders>
                  <w:shd w:val="clear" w:color="auto" w:fill="auto"/>
                  <w:noWrap/>
                  <w:hideMark/>
                </w:tcPr>
                <w:p w14:paraId="4A4CA000"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3,9</w:t>
                  </w:r>
                </w:p>
              </w:tc>
              <w:tc>
                <w:tcPr>
                  <w:tcW w:w="3497" w:type="dxa"/>
                  <w:tcBorders>
                    <w:top w:val="nil"/>
                    <w:left w:val="nil"/>
                    <w:bottom w:val="single" w:sz="4" w:space="0" w:color="auto"/>
                    <w:right w:val="nil"/>
                  </w:tcBorders>
                  <w:shd w:val="clear" w:color="auto" w:fill="auto"/>
                  <w:noWrap/>
                  <w:hideMark/>
                </w:tcPr>
                <w:p w14:paraId="78A2EC59" w14:textId="77777777" w:rsidR="00490255" w:rsidRPr="00265543" w:rsidRDefault="00490255" w:rsidP="0033368C">
                  <w:pPr>
                    <w:framePr w:hSpace="142" w:wrap="around" w:vAnchor="text" w:hAnchor="margin" w:y="458"/>
                    <w:suppressOverlap/>
                    <w:jc w:val="center"/>
                    <w:rPr>
                      <w:sz w:val="20"/>
                      <w:szCs w:val="20"/>
                    </w:rPr>
                  </w:pPr>
                  <w:r w:rsidRPr="00265543">
                    <w:rPr>
                      <w:sz w:val="20"/>
                      <w:szCs w:val="20"/>
                    </w:rPr>
                    <w:t>0,8</w:t>
                  </w:r>
                </w:p>
              </w:tc>
            </w:tr>
            <w:tr w:rsidR="00490255" w:rsidRPr="000F7810" w14:paraId="41907A09" w14:textId="77777777" w:rsidTr="000E4D54">
              <w:trPr>
                <w:trHeight w:val="253"/>
              </w:trPr>
              <w:tc>
                <w:tcPr>
                  <w:tcW w:w="1005" w:type="dxa"/>
                  <w:tcBorders>
                    <w:top w:val="single" w:sz="4" w:space="0" w:color="auto"/>
                    <w:left w:val="nil"/>
                    <w:right w:val="nil"/>
                  </w:tcBorders>
                  <w:shd w:val="clear" w:color="auto" w:fill="auto"/>
                  <w:noWrap/>
                </w:tcPr>
                <w:p w14:paraId="7124FD83" w14:textId="77777777" w:rsidR="00490255" w:rsidRPr="0090733D" w:rsidRDefault="00490255" w:rsidP="0033368C">
                  <w:pPr>
                    <w:framePr w:hSpace="142" w:wrap="around" w:vAnchor="text" w:hAnchor="margin" w:y="458"/>
                    <w:spacing w:before="40"/>
                    <w:suppressOverlap/>
                    <w:jc w:val="right"/>
                    <w:rPr>
                      <w:rFonts w:cs="Times New Roman"/>
                      <w:color w:val="000000"/>
                      <w:sz w:val="20"/>
                      <w:szCs w:val="20"/>
                    </w:rPr>
                  </w:pPr>
                </w:p>
              </w:tc>
              <w:tc>
                <w:tcPr>
                  <w:tcW w:w="2071" w:type="dxa"/>
                  <w:tcBorders>
                    <w:top w:val="single" w:sz="4" w:space="0" w:color="auto"/>
                    <w:left w:val="nil"/>
                    <w:right w:val="nil"/>
                  </w:tcBorders>
                  <w:shd w:val="clear" w:color="auto" w:fill="auto"/>
                  <w:noWrap/>
                </w:tcPr>
                <w:p w14:paraId="331E700B" w14:textId="77777777" w:rsidR="00490255" w:rsidRPr="0090733D" w:rsidRDefault="00490255" w:rsidP="0033368C">
                  <w:pPr>
                    <w:framePr w:hSpace="142" w:wrap="around" w:vAnchor="text" w:hAnchor="margin" w:y="458"/>
                    <w:spacing w:before="40"/>
                    <w:suppressOverlap/>
                    <w:jc w:val="right"/>
                    <w:rPr>
                      <w:rFonts w:cs="Times New Roman"/>
                      <w:color w:val="000000"/>
                      <w:sz w:val="20"/>
                      <w:szCs w:val="20"/>
                    </w:rPr>
                  </w:pPr>
                </w:p>
              </w:tc>
              <w:tc>
                <w:tcPr>
                  <w:tcW w:w="5746" w:type="dxa"/>
                  <w:gridSpan w:val="2"/>
                  <w:tcBorders>
                    <w:top w:val="single" w:sz="4" w:space="0" w:color="auto"/>
                    <w:left w:val="nil"/>
                    <w:right w:val="nil"/>
                  </w:tcBorders>
                  <w:shd w:val="clear" w:color="auto" w:fill="auto"/>
                  <w:noWrap/>
                </w:tcPr>
                <w:p w14:paraId="31BD2DBD" w14:textId="77777777" w:rsidR="00490255" w:rsidRPr="00265543" w:rsidRDefault="00490255" w:rsidP="0033368C">
                  <w:pPr>
                    <w:framePr w:hSpace="142" w:wrap="around" w:vAnchor="text" w:hAnchor="margin" w:y="458"/>
                    <w:spacing w:before="40"/>
                    <w:suppressOverlap/>
                    <w:jc w:val="right"/>
                    <w:rPr>
                      <w:rFonts w:cs="Times New Roman"/>
                      <w:color w:val="000000"/>
                      <w:sz w:val="16"/>
                      <w:szCs w:val="16"/>
                    </w:rPr>
                  </w:pPr>
                  <w:r w:rsidRPr="0090733D">
                    <w:rPr>
                      <w:rFonts w:cs="Times New Roman"/>
                      <w:sz w:val="20"/>
                      <w:szCs w:val="20"/>
                    </w:rPr>
                    <w:tab/>
                  </w:r>
                  <w:r w:rsidRPr="00265543">
                    <w:rPr>
                      <w:rFonts w:cs="Times New Roman"/>
                      <w:i/>
                      <w:sz w:val="16"/>
                      <w:szCs w:val="16"/>
                    </w:rPr>
                    <w:t>Zdroj: MF SR</w:t>
                  </w:r>
                </w:p>
              </w:tc>
            </w:tr>
          </w:tbl>
          <w:p w14:paraId="5EA684F5" w14:textId="77777777" w:rsidR="00490255" w:rsidRPr="000F7810" w:rsidRDefault="00490255" w:rsidP="000E4D54">
            <w:pPr>
              <w:spacing w:after="120"/>
              <w:ind w:right="1072"/>
              <w:jc w:val="both"/>
              <w:rPr>
                <w:rFonts w:cs="Times New Roman"/>
                <w:sz w:val="20"/>
                <w:szCs w:val="20"/>
                <w:highlight w:val="yellow"/>
              </w:rPr>
            </w:pPr>
          </w:p>
        </w:tc>
      </w:tr>
    </w:tbl>
    <w:p w14:paraId="162FE814" w14:textId="77777777" w:rsidR="00490255" w:rsidRPr="000F7810" w:rsidRDefault="00490255" w:rsidP="00490255">
      <w:pPr>
        <w:rPr>
          <w:highlight w:val="yellow"/>
        </w:rPr>
      </w:pPr>
    </w:p>
    <w:p w14:paraId="46E714BE" w14:textId="77777777" w:rsidR="00490255" w:rsidRPr="00E51248" w:rsidRDefault="00490255" w:rsidP="00490255">
      <w:pPr>
        <w:spacing w:after="240"/>
        <w:jc w:val="both"/>
        <w:rPr>
          <w:b/>
        </w:rPr>
      </w:pPr>
      <w:r w:rsidRPr="00E51248">
        <w:rPr>
          <w:b/>
        </w:rPr>
        <w:t xml:space="preserve">Globálne ekonomické problémy vyvolané vojenským konfliktom opäť oddialia oživenie na trhu práce. </w:t>
      </w:r>
      <w:r>
        <w:t>E</w:t>
      </w:r>
      <w:r w:rsidRPr="00E51248">
        <w:t xml:space="preserve">konomické šoky spôsobené vojenským konfliktom prinesú slabšiu tvorbu nových pracovných miest, </w:t>
      </w:r>
      <w:r>
        <w:t>zamestnanosť však aj napriek tomu porastie</w:t>
      </w:r>
      <w:r w:rsidRPr="00E51248">
        <w:t xml:space="preserve">. Počas roka 2022 budú ekonomickú aktivitu a dopyt po práci brzdiť vysoké ceny vstupov, energií a problémy v globálnych obchodných reťazcoch. Nedostatky súčiastok pocíti najmä priemysel, kde </w:t>
      </w:r>
      <w:r>
        <w:t>dôjde k stagnácii</w:t>
      </w:r>
      <w:r w:rsidRPr="00E51248">
        <w:t xml:space="preserve"> zamestnanosti. </w:t>
      </w:r>
      <w:r>
        <w:t xml:space="preserve">Počet zamestnaných </w:t>
      </w:r>
      <w:r w:rsidRPr="00E51248">
        <w:t xml:space="preserve">začne výraznejšie rásť až v 2. štvrťroku 2023 a podporia ho aj investície z Plánu obnovy </w:t>
      </w:r>
      <w:r>
        <w:t>a odolnosti</w:t>
      </w:r>
      <w:r w:rsidRPr="00E51248">
        <w:t xml:space="preserve"> a dočerpávanie fondov EÚ.</w:t>
      </w:r>
    </w:p>
    <w:p w14:paraId="2A138FD2" w14:textId="77777777" w:rsidR="00490255" w:rsidRPr="00E51248" w:rsidRDefault="00490255" w:rsidP="00490255">
      <w:pPr>
        <w:spacing w:after="240"/>
        <w:jc w:val="both"/>
        <w:rPr>
          <w:b/>
        </w:rPr>
      </w:pPr>
      <w:r w:rsidRPr="00E51248">
        <w:rPr>
          <w:b/>
        </w:rPr>
        <w:t>Nezamestnanosť na prelome rokov po dlhom období priaznivých výsledkov prestala klesať</w:t>
      </w:r>
      <w:r>
        <w:rPr>
          <w:b/>
        </w:rPr>
        <w:t>.</w:t>
      </w:r>
      <w:r w:rsidRPr="00E51248">
        <w:rPr>
          <w:b/>
        </w:rPr>
        <w:t xml:space="preserve"> </w:t>
      </w:r>
      <w:r w:rsidRPr="00265543">
        <w:t>Stagnácia, či mierne zvýšenie počtu ľudí bez práce bola vzhľadom na šírenie variantu omikron očakávaná.</w:t>
      </w:r>
      <w:r w:rsidRPr="00E51248">
        <w:rPr>
          <w:b/>
        </w:rPr>
        <w:t xml:space="preserve"> </w:t>
      </w:r>
      <w:r w:rsidRPr="00E51248">
        <w:t xml:space="preserve">Začiatkom druhého štvrťroku by sa mala miera nezamestnanosti postupe znižovať  a dosiahnuť 6,6 %. Následný výraznejší pokles bude podporený investíciami z Plánu obnovy </w:t>
      </w:r>
      <w:r>
        <w:t>a odolnosti</w:t>
      </w:r>
      <w:r w:rsidRPr="00E51248">
        <w:t>. Rýchlejšie znižovanie nezamestnanosti na celom horizonte prognózy bude tlmené vojenským konfliktom a predpokladanou konsolidáciou vo verejnou správe.</w:t>
      </w:r>
    </w:p>
    <w:p w14:paraId="4B813A1D" w14:textId="77777777" w:rsidR="00490255" w:rsidRPr="000F7810" w:rsidRDefault="00490255" w:rsidP="00490255">
      <w:pPr>
        <w:spacing w:after="240"/>
        <w:jc w:val="both"/>
        <w:rPr>
          <w:highlight w:val="yellow"/>
        </w:rPr>
      </w:pPr>
      <w:r w:rsidRPr="00E51248">
        <w:rPr>
          <w:b/>
        </w:rPr>
        <w:t xml:space="preserve">Vysoká inflácia a oživenie ekonomickej aktivity sa pozitívne prejaví na nominálnych mzdách v najbližších rokoch, no reálne mzdy tento rok poklesnú. </w:t>
      </w:r>
      <w:r w:rsidRPr="00E51248">
        <w:t xml:space="preserve">Mzdové vyjednávania budú sčasti reflektovať vyššie tempo inflácie a mzdy tak v roku 2022 a 2023 porastú tempom takmer 7 %. Vyššia ako očakávaná inflácia však v tomto roku zrazí reálne mzdy nadol, predpokladáme pokles o 1,5 %. V ďalších rokoch by sa mal rast cien stabilizovať, čo vráti vývoj reálnych miezd do kladných čísel. </w:t>
      </w:r>
      <w:r>
        <w:t>Mzdy</w:t>
      </w:r>
      <w:r w:rsidRPr="00E51248">
        <w:t xml:space="preserve"> vo verejnom sektore v porovnaní so zvyškom ekonomiky</w:t>
      </w:r>
      <w:r>
        <w:t xml:space="preserve"> budú zaostávať</w:t>
      </w:r>
      <w:r w:rsidRPr="00E51248">
        <w:t xml:space="preserve"> z dôvodu znižovania výdavkov vo verejnej správe.</w:t>
      </w:r>
    </w:p>
    <w:tbl>
      <w:tblPr>
        <w:tblW w:w="491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25"/>
        <w:gridCol w:w="237"/>
        <w:gridCol w:w="4447"/>
      </w:tblGrid>
      <w:tr w:rsidR="00490255" w:rsidRPr="004F7210" w14:paraId="0B218B87" w14:textId="77777777" w:rsidTr="000E4D54">
        <w:trPr>
          <w:trHeight w:val="2909"/>
          <w:jc w:val="center"/>
        </w:trPr>
        <w:tc>
          <w:tcPr>
            <w:tcW w:w="4226" w:type="dxa"/>
            <w:tcBorders>
              <w:top w:val="nil"/>
              <w:left w:val="nil"/>
              <w:bottom w:val="single" w:sz="4" w:space="0" w:color="auto"/>
              <w:right w:val="nil"/>
            </w:tcBorders>
            <w:vAlign w:val="center"/>
          </w:tcPr>
          <w:p w14:paraId="379F47AC" w14:textId="576DFDAE" w:rsidR="00490255" w:rsidRPr="004F7210" w:rsidRDefault="00490255" w:rsidP="000E4D54">
            <w:pPr>
              <w:pStyle w:val="Nadpis3"/>
              <w:pBdr>
                <w:bottom w:val="single" w:sz="4" w:space="1" w:color="auto"/>
              </w:pBdr>
              <w:jc w:val="both"/>
              <w:rPr>
                <w:rFonts w:eastAsiaTheme="minorHAnsi"/>
                <w:color w:val="2C9ADC"/>
                <w:lang w:eastAsia="en-US"/>
              </w:rPr>
            </w:pPr>
            <w:bookmarkStart w:id="53" w:name="_Toc101881927"/>
            <w:r w:rsidRPr="004F7210">
              <w:rPr>
                <w:rFonts w:eastAsiaTheme="minorHAnsi"/>
                <w:color w:val="2C9ADC"/>
                <w:szCs w:val="20"/>
                <w:lang w:eastAsia="en-US"/>
              </w:rPr>
              <w:t xml:space="preserve">GRAF </w:t>
            </w:r>
            <w:r w:rsidRPr="004F7210">
              <w:rPr>
                <w:rFonts w:eastAsiaTheme="minorHAnsi"/>
                <w:color w:val="2C9ADC"/>
                <w:szCs w:val="20"/>
                <w:lang w:eastAsia="en-US"/>
              </w:rPr>
              <w:fldChar w:fldCharType="begin"/>
            </w:r>
            <w:r w:rsidRPr="004F7210">
              <w:rPr>
                <w:rFonts w:eastAsiaTheme="minorHAnsi"/>
                <w:color w:val="2C9ADC"/>
                <w:szCs w:val="20"/>
                <w:lang w:eastAsia="en-US"/>
              </w:rPr>
              <w:instrText xml:space="preserve"> SEQ GRAF \* ARABIC </w:instrText>
            </w:r>
            <w:r w:rsidRPr="004F7210">
              <w:rPr>
                <w:rFonts w:eastAsiaTheme="minorHAnsi"/>
                <w:color w:val="2C9ADC"/>
                <w:szCs w:val="20"/>
                <w:lang w:eastAsia="en-US"/>
              </w:rPr>
              <w:fldChar w:fldCharType="separate"/>
            </w:r>
            <w:r w:rsidR="005D3280">
              <w:rPr>
                <w:rFonts w:eastAsiaTheme="minorHAnsi"/>
                <w:noProof/>
                <w:color w:val="2C9ADC"/>
                <w:szCs w:val="20"/>
                <w:lang w:eastAsia="en-US"/>
              </w:rPr>
              <w:t>3</w:t>
            </w:r>
            <w:r w:rsidRPr="004F7210">
              <w:rPr>
                <w:rFonts w:eastAsiaTheme="minorHAnsi"/>
                <w:color w:val="2C9ADC"/>
                <w:szCs w:val="20"/>
                <w:lang w:eastAsia="en-US"/>
              </w:rPr>
              <w:fldChar w:fldCharType="end"/>
            </w:r>
            <w:r w:rsidRPr="004F7210">
              <w:rPr>
                <w:rFonts w:eastAsiaTheme="minorHAnsi"/>
                <w:color w:val="2C9ADC"/>
                <w:szCs w:val="20"/>
                <w:lang w:eastAsia="en-US"/>
              </w:rPr>
              <w:t xml:space="preserve"> </w:t>
            </w:r>
            <w:r w:rsidRPr="004F7210">
              <w:rPr>
                <w:rFonts w:eastAsiaTheme="minorHAnsi"/>
                <w:color w:val="2C9ADC"/>
                <w:lang w:eastAsia="en-US"/>
              </w:rPr>
              <w:t>– Príspevky k rastu HDP (stále ceny, p. b.)</w:t>
            </w:r>
            <w:bookmarkEnd w:id="53"/>
          </w:p>
          <w:p w14:paraId="748D62DB" w14:textId="77777777" w:rsidR="00490255" w:rsidRPr="004F7210" w:rsidRDefault="00490255" w:rsidP="000E4D54">
            <w:pPr>
              <w:spacing w:before="40" w:after="40"/>
              <w:jc w:val="center"/>
              <w:rPr>
                <w:rFonts w:cs="Arial"/>
                <w:b/>
                <w:sz w:val="20"/>
                <w:szCs w:val="20"/>
              </w:rPr>
            </w:pPr>
            <w:r w:rsidRPr="004F7210">
              <w:rPr>
                <w:noProof/>
              </w:rPr>
              <w:drawing>
                <wp:inline distT="0" distB="0" distL="0" distR="0" wp14:anchorId="0FA901F4" wp14:editId="3F9BA894">
                  <wp:extent cx="2594610" cy="1779563"/>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37" w:type="dxa"/>
            <w:tcBorders>
              <w:top w:val="nil"/>
              <w:left w:val="nil"/>
              <w:bottom w:val="nil"/>
              <w:right w:val="nil"/>
            </w:tcBorders>
            <w:vAlign w:val="center"/>
          </w:tcPr>
          <w:p w14:paraId="6F164F6F" w14:textId="77777777" w:rsidR="00490255" w:rsidRPr="004F7210" w:rsidRDefault="00490255" w:rsidP="000E4D54">
            <w:pPr>
              <w:spacing w:before="40" w:after="40"/>
              <w:jc w:val="center"/>
              <w:rPr>
                <w:rFonts w:cs="Arial"/>
                <w:b/>
                <w:sz w:val="20"/>
                <w:szCs w:val="20"/>
              </w:rPr>
            </w:pPr>
          </w:p>
        </w:tc>
        <w:tc>
          <w:tcPr>
            <w:tcW w:w="4448" w:type="dxa"/>
            <w:tcBorders>
              <w:top w:val="nil"/>
              <w:left w:val="nil"/>
              <w:bottom w:val="single" w:sz="4" w:space="0" w:color="auto"/>
              <w:right w:val="nil"/>
            </w:tcBorders>
            <w:vAlign w:val="center"/>
          </w:tcPr>
          <w:p w14:paraId="45F25A79" w14:textId="25ADBD67" w:rsidR="00490255" w:rsidRPr="004F7210" w:rsidRDefault="00490255" w:rsidP="000E4D54">
            <w:pPr>
              <w:pStyle w:val="Nadpis3"/>
              <w:pBdr>
                <w:bottom w:val="single" w:sz="4" w:space="1" w:color="auto"/>
              </w:pBdr>
              <w:jc w:val="both"/>
              <w:rPr>
                <w:rFonts w:eastAsiaTheme="minorHAnsi"/>
                <w:color w:val="2C9ADC"/>
                <w:lang w:eastAsia="en-US"/>
              </w:rPr>
            </w:pPr>
            <w:bookmarkStart w:id="54" w:name="_Toc101881928"/>
            <w:r w:rsidRPr="004F7210">
              <w:rPr>
                <w:rFonts w:eastAsiaTheme="minorHAnsi"/>
                <w:color w:val="2C9ADC"/>
                <w:szCs w:val="20"/>
                <w:lang w:eastAsia="en-US"/>
              </w:rPr>
              <w:t xml:space="preserve">GRAF </w:t>
            </w:r>
            <w:r w:rsidRPr="004F7210">
              <w:rPr>
                <w:rFonts w:eastAsiaTheme="minorHAnsi"/>
                <w:color w:val="2C9ADC"/>
                <w:szCs w:val="20"/>
                <w:lang w:eastAsia="en-US"/>
              </w:rPr>
              <w:fldChar w:fldCharType="begin"/>
            </w:r>
            <w:r w:rsidRPr="004F7210">
              <w:rPr>
                <w:rFonts w:eastAsiaTheme="minorHAnsi"/>
                <w:color w:val="2C9ADC"/>
                <w:szCs w:val="20"/>
                <w:lang w:eastAsia="en-US"/>
              </w:rPr>
              <w:instrText xml:space="preserve"> SEQ GRAF \* ARABIC </w:instrText>
            </w:r>
            <w:r w:rsidRPr="004F7210">
              <w:rPr>
                <w:rFonts w:eastAsiaTheme="minorHAnsi"/>
                <w:color w:val="2C9ADC"/>
                <w:szCs w:val="20"/>
                <w:lang w:eastAsia="en-US"/>
              </w:rPr>
              <w:fldChar w:fldCharType="separate"/>
            </w:r>
            <w:r w:rsidR="005D3280">
              <w:rPr>
                <w:rFonts w:eastAsiaTheme="minorHAnsi"/>
                <w:noProof/>
                <w:color w:val="2C9ADC"/>
                <w:szCs w:val="20"/>
                <w:lang w:eastAsia="en-US"/>
              </w:rPr>
              <w:t>4</w:t>
            </w:r>
            <w:r w:rsidRPr="004F7210">
              <w:rPr>
                <w:rFonts w:eastAsiaTheme="minorHAnsi"/>
                <w:color w:val="2C9ADC"/>
                <w:szCs w:val="20"/>
                <w:lang w:eastAsia="en-US"/>
              </w:rPr>
              <w:fldChar w:fldCharType="end"/>
            </w:r>
            <w:r w:rsidRPr="004F7210">
              <w:rPr>
                <w:rFonts w:eastAsiaTheme="minorHAnsi"/>
                <w:color w:val="2C9ADC"/>
                <w:szCs w:val="20"/>
                <w:lang w:eastAsia="en-US"/>
              </w:rPr>
              <w:t xml:space="preserve"> </w:t>
            </w:r>
            <w:r w:rsidRPr="004F7210">
              <w:rPr>
                <w:rFonts w:eastAsiaTheme="minorHAnsi"/>
                <w:color w:val="2C9ADC"/>
                <w:lang w:eastAsia="en-US"/>
              </w:rPr>
              <w:t>– Príspevky k rastu zamestnanosti ESA (p. b.)</w:t>
            </w:r>
            <w:bookmarkEnd w:id="54"/>
          </w:p>
          <w:p w14:paraId="7D85A540" w14:textId="77777777" w:rsidR="00490255" w:rsidRPr="004F7210" w:rsidRDefault="00490255" w:rsidP="000E4D54">
            <w:pPr>
              <w:spacing w:before="40" w:after="40"/>
              <w:jc w:val="center"/>
              <w:rPr>
                <w:rFonts w:cs="Arial"/>
                <w:b/>
                <w:sz w:val="20"/>
                <w:szCs w:val="20"/>
              </w:rPr>
            </w:pPr>
            <w:r w:rsidRPr="004F7210">
              <w:rPr>
                <w:noProof/>
              </w:rPr>
              <w:drawing>
                <wp:inline distT="0" distB="0" distL="0" distR="0" wp14:anchorId="1DEDBD05" wp14:editId="4479256F">
                  <wp:extent cx="2735580" cy="1795145"/>
                  <wp:effectExtent l="0" t="0" r="7620" b="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90255" w:rsidRPr="000F7810" w14:paraId="6CDDDF87" w14:textId="77777777" w:rsidTr="000E4D54">
        <w:trPr>
          <w:trHeight w:val="121"/>
          <w:jc w:val="center"/>
        </w:trPr>
        <w:tc>
          <w:tcPr>
            <w:tcW w:w="4226" w:type="dxa"/>
            <w:tcBorders>
              <w:top w:val="single" w:sz="4" w:space="0" w:color="auto"/>
              <w:left w:val="nil"/>
              <w:bottom w:val="nil"/>
              <w:right w:val="nil"/>
            </w:tcBorders>
            <w:vAlign w:val="center"/>
          </w:tcPr>
          <w:p w14:paraId="20F27683" w14:textId="77777777" w:rsidR="00490255" w:rsidRPr="004F7210" w:rsidRDefault="00490255" w:rsidP="000E4D54">
            <w:pPr>
              <w:pStyle w:val="poznmka"/>
            </w:pPr>
            <w:r w:rsidRPr="004F7210">
              <w:t>Zdroj: ŠÚ SR, MF SR</w:t>
            </w:r>
          </w:p>
        </w:tc>
        <w:tc>
          <w:tcPr>
            <w:tcW w:w="237" w:type="dxa"/>
            <w:tcBorders>
              <w:top w:val="nil"/>
              <w:left w:val="nil"/>
              <w:bottom w:val="nil"/>
              <w:right w:val="nil"/>
            </w:tcBorders>
            <w:vAlign w:val="center"/>
          </w:tcPr>
          <w:p w14:paraId="10B94979" w14:textId="77777777" w:rsidR="00490255" w:rsidRPr="004F7210" w:rsidRDefault="00490255" w:rsidP="000E4D54">
            <w:pPr>
              <w:pStyle w:val="poznmka"/>
            </w:pPr>
          </w:p>
        </w:tc>
        <w:tc>
          <w:tcPr>
            <w:tcW w:w="4448" w:type="dxa"/>
            <w:tcBorders>
              <w:top w:val="single" w:sz="4" w:space="0" w:color="auto"/>
              <w:left w:val="nil"/>
              <w:bottom w:val="nil"/>
              <w:right w:val="nil"/>
            </w:tcBorders>
            <w:vAlign w:val="center"/>
          </w:tcPr>
          <w:p w14:paraId="2F445E2E" w14:textId="77777777" w:rsidR="00490255" w:rsidRPr="004F7210" w:rsidRDefault="00490255" w:rsidP="000E4D54">
            <w:pPr>
              <w:pStyle w:val="poznmka"/>
            </w:pPr>
            <w:r w:rsidRPr="004F7210">
              <w:t>Zdroj: ŠÚ SR, MF SR</w:t>
            </w:r>
          </w:p>
        </w:tc>
      </w:tr>
    </w:tbl>
    <w:p w14:paraId="16D52F90" w14:textId="77777777" w:rsidR="00490255" w:rsidRPr="00D23961" w:rsidRDefault="00490255" w:rsidP="00490255">
      <w:pPr>
        <w:pStyle w:val="odsekzatabukou"/>
      </w:pPr>
      <w:r w:rsidRPr="00D23961">
        <w:rPr>
          <w:b/>
        </w:rPr>
        <w:t>Inflácia v tomto roku prekročí hranicu 8 %.</w:t>
      </w:r>
      <w:r w:rsidRPr="00D23961">
        <w:t xml:space="preserve"> Ceny energetických, poľnohospodárskych a iných komodít, ktoré boli vysoké už začiatkom roka, vyhnala invázia Ruska na Ukrajinu ešte vyššie. Ich nárast sa premieta najmä do cien potravín a pohonných látok, drahšie vstupy však zdvihnú aj ceny ostatných tovarov a služieb. K týmto vplyvom sa pridáva januárové zvýšenie cien energií. Na infláciu v prvej polovici tohto roku bude mať vplyv aj zvýšenia cien z minulého roku. Ide najmä o vplyv vyššej dane z tabaku, zrušenia obedov zdarma a výrazného rastu imputovaného nájomného. Tieto vplyvy by mali v priebehu roka postupne vyprchávať, inflácia však zostane vysoká v priebehu celého roka.</w:t>
      </w:r>
    </w:p>
    <w:p w14:paraId="0B8E61FC" w14:textId="22B45A4A" w:rsidR="00490255" w:rsidRPr="00D23961" w:rsidRDefault="00490255" w:rsidP="00490255">
      <w:pPr>
        <w:pStyle w:val="odsekzatabukou"/>
      </w:pPr>
      <w:r w:rsidRPr="00D23961">
        <w:rPr>
          <w:b/>
        </w:rPr>
        <w:t>Rast cien v budúcom roku dosiahne 6,5 %.</w:t>
      </w:r>
      <w:r w:rsidRPr="00D23961">
        <w:t xml:space="preserve"> Vojna na Ukrajine spolu so zvýšením dopytu po tovaroch z dôvodu pandémie výrazne zdvihla ceny budúcich kontraktov energetických komodít. To povedie k zvýšeniu cien plynu a tepla pre domácnosti aj v ro</w:t>
      </w:r>
      <w:r w:rsidR="00AA6589">
        <w:t>ku </w:t>
      </w:r>
      <w:r w:rsidR="00AA6589" w:rsidRPr="006339F5">
        <w:t>2023 (</w:t>
      </w:r>
      <w:r w:rsidR="00AA6589" w:rsidRPr="00636109">
        <w:rPr>
          <w:b/>
          <w:color w:val="2C9ADC" w:themeColor="accent1"/>
        </w:rPr>
        <w:t xml:space="preserve">BOX </w:t>
      </w:r>
      <w:r w:rsidR="006339F5" w:rsidRPr="00636109">
        <w:rPr>
          <w:b/>
          <w:color w:val="2C9ADC" w:themeColor="accent1"/>
        </w:rPr>
        <w:t>2</w:t>
      </w:r>
      <w:r w:rsidRPr="006339F5">
        <w:t>). Cena</w:t>
      </w:r>
      <w:r w:rsidRPr="00D23961">
        <w:t xml:space="preserve"> elektriny sa po dohode so Slovenskými elektrárňami zvyšovať nebude. Zároveň do ekonomiky príde impulz vo forme investícií z EÚ fondov a Plánu obnovy </w:t>
      </w:r>
      <w:r>
        <w:t>a odolnosti</w:t>
      </w:r>
      <w:r w:rsidRPr="00D23961">
        <w:t xml:space="preserve">, čo povedie k miernemu prehrievaniu ekonomiky a k rastu cien naprieč sektormi. Okrem toho sa k rastu cien pridá aj schválené ďalšie zvýšenie spotrebnej dane z tabaku. V nasledujúcich rokoch ceny energií klesnú, aj keď na vyššie úrovne ako v minulosti, čo potiahne celkovú infláciu nadol. Na strednodobom horizonte bude rast cien tlmiť aj </w:t>
      </w:r>
      <w:r>
        <w:t>plánovaná</w:t>
      </w:r>
      <w:r w:rsidRPr="00D23961">
        <w:t xml:space="preserve"> konsolidácia verejných financií.</w:t>
      </w:r>
    </w:p>
    <w:tbl>
      <w:tblPr>
        <w:tblW w:w="491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25"/>
        <w:gridCol w:w="237"/>
        <w:gridCol w:w="4447"/>
      </w:tblGrid>
      <w:tr w:rsidR="00490255" w:rsidRPr="00B32CA0" w14:paraId="44846501" w14:textId="77777777" w:rsidTr="000E4D54">
        <w:trPr>
          <w:trHeight w:val="2909"/>
          <w:jc w:val="center"/>
        </w:trPr>
        <w:tc>
          <w:tcPr>
            <w:tcW w:w="4226" w:type="dxa"/>
            <w:tcBorders>
              <w:top w:val="nil"/>
              <w:left w:val="nil"/>
              <w:bottom w:val="single" w:sz="4" w:space="0" w:color="auto"/>
              <w:right w:val="nil"/>
            </w:tcBorders>
            <w:vAlign w:val="center"/>
          </w:tcPr>
          <w:p w14:paraId="7051BCA3" w14:textId="3BEF9F53" w:rsidR="00490255" w:rsidRPr="00B32CA0" w:rsidRDefault="00490255" w:rsidP="000E4D54">
            <w:pPr>
              <w:pStyle w:val="Nadpis3"/>
              <w:pBdr>
                <w:bottom w:val="single" w:sz="4" w:space="1" w:color="auto"/>
              </w:pBdr>
              <w:jc w:val="both"/>
              <w:rPr>
                <w:rFonts w:eastAsiaTheme="minorHAnsi"/>
                <w:color w:val="2C9ADC"/>
                <w:szCs w:val="20"/>
                <w:lang w:eastAsia="en-US"/>
              </w:rPr>
            </w:pPr>
            <w:bookmarkStart w:id="55" w:name="_Toc101881929"/>
            <w:r w:rsidRPr="00B32CA0">
              <w:rPr>
                <w:rFonts w:eastAsiaTheme="minorHAnsi"/>
                <w:color w:val="2C9ADC"/>
                <w:szCs w:val="20"/>
                <w:lang w:eastAsia="en-US"/>
              </w:rPr>
              <w:t xml:space="preserve">GRAF </w:t>
            </w:r>
            <w:r w:rsidRPr="00B32CA0">
              <w:rPr>
                <w:rFonts w:eastAsiaTheme="minorHAnsi"/>
                <w:color w:val="2C9ADC"/>
                <w:szCs w:val="20"/>
                <w:lang w:eastAsia="en-US"/>
              </w:rPr>
              <w:fldChar w:fldCharType="begin"/>
            </w:r>
            <w:r w:rsidRPr="00B32CA0">
              <w:rPr>
                <w:rFonts w:eastAsiaTheme="minorHAnsi"/>
                <w:color w:val="2C9ADC"/>
                <w:szCs w:val="20"/>
                <w:lang w:eastAsia="en-US"/>
              </w:rPr>
              <w:instrText xml:space="preserve"> SEQ GRAF \* ARABIC </w:instrText>
            </w:r>
            <w:r w:rsidRPr="00B32CA0">
              <w:rPr>
                <w:rFonts w:eastAsiaTheme="minorHAnsi"/>
                <w:color w:val="2C9ADC"/>
                <w:szCs w:val="20"/>
                <w:lang w:eastAsia="en-US"/>
              </w:rPr>
              <w:fldChar w:fldCharType="separate"/>
            </w:r>
            <w:r w:rsidR="005D3280">
              <w:rPr>
                <w:rFonts w:eastAsiaTheme="minorHAnsi"/>
                <w:noProof/>
                <w:color w:val="2C9ADC"/>
                <w:szCs w:val="20"/>
                <w:lang w:eastAsia="en-US"/>
              </w:rPr>
              <w:t>5</w:t>
            </w:r>
            <w:r w:rsidRPr="00B32CA0">
              <w:rPr>
                <w:rFonts w:eastAsiaTheme="minorHAnsi"/>
                <w:color w:val="2C9ADC"/>
                <w:szCs w:val="20"/>
                <w:lang w:eastAsia="en-US"/>
              </w:rPr>
              <w:fldChar w:fldCharType="end"/>
            </w:r>
            <w:r w:rsidRPr="00B32CA0">
              <w:rPr>
                <w:rFonts w:eastAsiaTheme="minorHAnsi"/>
                <w:color w:val="2C9ADC"/>
                <w:szCs w:val="20"/>
                <w:lang w:eastAsia="en-US"/>
              </w:rPr>
              <w:t xml:space="preserve"> – Externé nerovnováhy – zložky salda bežného účtu platobnej bilancie (% HDP)</w:t>
            </w:r>
            <w:bookmarkEnd w:id="55"/>
          </w:p>
          <w:p w14:paraId="0ABEACFC" w14:textId="77777777" w:rsidR="00490255" w:rsidRPr="00B32CA0" w:rsidRDefault="00490255" w:rsidP="000E4D54">
            <w:pPr>
              <w:spacing w:before="40" w:after="40"/>
              <w:jc w:val="center"/>
              <w:rPr>
                <w:rFonts w:cs="Arial"/>
                <w:b/>
                <w:sz w:val="20"/>
                <w:szCs w:val="20"/>
              </w:rPr>
            </w:pPr>
            <w:r w:rsidRPr="00B32CA0">
              <w:rPr>
                <w:noProof/>
              </w:rPr>
              <w:drawing>
                <wp:inline distT="0" distB="0" distL="0" distR="0" wp14:anchorId="769DEB23" wp14:editId="28F63627">
                  <wp:extent cx="2594610" cy="1536065"/>
                  <wp:effectExtent l="0" t="0" r="0" b="698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37" w:type="dxa"/>
            <w:tcBorders>
              <w:top w:val="nil"/>
              <w:left w:val="nil"/>
              <w:bottom w:val="nil"/>
              <w:right w:val="nil"/>
            </w:tcBorders>
            <w:vAlign w:val="center"/>
          </w:tcPr>
          <w:p w14:paraId="4FFEE516" w14:textId="77777777" w:rsidR="00490255" w:rsidRPr="00B32CA0" w:rsidRDefault="00490255" w:rsidP="000E4D54">
            <w:pPr>
              <w:spacing w:before="40" w:after="40"/>
              <w:jc w:val="center"/>
              <w:rPr>
                <w:rFonts w:cs="Arial"/>
                <w:b/>
                <w:sz w:val="20"/>
                <w:szCs w:val="20"/>
              </w:rPr>
            </w:pPr>
          </w:p>
        </w:tc>
        <w:tc>
          <w:tcPr>
            <w:tcW w:w="4448" w:type="dxa"/>
            <w:tcBorders>
              <w:top w:val="nil"/>
              <w:left w:val="nil"/>
              <w:bottom w:val="single" w:sz="4" w:space="0" w:color="auto"/>
              <w:right w:val="nil"/>
            </w:tcBorders>
            <w:vAlign w:val="center"/>
          </w:tcPr>
          <w:p w14:paraId="00A756E9" w14:textId="2C4B0199" w:rsidR="00490255" w:rsidRPr="00B32CA0" w:rsidRDefault="00490255" w:rsidP="000E4D54">
            <w:pPr>
              <w:pStyle w:val="Nadpis3"/>
              <w:pBdr>
                <w:bottom w:val="single" w:sz="4" w:space="1" w:color="auto"/>
              </w:pBdr>
              <w:jc w:val="both"/>
              <w:rPr>
                <w:rFonts w:eastAsiaTheme="minorHAnsi"/>
                <w:color w:val="2C9ADC"/>
                <w:szCs w:val="20"/>
                <w:lang w:eastAsia="en-US"/>
              </w:rPr>
            </w:pPr>
            <w:bookmarkStart w:id="56" w:name="_Toc101881930"/>
            <w:r w:rsidRPr="00B32CA0">
              <w:rPr>
                <w:rFonts w:eastAsiaTheme="minorHAnsi"/>
                <w:color w:val="2C9ADC"/>
                <w:szCs w:val="20"/>
                <w:lang w:eastAsia="en-US"/>
              </w:rPr>
              <w:t xml:space="preserve">GRAF </w:t>
            </w:r>
            <w:r w:rsidRPr="00B32CA0">
              <w:rPr>
                <w:rFonts w:eastAsiaTheme="minorHAnsi"/>
                <w:color w:val="2C9ADC"/>
                <w:szCs w:val="20"/>
                <w:lang w:eastAsia="en-US"/>
              </w:rPr>
              <w:fldChar w:fldCharType="begin"/>
            </w:r>
            <w:r w:rsidRPr="00B32CA0">
              <w:rPr>
                <w:rFonts w:eastAsiaTheme="minorHAnsi"/>
                <w:color w:val="2C9ADC"/>
                <w:szCs w:val="20"/>
                <w:lang w:eastAsia="en-US"/>
              </w:rPr>
              <w:instrText xml:space="preserve"> SEQ GRAF \* ARABIC </w:instrText>
            </w:r>
            <w:r w:rsidRPr="00B32CA0">
              <w:rPr>
                <w:rFonts w:eastAsiaTheme="minorHAnsi"/>
                <w:color w:val="2C9ADC"/>
                <w:szCs w:val="20"/>
                <w:lang w:eastAsia="en-US"/>
              </w:rPr>
              <w:fldChar w:fldCharType="separate"/>
            </w:r>
            <w:r w:rsidR="005D3280">
              <w:rPr>
                <w:rFonts w:eastAsiaTheme="minorHAnsi"/>
                <w:noProof/>
                <w:color w:val="2C9ADC"/>
                <w:szCs w:val="20"/>
                <w:lang w:eastAsia="en-US"/>
              </w:rPr>
              <w:t>6</w:t>
            </w:r>
            <w:r w:rsidRPr="00B32CA0">
              <w:rPr>
                <w:rFonts w:eastAsiaTheme="minorHAnsi"/>
                <w:color w:val="2C9ADC"/>
                <w:szCs w:val="20"/>
                <w:lang w:eastAsia="en-US"/>
              </w:rPr>
              <w:fldChar w:fldCharType="end"/>
            </w:r>
            <w:r w:rsidRPr="00B32CA0">
              <w:rPr>
                <w:rFonts w:eastAsiaTheme="minorHAnsi"/>
                <w:color w:val="2C9ADC"/>
                <w:szCs w:val="20"/>
                <w:lang w:eastAsia="en-US"/>
              </w:rPr>
              <w:t xml:space="preserve"> – Štruktúra spotrebiteľskej inflácie – medziročné príspevky zložiek k CPI (v p. b.)</w:t>
            </w:r>
            <w:bookmarkEnd w:id="56"/>
          </w:p>
          <w:p w14:paraId="2EBDDAEC" w14:textId="77777777" w:rsidR="00490255" w:rsidRPr="00B32CA0" w:rsidRDefault="00490255" w:rsidP="000E4D54">
            <w:pPr>
              <w:spacing w:before="40" w:after="40"/>
              <w:jc w:val="center"/>
              <w:rPr>
                <w:rFonts w:cs="Arial"/>
                <w:b/>
                <w:sz w:val="20"/>
                <w:szCs w:val="20"/>
              </w:rPr>
            </w:pPr>
            <w:r w:rsidRPr="00B32CA0">
              <w:rPr>
                <w:noProof/>
              </w:rPr>
              <w:drawing>
                <wp:inline distT="0" distB="0" distL="0" distR="0" wp14:anchorId="32D499E1" wp14:editId="1B9FB000">
                  <wp:extent cx="2735580" cy="1546028"/>
                  <wp:effectExtent l="0" t="0" r="762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90255" w:rsidRPr="000F7810" w14:paraId="77DA9F45" w14:textId="77777777" w:rsidTr="000E4D54">
        <w:trPr>
          <w:trHeight w:val="121"/>
          <w:jc w:val="center"/>
        </w:trPr>
        <w:tc>
          <w:tcPr>
            <w:tcW w:w="4226" w:type="dxa"/>
            <w:tcBorders>
              <w:top w:val="single" w:sz="4" w:space="0" w:color="auto"/>
              <w:left w:val="nil"/>
              <w:bottom w:val="nil"/>
              <w:right w:val="nil"/>
            </w:tcBorders>
            <w:vAlign w:val="center"/>
          </w:tcPr>
          <w:p w14:paraId="2623B177" w14:textId="77777777" w:rsidR="00490255" w:rsidRPr="00B32CA0" w:rsidRDefault="00490255" w:rsidP="000E4D54">
            <w:pPr>
              <w:pStyle w:val="poznmka"/>
            </w:pPr>
            <w:r w:rsidRPr="00B32CA0">
              <w:t>Zdroj: NBS, MF SR</w:t>
            </w:r>
          </w:p>
        </w:tc>
        <w:tc>
          <w:tcPr>
            <w:tcW w:w="237" w:type="dxa"/>
            <w:tcBorders>
              <w:top w:val="nil"/>
              <w:left w:val="nil"/>
              <w:bottom w:val="nil"/>
              <w:right w:val="nil"/>
            </w:tcBorders>
            <w:vAlign w:val="center"/>
          </w:tcPr>
          <w:p w14:paraId="425BF926" w14:textId="77777777" w:rsidR="00490255" w:rsidRPr="00B32CA0" w:rsidRDefault="00490255" w:rsidP="000E4D54">
            <w:pPr>
              <w:pStyle w:val="poznmka"/>
            </w:pPr>
          </w:p>
        </w:tc>
        <w:tc>
          <w:tcPr>
            <w:tcW w:w="4448" w:type="dxa"/>
            <w:tcBorders>
              <w:top w:val="single" w:sz="4" w:space="0" w:color="auto"/>
              <w:left w:val="nil"/>
              <w:bottom w:val="nil"/>
              <w:right w:val="nil"/>
            </w:tcBorders>
            <w:vAlign w:val="center"/>
          </w:tcPr>
          <w:p w14:paraId="5D71F541" w14:textId="77777777" w:rsidR="00490255" w:rsidRPr="00B32CA0" w:rsidRDefault="00490255" w:rsidP="000E4D54">
            <w:pPr>
              <w:pStyle w:val="poznmka"/>
            </w:pPr>
            <w:r w:rsidRPr="00B32CA0">
              <w:t>Zdroj: ŠÚ SR, MF SR</w:t>
            </w:r>
          </w:p>
        </w:tc>
      </w:tr>
    </w:tbl>
    <w:p w14:paraId="191D000C" w14:textId="77777777" w:rsidR="00490255" w:rsidRPr="000F7810" w:rsidRDefault="00490255" w:rsidP="00490255">
      <w:pPr>
        <w:spacing w:after="120"/>
        <w:jc w:val="both"/>
        <w:rPr>
          <w:rFonts w:eastAsia="NeueHaasGroteskText W02" w:cs="Arial"/>
          <w:bCs/>
          <w:szCs w:val="20"/>
          <w:highlight w:val="yellow"/>
        </w:rPr>
      </w:pPr>
    </w:p>
    <w:tbl>
      <w:tblPr>
        <w:tblpPr w:leftFromText="142" w:rightFromText="142" w:vertAnchor="text" w:horzAnchor="margin" w:tblpXSpec="center" w:tblpY="1"/>
        <w:tblOverlap w:val="never"/>
        <w:tblW w:w="9072" w:type="dxa"/>
        <w:tblBorders>
          <w:insideH w:val="single" w:sz="4" w:space="0" w:color="auto"/>
          <w:insideV w:val="single" w:sz="4" w:space="0" w:color="auto"/>
        </w:tblBorders>
        <w:shd w:val="clear" w:color="auto" w:fill="AAD3F2"/>
        <w:tblLayout w:type="fixed"/>
        <w:tblCellMar>
          <w:left w:w="70" w:type="dxa"/>
          <w:right w:w="70" w:type="dxa"/>
        </w:tblCellMar>
        <w:tblLook w:val="01E0" w:firstRow="1" w:lastRow="1" w:firstColumn="1" w:lastColumn="1" w:noHBand="0" w:noVBand="0"/>
      </w:tblPr>
      <w:tblGrid>
        <w:gridCol w:w="9072"/>
      </w:tblGrid>
      <w:tr w:rsidR="00490255" w:rsidRPr="000F7810" w14:paraId="23395DF2" w14:textId="77777777" w:rsidTr="000E4D54">
        <w:trPr>
          <w:trHeight w:val="1276"/>
        </w:trPr>
        <w:tc>
          <w:tcPr>
            <w:tcW w:w="9072" w:type="dxa"/>
            <w:shd w:val="clear" w:color="auto" w:fill="AAD3F2"/>
            <w:vAlign w:val="center"/>
          </w:tcPr>
          <w:p w14:paraId="08978815" w14:textId="68E41451" w:rsidR="00490255" w:rsidRPr="00F776A8" w:rsidRDefault="00490255" w:rsidP="000E4D54">
            <w:pPr>
              <w:spacing w:after="120"/>
              <w:ind w:right="1015"/>
              <w:jc w:val="both"/>
              <w:rPr>
                <w:rFonts w:eastAsia="NeueHaasGroteskText W02" w:cs="Arial"/>
                <w:b/>
                <w:bCs/>
                <w:color w:val="2C9ADC"/>
                <w:szCs w:val="24"/>
                <w:u w:color="2C9ADC"/>
              </w:rPr>
            </w:pPr>
            <w:bookmarkStart w:id="57" w:name="_Toc101880473"/>
            <w:r w:rsidRPr="00F776A8">
              <w:rPr>
                <w:b/>
                <w:color w:val="2C9ADC" w:themeColor="accent1"/>
                <w:szCs w:val="24"/>
              </w:rPr>
              <w:t xml:space="preserve">BOX </w:t>
            </w:r>
            <w:r w:rsidRPr="00F776A8">
              <w:rPr>
                <w:b/>
                <w:color w:val="2C9ADC" w:themeColor="accent1"/>
                <w:szCs w:val="24"/>
              </w:rPr>
              <w:fldChar w:fldCharType="begin"/>
            </w:r>
            <w:r w:rsidRPr="00F776A8">
              <w:rPr>
                <w:b/>
                <w:color w:val="2C9ADC" w:themeColor="accent1"/>
                <w:szCs w:val="24"/>
              </w:rPr>
              <w:instrText xml:space="preserve"> SEQ BOX \* ARABIC </w:instrText>
            </w:r>
            <w:r w:rsidRPr="00F776A8">
              <w:rPr>
                <w:b/>
                <w:color w:val="2C9ADC" w:themeColor="accent1"/>
                <w:szCs w:val="24"/>
              </w:rPr>
              <w:fldChar w:fldCharType="separate"/>
            </w:r>
            <w:r w:rsidR="005D3280">
              <w:rPr>
                <w:b/>
                <w:noProof/>
                <w:color w:val="2C9ADC" w:themeColor="accent1"/>
                <w:szCs w:val="24"/>
              </w:rPr>
              <w:t>2</w:t>
            </w:r>
            <w:r w:rsidRPr="00F776A8">
              <w:rPr>
                <w:b/>
                <w:color w:val="2C9ADC" w:themeColor="accent1"/>
                <w:szCs w:val="24"/>
              </w:rPr>
              <w:fldChar w:fldCharType="end"/>
            </w:r>
            <w:r w:rsidRPr="00F776A8">
              <w:rPr>
                <w:b/>
                <w:color w:val="2C9ADC" w:themeColor="accent1"/>
                <w:szCs w:val="24"/>
              </w:rPr>
              <w:t xml:space="preserve"> – </w:t>
            </w:r>
            <w:r w:rsidRPr="00F776A8">
              <w:rPr>
                <w:rFonts w:eastAsia="NeueHaasGroteskText W02" w:cs="Arial"/>
                <w:b/>
                <w:bCs/>
                <w:color w:val="2C9ADC"/>
                <w:szCs w:val="24"/>
                <w:u w:color="2C9ADC"/>
              </w:rPr>
              <w:t>Predpoklady externého prostredia</w:t>
            </w:r>
            <w:bookmarkEnd w:id="57"/>
            <w:r w:rsidRPr="00F776A8">
              <w:rPr>
                <w:rFonts w:eastAsia="NeueHaasGroteskText W02" w:cs="Arial"/>
                <w:b/>
                <w:bCs/>
                <w:color w:val="2C9ADC"/>
                <w:szCs w:val="24"/>
                <w:u w:color="2C9ADC"/>
              </w:rPr>
              <w:t xml:space="preserve"> </w:t>
            </w:r>
          </w:p>
          <w:p w14:paraId="384C3830" w14:textId="043452D5" w:rsidR="00490255" w:rsidRPr="00B64FCD" w:rsidRDefault="00490255" w:rsidP="000E4D54">
            <w:pPr>
              <w:widowControl w:val="0"/>
              <w:tabs>
                <w:tab w:val="right" w:pos="9531"/>
              </w:tabs>
              <w:ind w:right="34"/>
              <w:jc w:val="both"/>
              <w:rPr>
                <w:rFonts w:eastAsia="NeueHaasGroteskText W02" w:cs="Arial"/>
                <w:bCs/>
              </w:rPr>
            </w:pPr>
            <w:r w:rsidRPr="00B64FCD">
              <w:rPr>
                <w:rFonts w:eastAsia="NeueHaasGroteskText W02" w:cs="Arial"/>
                <w:b/>
                <w:bCs/>
              </w:rPr>
              <w:t xml:space="preserve">Akciové trhy prekonávali koncom roka 2021 nové historické maximá. </w:t>
            </w:r>
            <w:r w:rsidRPr="00B64FCD">
              <w:rPr>
                <w:rFonts w:eastAsia="NeueHaasGroteskText W02" w:cs="Arial"/>
                <w:bCs/>
              </w:rPr>
              <w:t xml:space="preserve">Investori kládli menší význam hrozbám mutácií koronavírusu a sústredili sa skôr na pozitívne informácie o rýchlom očkovaní vo viacerých krajinách. Prudšiu reakciu na finančných trhoch </w:t>
            </w:r>
            <w:r w:rsidRPr="006339F5">
              <w:rPr>
                <w:rFonts w:eastAsia="NeueHaasGroteskText W02" w:cs="Arial"/>
                <w:bCs/>
              </w:rPr>
              <w:t>vyvolala až invázia Ruska na Ukrajinu, pričom hĺbka prepadu akciových trhov bola nerovnomerná v závislosti od regiónu (</w:t>
            </w:r>
            <w:r w:rsidRPr="00636109">
              <w:rPr>
                <w:rFonts w:cs="Times New Roman"/>
                <w:b/>
                <w:color w:val="2C9ADC" w:themeColor="accent1"/>
              </w:rPr>
              <w:t xml:space="preserve">GRAF </w:t>
            </w:r>
            <w:r w:rsidR="006339F5" w:rsidRPr="00636109">
              <w:rPr>
                <w:rFonts w:cs="Times New Roman"/>
                <w:b/>
                <w:color w:val="2C9ADC" w:themeColor="accent1"/>
              </w:rPr>
              <w:t>7</w:t>
            </w:r>
            <w:r w:rsidRPr="006339F5">
              <w:rPr>
                <w:rFonts w:eastAsia="NeueHaasGroteskText W02" w:cs="Arial"/>
                <w:bCs/>
              </w:rPr>
              <w:t>). Najviac</w:t>
            </w:r>
            <w:r w:rsidRPr="00B64FCD">
              <w:rPr>
                <w:rFonts w:eastAsia="NeueHaasGroteskText W02" w:cs="Arial"/>
                <w:bCs/>
              </w:rPr>
              <w:t xml:space="preserve"> strácali európske trhy, kým akciové trhy v Amerike a Ázii zareagovali len mierne. Investori v Európe reagovali citlivo najmä na diskusie o sankciách voči Rusku. Akciové trhy však v nasledujúcich dňoch veľkú časť pôvodných strát napokon zmazali.</w:t>
            </w:r>
          </w:p>
          <w:p w14:paraId="5F1469DE" w14:textId="77777777" w:rsidR="00490255" w:rsidRPr="00B64FCD" w:rsidRDefault="00490255" w:rsidP="000E4D54">
            <w:pPr>
              <w:widowControl w:val="0"/>
              <w:tabs>
                <w:tab w:val="right" w:pos="9531"/>
              </w:tabs>
              <w:ind w:right="34"/>
              <w:jc w:val="both"/>
              <w:rPr>
                <w:rFonts w:eastAsia="NeueHaasGroteskText W02" w:cs="Arial"/>
                <w:bCs/>
              </w:rPr>
            </w:pPr>
          </w:p>
          <w:p w14:paraId="2D2E6116" w14:textId="6645E279" w:rsidR="00490255" w:rsidRPr="00B64FCD" w:rsidRDefault="00490255" w:rsidP="000E4D54">
            <w:pPr>
              <w:widowControl w:val="0"/>
              <w:tabs>
                <w:tab w:val="right" w:pos="9531"/>
              </w:tabs>
              <w:ind w:right="34"/>
              <w:jc w:val="both"/>
              <w:rPr>
                <w:rFonts w:eastAsia="NeueHaasGroteskText W02" w:cs="Arial"/>
                <w:bCs/>
              </w:rPr>
            </w:pPr>
            <w:r w:rsidRPr="00B64FCD">
              <w:rPr>
                <w:rFonts w:eastAsia="NeueHaasGroteskText W02" w:cs="Arial"/>
                <w:b/>
                <w:bCs/>
              </w:rPr>
              <w:t>Euro v dôsledku vysokej inflácie v USA a očakávanému sprísneniu monetárnej politiky amerického FEDu oslabovalo v roku 2021 voči americkému doláru</w:t>
            </w:r>
            <w:r w:rsidRPr="00B64FCD">
              <w:rPr>
                <w:rFonts w:eastAsia="NeueHaasGroteskText W02" w:cs="Arial"/>
                <w:bCs/>
              </w:rPr>
              <w:t xml:space="preserve">. V reakcii na hrozbu sankcii voči Rusku sa oslabovanie ešte prehĺbilo, no postupne sa jeho kurz čiastočne zvýšil. Cena ropy Brent rástla najmä v závere roka 2021, no po útoku na Ukrajinu v priebehu niekoľkých dní stúpla o viac ako 30 % a dostala sa blízko k 130 USD/bl. V nasledujúcich dňoch však cena komodity opäť klesla pod 100 USD/bl., keď predstavitelia EÚ odmietli okamžité odstrihnutie sa od ruských </w:t>
            </w:r>
            <w:r w:rsidRPr="006339F5">
              <w:rPr>
                <w:rFonts w:eastAsia="NeueHaasGroteskText W02" w:cs="Arial"/>
                <w:bCs/>
              </w:rPr>
              <w:t xml:space="preserve">energií </w:t>
            </w:r>
            <w:r w:rsidRPr="00636109">
              <w:rPr>
                <w:rFonts w:eastAsia="NeueHaasGroteskText W02" w:cs="Arial"/>
                <w:bCs/>
              </w:rPr>
              <w:t>(</w:t>
            </w:r>
            <w:r w:rsidRPr="00636109">
              <w:rPr>
                <w:rFonts w:cs="Times New Roman"/>
                <w:b/>
                <w:color w:val="2C9ADC" w:themeColor="accent1"/>
              </w:rPr>
              <w:t xml:space="preserve">GRAF </w:t>
            </w:r>
            <w:r w:rsidR="006339F5">
              <w:rPr>
                <w:rFonts w:cs="Times New Roman"/>
                <w:b/>
                <w:color w:val="2C9ADC" w:themeColor="accent1"/>
              </w:rPr>
              <w:t>8</w:t>
            </w:r>
            <w:r w:rsidRPr="00636109">
              <w:rPr>
                <w:rFonts w:eastAsia="NeueHaasGroteskText W02" w:cs="Arial"/>
                <w:bCs/>
              </w:rPr>
              <w:t>)</w:t>
            </w:r>
            <w:r w:rsidRPr="006339F5">
              <w:rPr>
                <w:rFonts w:eastAsia="NeueHaasGroteskText W02" w:cs="Arial"/>
                <w:bCs/>
              </w:rPr>
              <w:t>.</w:t>
            </w:r>
            <w:r w:rsidRPr="00B64FCD">
              <w:rPr>
                <w:rFonts w:eastAsia="NeueHaasGroteskText W02" w:cs="Arial"/>
                <w:bCs/>
              </w:rPr>
              <w:t xml:space="preserve"> </w:t>
            </w:r>
          </w:p>
          <w:p w14:paraId="674F50FF" w14:textId="77777777" w:rsidR="00490255" w:rsidRPr="00B64FCD" w:rsidRDefault="00490255" w:rsidP="000E4D54">
            <w:pPr>
              <w:widowControl w:val="0"/>
              <w:tabs>
                <w:tab w:val="right" w:pos="9531"/>
              </w:tabs>
              <w:ind w:right="34"/>
              <w:jc w:val="both"/>
              <w:rPr>
                <w:rFonts w:eastAsia="NeueHaasGroteskText W02" w:cs="Arial"/>
                <w:bCs/>
              </w:rPr>
            </w:pPr>
          </w:p>
          <w:p w14:paraId="68E335D4" w14:textId="77777777" w:rsidR="00490255" w:rsidRPr="00B64FCD" w:rsidRDefault="00490255" w:rsidP="000E4D54">
            <w:pPr>
              <w:widowControl w:val="0"/>
              <w:tabs>
                <w:tab w:val="right" w:pos="9531"/>
              </w:tabs>
              <w:ind w:right="34"/>
              <w:jc w:val="both"/>
              <w:rPr>
                <w:rFonts w:eastAsia="NeueHaasGroteskText W02" w:cs="Arial"/>
                <w:bCs/>
              </w:rPr>
            </w:pPr>
            <w:r w:rsidRPr="00B64FCD">
              <w:rPr>
                <w:rFonts w:eastAsia="NeueHaasGroteskText W02" w:cs="Arial"/>
                <w:b/>
                <w:bCs/>
              </w:rPr>
              <w:t>Prudké zdraženie energií vyvolalo dodatočné inflačné tlaky</w:t>
            </w:r>
            <w:r w:rsidRPr="00B64FCD">
              <w:rPr>
                <w:rFonts w:eastAsia="NeueHaasGroteskText W02" w:cs="Arial"/>
                <w:bCs/>
              </w:rPr>
              <w:t xml:space="preserve">, ktoré boli silné už pred vojnovým konfliktom najmä kvôli úzkym hrdlám v dodávateľských reťazcoch. Úzke hrdlá aj kvôli vojnovému konfliktu začnú poľavovať o čosi neskôr ako sa pôvodne očakávalo. Inflácia v eurozóne pravdepodobne prekročí úroveň 5% v roku 2022, čo zvyšuje tlak na rýchlejšie sprísnenie monetárnej politiky ECB. </w:t>
            </w:r>
          </w:p>
          <w:p w14:paraId="6F94F522" w14:textId="77777777" w:rsidR="00490255" w:rsidRPr="00B64FCD" w:rsidRDefault="00490255" w:rsidP="000E4D54">
            <w:pPr>
              <w:widowControl w:val="0"/>
              <w:tabs>
                <w:tab w:val="right" w:pos="9531"/>
              </w:tabs>
              <w:ind w:right="34"/>
              <w:jc w:val="both"/>
              <w:rPr>
                <w:rFonts w:eastAsia="NeueHaasGroteskText W02" w:cs="Arial"/>
                <w:bCs/>
              </w:rPr>
            </w:pPr>
          </w:p>
          <w:p w14:paraId="408D0181" w14:textId="77777777" w:rsidR="00490255" w:rsidRPr="00B64FCD" w:rsidRDefault="00490255" w:rsidP="000E4D54">
            <w:pPr>
              <w:widowControl w:val="0"/>
              <w:tabs>
                <w:tab w:val="right" w:pos="9531"/>
              </w:tabs>
              <w:ind w:right="34"/>
              <w:jc w:val="both"/>
              <w:rPr>
                <w:rFonts w:eastAsia="NeueHaasGroteskText W02" w:cs="Arial"/>
                <w:bCs/>
              </w:rPr>
            </w:pPr>
            <w:r w:rsidRPr="00B64FCD">
              <w:rPr>
                <w:rFonts w:eastAsia="NeueHaasGroteskText W02" w:cs="Arial"/>
                <w:b/>
                <w:bCs/>
              </w:rPr>
              <w:t>Ukončenie pandemického nákupu aktív plánuje ECB v súlade s očakávaniami na marec 2022, pričom prvé zvyšovanie kľúčovej sadzby sa očakáva už v roku 2022</w:t>
            </w:r>
            <w:r w:rsidRPr="00B64FCD">
              <w:rPr>
                <w:rFonts w:eastAsia="NeueHaasGroteskText W02" w:cs="Arial"/>
                <w:bCs/>
              </w:rPr>
              <w:t>. Očakávania prísnejších politík tlačia výnosy dlhopisov v Nemecku aj na Slovensku smerom nahor. Americká centrálna banka Fed zvýšila v polovici marca rozpätie svojho kľúčového úroku o štvrť percentného bodu na 0,25 až 0,5 %. Očakáva sa aj postupné znižovanie objemu mimoriadne nafúknutej súvahy americkej centrálnej banky.</w:t>
            </w:r>
          </w:p>
          <w:p w14:paraId="7C7F77EB" w14:textId="77777777" w:rsidR="00490255" w:rsidRPr="00B64FCD" w:rsidRDefault="00490255" w:rsidP="000E4D54">
            <w:pPr>
              <w:widowControl w:val="0"/>
              <w:tabs>
                <w:tab w:val="right" w:pos="9531"/>
              </w:tabs>
              <w:ind w:right="34"/>
              <w:jc w:val="both"/>
              <w:rPr>
                <w:rFonts w:eastAsia="NeueHaasGroteskText W02" w:cs="Arial"/>
                <w:bCs/>
              </w:rPr>
            </w:pPr>
          </w:p>
          <w:p w14:paraId="41286C34" w14:textId="77777777" w:rsidR="00490255" w:rsidRPr="00B64FCD" w:rsidRDefault="00490255" w:rsidP="000E4D54">
            <w:pPr>
              <w:widowControl w:val="0"/>
              <w:tabs>
                <w:tab w:val="right" w:pos="9531"/>
              </w:tabs>
              <w:ind w:right="34"/>
              <w:jc w:val="both"/>
              <w:rPr>
                <w:rFonts w:eastAsia="NeueHaasGroteskText W02" w:cs="Arial"/>
                <w:bCs/>
              </w:rPr>
            </w:pPr>
            <w:r w:rsidRPr="00B64FCD">
              <w:rPr>
                <w:rFonts w:eastAsia="NeueHaasGroteskText W02" w:cs="Arial"/>
                <w:b/>
                <w:bCs/>
              </w:rPr>
              <w:t>Obchod s Ruskom je pomerne nízky, avšak Rusko je pre krajiny EÚ významným dodávateľom zemného plynu.</w:t>
            </w:r>
            <w:r w:rsidRPr="00B64FCD">
              <w:rPr>
                <w:rFonts w:eastAsia="NeueHaasGroteskText W02" w:cs="Arial"/>
                <w:bCs/>
              </w:rPr>
              <w:t xml:space="preserve"> Vojnový konflikt obmedzuje zahraničný obchod jednotlivých krajín priamym obchodným kanálom s Ruskom a nepriamo cez dodávateľské reťazce. Keďže obchod s Ruskom je pomerne nízky, obmedzenie obchodovania s Ruskom nie je pre našich najbližších obchodných partnerov významnou hrozbou. Zahraničný dopyt by preto nemal prudko klesnúť. Priamy export zo Slovenska do Ruska, Ukrajiny a Bieloruska tvorí približne 2,5 % celkového exportu. Aj keď ekonomika EÚ nie je ekonomicky závislá od Ruska, Rusko je pre krajiny EÚ významným dodávateľom zemného plynu. Keďže krajiny V4 dovážajú väčšinu svojho zemného plynu z Ruska (v prípade Slovenska je to takmer 100 %), sú voči Rusku oveľa exponovanejšie.</w:t>
            </w:r>
          </w:p>
          <w:p w14:paraId="46CBEE37" w14:textId="77777777" w:rsidR="00490255" w:rsidRDefault="00490255" w:rsidP="000E4D54">
            <w:pPr>
              <w:widowControl w:val="0"/>
              <w:tabs>
                <w:tab w:val="right" w:pos="9531"/>
              </w:tabs>
              <w:ind w:right="34"/>
              <w:jc w:val="both"/>
              <w:rPr>
                <w:rFonts w:eastAsia="NeueHaasGroteskText W02" w:cs="Arial"/>
                <w:bCs/>
                <w:sz w:val="20"/>
                <w:szCs w:val="20"/>
              </w:rPr>
            </w:pPr>
          </w:p>
          <w:tbl>
            <w:tblPr>
              <w:tblpPr w:leftFromText="141" w:rightFromText="141" w:vertAnchor="text" w:horzAnchor="margin" w:tblpY="61"/>
              <w:tblOverlap w:val="never"/>
              <w:tblW w:w="49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35"/>
              <w:gridCol w:w="179"/>
              <w:gridCol w:w="4461"/>
            </w:tblGrid>
            <w:tr w:rsidR="00490255" w:rsidRPr="000F7810" w14:paraId="1A2972CA" w14:textId="77777777" w:rsidTr="000E4D54">
              <w:trPr>
                <w:trHeight w:val="359"/>
              </w:trPr>
              <w:tc>
                <w:tcPr>
                  <w:tcW w:w="2386" w:type="pct"/>
                  <w:tcBorders>
                    <w:top w:val="nil"/>
                    <w:left w:val="nil"/>
                    <w:bottom w:val="single" w:sz="4" w:space="0" w:color="auto"/>
                    <w:right w:val="nil"/>
                  </w:tcBorders>
                  <w:shd w:val="clear" w:color="auto" w:fill="auto"/>
                  <w:vAlign w:val="center"/>
                </w:tcPr>
                <w:p w14:paraId="187EA054" w14:textId="190A8DB1" w:rsidR="00490255" w:rsidRPr="00FC7125" w:rsidRDefault="00490255" w:rsidP="000E4D54">
                  <w:pPr>
                    <w:pStyle w:val="Nadpis3"/>
                    <w:rPr>
                      <w:szCs w:val="20"/>
                    </w:rPr>
                  </w:pPr>
                  <w:bookmarkStart w:id="58" w:name="_Toc101881931"/>
                  <w:r w:rsidRPr="00FC7125">
                    <w:rPr>
                      <w:rFonts w:eastAsiaTheme="minorHAnsi"/>
                      <w:color w:val="2C9ADC"/>
                      <w:szCs w:val="20"/>
                      <w:lang w:eastAsia="en-US"/>
                    </w:rPr>
                    <w:t xml:space="preserve">GRAF </w:t>
                  </w:r>
                  <w:r w:rsidRPr="00FC7125">
                    <w:rPr>
                      <w:rFonts w:eastAsiaTheme="minorHAnsi"/>
                      <w:color w:val="2C9ADC"/>
                      <w:szCs w:val="20"/>
                      <w:lang w:eastAsia="en-US"/>
                    </w:rPr>
                    <w:fldChar w:fldCharType="begin"/>
                  </w:r>
                  <w:r w:rsidRPr="00FC7125">
                    <w:rPr>
                      <w:rFonts w:eastAsiaTheme="minorHAnsi"/>
                      <w:color w:val="2C9ADC"/>
                      <w:szCs w:val="20"/>
                      <w:lang w:eastAsia="en-US"/>
                    </w:rPr>
                    <w:instrText xml:space="preserve"> SEQ GRAF \* ARABIC </w:instrText>
                  </w:r>
                  <w:r w:rsidRPr="00FC7125">
                    <w:rPr>
                      <w:rFonts w:eastAsiaTheme="minorHAnsi"/>
                      <w:color w:val="2C9ADC"/>
                      <w:szCs w:val="20"/>
                      <w:lang w:eastAsia="en-US"/>
                    </w:rPr>
                    <w:fldChar w:fldCharType="separate"/>
                  </w:r>
                  <w:r w:rsidR="005D3280">
                    <w:rPr>
                      <w:rFonts w:eastAsiaTheme="minorHAnsi"/>
                      <w:noProof/>
                      <w:color w:val="2C9ADC"/>
                      <w:szCs w:val="20"/>
                      <w:lang w:eastAsia="en-US"/>
                    </w:rPr>
                    <w:t>7</w:t>
                  </w:r>
                  <w:r w:rsidRPr="00FC7125">
                    <w:rPr>
                      <w:rFonts w:eastAsiaTheme="minorHAnsi"/>
                      <w:color w:val="2C9ADC"/>
                      <w:szCs w:val="20"/>
                      <w:lang w:eastAsia="en-US"/>
                    </w:rPr>
                    <w:fldChar w:fldCharType="end"/>
                  </w:r>
                  <w:r w:rsidRPr="00FC7125">
                    <w:rPr>
                      <w:rFonts w:eastAsiaTheme="minorHAnsi"/>
                      <w:color w:val="2C9ADC"/>
                      <w:szCs w:val="20"/>
                      <w:lang w:eastAsia="en-US"/>
                    </w:rPr>
                    <w:t xml:space="preserve"> – </w:t>
                  </w:r>
                  <w:r w:rsidRPr="00FC7125">
                    <w:t xml:space="preserve"> </w:t>
                  </w:r>
                  <w:r w:rsidRPr="00FC7125">
                    <w:rPr>
                      <w:rFonts w:eastAsiaTheme="minorHAnsi"/>
                      <w:color w:val="2C9ADC" w:themeColor="accent1"/>
                      <w:szCs w:val="20"/>
                      <w:lang w:eastAsia="en-US"/>
                    </w:rPr>
                    <w:t>Reakcia akciových trhov (23.feb = 1</w:t>
                  </w:r>
                  <w:bookmarkEnd w:id="58"/>
                </w:p>
              </w:tc>
              <w:tc>
                <w:tcPr>
                  <w:tcW w:w="101" w:type="pct"/>
                  <w:tcBorders>
                    <w:top w:val="nil"/>
                    <w:left w:val="nil"/>
                    <w:bottom w:val="nil"/>
                    <w:right w:val="nil"/>
                  </w:tcBorders>
                  <w:shd w:val="clear" w:color="auto" w:fill="auto"/>
                  <w:vAlign w:val="center"/>
                </w:tcPr>
                <w:p w14:paraId="4CD98304" w14:textId="77777777" w:rsidR="00490255" w:rsidRPr="00FC7125" w:rsidRDefault="00490255" w:rsidP="000E4D54">
                  <w:pPr>
                    <w:spacing w:before="60" w:after="60"/>
                    <w:rPr>
                      <w:rFonts w:ascii="NeueHaasGroteskDisp W02 Bd" w:hAnsi="NeueHaasGroteskDisp W02 Bd" w:cs="Arial"/>
                      <w:b/>
                      <w:color w:val="2C9ADC"/>
                      <w:sz w:val="18"/>
                      <w:szCs w:val="18"/>
                    </w:rPr>
                  </w:pPr>
                </w:p>
              </w:tc>
              <w:tc>
                <w:tcPr>
                  <w:tcW w:w="2513" w:type="pct"/>
                  <w:tcBorders>
                    <w:top w:val="nil"/>
                    <w:left w:val="nil"/>
                    <w:bottom w:val="single" w:sz="4" w:space="0" w:color="auto"/>
                    <w:right w:val="nil"/>
                  </w:tcBorders>
                  <w:shd w:val="clear" w:color="auto" w:fill="auto"/>
                  <w:vAlign w:val="center"/>
                </w:tcPr>
                <w:p w14:paraId="4F841BC0" w14:textId="6D290F31" w:rsidR="00490255" w:rsidRPr="00FC7125" w:rsidRDefault="00490255" w:rsidP="000E4D54">
                  <w:pPr>
                    <w:spacing w:before="40" w:after="40"/>
                    <w:rPr>
                      <w:rFonts w:ascii="NeueHaasGroteskDisp W02 Bd" w:hAnsi="NeueHaasGroteskDisp W02 Bd" w:cs="Arial"/>
                      <w:b/>
                      <w:color w:val="2C9ADC"/>
                      <w:sz w:val="20"/>
                      <w:szCs w:val="20"/>
                    </w:rPr>
                  </w:pPr>
                  <w:bookmarkStart w:id="59" w:name="_Toc101881932"/>
                  <w:r w:rsidRPr="00FC7125">
                    <w:rPr>
                      <w:rFonts w:eastAsiaTheme="minorHAnsi"/>
                      <w:b/>
                      <w:color w:val="2C9ADC"/>
                      <w:sz w:val="20"/>
                      <w:szCs w:val="20"/>
                      <w:lang w:eastAsia="en-US"/>
                    </w:rPr>
                    <w:t xml:space="preserve">GRAF </w:t>
                  </w:r>
                  <w:r w:rsidRPr="00FC7125">
                    <w:rPr>
                      <w:rFonts w:eastAsiaTheme="minorHAnsi"/>
                      <w:b/>
                      <w:color w:val="2C9ADC"/>
                      <w:sz w:val="20"/>
                      <w:szCs w:val="20"/>
                      <w:lang w:eastAsia="en-US"/>
                    </w:rPr>
                    <w:fldChar w:fldCharType="begin"/>
                  </w:r>
                  <w:r w:rsidRPr="00FC7125">
                    <w:rPr>
                      <w:rFonts w:eastAsiaTheme="minorHAnsi"/>
                      <w:b/>
                      <w:color w:val="2C9ADC"/>
                      <w:sz w:val="20"/>
                      <w:szCs w:val="20"/>
                      <w:lang w:eastAsia="en-US"/>
                    </w:rPr>
                    <w:instrText xml:space="preserve"> SEQ GRAF \* ARABIC </w:instrText>
                  </w:r>
                  <w:r w:rsidRPr="00FC7125">
                    <w:rPr>
                      <w:rFonts w:eastAsiaTheme="minorHAnsi"/>
                      <w:b/>
                      <w:color w:val="2C9ADC"/>
                      <w:sz w:val="20"/>
                      <w:szCs w:val="20"/>
                      <w:lang w:eastAsia="en-US"/>
                    </w:rPr>
                    <w:fldChar w:fldCharType="separate"/>
                  </w:r>
                  <w:r w:rsidR="005D3280">
                    <w:rPr>
                      <w:rFonts w:eastAsiaTheme="minorHAnsi"/>
                      <w:b/>
                      <w:noProof/>
                      <w:color w:val="2C9ADC"/>
                      <w:sz w:val="20"/>
                      <w:szCs w:val="20"/>
                      <w:lang w:eastAsia="en-US"/>
                    </w:rPr>
                    <w:t>8</w:t>
                  </w:r>
                  <w:r w:rsidRPr="00FC7125">
                    <w:rPr>
                      <w:rFonts w:eastAsiaTheme="minorHAnsi"/>
                      <w:b/>
                      <w:color w:val="2C9ADC"/>
                      <w:sz w:val="20"/>
                      <w:szCs w:val="20"/>
                      <w:lang w:eastAsia="en-US"/>
                    </w:rPr>
                    <w:fldChar w:fldCharType="end"/>
                  </w:r>
                  <w:r w:rsidRPr="00FC7125">
                    <w:rPr>
                      <w:rFonts w:eastAsiaTheme="minorHAnsi"/>
                      <w:b/>
                      <w:color w:val="2C9ADC"/>
                      <w:sz w:val="20"/>
                      <w:szCs w:val="20"/>
                      <w:lang w:eastAsia="en-US"/>
                    </w:rPr>
                    <w:t xml:space="preserve"> – </w:t>
                  </w:r>
                  <w:r>
                    <w:rPr>
                      <w:rFonts w:eastAsiaTheme="minorHAnsi" w:cs="Arial"/>
                      <w:b/>
                      <w:bCs/>
                      <w:color w:val="2C9ADC" w:themeColor="accent1"/>
                      <w:sz w:val="20"/>
                      <w:szCs w:val="20"/>
                      <w:lang w:eastAsia="en-US"/>
                    </w:rPr>
                    <w:t>Cena ropy Brent (USD/bl.)</w:t>
                  </w:r>
                  <w:bookmarkEnd w:id="59"/>
                </w:p>
              </w:tc>
            </w:tr>
            <w:tr w:rsidR="00490255" w:rsidRPr="000F7810" w14:paraId="613575A3" w14:textId="77777777" w:rsidTr="000E4D54">
              <w:trPr>
                <w:trHeight w:val="917"/>
              </w:trPr>
              <w:tc>
                <w:tcPr>
                  <w:tcW w:w="2386" w:type="pct"/>
                  <w:tcBorders>
                    <w:top w:val="single" w:sz="4" w:space="0" w:color="auto"/>
                    <w:left w:val="nil"/>
                    <w:bottom w:val="single" w:sz="4" w:space="0" w:color="auto"/>
                    <w:right w:val="nil"/>
                  </w:tcBorders>
                  <w:vAlign w:val="center"/>
                </w:tcPr>
                <w:p w14:paraId="43256149" w14:textId="77777777" w:rsidR="00490255" w:rsidRPr="000F7810" w:rsidRDefault="00490255" w:rsidP="000E4D54">
                  <w:pPr>
                    <w:spacing w:before="40" w:after="40"/>
                    <w:jc w:val="center"/>
                    <w:rPr>
                      <w:rFonts w:ascii="NeueHaasGroteskText W02" w:hAnsi="NeueHaasGroteskText W02" w:cs="Arial"/>
                      <w:b/>
                      <w:sz w:val="20"/>
                      <w:szCs w:val="20"/>
                      <w:highlight w:val="yellow"/>
                    </w:rPr>
                  </w:pPr>
                  <w:r>
                    <w:rPr>
                      <w:noProof/>
                    </w:rPr>
                    <w:drawing>
                      <wp:inline distT="0" distB="0" distL="0" distR="0" wp14:anchorId="673E86EA" wp14:editId="64CA9E9D">
                        <wp:extent cx="2600325" cy="1812925"/>
                        <wp:effectExtent l="0" t="0" r="0" b="0"/>
                        <wp:docPr id="290" name="Graf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01" w:type="pct"/>
                  <w:tcBorders>
                    <w:top w:val="nil"/>
                    <w:left w:val="nil"/>
                    <w:bottom w:val="nil"/>
                    <w:right w:val="nil"/>
                  </w:tcBorders>
                  <w:vAlign w:val="center"/>
                </w:tcPr>
                <w:p w14:paraId="0C120650" w14:textId="77777777" w:rsidR="00490255" w:rsidRPr="000F7810" w:rsidRDefault="00490255" w:rsidP="000E4D54">
                  <w:pPr>
                    <w:spacing w:before="40" w:after="40"/>
                    <w:jc w:val="center"/>
                    <w:rPr>
                      <w:rFonts w:ascii="NeueHaasGroteskText W02" w:hAnsi="NeueHaasGroteskText W02" w:cs="Arial"/>
                      <w:b/>
                      <w:sz w:val="20"/>
                      <w:szCs w:val="20"/>
                      <w:highlight w:val="yellow"/>
                    </w:rPr>
                  </w:pPr>
                </w:p>
              </w:tc>
              <w:tc>
                <w:tcPr>
                  <w:tcW w:w="2513" w:type="pct"/>
                  <w:tcBorders>
                    <w:top w:val="single" w:sz="4" w:space="0" w:color="auto"/>
                    <w:left w:val="nil"/>
                    <w:bottom w:val="single" w:sz="4" w:space="0" w:color="auto"/>
                    <w:right w:val="nil"/>
                  </w:tcBorders>
                  <w:vAlign w:val="center"/>
                </w:tcPr>
                <w:p w14:paraId="2A88E7E8" w14:textId="77777777" w:rsidR="00490255" w:rsidRPr="000F7810" w:rsidRDefault="00490255" w:rsidP="000E4D54">
                  <w:pPr>
                    <w:spacing w:before="40" w:after="40"/>
                    <w:jc w:val="center"/>
                    <w:rPr>
                      <w:rFonts w:ascii="NeueHaasGroteskText W02" w:hAnsi="NeueHaasGroteskText W02" w:cs="Arial"/>
                      <w:b/>
                      <w:sz w:val="20"/>
                      <w:szCs w:val="20"/>
                      <w:highlight w:val="yellow"/>
                    </w:rPr>
                  </w:pPr>
                  <w:r>
                    <w:rPr>
                      <w:noProof/>
                    </w:rPr>
                    <w:drawing>
                      <wp:inline distT="0" distB="0" distL="0" distR="0" wp14:anchorId="4C33E48C" wp14:editId="7DD39DD5">
                        <wp:extent cx="2727960" cy="1827530"/>
                        <wp:effectExtent l="0" t="0" r="0" b="1270"/>
                        <wp:docPr id="293" name="Graf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90255" w:rsidRPr="000F7810" w14:paraId="6739FE11" w14:textId="77777777" w:rsidTr="000E4D54">
              <w:trPr>
                <w:trHeight w:val="115"/>
              </w:trPr>
              <w:tc>
                <w:tcPr>
                  <w:tcW w:w="2386" w:type="pct"/>
                  <w:tcBorders>
                    <w:top w:val="single" w:sz="4" w:space="0" w:color="auto"/>
                    <w:left w:val="nil"/>
                    <w:bottom w:val="nil"/>
                    <w:right w:val="nil"/>
                  </w:tcBorders>
                </w:tcPr>
                <w:p w14:paraId="5AEEDD8F" w14:textId="77777777" w:rsidR="00490255" w:rsidRPr="00695B99" w:rsidRDefault="00490255" w:rsidP="000E4D54">
                  <w:pPr>
                    <w:spacing w:before="40" w:after="40"/>
                    <w:jc w:val="right"/>
                    <w:rPr>
                      <w:rFonts w:cs="Arial"/>
                      <w:i/>
                      <w:sz w:val="16"/>
                      <w:szCs w:val="16"/>
                      <w:highlight w:val="yellow"/>
                    </w:rPr>
                  </w:pPr>
                  <w:r w:rsidRPr="00695B99">
                    <w:rPr>
                      <w:rFonts w:cs="Arial"/>
                      <w:i/>
                      <w:sz w:val="16"/>
                      <w:szCs w:val="16"/>
                    </w:rPr>
                    <w:t>Zdroj: Bloomberg, IFP</w:t>
                  </w:r>
                </w:p>
              </w:tc>
              <w:tc>
                <w:tcPr>
                  <w:tcW w:w="101" w:type="pct"/>
                  <w:tcBorders>
                    <w:top w:val="nil"/>
                    <w:left w:val="nil"/>
                    <w:bottom w:val="nil"/>
                    <w:right w:val="nil"/>
                  </w:tcBorders>
                </w:tcPr>
                <w:p w14:paraId="18B68DA5" w14:textId="77777777" w:rsidR="00490255" w:rsidRPr="00695B99" w:rsidRDefault="00490255" w:rsidP="000E4D54">
                  <w:pPr>
                    <w:jc w:val="right"/>
                    <w:rPr>
                      <w:rFonts w:cs="Arial"/>
                      <w:i/>
                      <w:sz w:val="16"/>
                      <w:szCs w:val="16"/>
                      <w:highlight w:val="yellow"/>
                    </w:rPr>
                  </w:pPr>
                </w:p>
              </w:tc>
              <w:tc>
                <w:tcPr>
                  <w:tcW w:w="2513" w:type="pct"/>
                  <w:tcBorders>
                    <w:top w:val="single" w:sz="4" w:space="0" w:color="auto"/>
                    <w:left w:val="nil"/>
                    <w:bottom w:val="nil"/>
                    <w:right w:val="nil"/>
                  </w:tcBorders>
                </w:tcPr>
                <w:p w14:paraId="2E64AC7D" w14:textId="77777777" w:rsidR="00490255" w:rsidRPr="00695B99" w:rsidRDefault="00490255" w:rsidP="000E4D54">
                  <w:pPr>
                    <w:spacing w:before="40" w:after="40"/>
                    <w:jc w:val="right"/>
                    <w:rPr>
                      <w:rFonts w:cs="Arial"/>
                      <w:i/>
                      <w:sz w:val="16"/>
                      <w:szCs w:val="16"/>
                      <w:highlight w:val="yellow"/>
                    </w:rPr>
                  </w:pPr>
                  <w:r w:rsidRPr="00695B99">
                    <w:rPr>
                      <w:rFonts w:cs="Arial"/>
                      <w:i/>
                      <w:sz w:val="16"/>
                      <w:szCs w:val="16"/>
                    </w:rPr>
                    <w:t>Zdroj: Bloomberg, IFP</w:t>
                  </w:r>
                </w:p>
              </w:tc>
            </w:tr>
          </w:tbl>
          <w:p w14:paraId="36D4B708" w14:textId="77777777" w:rsidR="00490255" w:rsidRPr="000F7810" w:rsidRDefault="00490255" w:rsidP="000E4D54">
            <w:pPr>
              <w:widowControl w:val="0"/>
              <w:tabs>
                <w:tab w:val="right" w:pos="9531"/>
              </w:tabs>
              <w:ind w:right="34"/>
              <w:jc w:val="both"/>
              <w:rPr>
                <w:rFonts w:eastAsia="NeueHaasGroteskText W02" w:cs="Arial"/>
                <w:bCs/>
                <w:sz w:val="20"/>
                <w:szCs w:val="20"/>
                <w:highlight w:val="yellow"/>
              </w:rPr>
            </w:pPr>
          </w:p>
          <w:p w14:paraId="197E741E" w14:textId="77777777" w:rsidR="00490255" w:rsidRPr="000F7810" w:rsidRDefault="00490255" w:rsidP="000E4D54">
            <w:pPr>
              <w:widowControl w:val="0"/>
              <w:tabs>
                <w:tab w:val="right" w:pos="9531"/>
              </w:tabs>
              <w:ind w:right="34"/>
              <w:jc w:val="both"/>
              <w:rPr>
                <w:rFonts w:eastAsia="NeueHaasGroteskText W02" w:cs="Arial"/>
                <w:bCs/>
                <w:sz w:val="20"/>
                <w:szCs w:val="20"/>
                <w:highlight w:val="yellow"/>
              </w:rPr>
            </w:pPr>
            <w:r w:rsidRPr="00B64FCD">
              <w:rPr>
                <w:rFonts w:eastAsia="NeueHaasGroteskText W02" w:cs="Arial"/>
                <w:bCs/>
                <w:szCs w:val="20"/>
              </w:rPr>
              <w:t>Uzávierka predpokladov vonkajšieho prostredia, vrátane úrokových sadzieb, cien komodít a výmenných kurzov, bola 7. marca 2021.</w:t>
            </w:r>
          </w:p>
        </w:tc>
      </w:tr>
    </w:tbl>
    <w:p w14:paraId="6AD5C57C" w14:textId="77777777" w:rsidR="00490255" w:rsidRPr="00042F22" w:rsidRDefault="00490255" w:rsidP="00490255">
      <w:pPr>
        <w:pStyle w:val="Nadpis2"/>
        <w:keepLines/>
        <w:numPr>
          <w:ilvl w:val="1"/>
          <w:numId w:val="2"/>
        </w:numPr>
        <w:spacing w:before="240" w:after="120" w:line="276" w:lineRule="auto"/>
        <w:rPr>
          <w:b/>
          <w:color w:val="2C9ADC"/>
          <w:szCs w:val="28"/>
        </w:rPr>
      </w:pPr>
      <w:bookmarkStart w:id="60" w:name="_Toc449429121"/>
      <w:bookmarkStart w:id="61" w:name="_Toc480444002"/>
      <w:bookmarkStart w:id="62" w:name="_Toc480444322"/>
      <w:bookmarkStart w:id="63" w:name="_Toc480444507"/>
      <w:bookmarkStart w:id="64" w:name="_Toc70700323"/>
      <w:bookmarkStart w:id="65" w:name="_Toc101880658"/>
      <w:r w:rsidRPr="00042F22">
        <w:rPr>
          <w:b/>
          <w:color w:val="2C9ADC"/>
          <w:szCs w:val="28"/>
        </w:rPr>
        <w:t>Cyklický vývoj ekonomiky</w:t>
      </w:r>
      <w:bookmarkEnd w:id="60"/>
      <w:bookmarkEnd w:id="61"/>
      <w:bookmarkEnd w:id="62"/>
      <w:bookmarkEnd w:id="63"/>
      <w:bookmarkEnd w:id="64"/>
      <w:bookmarkEnd w:id="65"/>
    </w:p>
    <w:p w14:paraId="26060535" w14:textId="77777777" w:rsidR="00490255" w:rsidRPr="00042F22" w:rsidRDefault="00490255" w:rsidP="00490255">
      <w:pPr>
        <w:jc w:val="both"/>
      </w:pPr>
      <w:r w:rsidRPr="001C2E70">
        <w:rPr>
          <w:b/>
        </w:rPr>
        <w:t xml:space="preserve">V tomto roku bude ekonomika utlmená z dôvodu poklesu exportov do Ruska </w:t>
      </w:r>
      <w:r>
        <w:rPr>
          <w:b/>
        </w:rPr>
        <w:t xml:space="preserve">a na Ukrajinu </w:t>
      </w:r>
      <w:r w:rsidRPr="001C2E70">
        <w:rPr>
          <w:b/>
        </w:rPr>
        <w:t xml:space="preserve">a chýbajúcich komponentov v dodávateľských reťazcoch, čo bude tlmiť rast potenciálneho HDP. </w:t>
      </w:r>
      <w:r>
        <w:t>V ďalších rokoch bude rast potenciálu ťahaný najmä investíciami z Plánu obnovy a odolnosti a štandardných fondov EÚ, ktoré zrýchlia rast kapitálovej zásoby a produktivity výrobných faktorov. Zamestnanosť bude na rast potenciálu pôsobiť skôr negatívne najmä kvôli demografickým zmenám.</w:t>
      </w:r>
    </w:p>
    <w:p w14:paraId="5002901B" w14:textId="7F434B7A" w:rsidR="00490255" w:rsidRDefault="00490255" w:rsidP="00490255">
      <w:pPr>
        <w:jc w:val="both"/>
        <w:rPr>
          <w:highlight w:val="yellow"/>
        </w:rPr>
      </w:pPr>
      <w:bookmarkStart w:id="66" w:name="_Toc449429131"/>
      <w:bookmarkStart w:id="67" w:name="_Toc480444012"/>
      <w:bookmarkStart w:id="68" w:name="_Toc480444323"/>
      <w:bookmarkStart w:id="69" w:name="_Toc480444517"/>
    </w:p>
    <w:p w14:paraId="53B37EE8" w14:textId="77777777" w:rsidR="00FA1A55" w:rsidRPr="000F7810" w:rsidRDefault="00FA1A55" w:rsidP="00490255">
      <w:pPr>
        <w:jc w:val="both"/>
        <w:rPr>
          <w:highlight w:val="yellow"/>
        </w:rPr>
      </w:pPr>
    </w:p>
    <w:tbl>
      <w:tblPr>
        <w:tblW w:w="8932" w:type="dxa"/>
        <w:jc w:val="center"/>
        <w:tblLayout w:type="fixed"/>
        <w:tblCellMar>
          <w:left w:w="70" w:type="dxa"/>
          <w:right w:w="70" w:type="dxa"/>
        </w:tblCellMar>
        <w:tblLook w:val="04A0" w:firstRow="1" w:lastRow="0" w:firstColumn="1" w:lastColumn="0" w:noHBand="0" w:noVBand="1"/>
      </w:tblPr>
      <w:tblGrid>
        <w:gridCol w:w="4395"/>
        <w:gridCol w:w="681"/>
        <w:gridCol w:w="964"/>
        <w:gridCol w:w="964"/>
        <w:gridCol w:w="964"/>
        <w:gridCol w:w="929"/>
        <w:gridCol w:w="35"/>
      </w:tblGrid>
      <w:tr w:rsidR="00490255" w:rsidRPr="000F7810" w14:paraId="2842E7A1" w14:textId="77777777" w:rsidTr="000E4D54">
        <w:trPr>
          <w:gridAfter w:val="1"/>
          <w:wAfter w:w="35" w:type="dxa"/>
          <w:trHeight w:val="275"/>
          <w:jc w:val="center"/>
        </w:trPr>
        <w:tc>
          <w:tcPr>
            <w:tcW w:w="4395" w:type="dxa"/>
            <w:tcBorders>
              <w:top w:val="nil"/>
              <w:left w:val="nil"/>
              <w:bottom w:val="single" w:sz="6" w:space="0" w:color="auto"/>
              <w:right w:val="nil"/>
            </w:tcBorders>
            <w:shd w:val="clear" w:color="auto" w:fill="auto"/>
            <w:noWrap/>
            <w:vAlign w:val="center"/>
            <w:hideMark/>
          </w:tcPr>
          <w:p w14:paraId="0D5F2B16" w14:textId="26ED43DF" w:rsidR="00490255" w:rsidRPr="000F7810" w:rsidRDefault="00490255" w:rsidP="000E4D54">
            <w:pPr>
              <w:pStyle w:val="Nadpis3"/>
              <w:rPr>
                <w:rFonts w:eastAsiaTheme="minorHAnsi"/>
                <w:color w:val="2C9ADC" w:themeColor="accent1"/>
                <w:szCs w:val="20"/>
                <w:highlight w:val="yellow"/>
                <w:lang w:eastAsia="en-US"/>
              </w:rPr>
            </w:pPr>
            <w:bookmarkStart w:id="70" w:name="_Toc101881933"/>
            <w:r w:rsidRPr="006A2D68">
              <w:rPr>
                <w:rFonts w:eastAsiaTheme="minorHAnsi"/>
                <w:color w:val="2C9ADC"/>
                <w:szCs w:val="20"/>
                <w:lang w:eastAsia="en-US"/>
              </w:rPr>
              <w:t xml:space="preserve">GRAF </w:t>
            </w:r>
            <w:r w:rsidRPr="006A2D68">
              <w:rPr>
                <w:rFonts w:eastAsiaTheme="minorHAnsi"/>
                <w:color w:val="2C9ADC"/>
                <w:szCs w:val="20"/>
                <w:lang w:eastAsia="en-US"/>
              </w:rPr>
              <w:fldChar w:fldCharType="begin"/>
            </w:r>
            <w:r w:rsidRPr="006A2D68">
              <w:rPr>
                <w:rFonts w:eastAsiaTheme="minorHAnsi"/>
                <w:color w:val="2C9ADC"/>
                <w:szCs w:val="20"/>
                <w:lang w:eastAsia="en-US"/>
              </w:rPr>
              <w:instrText xml:space="preserve"> SEQ GRAF \* ARABIC </w:instrText>
            </w:r>
            <w:r w:rsidRPr="006A2D68">
              <w:rPr>
                <w:rFonts w:eastAsiaTheme="minorHAnsi"/>
                <w:color w:val="2C9ADC"/>
                <w:szCs w:val="20"/>
                <w:lang w:eastAsia="en-US"/>
              </w:rPr>
              <w:fldChar w:fldCharType="separate"/>
            </w:r>
            <w:r w:rsidR="005D3280">
              <w:rPr>
                <w:rFonts w:eastAsiaTheme="minorHAnsi"/>
                <w:noProof/>
                <w:color w:val="2C9ADC"/>
                <w:szCs w:val="20"/>
                <w:lang w:eastAsia="en-US"/>
              </w:rPr>
              <w:t>9</w:t>
            </w:r>
            <w:r w:rsidRPr="006A2D68">
              <w:rPr>
                <w:rFonts w:eastAsiaTheme="minorHAnsi"/>
                <w:color w:val="2C9ADC"/>
                <w:szCs w:val="20"/>
                <w:lang w:eastAsia="en-US"/>
              </w:rPr>
              <w:fldChar w:fldCharType="end"/>
            </w:r>
            <w:r w:rsidRPr="006A2D68">
              <w:rPr>
                <w:rFonts w:eastAsiaTheme="minorHAnsi"/>
                <w:color w:val="2C9ADC" w:themeColor="accent1"/>
                <w:szCs w:val="20"/>
                <w:lang w:eastAsia="en-US"/>
              </w:rPr>
              <w:t xml:space="preserve"> – Príspevky výrobných faktorov k rastu potenciálneho produktu (p. b.) - prístup MF SR</w:t>
            </w:r>
            <w:bookmarkEnd w:id="70"/>
          </w:p>
        </w:tc>
        <w:tc>
          <w:tcPr>
            <w:tcW w:w="4502" w:type="dxa"/>
            <w:gridSpan w:val="5"/>
            <w:tcBorders>
              <w:top w:val="nil"/>
              <w:left w:val="nil"/>
              <w:bottom w:val="single" w:sz="4" w:space="0" w:color="auto"/>
              <w:right w:val="nil"/>
            </w:tcBorders>
            <w:shd w:val="clear" w:color="auto" w:fill="auto"/>
            <w:noWrap/>
            <w:vAlign w:val="center"/>
            <w:hideMark/>
          </w:tcPr>
          <w:p w14:paraId="1704A537" w14:textId="1ACC7801" w:rsidR="00490255" w:rsidRPr="000F7810" w:rsidRDefault="00490255" w:rsidP="000E4D54">
            <w:pPr>
              <w:pStyle w:val="Nadpis3"/>
              <w:jc w:val="both"/>
              <w:rPr>
                <w:rFonts w:eastAsiaTheme="minorHAnsi"/>
                <w:color w:val="2C9ADC" w:themeColor="accent1"/>
                <w:szCs w:val="20"/>
                <w:highlight w:val="yellow"/>
                <w:lang w:eastAsia="en-US"/>
              </w:rPr>
            </w:pPr>
            <w:bookmarkStart w:id="71" w:name="_Toc101880683"/>
            <w:r w:rsidRPr="006A2D68">
              <w:rPr>
                <w:rFonts w:eastAsiaTheme="minorHAnsi"/>
                <w:color w:val="2C9ADC" w:themeColor="accent1"/>
                <w:szCs w:val="20"/>
                <w:lang w:eastAsia="en-US"/>
              </w:rPr>
              <w:t xml:space="preserve">TABUĽKA </w:t>
            </w:r>
            <w:r w:rsidRPr="006A2D68">
              <w:rPr>
                <w:rFonts w:eastAsiaTheme="minorHAnsi"/>
                <w:color w:val="2C9ADC" w:themeColor="accent1"/>
                <w:szCs w:val="20"/>
                <w:lang w:eastAsia="en-US"/>
              </w:rPr>
              <w:fldChar w:fldCharType="begin"/>
            </w:r>
            <w:r w:rsidRPr="006A2D68">
              <w:rPr>
                <w:rFonts w:eastAsiaTheme="minorHAnsi"/>
                <w:color w:val="2C9ADC" w:themeColor="accent1"/>
                <w:szCs w:val="20"/>
                <w:lang w:eastAsia="en-US"/>
              </w:rPr>
              <w:instrText xml:space="preserve"> SEQ TABUĽKA \* ARABIC </w:instrText>
            </w:r>
            <w:r w:rsidRPr="006A2D68">
              <w:rPr>
                <w:rFonts w:eastAsiaTheme="minorHAnsi"/>
                <w:color w:val="2C9ADC" w:themeColor="accent1"/>
                <w:szCs w:val="20"/>
                <w:lang w:eastAsia="en-US"/>
              </w:rPr>
              <w:fldChar w:fldCharType="separate"/>
            </w:r>
            <w:r w:rsidR="005D3280">
              <w:rPr>
                <w:rFonts w:eastAsiaTheme="minorHAnsi"/>
                <w:noProof/>
                <w:color w:val="2C9ADC" w:themeColor="accent1"/>
                <w:szCs w:val="20"/>
                <w:lang w:eastAsia="en-US"/>
              </w:rPr>
              <w:t>4</w:t>
            </w:r>
            <w:r w:rsidRPr="006A2D68">
              <w:rPr>
                <w:rFonts w:eastAsiaTheme="minorHAnsi"/>
                <w:color w:val="2C9ADC" w:themeColor="accent1"/>
                <w:szCs w:val="20"/>
                <w:lang w:eastAsia="en-US"/>
              </w:rPr>
              <w:fldChar w:fldCharType="end"/>
            </w:r>
            <w:r w:rsidRPr="006A2D68">
              <w:rPr>
                <w:rFonts w:eastAsiaTheme="minorHAnsi"/>
                <w:color w:val="2C9ADC" w:themeColor="accent1"/>
                <w:szCs w:val="20"/>
                <w:lang w:eastAsia="en-US"/>
              </w:rPr>
              <w:t xml:space="preserve"> – Príspevky výrobných faktorov k rastu potenciálneho produktu - prístup MF SR</w:t>
            </w:r>
            <w:bookmarkEnd w:id="71"/>
          </w:p>
        </w:tc>
      </w:tr>
      <w:tr w:rsidR="00490255" w:rsidRPr="000F7810" w14:paraId="7E0877B2" w14:textId="77777777" w:rsidTr="00636109">
        <w:trPr>
          <w:trHeight w:val="283"/>
          <w:jc w:val="center"/>
        </w:trPr>
        <w:tc>
          <w:tcPr>
            <w:tcW w:w="4395" w:type="dxa"/>
            <w:vMerge w:val="restart"/>
            <w:tcBorders>
              <w:top w:val="single" w:sz="6" w:space="0" w:color="auto"/>
              <w:left w:val="nil"/>
              <w:bottom w:val="single" w:sz="4" w:space="0" w:color="000000"/>
              <w:right w:val="nil"/>
            </w:tcBorders>
            <w:shd w:val="clear" w:color="auto" w:fill="auto"/>
            <w:vAlign w:val="center"/>
            <w:hideMark/>
          </w:tcPr>
          <w:p w14:paraId="29BCCB41" w14:textId="77777777" w:rsidR="00490255" w:rsidRPr="000F7810" w:rsidRDefault="00490255" w:rsidP="000E4D54">
            <w:pPr>
              <w:rPr>
                <w:rFonts w:cs="Times New Roman"/>
                <w:b/>
                <w:bCs/>
                <w:color w:val="000000"/>
                <w:sz w:val="16"/>
                <w:szCs w:val="16"/>
                <w:highlight w:val="yellow"/>
              </w:rPr>
            </w:pPr>
            <w:r>
              <w:rPr>
                <w:noProof/>
              </w:rPr>
              <w:drawing>
                <wp:inline distT="0" distB="0" distL="0" distR="0" wp14:anchorId="3A5ADF74" wp14:editId="4B3B2E58">
                  <wp:extent cx="2701925" cy="1932159"/>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681" w:type="dxa"/>
            <w:tcBorders>
              <w:top w:val="single" w:sz="4" w:space="0" w:color="auto"/>
              <w:left w:val="nil"/>
              <w:bottom w:val="single" w:sz="4" w:space="0" w:color="auto"/>
              <w:right w:val="nil"/>
            </w:tcBorders>
            <w:shd w:val="clear" w:color="auto" w:fill="auto"/>
            <w:noWrap/>
            <w:vAlign w:val="center"/>
            <w:hideMark/>
          </w:tcPr>
          <w:p w14:paraId="4ACE4631" w14:textId="77777777" w:rsidR="00490255" w:rsidRDefault="00490255" w:rsidP="000E4D54">
            <w:pPr>
              <w:rPr>
                <w:rFonts w:cs="Calibri"/>
                <w:color w:val="000000"/>
                <w:sz w:val="18"/>
                <w:szCs w:val="18"/>
              </w:rPr>
            </w:pPr>
            <w:r>
              <w:rPr>
                <w:rFonts w:cs="Calibri"/>
                <w:color w:val="000000"/>
                <w:sz w:val="18"/>
                <w:szCs w:val="18"/>
              </w:rPr>
              <w:t> </w:t>
            </w:r>
          </w:p>
        </w:tc>
        <w:tc>
          <w:tcPr>
            <w:tcW w:w="964" w:type="dxa"/>
            <w:tcBorders>
              <w:top w:val="single" w:sz="4" w:space="0" w:color="auto"/>
              <w:left w:val="nil"/>
              <w:bottom w:val="single" w:sz="4" w:space="0" w:color="auto"/>
              <w:right w:val="nil"/>
            </w:tcBorders>
            <w:shd w:val="clear" w:color="auto" w:fill="auto"/>
            <w:vAlign w:val="center"/>
            <w:hideMark/>
          </w:tcPr>
          <w:p w14:paraId="6667ADE0" w14:textId="77777777" w:rsidR="00490255" w:rsidRDefault="00490255" w:rsidP="000E4D54">
            <w:pPr>
              <w:jc w:val="center"/>
              <w:rPr>
                <w:rFonts w:cs="Calibri"/>
                <w:b/>
                <w:bCs/>
                <w:color w:val="000000"/>
                <w:sz w:val="18"/>
                <w:szCs w:val="18"/>
              </w:rPr>
            </w:pPr>
            <w:r>
              <w:rPr>
                <w:rFonts w:cs="Calibri"/>
                <w:b/>
                <w:bCs/>
                <w:color w:val="000000"/>
                <w:sz w:val="18"/>
                <w:szCs w:val="18"/>
              </w:rPr>
              <w:t>Pot. HDP (rast, %)</w:t>
            </w:r>
          </w:p>
        </w:tc>
        <w:tc>
          <w:tcPr>
            <w:tcW w:w="964" w:type="dxa"/>
            <w:tcBorders>
              <w:top w:val="single" w:sz="4" w:space="0" w:color="auto"/>
              <w:left w:val="nil"/>
              <w:bottom w:val="single" w:sz="4" w:space="0" w:color="auto"/>
              <w:right w:val="nil"/>
            </w:tcBorders>
            <w:shd w:val="clear" w:color="000000" w:fill="E6E6E6"/>
            <w:vAlign w:val="center"/>
            <w:hideMark/>
          </w:tcPr>
          <w:p w14:paraId="32864FAE" w14:textId="77777777" w:rsidR="00490255" w:rsidRDefault="00490255" w:rsidP="000E4D54">
            <w:pPr>
              <w:jc w:val="center"/>
              <w:rPr>
                <w:rFonts w:cs="Calibri"/>
                <w:b/>
                <w:bCs/>
                <w:color w:val="000000"/>
                <w:sz w:val="18"/>
                <w:szCs w:val="18"/>
              </w:rPr>
            </w:pPr>
            <w:r>
              <w:rPr>
                <w:rFonts w:cs="Calibri"/>
                <w:b/>
                <w:bCs/>
                <w:color w:val="000000"/>
                <w:sz w:val="18"/>
                <w:szCs w:val="18"/>
              </w:rPr>
              <w:t>TFP</w:t>
            </w:r>
            <w:r>
              <w:rPr>
                <w:rFonts w:cs="Calibri"/>
                <w:b/>
                <w:bCs/>
                <w:color w:val="000000"/>
                <w:sz w:val="18"/>
                <w:szCs w:val="18"/>
                <w:vertAlign w:val="superscript"/>
              </w:rPr>
              <w:t>*</w:t>
            </w:r>
          </w:p>
        </w:tc>
        <w:tc>
          <w:tcPr>
            <w:tcW w:w="964" w:type="dxa"/>
            <w:tcBorders>
              <w:top w:val="single" w:sz="4" w:space="0" w:color="auto"/>
              <w:left w:val="nil"/>
              <w:bottom w:val="single" w:sz="4" w:space="0" w:color="auto"/>
              <w:right w:val="nil"/>
            </w:tcBorders>
            <w:shd w:val="clear" w:color="000000" w:fill="E6E6E6"/>
            <w:vAlign w:val="center"/>
            <w:hideMark/>
          </w:tcPr>
          <w:p w14:paraId="65AB8FDD" w14:textId="77777777" w:rsidR="00490255" w:rsidRDefault="00490255" w:rsidP="000E4D54">
            <w:pPr>
              <w:jc w:val="center"/>
              <w:rPr>
                <w:rFonts w:cs="Calibri"/>
                <w:b/>
                <w:bCs/>
                <w:color w:val="000000"/>
                <w:sz w:val="18"/>
                <w:szCs w:val="18"/>
              </w:rPr>
            </w:pPr>
            <w:r>
              <w:rPr>
                <w:rFonts w:cs="Calibri"/>
                <w:b/>
                <w:bCs/>
                <w:color w:val="000000"/>
                <w:sz w:val="18"/>
                <w:szCs w:val="18"/>
              </w:rPr>
              <w:t>Zásoba kapitálu</w:t>
            </w:r>
          </w:p>
        </w:tc>
        <w:tc>
          <w:tcPr>
            <w:tcW w:w="964" w:type="dxa"/>
            <w:gridSpan w:val="2"/>
            <w:tcBorders>
              <w:top w:val="single" w:sz="4" w:space="0" w:color="auto"/>
              <w:left w:val="nil"/>
              <w:bottom w:val="single" w:sz="4" w:space="0" w:color="auto"/>
              <w:right w:val="nil"/>
            </w:tcBorders>
            <w:shd w:val="clear" w:color="000000" w:fill="E6E6E6"/>
            <w:vAlign w:val="center"/>
            <w:hideMark/>
          </w:tcPr>
          <w:p w14:paraId="01BB0055" w14:textId="77777777" w:rsidR="00490255" w:rsidRDefault="00490255" w:rsidP="000E4D54">
            <w:pPr>
              <w:jc w:val="center"/>
              <w:rPr>
                <w:rFonts w:cs="Calibri"/>
                <w:b/>
                <w:bCs/>
                <w:color w:val="000000"/>
                <w:sz w:val="18"/>
                <w:szCs w:val="18"/>
              </w:rPr>
            </w:pPr>
            <w:r>
              <w:rPr>
                <w:rFonts w:cs="Calibri"/>
                <w:b/>
                <w:bCs/>
                <w:color w:val="000000"/>
                <w:sz w:val="18"/>
                <w:szCs w:val="18"/>
              </w:rPr>
              <w:t>Práca</w:t>
            </w:r>
          </w:p>
        </w:tc>
      </w:tr>
      <w:tr w:rsidR="00490255" w:rsidRPr="000F7810" w14:paraId="62D62B84" w14:textId="77777777" w:rsidTr="000E4D54">
        <w:trPr>
          <w:trHeight w:val="283"/>
          <w:jc w:val="center"/>
        </w:trPr>
        <w:tc>
          <w:tcPr>
            <w:tcW w:w="4395" w:type="dxa"/>
            <w:vMerge/>
            <w:tcBorders>
              <w:top w:val="nil"/>
              <w:left w:val="nil"/>
              <w:bottom w:val="single" w:sz="4" w:space="0" w:color="000000"/>
              <w:right w:val="nil"/>
            </w:tcBorders>
            <w:vAlign w:val="center"/>
            <w:hideMark/>
          </w:tcPr>
          <w:p w14:paraId="25E4D810"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nil"/>
              <w:right w:val="nil"/>
            </w:tcBorders>
            <w:shd w:val="clear" w:color="auto" w:fill="auto"/>
            <w:noWrap/>
            <w:vAlign w:val="center"/>
            <w:hideMark/>
          </w:tcPr>
          <w:p w14:paraId="574193AF" w14:textId="77777777" w:rsidR="00490255" w:rsidRDefault="00490255" w:rsidP="000E4D54">
            <w:pPr>
              <w:jc w:val="center"/>
              <w:rPr>
                <w:rFonts w:cs="Calibri"/>
                <w:color w:val="000000"/>
                <w:sz w:val="18"/>
                <w:szCs w:val="18"/>
              </w:rPr>
            </w:pPr>
            <w:r>
              <w:rPr>
                <w:rFonts w:cs="Calibri"/>
                <w:color w:val="000000"/>
                <w:sz w:val="18"/>
                <w:szCs w:val="18"/>
              </w:rPr>
              <w:t>2017</w:t>
            </w:r>
          </w:p>
        </w:tc>
        <w:tc>
          <w:tcPr>
            <w:tcW w:w="964" w:type="dxa"/>
            <w:tcBorders>
              <w:top w:val="nil"/>
              <w:left w:val="nil"/>
              <w:bottom w:val="nil"/>
              <w:right w:val="nil"/>
            </w:tcBorders>
            <w:shd w:val="clear" w:color="auto" w:fill="auto"/>
            <w:noWrap/>
            <w:vAlign w:val="center"/>
            <w:hideMark/>
          </w:tcPr>
          <w:p w14:paraId="09CB916B" w14:textId="77777777" w:rsidR="00490255" w:rsidRDefault="00490255" w:rsidP="000E4D54">
            <w:pPr>
              <w:jc w:val="center"/>
              <w:rPr>
                <w:rFonts w:cs="Calibri"/>
                <w:color w:val="000000"/>
                <w:sz w:val="18"/>
                <w:szCs w:val="18"/>
              </w:rPr>
            </w:pPr>
            <w:r>
              <w:rPr>
                <w:rFonts w:cs="Calibri"/>
                <w:color w:val="000000"/>
                <w:sz w:val="18"/>
                <w:szCs w:val="18"/>
              </w:rPr>
              <w:t>2,2</w:t>
            </w:r>
          </w:p>
        </w:tc>
        <w:tc>
          <w:tcPr>
            <w:tcW w:w="964" w:type="dxa"/>
            <w:tcBorders>
              <w:top w:val="nil"/>
              <w:left w:val="nil"/>
              <w:bottom w:val="nil"/>
              <w:right w:val="nil"/>
            </w:tcBorders>
            <w:shd w:val="clear" w:color="000000" w:fill="E6E6E6"/>
            <w:noWrap/>
            <w:vAlign w:val="center"/>
            <w:hideMark/>
          </w:tcPr>
          <w:p w14:paraId="61967E7A" w14:textId="77777777" w:rsidR="00490255" w:rsidRDefault="00490255" w:rsidP="000E4D54">
            <w:pPr>
              <w:jc w:val="center"/>
              <w:rPr>
                <w:rFonts w:cs="Calibri"/>
                <w:b/>
                <w:bCs/>
                <w:color w:val="000000"/>
                <w:sz w:val="18"/>
                <w:szCs w:val="18"/>
              </w:rPr>
            </w:pPr>
            <w:r>
              <w:rPr>
                <w:rFonts w:cs="Calibri"/>
                <w:b/>
                <w:bCs/>
                <w:color w:val="000000"/>
                <w:sz w:val="18"/>
                <w:szCs w:val="18"/>
              </w:rPr>
              <w:t>1,0</w:t>
            </w:r>
          </w:p>
        </w:tc>
        <w:tc>
          <w:tcPr>
            <w:tcW w:w="964" w:type="dxa"/>
            <w:tcBorders>
              <w:top w:val="nil"/>
              <w:left w:val="nil"/>
              <w:bottom w:val="nil"/>
              <w:right w:val="nil"/>
            </w:tcBorders>
            <w:shd w:val="clear" w:color="000000" w:fill="E6E6E6"/>
            <w:noWrap/>
            <w:vAlign w:val="center"/>
            <w:hideMark/>
          </w:tcPr>
          <w:p w14:paraId="657EE888" w14:textId="77777777" w:rsidR="00490255" w:rsidRDefault="00490255" w:rsidP="000E4D54">
            <w:pPr>
              <w:jc w:val="center"/>
              <w:rPr>
                <w:rFonts w:cs="Calibri"/>
                <w:b/>
                <w:bCs/>
                <w:color w:val="000000"/>
                <w:sz w:val="18"/>
                <w:szCs w:val="18"/>
              </w:rPr>
            </w:pPr>
            <w:r>
              <w:rPr>
                <w:rFonts w:cs="Calibri"/>
                <w:b/>
                <w:bCs/>
                <w:color w:val="000000"/>
                <w:sz w:val="18"/>
                <w:szCs w:val="18"/>
              </w:rPr>
              <w:t>0,5</w:t>
            </w:r>
          </w:p>
        </w:tc>
        <w:tc>
          <w:tcPr>
            <w:tcW w:w="964" w:type="dxa"/>
            <w:gridSpan w:val="2"/>
            <w:tcBorders>
              <w:top w:val="nil"/>
              <w:left w:val="nil"/>
              <w:bottom w:val="nil"/>
              <w:right w:val="nil"/>
            </w:tcBorders>
            <w:shd w:val="clear" w:color="000000" w:fill="E6E6E6"/>
            <w:vAlign w:val="center"/>
            <w:hideMark/>
          </w:tcPr>
          <w:p w14:paraId="50AB9DEB" w14:textId="77777777" w:rsidR="00490255" w:rsidRDefault="00490255" w:rsidP="000E4D54">
            <w:pPr>
              <w:jc w:val="center"/>
              <w:rPr>
                <w:rFonts w:cs="Calibri"/>
                <w:b/>
                <w:bCs/>
                <w:color w:val="000000"/>
                <w:sz w:val="18"/>
                <w:szCs w:val="18"/>
              </w:rPr>
            </w:pPr>
            <w:r>
              <w:rPr>
                <w:rFonts w:cs="Calibri"/>
                <w:b/>
                <w:bCs/>
                <w:color w:val="000000"/>
                <w:sz w:val="18"/>
                <w:szCs w:val="18"/>
              </w:rPr>
              <w:t>0,6</w:t>
            </w:r>
          </w:p>
        </w:tc>
      </w:tr>
      <w:tr w:rsidR="00490255" w:rsidRPr="000F7810" w14:paraId="03BC0714" w14:textId="77777777" w:rsidTr="000E4D54">
        <w:trPr>
          <w:trHeight w:val="283"/>
          <w:jc w:val="center"/>
        </w:trPr>
        <w:tc>
          <w:tcPr>
            <w:tcW w:w="4395" w:type="dxa"/>
            <w:vMerge/>
            <w:tcBorders>
              <w:top w:val="nil"/>
              <w:left w:val="nil"/>
              <w:bottom w:val="single" w:sz="4" w:space="0" w:color="000000"/>
              <w:right w:val="nil"/>
            </w:tcBorders>
            <w:vAlign w:val="center"/>
            <w:hideMark/>
          </w:tcPr>
          <w:p w14:paraId="4D505D6A"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nil"/>
              <w:right w:val="nil"/>
            </w:tcBorders>
            <w:shd w:val="clear" w:color="auto" w:fill="auto"/>
            <w:noWrap/>
            <w:vAlign w:val="center"/>
            <w:hideMark/>
          </w:tcPr>
          <w:p w14:paraId="1F1C8C05" w14:textId="77777777" w:rsidR="00490255" w:rsidRDefault="00490255" w:rsidP="000E4D54">
            <w:pPr>
              <w:jc w:val="center"/>
              <w:rPr>
                <w:rFonts w:cs="Calibri"/>
                <w:color w:val="000000"/>
                <w:sz w:val="18"/>
                <w:szCs w:val="18"/>
              </w:rPr>
            </w:pPr>
            <w:r>
              <w:rPr>
                <w:rFonts w:cs="Calibri"/>
                <w:color w:val="000000"/>
                <w:sz w:val="18"/>
                <w:szCs w:val="18"/>
              </w:rPr>
              <w:t>2018</w:t>
            </w:r>
          </w:p>
        </w:tc>
        <w:tc>
          <w:tcPr>
            <w:tcW w:w="964" w:type="dxa"/>
            <w:tcBorders>
              <w:top w:val="nil"/>
              <w:left w:val="nil"/>
              <w:bottom w:val="nil"/>
              <w:right w:val="nil"/>
            </w:tcBorders>
            <w:shd w:val="clear" w:color="auto" w:fill="auto"/>
            <w:noWrap/>
            <w:vAlign w:val="center"/>
            <w:hideMark/>
          </w:tcPr>
          <w:p w14:paraId="25344D7F" w14:textId="77777777" w:rsidR="00490255" w:rsidRDefault="00490255" w:rsidP="000E4D54">
            <w:pPr>
              <w:jc w:val="center"/>
              <w:rPr>
                <w:rFonts w:cs="Calibri"/>
                <w:color w:val="000000"/>
                <w:sz w:val="18"/>
                <w:szCs w:val="18"/>
              </w:rPr>
            </w:pPr>
            <w:r>
              <w:rPr>
                <w:rFonts w:cs="Calibri"/>
                <w:color w:val="000000"/>
                <w:sz w:val="18"/>
                <w:szCs w:val="18"/>
              </w:rPr>
              <w:t>2,5</w:t>
            </w:r>
          </w:p>
        </w:tc>
        <w:tc>
          <w:tcPr>
            <w:tcW w:w="964" w:type="dxa"/>
            <w:tcBorders>
              <w:top w:val="nil"/>
              <w:left w:val="nil"/>
              <w:bottom w:val="nil"/>
              <w:right w:val="nil"/>
            </w:tcBorders>
            <w:shd w:val="clear" w:color="000000" w:fill="E6E6E6"/>
            <w:noWrap/>
            <w:vAlign w:val="center"/>
            <w:hideMark/>
          </w:tcPr>
          <w:p w14:paraId="628DC505" w14:textId="77777777" w:rsidR="00490255" w:rsidRDefault="00490255" w:rsidP="000E4D54">
            <w:pPr>
              <w:jc w:val="center"/>
              <w:rPr>
                <w:rFonts w:cs="Calibri"/>
                <w:b/>
                <w:bCs/>
                <w:color w:val="000000"/>
                <w:sz w:val="18"/>
                <w:szCs w:val="18"/>
              </w:rPr>
            </w:pPr>
            <w:r>
              <w:rPr>
                <w:rFonts w:cs="Calibri"/>
                <w:b/>
                <w:bCs/>
                <w:color w:val="000000"/>
                <w:sz w:val="18"/>
                <w:szCs w:val="18"/>
              </w:rPr>
              <w:t>1,3</w:t>
            </w:r>
          </w:p>
        </w:tc>
        <w:tc>
          <w:tcPr>
            <w:tcW w:w="964" w:type="dxa"/>
            <w:tcBorders>
              <w:top w:val="nil"/>
              <w:left w:val="nil"/>
              <w:bottom w:val="nil"/>
              <w:right w:val="nil"/>
            </w:tcBorders>
            <w:shd w:val="clear" w:color="000000" w:fill="E6E6E6"/>
            <w:noWrap/>
            <w:vAlign w:val="center"/>
            <w:hideMark/>
          </w:tcPr>
          <w:p w14:paraId="73CC4062" w14:textId="77777777" w:rsidR="00490255" w:rsidRDefault="00490255" w:rsidP="000E4D54">
            <w:pPr>
              <w:jc w:val="center"/>
              <w:rPr>
                <w:rFonts w:cs="Calibri"/>
                <w:b/>
                <w:bCs/>
                <w:color w:val="000000"/>
                <w:sz w:val="18"/>
                <w:szCs w:val="18"/>
              </w:rPr>
            </w:pPr>
            <w:r>
              <w:rPr>
                <w:rFonts w:cs="Calibri"/>
                <w:b/>
                <w:bCs/>
                <w:color w:val="000000"/>
                <w:sz w:val="18"/>
                <w:szCs w:val="18"/>
              </w:rPr>
              <w:t>0,7</w:t>
            </w:r>
          </w:p>
        </w:tc>
        <w:tc>
          <w:tcPr>
            <w:tcW w:w="964" w:type="dxa"/>
            <w:gridSpan w:val="2"/>
            <w:tcBorders>
              <w:top w:val="nil"/>
              <w:left w:val="nil"/>
              <w:bottom w:val="nil"/>
              <w:right w:val="nil"/>
            </w:tcBorders>
            <w:shd w:val="clear" w:color="000000" w:fill="E6E6E6"/>
            <w:vAlign w:val="center"/>
            <w:hideMark/>
          </w:tcPr>
          <w:p w14:paraId="7DCEDB32" w14:textId="77777777" w:rsidR="00490255" w:rsidRDefault="00490255" w:rsidP="000E4D54">
            <w:pPr>
              <w:jc w:val="center"/>
              <w:rPr>
                <w:rFonts w:cs="Calibri"/>
                <w:b/>
                <w:bCs/>
                <w:color w:val="000000"/>
                <w:sz w:val="18"/>
                <w:szCs w:val="18"/>
              </w:rPr>
            </w:pPr>
            <w:r>
              <w:rPr>
                <w:rFonts w:cs="Calibri"/>
                <w:b/>
                <w:bCs/>
                <w:color w:val="000000"/>
                <w:sz w:val="18"/>
                <w:szCs w:val="18"/>
              </w:rPr>
              <w:t>0,5</w:t>
            </w:r>
          </w:p>
        </w:tc>
      </w:tr>
      <w:tr w:rsidR="00490255" w:rsidRPr="000F7810" w14:paraId="476D4ABB" w14:textId="77777777" w:rsidTr="000E4D54">
        <w:trPr>
          <w:trHeight w:val="283"/>
          <w:jc w:val="center"/>
        </w:trPr>
        <w:tc>
          <w:tcPr>
            <w:tcW w:w="4395" w:type="dxa"/>
            <w:vMerge/>
            <w:tcBorders>
              <w:top w:val="nil"/>
              <w:left w:val="nil"/>
              <w:bottom w:val="single" w:sz="4" w:space="0" w:color="000000"/>
              <w:right w:val="nil"/>
            </w:tcBorders>
            <w:vAlign w:val="center"/>
            <w:hideMark/>
          </w:tcPr>
          <w:p w14:paraId="5F682BC2"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nil"/>
              <w:right w:val="nil"/>
            </w:tcBorders>
            <w:shd w:val="clear" w:color="auto" w:fill="auto"/>
            <w:noWrap/>
            <w:vAlign w:val="center"/>
            <w:hideMark/>
          </w:tcPr>
          <w:p w14:paraId="3A6392BC" w14:textId="77777777" w:rsidR="00490255" w:rsidRDefault="00490255" w:rsidP="000E4D54">
            <w:pPr>
              <w:jc w:val="center"/>
              <w:rPr>
                <w:rFonts w:cs="Calibri"/>
                <w:color w:val="000000"/>
                <w:sz w:val="18"/>
                <w:szCs w:val="18"/>
              </w:rPr>
            </w:pPr>
            <w:r>
              <w:rPr>
                <w:rFonts w:cs="Calibri"/>
                <w:color w:val="000000"/>
                <w:sz w:val="18"/>
                <w:szCs w:val="18"/>
              </w:rPr>
              <w:t>2019</w:t>
            </w:r>
          </w:p>
        </w:tc>
        <w:tc>
          <w:tcPr>
            <w:tcW w:w="964" w:type="dxa"/>
            <w:tcBorders>
              <w:top w:val="nil"/>
              <w:left w:val="nil"/>
              <w:bottom w:val="nil"/>
              <w:right w:val="nil"/>
            </w:tcBorders>
            <w:shd w:val="clear" w:color="auto" w:fill="auto"/>
            <w:noWrap/>
            <w:vAlign w:val="center"/>
            <w:hideMark/>
          </w:tcPr>
          <w:p w14:paraId="1901074C" w14:textId="77777777" w:rsidR="00490255" w:rsidRDefault="00490255" w:rsidP="000E4D54">
            <w:pPr>
              <w:jc w:val="center"/>
              <w:rPr>
                <w:rFonts w:cs="Calibri"/>
                <w:color w:val="000000"/>
                <w:sz w:val="18"/>
                <w:szCs w:val="18"/>
              </w:rPr>
            </w:pPr>
            <w:r>
              <w:rPr>
                <w:rFonts w:cs="Calibri"/>
                <w:color w:val="000000"/>
                <w:sz w:val="18"/>
                <w:szCs w:val="18"/>
              </w:rPr>
              <w:t>2,3</w:t>
            </w:r>
          </w:p>
        </w:tc>
        <w:tc>
          <w:tcPr>
            <w:tcW w:w="964" w:type="dxa"/>
            <w:tcBorders>
              <w:top w:val="nil"/>
              <w:left w:val="nil"/>
              <w:bottom w:val="nil"/>
              <w:right w:val="nil"/>
            </w:tcBorders>
            <w:shd w:val="clear" w:color="000000" w:fill="E6E6E6"/>
            <w:noWrap/>
            <w:vAlign w:val="center"/>
            <w:hideMark/>
          </w:tcPr>
          <w:p w14:paraId="5781AFA5" w14:textId="77777777" w:rsidR="00490255" w:rsidRDefault="00490255" w:rsidP="000E4D54">
            <w:pPr>
              <w:jc w:val="center"/>
              <w:rPr>
                <w:rFonts w:cs="Calibri"/>
                <w:b/>
                <w:bCs/>
                <w:color w:val="000000"/>
                <w:sz w:val="18"/>
                <w:szCs w:val="18"/>
              </w:rPr>
            </w:pPr>
            <w:r>
              <w:rPr>
                <w:rFonts w:cs="Calibri"/>
                <w:b/>
                <w:bCs/>
                <w:color w:val="000000"/>
                <w:sz w:val="18"/>
                <w:szCs w:val="18"/>
              </w:rPr>
              <w:t>1,1</w:t>
            </w:r>
          </w:p>
        </w:tc>
        <w:tc>
          <w:tcPr>
            <w:tcW w:w="964" w:type="dxa"/>
            <w:tcBorders>
              <w:top w:val="nil"/>
              <w:left w:val="nil"/>
              <w:bottom w:val="nil"/>
              <w:right w:val="nil"/>
            </w:tcBorders>
            <w:shd w:val="clear" w:color="000000" w:fill="E6E6E6"/>
            <w:noWrap/>
            <w:vAlign w:val="center"/>
            <w:hideMark/>
          </w:tcPr>
          <w:p w14:paraId="253C4042" w14:textId="77777777" w:rsidR="00490255" w:rsidRDefault="00490255" w:rsidP="000E4D54">
            <w:pPr>
              <w:jc w:val="center"/>
              <w:rPr>
                <w:rFonts w:cs="Calibri"/>
                <w:b/>
                <w:bCs/>
                <w:color w:val="000000"/>
                <w:sz w:val="18"/>
                <w:szCs w:val="18"/>
              </w:rPr>
            </w:pPr>
            <w:r>
              <w:rPr>
                <w:rFonts w:cs="Calibri"/>
                <w:b/>
                <w:bCs/>
                <w:color w:val="000000"/>
                <w:sz w:val="18"/>
                <w:szCs w:val="18"/>
              </w:rPr>
              <w:t>0,7</w:t>
            </w:r>
          </w:p>
        </w:tc>
        <w:tc>
          <w:tcPr>
            <w:tcW w:w="964" w:type="dxa"/>
            <w:gridSpan w:val="2"/>
            <w:tcBorders>
              <w:top w:val="nil"/>
              <w:left w:val="nil"/>
              <w:bottom w:val="nil"/>
              <w:right w:val="nil"/>
            </w:tcBorders>
            <w:shd w:val="clear" w:color="000000" w:fill="E6E6E6"/>
            <w:vAlign w:val="center"/>
            <w:hideMark/>
          </w:tcPr>
          <w:p w14:paraId="1379EC5C" w14:textId="77777777" w:rsidR="00490255" w:rsidRDefault="00490255" w:rsidP="000E4D54">
            <w:pPr>
              <w:jc w:val="center"/>
              <w:rPr>
                <w:rFonts w:cs="Calibri"/>
                <w:b/>
                <w:bCs/>
                <w:color w:val="000000"/>
                <w:sz w:val="18"/>
                <w:szCs w:val="18"/>
              </w:rPr>
            </w:pPr>
            <w:r>
              <w:rPr>
                <w:rFonts w:cs="Calibri"/>
                <w:b/>
                <w:bCs/>
                <w:color w:val="000000"/>
                <w:sz w:val="18"/>
                <w:szCs w:val="18"/>
              </w:rPr>
              <w:t>0,4</w:t>
            </w:r>
          </w:p>
        </w:tc>
      </w:tr>
      <w:tr w:rsidR="00490255" w:rsidRPr="000F7810" w14:paraId="7C0795F8" w14:textId="77777777" w:rsidTr="000E4D54">
        <w:trPr>
          <w:trHeight w:val="283"/>
          <w:jc w:val="center"/>
        </w:trPr>
        <w:tc>
          <w:tcPr>
            <w:tcW w:w="4395" w:type="dxa"/>
            <w:vMerge/>
            <w:tcBorders>
              <w:top w:val="nil"/>
              <w:left w:val="nil"/>
              <w:bottom w:val="single" w:sz="4" w:space="0" w:color="000000"/>
              <w:right w:val="nil"/>
            </w:tcBorders>
            <w:vAlign w:val="center"/>
            <w:hideMark/>
          </w:tcPr>
          <w:p w14:paraId="46D8C272"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nil"/>
              <w:right w:val="nil"/>
            </w:tcBorders>
            <w:shd w:val="clear" w:color="auto" w:fill="auto"/>
            <w:noWrap/>
            <w:vAlign w:val="center"/>
            <w:hideMark/>
          </w:tcPr>
          <w:p w14:paraId="04A87971" w14:textId="004422B1" w:rsidR="00490255" w:rsidRDefault="00BE119F" w:rsidP="000E4D54">
            <w:pPr>
              <w:jc w:val="center"/>
              <w:rPr>
                <w:rFonts w:cs="Calibri"/>
                <w:color w:val="000000"/>
                <w:sz w:val="18"/>
                <w:szCs w:val="18"/>
              </w:rPr>
            </w:pPr>
            <w:r>
              <w:rPr>
                <w:rFonts w:cs="Calibri"/>
                <w:color w:val="000000"/>
                <w:sz w:val="18"/>
                <w:szCs w:val="18"/>
              </w:rPr>
              <w:t>2020</w:t>
            </w:r>
          </w:p>
        </w:tc>
        <w:tc>
          <w:tcPr>
            <w:tcW w:w="964" w:type="dxa"/>
            <w:tcBorders>
              <w:top w:val="nil"/>
              <w:left w:val="nil"/>
              <w:bottom w:val="nil"/>
              <w:right w:val="nil"/>
            </w:tcBorders>
            <w:shd w:val="clear" w:color="auto" w:fill="auto"/>
            <w:noWrap/>
            <w:vAlign w:val="center"/>
            <w:hideMark/>
          </w:tcPr>
          <w:p w14:paraId="4E47985A" w14:textId="77777777" w:rsidR="00490255" w:rsidRDefault="00490255" w:rsidP="000E4D54">
            <w:pPr>
              <w:jc w:val="center"/>
              <w:rPr>
                <w:rFonts w:cs="Calibri"/>
                <w:color w:val="000000"/>
                <w:sz w:val="18"/>
                <w:szCs w:val="18"/>
              </w:rPr>
            </w:pPr>
            <w:r>
              <w:rPr>
                <w:rFonts w:cs="Calibri"/>
                <w:color w:val="000000"/>
                <w:sz w:val="18"/>
                <w:szCs w:val="18"/>
              </w:rPr>
              <w:t>0,7</w:t>
            </w:r>
          </w:p>
        </w:tc>
        <w:tc>
          <w:tcPr>
            <w:tcW w:w="964" w:type="dxa"/>
            <w:tcBorders>
              <w:top w:val="nil"/>
              <w:left w:val="nil"/>
              <w:bottom w:val="nil"/>
              <w:right w:val="nil"/>
            </w:tcBorders>
            <w:shd w:val="clear" w:color="000000" w:fill="E6E6E6"/>
            <w:noWrap/>
            <w:vAlign w:val="center"/>
            <w:hideMark/>
          </w:tcPr>
          <w:p w14:paraId="2BAC864B" w14:textId="77777777" w:rsidR="00490255" w:rsidRDefault="00490255" w:rsidP="000E4D54">
            <w:pPr>
              <w:jc w:val="center"/>
              <w:rPr>
                <w:rFonts w:cs="Calibri"/>
                <w:b/>
                <w:bCs/>
                <w:color w:val="000000"/>
                <w:sz w:val="18"/>
                <w:szCs w:val="18"/>
              </w:rPr>
            </w:pPr>
            <w:r>
              <w:rPr>
                <w:rFonts w:cs="Calibri"/>
                <w:b/>
                <w:bCs/>
                <w:color w:val="000000"/>
                <w:sz w:val="18"/>
                <w:szCs w:val="18"/>
              </w:rPr>
              <w:t>0,3</w:t>
            </w:r>
          </w:p>
        </w:tc>
        <w:tc>
          <w:tcPr>
            <w:tcW w:w="964" w:type="dxa"/>
            <w:tcBorders>
              <w:top w:val="nil"/>
              <w:left w:val="nil"/>
              <w:bottom w:val="nil"/>
              <w:right w:val="nil"/>
            </w:tcBorders>
            <w:shd w:val="clear" w:color="000000" w:fill="E6E6E6"/>
            <w:noWrap/>
            <w:vAlign w:val="center"/>
            <w:hideMark/>
          </w:tcPr>
          <w:p w14:paraId="14A8BDAC" w14:textId="77777777" w:rsidR="00490255" w:rsidRDefault="00490255" w:rsidP="000E4D54">
            <w:pPr>
              <w:jc w:val="center"/>
              <w:rPr>
                <w:rFonts w:cs="Calibri"/>
                <w:b/>
                <w:bCs/>
                <w:color w:val="000000"/>
                <w:sz w:val="18"/>
                <w:szCs w:val="18"/>
              </w:rPr>
            </w:pPr>
            <w:r>
              <w:rPr>
                <w:rFonts w:cs="Calibri"/>
                <w:b/>
                <w:bCs/>
                <w:color w:val="000000"/>
                <w:sz w:val="18"/>
                <w:szCs w:val="18"/>
              </w:rPr>
              <w:t>0,7</w:t>
            </w:r>
          </w:p>
        </w:tc>
        <w:tc>
          <w:tcPr>
            <w:tcW w:w="964" w:type="dxa"/>
            <w:gridSpan w:val="2"/>
            <w:tcBorders>
              <w:top w:val="nil"/>
              <w:left w:val="nil"/>
              <w:bottom w:val="nil"/>
              <w:right w:val="nil"/>
            </w:tcBorders>
            <w:shd w:val="clear" w:color="000000" w:fill="E6E6E6"/>
            <w:vAlign w:val="center"/>
            <w:hideMark/>
          </w:tcPr>
          <w:p w14:paraId="28811B78" w14:textId="77777777" w:rsidR="00490255" w:rsidRDefault="00490255" w:rsidP="000E4D54">
            <w:pPr>
              <w:jc w:val="center"/>
              <w:rPr>
                <w:rFonts w:cs="Calibri"/>
                <w:b/>
                <w:bCs/>
                <w:color w:val="000000"/>
                <w:sz w:val="18"/>
                <w:szCs w:val="18"/>
              </w:rPr>
            </w:pPr>
            <w:r>
              <w:rPr>
                <w:rFonts w:cs="Calibri"/>
                <w:b/>
                <w:bCs/>
                <w:color w:val="000000"/>
                <w:sz w:val="18"/>
                <w:szCs w:val="18"/>
              </w:rPr>
              <w:t>-0,3</w:t>
            </w:r>
          </w:p>
        </w:tc>
      </w:tr>
      <w:tr w:rsidR="00490255" w:rsidRPr="000F7810" w14:paraId="00AA3A27" w14:textId="77777777" w:rsidTr="000E4D54">
        <w:trPr>
          <w:trHeight w:val="283"/>
          <w:jc w:val="center"/>
        </w:trPr>
        <w:tc>
          <w:tcPr>
            <w:tcW w:w="4395" w:type="dxa"/>
            <w:vMerge/>
            <w:tcBorders>
              <w:top w:val="nil"/>
              <w:left w:val="nil"/>
              <w:bottom w:val="single" w:sz="4" w:space="0" w:color="000000"/>
              <w:right w:val="nil"/>
            </w:tcBorders>
            <w:vAlign w:val="center"/>
            <w:hideMark/>
          </w:tcPr>
          <w:p w14:paraId="4A1140F5"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single" w:sz="4" w:space="0" w:color="auto"/>
              <w:right w:val="nil"/>
            </w:tcBorders>
            <w:shd w:val="clear" w:color="auto" w:fill="auto"/>
            <w:noWrap/>
            <w:vAlign w:val="center"/>
            <w:hideMark/>
          </w:tcPr>
          <w:p w14:paraId="12F5C635" w14:textId="5C587B52" w:rsidR="00490255" w:rsidRDefault="00490255" w:rsidP="00BE119F">
            <w:pPr>
              <w:jc w:val="center"/>
              <w:rPr>
                <w:rFonts w:cs="Calibri"/>
                <w:color w:val="000000"/>
                <w:sz w:val="18"/>
                <w:szCs w:val="18"/>
              </w:rPr>
            </w:pPr>
            <w:r>
              <w:rPr>
                <w:rFonts w:cs="Calibri"/>
                <w:color w:val="000000"/>
                <w:sz w:val="18"/>
                <w:szCs w:val="18"/>
              </w:rPr>
              <w:t>2021</w:t>
            </w:r>
          </w:p>
        </w:tc>
        <w:tc>
          <w:tcPr>
            <w:tcW w:w="964" w:type="dxa"/>
            <w:tcBorders>
              <w:top w:val="nil"/>
              <w:left w:val="nil"/>
              <w:bottom w:val="single" w:sz="4" w:space="0" w:color="auto"/>
              <w:right w:val="nil"/>
            </w:tcBorders>
            <w:shd w:val="clear" w:color="auto" w:fill="auto"/>
            <w:noWrap/>
            <w:vAlign w:val="center"/>
            <w:hideMark/>
          </w:tcPr>
          <w:p w14:paraId="79C19280" w14:textId="77777777" w:rsidR="00490255" w:rsidRDefault="00490255" w:rsidP="000E4D54">
            <w:pPr>
              <w:jc w:val="center"/>
              <w:rPr>
                <w:rFonts w:cs="Calibri"/>
                <w:color w:val="000000"/>
                <w:sz w:val="18"/>
                <w:szCs w:val="18"/>
              </w:rPr>
            </w:pPr>
            <w:r>
              <w:rPr>
                <w:rFonts w:cs="Calibri"/>
                <w:color w:val="000000"/>
                <w:sz w:val="18"/>
                <w:szCs w:val="18"/>
              </w:rPr>
              <w:t>1,3</w:t>
            </w:r>
          </w:p>
        </w:tc>
        <w:tc>
          <w:tcPr>
            <w:tcW w:w="964" w:type="dxa"/>
            <w:tcBorders>
              <w:top w:val="nil"/>
              <w:left w:val="nil"/>
              <w:bottom w:val="single" w:sz="4" w:space="0" w:color="auto"/>
              <w:right w:val="nil"/>
            </w:tcBorders>
            <w:shd w:val="clear" w:color="000000" w:fill="E6E6E6"/>
            <w:noWrap/>
            <w:vAlign w:val="center"/>
            <w:hideMark/>
          </w:tcPr>
          <w:p w14:paraId="121E41FF" w14:textId="77777777" w:rsidR="00490255" w:rsidRDefault="00490255" w:rsidP="000E4D54">
            <w:pPr>
              <w:jc w:val="center"/>
              <w:rPr>
                <w:rFonts w:cs="Calibri"/>
                <w:b/>
                <w:bCs/>
                <w:color w:val="000000"/>
                <w:sz w:val="18"/>
                <w:szCs w:val="18"/>
              </w:rPr>
            </w:pPr>
            <w:r>
              <w:rPr>
                <w:rFonts w:cs="Calibri"/>
                <w:b/>
                <w:bCs/>
                <w:color w:val="000000"/>
                <w:sz w:val="18"/>
                <w:szCs w:val="18"/>
              </w:rPr>
              <w:t>1,0</w:t>
            </w:r>
          </w:p>
        </w:tc>
        <w:tc>
          <w:tcPr>
            <w:tcW w:w="964" w:type="dxa"/>
            <w:tcBorders>
              <w:top w:val="nil"/>
              <w:left w:val="nil"/>
              <w:bottom w:val="single" w:sz="4" w:space="0" w:color="auto"/>
              <w:right w:val="nil"/>
            </w:tcBorders>
            <w:shd w:val="clear" w:color="000000" w:fill="E6E6E6"/>
            <w:noWrap/>
            <w:vAlign w:val="center"/>
            <w:hideMark/>
          </w:tcPr>
          <w:p w14:paraId="2DD6931A" w14:textId="77777777" w:rsidR="00490255" w:rsidRDefault="00490255" w:rsidP="000E4D54">
            <w:pPr>
              <w:jc w:val="center"/>
              <w:rPr>
                <w:rFonts w:cs="Calibri"/>
                <w:b/>
                <w:bCs/>
                <w:color w:val="000000"/>
                <w:sz w:val="18"/>
                <w:szCs w:val="18"/>
              </w:rPr>
            </w:pPr>
            <w:r>
              <w:rPr>
                <w:rFonts w:cs="Calibri"/>
                <w:b/>
                <w:bCs/>
                <w:color w:val="000000"/>
                <w:sz w:val="18"/>
                <w:szCs w:val="18"/>
              </w:rPr>
              <w:t>0,5</w:t>
            </w:r>
          </w:p>
        </w:tc>
        <w:tc>
          <w:tcPr>
            <w:tcW w:w="964" w:type="dxa"/>
            <w:gridSpan w:val="2"/>
            <w:tcBorders>
              <w:top w:val="nil"/>
              <w:left w:val="nil"/>
              <w:bottom w:val="single" w:sz="4" w:space="0" w:color="auto"/>
              <w:right w:val="nil"/>
            </w:tcBorders>
            <w:shd w:val="clear" w:color="000000" w:fill="E6E6E6"/>
            <w:vAlign w:val="center"/>
            <w:hideMark/>
          </w:tcPr>
          <w:p w14:paraId="1BD62084" w14:textId="77777777" w:rsidR="00490255" w:rsidRDefault="00490255" w:rsidP="000E4D54">
            <w:pPr>
              <w:jc w:val="center"/>
              <w:rPr>
                <w:rFonts w:cs="Calibri"/>
                <w:b/>
                <w:bCs/>
                <w:color w:val="000000"/>
                <w:sz w:val="18"/>
                <w:szCs w:val="18"/>
              </w:rPr>
            </w:pPr>
            <w:r>
              <w:rPr>
                <w:rFonts w:cs="Calibri"/>
                <w:b/>
                <w:bCs/>
                <w:color w:val="000000"/>
                <w:sz w:val="18"/>
                <w:szCs w:val="18"/>
              </w:rPr>
              <w:t>-0,2</w:t>
            </w:r>
          </w:p>
        </w:tc>
      </w:tr>
      <w:tr w:rsidR="00490255" w:rsidRPr="000F7810" w14:paraId="230AA9FD" w14:textId="77777777" w:rsidTr="000E4D54">
        <w:trPr>
          <w:trHeight w:val="283"/>
          <w:jc w:val="center"/>
        </w:trPr>
        <w:tc>
          <w:tcPr>
            <w:tcW w:w="4395" w:type="dxa"/>
            <w:vMerge/>
            <w:tcBorders>
              <w:top w:val="nil"/>
              <w:left w:val="nil"/>
              <w:bottom w:val="single" w:sz="4" w:space="0" w:color="000000"/>
              <w:right w:val="nil"/>
            </w:tcBorders>
            <w:vAlign w:val="center"/>
            <w:hideMark/>
          </w:tcPr>
          <w:p w14:paraId="1D85A79D"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nil"/>
              <w:right w:val="nil"/>
            </w:tcBorders>
            <w:shd w:val="clear" w:color="auto" w:fill="auto"/>
            <w:noWrap/>
            <w:vAlign w:val="center"/>
            <w:hideMark/>
          </w:tcPr>
          <w:p w14:paraId="2B7BE36A" w14:textId="77777777" w:rsidR="00490255" w:rsidRDefault="00490255" w:rsidP="000E4D54">
            <w:pPr>
              <w:jc w:val="center"/>
              <w:rPr>
                <w:rFonts w:cs="Calibri"/>
                <w:color w:val="000000"/>
                <w:sz w:val="18"/>
                <w:szCs w:val="18"/>
              </w:rPr>
            </w:pPr>
            <w:r>
              <w:rPr>
                <w:rFonts w:cs="Calibri"/>
                <w:color w:val="000000"/>
                <w:sz w:val="18"/>
                <w:szCs w:val="18"/>
              </w:rPr>
              <w:t>2022F</w:t>
            </w:r>
          </w:p>
        </w:tc>
        <w:tc>
          <w:tcPr>
            <w:tcW w:w="964" w:type="dxa"/>
            <w:tcBorders>
              <w:top w:val="nil"/>
              <w:left w:val="nil"/>
              <w:bottom w:val="nil"/>
              <w:right w:val="nil"/>
            </w:tcBorders>
            <w:shd w:val="clear" w:color="auto" w:fill="auto"/>
            <w:noWrap/>
            <w:vAlign w:val="center"/>
            <w:hideMark/>
          </w:tcPr>
          <w:p w14:paraId="4AD03362" w14:textId="77777777" w:rsidR="00490255" w:rsidRDefault="00490255" w:rsidP="000E4D54">
            <w:pPr>
              <w:jc w:val="center"/>
              <w:rPr>
                <w:rFonts w:cs="Calibri"/>
                <w:color w:val="000000"/>
                <w:sz w:val="18"/>
                <w:szCs w:val="18"/>
              </w:rPr>
            </w:pPr>
            <w:r>
              <w:rPr>
                <w:rFonts w:cs="Calibri"/>
                <w:color w:val="000000"/>
                <w:sz w:val="18"/>
                <w:szCs w:val="18"/>
              </w:rPr>
              <w:t>1,4</w:t>
            </w:r>
          </w:p>
        </w:tc>
        <w:tc>
          <w:tcPr>
            <w:tcW w:w="964" w:type="dxa"/>
            <w:tcBorders>
              <w:top w:val="nil"/>
              <w:left w:val="nil"/>
              <w:bottom w:val="nil"/>
              <w:right w:val="nil"/>
            </w:tcBorders>
            <w:shd w:val="clear" w:color="000000" w:fill="E6E6E6"/>
            <w:noWrap/>
            <w:vAlign w:val="center"/>
            <w:hideMark/>
          </w:tcPr>
          <w:p w14:paraId="30501EF1" w14:textId="77777777" w:rsidR="00490255" w:rsidRDefault="00490255" w:rsidP="000E4D54">
            <w:pPr>
              <w:jc w:val="center"/>
              <w:rPr>
                <w:rFonts w:cs="Calibri"/>
                <w:b/>
                <w:bCs/>
                <w:color w:val="000000"/>
                <w:sz w:val="18"/>
                <w:szCs w:val="18"/>
              </w:rPr>
            </w:pPr>
            <w:r>
              <w:rPr>
                <w:rFonts w:cs="Calibri"/>
                <w:b/>
                <w:bCs/>
                <w:color w:val="000000"/>
                <w:sz w:val="18"/>
                <w:szCs w:val="18"/>
              </w:rPr>
              <w:t>0,8</w:t>
            </w:r>
          </w:p>
        </w:tc>
        <w:tc>
          <w:tcPr>
            <w:tcW w:w="964" w:type="dxa"/>
            <w:tcBorders>
              <w:top w:val="nil"/>
              <w:left w:val="nil"/>
              <w:bottom w:val="nil"/>
              <w:right w:val="nil"/>
            </w:tcBorders>
            <w:shd w:val="clear" w:color="000000" w:fill="E6E6E6"/>
            <w:noWrap/>
            <w:vAlign w:val="center"/>
            <w:hideMark/>
          </w:tcPr>
          <w:p w14:paraId="0CBFC7BD" w14:textId="77777777" w:rsidR="00490255" w:rsidRDefault="00490255" w:rsidP="000E4D54">
            <w:pPr>
              <w:jc w:val="center"/>
              <w:rPr>
                <w:rFonts w:cs="Calibri"/>
                <w:b/>
                <w:bCs/>
                <w:color w:val="000000"/>
                <w:sz w:val="18"/>
                <w:szCs w:val="18"/>
              </w:rPr>
            </w:pPr>
            <w:r>
              <w:rPr>
                <w:rFonts w:cs="Calibri"/>
                <w:b/>
                <w:bCs/>
                <w:color w:val="000000"/>
                <w:sz w:val="18"/>
                <w:szCs w:val="18"/>
              </w:rPr>
              <w:t>0,7</w:t>
            </w:r>
          </w:p>
        </w:tc>
        <w:tc>
          <w:tcPr>
            <w:tcW w:w="964" w:type="dxa"/>
            <w:gridSpan w:val="2"/>
            <w:tcBorders>
              <w:top w:val="nil"/>
              <w:left w:val="nil"/>
              <w:bottom w:val="nil"/>
              <w:right w:val="nil"/>
            </w:tcBorders>
            <w:shd w:val="clear" w:color="000000" w:fill="E6E6E6"/>
            <w:vAlign w:val="center"/>
            <w:hideMark/>
          </w:tcPr>
          <w:p w14:paraId="345E5C60" w14:textId="77777777" w:rsidR="00490255" w:rsidRDefault="00490255" w:rsidP="000E4D54">
            <w:pPr>
              <w:jc w:val="center"/>
              <w:rPr>
                <w:rFonts w:cs="Calibri"/>
                <w:b/>
                <w:bCs/>
                <w:color w:val="000000"/>
                <w:sz w:val="18"/>
                <w:szCs w:val="18"/>
              </w:rPr>
            </w:pPr>
            <w:r>
              <w:rPr>
                <w:rFonts w:cs="Calibri"/>
                <w:b/>
                <w:bCs/>
                <w:color w:val="000000"/>
                <w:sz w:val="18"/>
                <w:szCs w:val="18"/>
              </w:rPr>
              <w:t>-0,1</w:t>
            </w:r>
          </w:p>
        </w:tc>
      </w:tr>
      <w:tr w:rsidR="00490255" w:rsidRPr="000F7810" w14:paraId="3AF8F820" w14:textId="77777777" w:rsidTr="000E4D54">
        <w:trPr>
          <w:trHeight w:val="283"/>
          <w:jc w:val="center"/>
        </w:trPr>
        <w:tc>
          <w:tcPr>
            <w:tcW w:w="4395" w:type="dxa"/>
            <w:vMerge/>
            <w:tcBorders>
              <w:top w:val="nil"/>
              <w:left w:val="nil"/>
              <w:bottom w:val="single" w:sz="4" w:space="0" w:color="000000"/>
              <w:right w:val="nil"/>
            </w:tcBorders>
            <w:vAlign w:val="center"/>
            <w:hideMark/>
          </w:tcPr>
          <w:p w14:paraId="6B2823F4"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nil"/>
              <w:right w:val="nil"/>
            </w:tcBorders>
            <w:shd w:val="clear" w:color="auto" w:fill="auto"/>
            <w:noWrap/>
            <w:vAlign w:val="center"/>
            <w:hideMark/>
          </w:tcPr>
          <w:p w14:paraId="7DF827B2" w14:textId="77777777" w:rsidR="00490255" w:rsidRDefault="00490255" w:rsidP="000E4D54">
            <w:pPr>
              <w:jc w:val="center"/>
              <w:rPr>
                <w:rFonts w:cs="Calibri"/>
                <w:color w:val="000000"/>
                <w:sz w:val="18"/>
                <w:szCs w:val="18"/>
              </w:rPr>
            </w:pPr>
            <w:r>
              <w:rPr>
                <w:rFonts w:cs="Calibri"/>
                <w:color w:val="000000"/>
                <w:sz w:val="18"/>
                <w:szCs w:val="18"/>
              </w:rPr>
              <w:t>2023F</w:t>
            </w:r>
          </w:p>
        </w:tc>
        <w:tc>
          <w:tcPr>
            <w:tcW w:w="964" w:type="dxa"/>
            <w:tcBorders>
              <w:top w:val="nil"/>
              <w:left w:val="nil"/>
              <w:bottom w:val="nil"/>
              <w:right w:val="nil"/>
            </w:tcBorders>
            <w:shd w:val="clear" w:color="auto" w:fill="auto"/>
            <w:noWrap/>
            <w:vAlign w:val="center"/>
            <w:hideMark/>
          </w:tcPr>
          <w:p w14:paraId="3417D2C6" w14:textId="77777777" w:rsidR="00490255" w:rsidRDefault="00490255" w:rsidP="000E4D54">
            <w:pPr>
              <w:jc w:val="center"/>
              <w:rPr>
                <w:rFonts w:cs="Calibri"/>
                <w:color w:val="000000"/>
                <w:sz w:val="18"/>
                <w:szCs w:val="18"/>
              </w:rPr>
            </w:pPr>
            <w:r>
              <w:rPr>
                <w:rFonts w:cs="Calibri"/>
                <w:color w:val="000000"/>
                <w:sz w:val="18"/>
                <w:szCs w:val="18"/>
              </w:rPr>
              <w:t>2,8</w:t>
            </w:r>
          </w:p>
        </w:tc>
        <w:tc>
          <w:tcPr>
            <w:tcW w:w="964" w:type="dxa"/>
            <w:tcBorders>
              <w:top w:val="nil"/>
              <w:left w:val="nil"/>
              <w:bottom w:val="nil"/>
              <w:right w:val="nil"/>
            </w:tcBorders>
            <w:shd w:val="clear" w:color="000000" w:fill="E6E6E6"/>
            <w:noWrap/>
            <w:vAlign w:val="center"/>
            <w:hideMark/>
          </w:tcPr>
          <w:p w14:paraId="10FDBA31" w14:textId="77777777" w:rsidR="00490255" w:rsidRDefault="00490255" w:rsidP="000E4D54">
            <w:pPr>
              <w:jc w:val="center"/>
              <w:rPr>
                <w:rFonts w:cs="Calibri"/>
                <w:b/>
                <w:bCs/>
                <w:color w:val="000000"/>
                <w:sz w:val="18"/>
                <w:szCs w:val="18"/>
              </w:rPr>
            </w:pPr>
            <w:r>
              <w:rPr>
                <w:rFonts w:cs="Calibri"/>
                <w:b/>
                <w:bCs/>
                <w:color w:val="000000"/>
                <w:sz w:val="18"/>
                <w:szCs w:val="18"/>
              </w:rPr>
              <w:t>1,7</w:t>
            </w:r>
          </w:p>
        </w:tc>
        <w:tc>
          <w:tcPr>
            <w:tcW w:w="964" w:type="dxa"/>
            <w:tcBorders>
              <w:top w:val="nil"/>
              <w:left w:val="nil"/>
              <w:bottom w:val="nil"/>
              <w:right w:val="nil"/>
            </w:tcBorders>
            <w:shd w:val="clear" w:color="000000" w:fill="E6E6E6"/>
            <w:noWrap/>
            <w:vAlign w:val="center"/>
            <w:hideMark/>
          </w:tcPr>
          <w:p w14:paraId="70DCAF7B" w14:textId="77777777" w:rsidR="00490255" w:rsidRDefault="00490255" w:rsidP="000E4D54">
            <w:pPr>
              <w:jc w:val="center"/>
              <w:rPr>
                <w:rFonts w:cs="Calibri"/>
                <w:b/>
                <w:bCs/>
                <w:color w:val="000000"/>
                <w:sz w:val="18"/>
                <w:szCs w:val="18"/>
              </w:rPr>
            </w:pPr>
            <w:r>
              <w:rPr>
                <w:rFonts w:cs="Calibri"/>
                <w:b/>
                <w:bCs/>
                <w:color w:val="000000"/>
                <w:sz w:val="18"/>
                <w:szCs w:val="18"/>
              </w:rPr>
              <w:t>1,1</w:t>
            </w:r>
          </w:p>
        </w:tc>
        <w:tc>
          <w:tcPr>
            <w:tcW w:w="964" w:type="dxa"/>
            <w:gridSpan w:val="2"/>
            <w:tcBorders>
              <w:top w:val="nil"/>
              <w:left w:val="nil"/>
              <w:bottom w:val="nil"/>
              <w:right w:val="nil"/>
            </w:tcBorders>
            <w:shd w:val="clear" w:color="000000" w:fill="E6E6E6"/>
            <w:vAlign w:val="center"/>
            <w:hideMark/>
          </w:tcPr>
          <w:p w14:paraId="5D44FF0A" w14:textId="77777777" w:rsidR="00490255" w:rsidRDefault="00490255" w:rsidP="000E4D54">
            <w:pPr>
              <w:jc w:val="center"/>
              <w:rPr>
                <w:rFonts w:cs="Calibri"/>
                <w:b/>
                <w:bCs/>
                <w:color w:val="000000"/>
                <w:sz w:val="18"/>
                <w:szCs w:val="18"/>
              </w:rPr>
            </w:pPr>
            <w:r>
              <w:rPr>
                <w:rFonts w:cs="Calibri"/>
                <w:b/>
                <w:bCs/>
                <w:color w:val="000000"/>
                <w:sz w:val="18"/>
                <w:szCs w:val="18"/>
              </w:rPr>
              <w:t>-0,1</w:t>
            </w:r>
          </w:p>
        </w:tc>
      </w:tr>
      <w:tr w:rsidR="00490255" w:rsidRPr="000F7810" w14:paraId="28D9E42A" w14:textId="77777777" w:rsidTr="000E4D54">
        <w:trPr>
          <w:trHeight w:val="283"/>
          <w:jc w:val="center"/>
        </w:trPr>
        <w:tc>
          <w:tcPr>
            <w:tcW w:w="4395" w:type="dxa"/>
            <w:vMerge/>
            <w:tcBorders>
              <w:top w:val="nil"/>
              <w:left w:val="nil"/>
              <w:bottom w:val="single" w:sz="4" w:space="0" w:color="000000"/>
              <w:right w:val="nil"/>
            </w:tcBorders>
            <w:vAlign w:val="center"/>
            <w:hideMark/>
          </w:tcPr>
          <w:p w14:paraId="7C53C720"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right w:val="nil"/>
            </w:tcBorders>
            <w:shd w:val="clear" w:color="auto" w:fill="auto"/>
            <w:noWrap/>
            <w:vAlign w:val="center"/>
            <w:hideMark/>
          </w:tcPr>
          <w:p w14:paraId="350B1F38" w14:textId="77777777" w:rsidR="00490255" w:rsidRDefault="00490255" w:rsidP="000E4D54">
            <w:pPr>
              <w:jc w:val="center"/>
              <w:rPr>
                <w:rFonts w:cs="Calibri"/>
                <w:color w:val="000000"/>
                <w:sz w:val="18"/>
                <w:szCs w:val="18"/>
              </w:rPr>
            </w:pPr>
            <w:r>
              <w:rPr>
                <w:rFonts w:cs="Calibri"/>
                <w:color w:val="000000"/>
                <w:sz w:val="18"/>
                <w:szCs w:val="18"/>
              </w:rPr>
              <w:t>2024F</w:t>
            </w:r>
          </w:p>
        </w:tc>
        <w:tc>
          <w:tcPr>
            <w:tcW w:w="964" w:type="dxa"/>
            <w:tcBorders>
              <w:top w:val="nil"/>
              <w:left w:val="nil"/>
              <w:right w:val="nil"/>
            </w:tcBorders>
            <w:shd w:val="clear" w:color="auto" w:fill="auto"/>
            <w:noWrap/>
            <w:vAlign w:val="center"/>
            <w:hideMark/>
          </w:tcPr>
          <w:p w14:paraId="06B98648" w14:textId="77777777" w:rsidR="00490255" w:rsidRDefault="00490255" w:rsidP="000E4D54">
            <w:pPr>
              <w:jc w:val="center"/>
              <w:rPr>
                <w:rFonts w:cs="Calibri"/>
                <w:color w:val="000000"/>
                <w:sz w:val="18"/>
                <w:szCs w:val="18"/>
              </w:rPr>
            </w:pPr>
            <w:r>
              <w:rPr>
                <w:rFonts w:cs="Calibri"/>
                <w:color w:val="000000"/>
                <w:sz w:val="18"/>
                <w:szCs w:val="18"/>
              </w:rPr>
              <w:t>2,9</w:t>
            </w:r>
          </w:p>
        </w:tc>
        <w:tc>
          <w:tcPr>
            <w:tcW w:w="964" w:type="dxa"/>
            <w:tcBorders>
              <w:top w:val="nil"/>
              <w:left w:val="nil"/>
              <w:right w:val="nil"/>
            </w:tcBorders>
            <w:shd w:val="clear" w:color="000000" w:fill="E6E6E6"/>
            <w:noWrap/>
            <w:vAlign w:val="center"/>
            <w:hideMark/>
          </w:tcPr>
          <w:p w14:paraId="166130F4" w14:textId="77777777" w:rsidR="00490255" w:rsidRDefault="00490255" w:rsidP="000E4D54">
            <w:pPr>
              <w:jc w:val="center"/>
              <w:rPr>
                <w:rFonts w:cs="Calibri"/>
                <w:b/>
                <w:bCs/>
                <w:color w:val="000000"/>
                <w:sz w:val="18"/>
                <w:szCs w:val="18"/>
              </w:rPr>
            </w:pPr>
            <w:r>
              <w:rPr>
                <w:rFonts w:cs="Calibri"/>
                <w:b/>
                <w:bCs/>
                <w:color w:val="000000"/>
                <w:sz w:val="18"/>
                <w:szCs w:val="18"/>
              </w:rPr>
              <w:t>1,8</w:t>
            </w:r>
          </w:p>
        </w:tc>
        <w:tc>
          <w:tcPr>
            <w:tcW w:w="964" w:type="dxa"/>
            <w:tcBorders>
              <w:top w:val="nil"/>
              <w:left w:val="nil"/>
              <w:right w:val="nil"/>
            </w:tcBorders>
            <w:shd w:val="clear" w:color="000000" w:fill="E6E6E6"/>
            <w:noWrap/>
            <w:vAlign w:val="center"/>
            <w:hideMark/>
          </w:tcPr>
          <w:p w14:paraId="299FCE58" w14:textId="77777777" w:rsidR="00490255" w:rsidRDefault="00490255" w:rsidP="000E4D54">
            <w:pPr>
              <w:jc w:val="center"/>
              <w:rPr>
                <w:rFonts w:cs="Calibri"/>
                <w:b/>
                <w:bCs/>
                <w:color w:val="000000"/>
                <w:sz w:val="18"/>
                <w:szCs w:val="18"/>
              </w:rPr>
            </w:pPr>
            <w:r>
              <w:rPr>
                <w:rFonts w:cs="Calibri"/>
                <w:b/>
                <w:bCs/>
                <w:color w:val="000000"/>
                <w:sz w:val="18"/>
                <w:szCs w:val="18"/>
              </w:rPr>
              <w:t>1,3</w:t>
            </w:r>
          </w:p>
        </w:tc>
        <w:tc>
          <w:tcPr>
            <w:tcW w:w="964" w:type="dxa"/>
            <w:gridSpan w:val="2"/>
            <w:tcBorders>
              <w:top w:val="nil"/>
              <w:left w:val="nil"/>
              <w:right w:val="nil"/>
            </w:tcBorders>
            <w:shd w:val="clear" w:color="000000" w:fill="E6E6E6"/>
            <w:vAlign w:val="center"/>
            <w:hideMark/>
          </w:tcPr>
          <w:p w14:paraId="72BBC74E" w14:textId="77777777" w:rsidR="00490255" w:rsidRDefault="00490255" w:rsidP="000E4D54">
            <w:pPr>
              <w:jc w:val="center"/>
              <w:rPr>
                <w:rFonts w:cs="Calibri"/>
                <w:b/>
                <w:bCs/>
                <w:color w:val="000000"/>
                <w:sz w:val="18"/>
                <w:szCs w:val="18"/>
              </w:rPr>
            </w:pPr>
            <w:r>
              <w:rPr>
                <w:rFonts w:cs="Calibri"/>
                <w:b/>
                <w:bCs/>
                <w:color w:val="000000"/>
                <w:sz w:val="18"/>
                <w:szCs w:val="18"/>
              </w:rPr>
              <w:t>-0,2</w:t>
            </w:r>
          </w:p>
        </w:tc>
      </w:tr>
      <w:tr w:rsidR="00490255" w:rsidRPr="000F7810" w14:paraId="576B65DF" w14:textId="77777777" w:rsidTr="000E4D54">
        <w:trPr>
          <w:trHeight w:val="283"/>
          <w:jc w:val="center"/>
        </w:trPr>
        <w:tc>
          <w:tcPr>
            <w:tcW w:w="4395" w:type="dxa"/>
            <w:vMerge/>
            <w:tcBorders>
              <w:top w:val="nil"/>
              <w:left w:val="nil"/>
              <w:bottom w:val="single" w:sz="4" w:space="0" w:color="000000"/>
              <w:right w:val="nil"/>
            </w:tcBorders>
            <w:vAlign w:val="center"/>
            <w:hideMark/>
          </w:tcPr>
          <w:p w14:paraId="4A12D73B" w14:textId="77777777" w:rsidR="00490255" w:rsidRPr="000F7810" w:rsidRDefault="00490255" w:rsidP="000E4D54">
            <w:pPr>
              <w:ind w:left="360"/>
              <w:rPr>
                <w:rFonts w:cs="Times New Roman"/>
                <w:b/>
                <w:bCs/>
                <w:color w:val="000000"/>
                <w:sz w:val="16"/>
                <w:szCs w:val="16"/>
                <w:highlight w:val="yellow"/>
              </w:rPr>
            </w:pPr>
          </w:p>
        </w:tc>
        <w:tc>
          <w:tcPr>
            <w:tcW w:w="681" w:type="dxa"/>
            <w:tcBorders>
              <w:top w:val="nil"/>
              <w:left w:val="nil"/>
              <w:bottom w:val="single" w:sz="4" w:space="0" w:color="auto"/>
              <w:right w:val="nil"/>
            </w:tcBorders>
            <w:shd w:val="clear" w:color="auto" w:fill="auto"/>
            <w:noWrap/>
            <w:vAlign w:val="center"/>
            <w:hideMark/>
          </w:tcPr>
          <w:p w14:paraId="4FD7C035" w14:textId="77777777" w:rsidR="00490255" w:rsidRDefault="00490255" w:rsidP="000E4D54">
            <w:pPr>
              <w:jc w:val="center"/>
              <w:rPr>
                <w:rFonts w:cs="Calibri"/>
                <w:color w:val="000000"/>
                <w:sz w:val="18"/>
                <w:szCs w:val="18"/>
              </w:rPr>
            </w:pPr>
            <w:r>
              <w:rPr>
                <w:rFonts w:cs="Calibri"/>
                <w:color w:val="000000"/>
                <w:sz w:val="18"/>
                <w:szCs w:val="18"/>
              </w:rPr>
              <w:t>2025F</w:t>
            </w:r>
          </w:p>
        </w:tc>
        <w:tc>
          <w:tcPr>
            <w:tcW w:w="964" w:type="dxa"/>
            <w:tcBorders>
              <w:top w:val="nil"/>
              <w:left w:val="nil"/>
              <w:bottom w:val="single" w:sz="4" w:space="0" w:color="auto"/>
              <w:right w:val="nil"/>
            </w:tcBorders>
            <w:shd w:val="clear" w:color="auto" w:fill="auto"/>
            <w:noWrap/>
            <w:vAlign w:val="center"/>
            <w:hideMark/>
          </w:tcPr>
          <w:p w14:paraId="22F59FED" w14:textId="77777777" w:rsidR="00490255" w:rsidRDefault="00490255" w:rsidP="000E4D54">
            <w:pPr>
              <w:jc w:val="center"/>
              <w:rPr>
                <w:rFonts w:cs="Calibri"/>
                <w:color w:val="000000"/>
                <w:sz w:val="18"/>
                <w:szCs w:val="18"/>
              </w:rPr>
            </w:pPr>
            <w:r>
              <w:rPr>
                <w:rFonts w:cs="Calibri"/>
                <w:color w:val="000000"/>
                <w:sz w:val="18"/>
                <w:szCs w:val="18"/>
              </w:rPr>
              <w:t>2,3</w:t>
            </w:r>
          </w:p>
        </w:tc>
        <w:tc>
          <w:tcPr>
            <w:tcW w:w="964" w:type="dxa"/>
            <w:tcBorders>
              <w:top w:val="nil"/>
              <w:left w:val="nil"/>
              <w:bottom w:val="single" w:sz="4" w:space="0" w:color="auto"/>
              <w:right w:val="nil"/>
            </w:tcBorders>
            <w:shd w:val="clear" w:color="000000" w:fill="E6E6E6"/>
            <w:noWrap/>
            <w:vAlign w:val="center"/>
            <w:hideMark/>
          </w:tcPr>
          <w:p w14:paraId="44050570" w14:textId="77777777" w:rsidR="00490255" w:rsidRDefault="00490255" w:rsidP="000E4D54">
            <w:pPr>
              <w:jc w:val="center"/>
              <w:rPr>
                <w:rFonts w:cs="Calibri"/>
                <w:b/>
                <w:bCs/>
                <w:color w:val="000000"/>
                <w:sz w:val="18"/>
                <w:szCs w:val="18"/>
              </w:rPr>
            </w:pPr>
            <w:r>
              <w:rPr>
                <w:rFonts w:cs="Calibri"/>
                <w:b/>
                <w:bCs/>
                <w:color w:val="000000"/>
                <w:sz w:val="18"/>
                <w:szCs w:val="18"/>
              </w:rPr>
              <w:t>1,4</w:t>
            </w:r>
          </w:p>
        </w:tc>
        <w:tc>
          <w:tcPr>
            <w:tcW w:w="964" w:type="dxa"/>
            <w:tcBorders>
              <w:top w:val="nil"/>
              <w:left w:val="nil"/>
              <w:bottom w:val="single" w:sz="4" w:space="0" w:color="auto"/>
              <w:right w:val="nil"/>
            </w:tcBorders>
            <w:shd w:val="clear" w:color="000000" w:fill="E6E6E6"/>
            <w:noWrap/>
            <w:vAlign w:val="center"/>
            <w:hideMark/>
          </w:tcPr>
          <w:p w14:paraId="0FAE7853" w14:textId="77777777" w:rsidR="00490255" w:rsidRDefault="00490255" w:rsidP="000E4D54">
            <w:pPr>
              <w:jc w:val="center"/>
              <w:rPr>
                <w:rFonts w:cs="Calibri"/>
                <w:b/>
                <w:bCs/>
                <w:color w:val="000000"/>
                <w:sz w:val="18"/>
                <w:szCs w:val="18"/>
              </w:rPr>
            </w:pPr>
            <w:r>
              <w:rPr>
                <w:rFonts w:cs="Calibri"/>
                <w:b/>
                <w:bCs/>
                <w:color w:val="000000"/>
                <w:sz w:val="18"/>
                <w:szCs w:val="18"/>
              </w:rPr>
              <w:t>1,1</w:t>
            </w:r>
          </w:p>
        </w:tc>
        <w:tc>
          <w:tcPr>
            <w:tcW w:w="964" w:type="dxa"/>
            <w:gridSpan w:val="2"/>
            <w:tcBorders>
              <w:top w:val="nil"/>
              <w:left w:val="nil"/>
              <w:right w:val="nil"/>
            </w:tcBorders>
            <w:shd w:val="clear" w:color="000000" w:fill="E6E6E6"/>
            <w:vAlign w:val="center"/>
            <w:hideMark/>
          </w:tcPr>
          <w:p w14:paraId="334ACB70" w14:textId="77777777" w:rsidR="00490255" w:rsidRDefault="00490255" w:rsidP="000E4D54">
            <w:pPr>
              <w:jc w:val="center"/>
              <w:rPr>
                <w:rFonts w:cs="Calibri"/>
                <w:b/>
                <w:bCs/>
                <w:color w:val="000000"/>
                <w:sz w:val="18"/>
                <w:szCs w:val="18"/>
              </w:rPr>
            </w:pPr>
            <w:r>
              <w:rPr>
                <w:rFonts w:cs="Calibri"/>
                <w:b/>
                <w:bCs/>
                <w:color w:val="000000"/>
                <w:sz w:val="18"/>
                <w:szCs w:val="18"/>
              </w:rPr>
              <w:t>-0,2</w:t>
            </w:r>
          </w:p>
        </w:tc>
      </w:tr>
      <w:tr w:rsidR="00490255" w:rsidRPr="006A2D68" w14:paraId="6506C6FF" w14:textId="77777777" w:rsidTr="000E4D54">
        <w:trPr>
          <w:gridAfter w:val="1"/>
          <w:wAfter w:w="35" w:type="dxa"/>
          <w:trHeight w:val="227"/>
          <w:jc w:val="center"/>
        </w:trPr>
        <w:tc>
          <w:tcPr>
            <w:tcW w:w="4395" w:type="dxa"/>
            <w:tcBorders>
              <w:top w:val="nil"/>
              <w:left w:val="nil"/>
              <w:bottom w:val="nil"/>
              <w:right w:val="nil"/>
            </w:tcBorders>
            <w:shd w:val="clear" w:color="auto" w:fill="auto"/>
            <w:vAlign w:val="center"/>
            <w:hideMark/>
          </w:tcPr>
          <w:p w14:paraId="4E300237" w14:textId="77777777" w:rsidR="00490255" w:rsidRPr="006A2D68" w:rsidRDefault="00490255" w:rsidP="000E4D54">
            <w:pPr>
              <w:pStyle w:val="poznmka"/>
              <w:jc w:val="left"/>
              <w:rPr>
                <w:rFonts w:cs="Times New Roman"/>
              </w:rPr>
            </w:pPr>
            <w:r w:rsidRPr="006A2D68">
              <w:t>* celková produktivita výrobných faktorov</w:t>
            </w:r>
          </w:p>
        </w:tc>
        <w:tc>
          <w:tcPr>
            <w:tcW w:w="4502" w:type="dxa"/>
            <w:gridSpan w:val="5"/>
            <w:tcBorders>
              <w:top w:val="single" w:sz="4" w:space="0" w:color="auto"/>
              <w:left w:val="nil"/>
              <w:bottom w:val="nil"/>
              <w:right w:val="nil"/>
            </w:tcBorders>
            <w:shd w:val="clear" w:color="auto" w:fill="auto"/>
            <w:vAlign w:val="center"/>
            <w:hideMark/>
          </w:tcPr>
          <w:p w14:paraId="22D1C888" w14:textId="77777777" w:rsidR="00490255" w:rsidRPr="006A2D68" w:rsidRDefault="00490255" w:rsidP="000E4D54">
            <w:pPr>
              <w:pStyle w:val="poznmka"/>
              <w:rPr>
                <w:rFonts w:cs="Times New Roman"/>
              </w:rPr>
            </w:pPr>
            <w:r w:rsidRPr="006A2D68">
              <w:t>Zdroj: MF SR</w:t>
            </w:r>
          </w:p>
        </w:tc>
      </w:tr>
    </w:tbl>
    <w:p w14:paraId="500D0A50" w14:textId="77777777" w:rsidR="00490255" w:rsidRPr="0072500C" w:rsidRDefault="00490255" w:rsidP="00490255">
      <w:pPr>
        <w:pStyle w:val="Odsek"/>
        <w:spacing w:before="240"/>
        <w:rPr>
          <w:b/>
        </w:rPr>
      </w:pPr>
      <w:r w:rsidRPr="0072500C">
        <w:rPr>
          <w:b/>
        </w:rPr>
        <w:t>Slovenská ekonomika ostáva</w:t>
      </w:r>
      <w:r>
        <w:rPr>
          <w:b/>
        </w:rPr>
        <w:t xml:space="preserve"> v roku 2022</w:t>
      </w:r>
      <w:r w:rsidRPr="0072500C">
        <w:rPr>
          <w:b/>
        </w:rPr>
        <w:t xml:space="preserve"> naďalej podchladená, </w:t>
      </w:r>
      <w:r w:rsidRPr="0072500C">
        <w:t xml:space="preserve">ale oproti predchádzajúcemu roku uzavrie </w:t>
      </w:r>
      <w:r>
        <w:t>zhruba</w:t>
      </w:r>
      <w:r w:rsidRPr="0072500C">
        <w:t xml:space="preserve"> </w:t>
      </w:r>
      <w:r>
        <w:t xml:space="preserve">polovicu </w:t>
      </w:r>
      <w:r w:rsidRPr="0072500C">
        <w:t>produkčnej medzery. Investície z Plánu obnovy a odolnosti SR a dočerpávanie eurofondov v roku 2023 p</w:t>
      </w:r>
      <w:r>
        <w:t xml:space="preserve">rispejú k tomu, že sa v budúcom roku bude ekonomika mierne prehrievať. V roku 2024 sa následne začne uzatvárať produkčná medzera hlavne z dôvodu skončenia programového obdobia fondov EÚ a očakávanej konsolidácii verejných financií. </w:t>
      </w:r>
    </w:p>
    <w:tbl>
      <w:tblPr>
        <w:tblW w:w="8718" w:type="dxa"/>
        <w:tblInd w:w="70" w:type="dxa"/>
        <w:tblLayout w:type="fixed"/>
        <w:tblCellMar>
          <w:left w:w="70" w:type="dxa"/>
          <w:right w:w="70" w:type="dxa"/>
        </w:tblCellMar>
        <w:tblLook w:val="04A0" w:firstRow="1" w:lastRow="0" w:firstColumn="1" w:lastColumn="0" w:noHBand="0" w:noVBand="1"/>
      </w:tblPr>
      <w:tblGrid>
        <w:gridCol w:w="4466"/>
        <w:gridCol w:w="567"/>
        <w:gridCol w:w="1276"/>
        <w:gridCol w:w="1150"/>
        <w:gridCol w:w="1151"/>
        <w:gridCol w:w="96"/>
        <w:gridCol w:w="12"/>
      </w:tblGrid>
      <w:tr w:rsidR="00490255" w:rsidRPr="000F7810" w14:paraId="48D8129A" w14:textId="77777777" w:rsidTr="000E4D54">
        <w:trPr>
          <w:gridAfter w:val="2"/>
          <w:wAfter w:w="108" w:type="dxa"/>
          <w:trHeight w:val="200"/>
        </w:trPr>
        <w:tc>
          <w:tcPr>
            <w:tcW w:w="4466" w:type="dxa"/>
            <w:tcBorders>
              <w:top w:val="nil"/>
              <w:left w:val="nil"/>
              <w:bottom w:val="single" w:sz="4" w:space="0" w:color="auto"/>
              <w:right w:val="nil"/>
            </w:tcBorders>
            <w:shd w:val="clear" w:color="auto" w:fill="auto"/>
            <w:noWrap/>
            <w:vAlign w:val="center"/>
            <w:hideMark/>
          </w:tcPr>
          <w:p w14:paraId="1F518B90" w14:textId="44BED620" w:rsidR="00490255" w:rsidRPr="00A63575" w:rsidRDefault="00490255" w:rsidP="000E4D54">
            <w:pPr>
              <w:pStyle w:val="Nadpis3"/>
              <w:rPr>
                <w:rFonts w:eastAsiaTheme="minorHAnsi"/>
                <w:color w:val="2C9ADC"/>
                <w:szCs w:val="20"/>
                <w:lang w:eastAsia="en-US"/>
              </w:rPr>
            </w:pPr>
            <w:bookmarkStart w:id="72" w:name="_Toc101881934"/>
            <w:r w:rsidRPr="00A63575">
              <w:rPr>
                <w:rFonts w:eastAsiaTheme="minorHAnsi"/>
                <w:color w:val="2C9ADC"/>
                <w:szCs w:val="20"/>
                <w:lang w:eastAsia="en-US"/>
              </w:rPr>
              <w:t xml:space="preserve">GRAF </w:t>
            </w:r>
            <w:r w:rsidRPr="00A63575">
              <w:rPr>
                <w:rFonts w:eastAsiaTheme="minorHAnsi"/>
                <w:color w:val="2C9ADC"/>
                <w:szCs w:val="20"/>
                <w:lang w:eastAsia="en-US"/>
              </w:rPr>
              <w:fldChar w:fldCharType="begin"/>
            </w:r>
            <w:r w:rsidRPr="00A63575">
              <w:rPr>
                <w:rFonts w:eastAsiaTheme="minorHAnsi"/>
                <w:color w:val="2C9ADC"/>
                <w:szCs w:val="20"/>
                <w:lang w:eastAsia="en-US"/>
              </w:rPr>
              <w:instrText xml:space="preserve"> SEQ GRAF \* ARABIC </w:instrText>
            </w:r>
            <w:r w:rsidRPr="00A63575">
              <w:rPr>
                <w:rFonts w:eastAsiaTheme="minorHAnsi"/>
                <w:color w:val="2C9ADC"/>
                <w:szCs w:val="20"/>
                <w:lang w:eastAsia="en-US"/>
              </w:rPr>
              <w:fldChar w:fldCharType="separate"/>
            </w:r>
            <w:r w:rsidR="005D3280">
              <w:rPr>
                <w:rFonts w:eastAsiaTheme="minorHAnsi"/>
                <w:noProof/>
                <w:color w:val="2C9ADC"/>
                <w:szCs w:val="20"/>
                <w:lang w:eastAsia="en-US"/>
              </w:rPr>
              <w:t>10</w:t>
            </w:r>
            <w:r w:rsidRPr="00A63575">
              <w:rPr>
                <w:rFonts w:eastAsiaTheme="minorHAnsi"/>
                <w:color w:val="2C9ADC"/>
                <w:szCs w:val="20"/>
                <w:lang w:eastAsia="en-US"/>
              </w:rPr>
              <w:fldChar w:fldCharType="end"/>
            </w:r>
            <w:r w:rsidRPr="00A63575">
              <w:rPr>
                <w:rFonts w:eastAsiaTheme="minorHAnsi"/>
                <w:color w:val="2C9ADC"/>
                <w:szCs w:val="20"/>
                <w:lang w:eastAsia="en-US"/>
              </w:rPr>
              <w:t xml:space="preserve"> – P</w:t>
            </w:r>
            <w:r w:rsidR="00F42DE4">
              <w:rPr>
                <w:rFonts w:eastAsiaTheme="minorHAnsi"/>
                <w:color w:val="2C9ADC"/>
                <w:szCs w:val="20"/>
                <w:lang w:eastAsia="en-US"/>
              </w:rPr>
              <w:t xml:space="preserve">rodukčná medzera (% pot. HDP) – </w:t>
            </w:r>
            <w:r w:rsidRPr="00A63575">
              <w:rPr>
                <w:rFonts w:eastAsiaTheme="minorHAnsi"/>
                <w:color w:val="2C9ADC"/>
                <w:szCs w:val="20"/>
                <w:lang w:eastAsia="en-US"/>
              </w:rPr>
              <w:t>prístup MF SR</w:t>
            </w:r>
            <w:bookmarkEnd w:id="72"/>
          </w:p>
        </w:tc>
        <w:tc>
          <w:tcPr>
            <w:tcW w:w="4144" w:type="dxa"/>
            <w:gridSpan w:val="4"/>
            <w:tcBorders>
              <w:top w:val="nil"/>
              <w:left w:val="nil"/>
              <w:bottom w:val="single" w:sz="4" w:space="0" w:color="auto"/>
              <w:right w:val="nil"/>
            </w:tcBorders>
            <w:shd w:val="clear" w:color="auto" w:fill="auto"/>
            <w:noWrap/>
            <w:vAlign w:val="center"/>
            <w:hideMark/>
          </w:tcPr>
          <w:p w14:paraId="0CE50406" w14:textId="785FEF81" w:rsidR="00490255" w:rsidRPr="00F42DE4" w:rsidRDefault="00490255" w:rsidP="000E4D54">
            <w:pPr>
              <w:pStyle w:val="Nadpis3"/>
              <w:jc w:val="both"/>
              <w:rPr>
                <w:rFonts w:eastAsiaTheme="minorHAnsi"/>
                <w:color w:val="2C9ADC"/>
                <w:szCs w:val="20"/>
                <w:lang w:eastAsia="en-US"/>
              </w:rPr>
            </w:pPr>
            <w:bookmarkStart w:id="73" w:name="_Toc101880684"/>
            <w:r w:rsidRPr="00A63575">
              <w:rPr>
                <w:rFonts w:eastAsiaTheme="minorHAnsi"/>
                <w:color w:val="2C9ADC" w:themeColor="accent1"/>
                <w:szCs w:val="20"/>
                <w:lang w:eastAsia="en-US"/>
              </w:rPr>
              <w:t xml:space="preserve">TABUĽKA </w:t>
            </w:r>
            <w:r w:rsidRPr="00A63575">
              <w:rPr>
                <w:rFonts w:eastAsiaTheme="minorHAnsi"/>
                <w:color w:val="2C9ADC" w:themeColor="accent1"/>
                <w:szCs w:val="20"/>
                <w:lang w:eastAsia="en-US"/>
              </w:rPr>
              <w:fldChar w:fldCharType="begin"/>
            </w:r>
            <w:r w:rsidRPr="00A63575">
              <w:rPr>
                <w:rFonts w:eastAsiaTheme="minorHAnsi"/>
                <w:color w:val="2C9ADC" w:themeColor="accent1"/>
                <w:szCs w:val="20"/>
                <w:lang w:eastAsia="en-US"/>
              </w:rPr>
              <w:instrText xml:space="preserve"> SEQ TABUĽKA \* ARABIC </w:instrText>
            </w:r>
            <w:r w:rsidRPr="00A63575">
              <w:rPr>
                <w:rFonts w:eastAsiaTheme="minorHAnsi"/>
                <w:color w:val="2C9ADC" w:themeColor="accent1"/>
                <w:szCs w:val="20"/>
                <w:lang w:eastAsia="en-US"/>
              </w:rPr>
              <w:fldChar w:fldCharType="separate"/>
            </w:r>
            <w:r w:rsidR="005D3280">
              <w:rPr>
                <w:rFonts w:eastAsiaTheme="minorHAnsi"/>
                <w:noProof/>
                <w:color w:val="2C9ADC" w:themeColor="accent1"/>
                <w:szCs w:val="20"/>
                <w:lang w:eastAsia="en-US"/>
              </w:rPr>
              <w:t>5</w:t>
            </w:r>
            <w:r w:rsidRPr="00A63575">
              <w:rPr>
                <w:rFonts w:eastAsiaTheme="minorHAnsi"/>
                <w:color w:val="2C9ADC" w:themeColor="accent1"/>
                <w:szCs w:val="20"/>
                <w:lang w:eastAsia="en-US"/>
              </w:rPr>
              <w:fldChar w:fldCharType="end"/>
            </w:r>
            <w:r w:rsidRPr="00A63575">
              <w:rPr>
                <w:rFonts w:eastAsiaTheme="minorHAnsi"/>
                <w:color w:val="2C9ADC"/>
                <w:szCs w:val="20"/>
                <w:lang w:eastAsia="en-US"/>
              </w:rPr>
              <w:t xml:space="preserve"> – Vývoj produkčnej medzery</w:t>
            </w:r>
            <w:r w:rsidR="00F42DE4">
              <w:rPr>
                <w:rFonts w:eastAsiaTheme="minorHAnsi"/>
                <w:color w:val="2C9ADC"/>
                <w:szCs w:val="20"/>
                <w:lang w:eastAsia="en-US"/>
              </w:rPr>
              <w:t xml:space="preserve"> – </w:t>
            </w:r>
            <w:r w:rsidRPr="00A63575">
              <w:rPr>
                <w:rFonts w:eastAsiaTheme="minorHAnsi"/>
                <w:color w:val="2C9ADC"/>
                <w:szCs w:val="20"/>
                <w:lang w:eastAsia="en-US"/>
              </w:rPr>
              <w:t>prístup MF SR</w:t>
            </w:r>
            <w:bookmarkEnd w:id="73"/>
          </w:p>
        </w:tc>
      </w:tr>
      <w:tr w:rsidR="00490255" w:rsidRPr="000F7810" w14:paraId="64333BA0" w14:textId="77777777" w:rsidTr="000E4D54">
        <w:trPr>
          <w:gridAfter w:val="1"/>
          <w:wAfter w:w="12" w:type="dxa"/>
          <w:trHeight w:val="237"/>
        </w:trPr>
        <w:tc>
          <w:tcPr>
            <w:tcW w:w="4466" w:type="dxa"/>
            <w:vMerge w:val="restart"/>
            <w:tcBorders>
              <w:left w:val="nil"/>
              <w:right w:val="nil"/>
            </w:tcBorders>
            <w:shd w:val="clear" w:color="auto" w:fill="auto"/>
            <w:vAlign w:val="center"/>
            <w:hideMark/>
          </w:tcPr>
          <w:p w14:paraId="244E6F2B" w14:textId="77777777" w:rsidR="00490255" w:rsidRPr="000F7810" w:rsidRDefault="00490255" w:rsidP="000E4D54">
            <w:pPr>
              <w:rPr>
                <w:rFonts w:cs="Times New Roman"/>
                <w:b/>
                <w:bCs/>
                <w:color w:val="000000"/>
                <w:sz w:val="16"/>
                <w:szCs w:val="16"/>
                <w:highlight w:val="yellow"/>
              </w:rPr>
            </w:pPr>
            <w:r>
              <w:rPr>
                <w:noProof/>
              </w:rPr>
              <w:drawing>
                <wp:inline distT="0" distB="0" distL="0" distR="0" wp14:anchorId="386DD191" wp14:editId="680D7B38">
                  <wp:extent cx="2747010" cy="1723292"/>
                  <wp:effectExtent l="0" t="0" r="0"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567" w:type="dxa"/>
            <w:tcBorders>
              <w:top w:val="single" w:sz="4" w:space="0" w:color="auto"/>
              <w:left w:val="nil"/>
              <w:right w:val="nil"/>
            </w:tcBorders>
            <w:shd w:val="clear" w:color="auto" w:fill="auto"/>
            <w:noWrap/>
            <w:vAlign w:val="center"/>
          </w:tcPr>
          <w:p w14:paraId="700B9A90" w14:textId="77777777" w:rsidR="00490255" w:rsidRDefault="00490255" w:rsidP="000E4D54">
            <w:pPr>
              <w:rPr>
                <w:rFonts w:cs="Calibri"/>
                <w:color w:val="000000"/>
                <w:sz w:val="18"/>
                <w:szCs w:val="18"/>
              </w:rPr>
            </w:pPr>
            <w:r>
              <w:rPr>
                <w:rFonts w:cs="Calibri"/>
                <w:color w:val="000000"/>
                <w:sz w:val="18"/>
                <w:szCs w:val="18"/>
              </w:rPr>
              <w:t> </w:t>
            </w:r>
          </w:p>
        </w:tc>
        <w:tc>
          <w:tcPr>
            <w:tcW w:w="1276" w:type="dxa"/>
            <w:tcBorders>
              <w:top w:val="single" w:sz="4" w:space="0" w:color="auto"/>
              <w:left w:val="nil"/>
              <w:right w:val="nil"/>
            </w:tcBorders>
            <w:shd w:val="clear" w:color="auto" w:fill="auto"/>
            <w:vAlign w:val="center"/>
          </w:tcPr>
          <w:p w14:paraId="08356D45" w14:textId="77777777" w:rsidR="00490255" w:rsidRDefault="00490255" w:rsidP="000E4D54">
            <w:pPr>
              <w:jc w:val="center"/>
              <w:rPr>
                <w:rFonts w:cs="Calibri"/>
                <w:b/>
                <w:bCs/>
                <w:color w:val="000000"/>
                <w:sz w:val="18"/>
                <w:szCs w:val="18"/>
              </w:rPr>
            </w:pPr>
            <w:r>
              <w:rPr>
                <w:rFonts w:cs="Calibri"/>
                <w:b/>
                <w:bCs/>
                <w:color w:val="000000"/>
                <w:sz w:val="18"/>
                <w:szCs w:val="18"/>
              </w:rPr>
              <w:t>HDP</w:t>
            </w:r>
          </w:p>
        </w:tc>
        <w:tc>
          <w:tcPr>
            <w:tcW w:w="1150" w:type="dxa"/>
            <w:vMerge w:val="restart"/>
            <w:tcBorders>
              <w:top w:val="single" w:sz="4" w:space="0" w:color="auto"/>
              <w:left w:val="nil"/>
              <w:right w:val="nil"/>
            </w:tcBorders>
            <w:shd w:val="clear" w:color="auto" w:fill="auto"/>
            <w:vAlign w:val="center"/>
          </w:tcPr>
          <w:p w14:paraId="04AD935D" w14:textId="77777777" w:rsidR="00490255" w:rsidRDefault="00490255" w:rsidP="000E4D54">
            <w:pPr>
              <w:jc w:val="center"/>
              <w:rPr>
                <w:rFonts w:cs="Calibri"/>
                <w:b/>
                <w:bCs/>
                <w:color w:val="000000"/>
                <w:sz w:val="18"/>
                <w:szCs w:val="18"/>
              </w:rPr>
            </w:pPr>
            <w:r>
              <w:rPr>
                <w:rFonts w:cs="Calibri"/>
                <w:b/>
                <w:bCs/>
                <w:color w:val="000000"/>
                <w:sz w:val="18"/>
                <w:szCs w:val="18"/>
              </w:rPr>
              <w:t>Pot. HDP (rast, %)</w:t>
            </w:r>
          </w:p>
        </w:tc>
        <w:tc>
          <w:tcPr>
            <w:tcW w:w="1247" w:type="dxa"/>
            <w:gridSpan w:val="2"/>
            <w:tcBorders>
              <w:left w:val="nil"/>
              <w:right w:val="nil"/>
            </w:tcBorders>
            <w:shd w:val="clear" w:color="000000" w:fill="E6E6E6"/>
            <w:vAlign w:val="center"/>
          </w:tcPr>
          <w:p w14:paraId="11FAF91B" w14:textId="77777777" w:rsidR="00490255" w:rsidRDefault="00490255" w:rsidP="000E4D54">
            <w:pPr>
              <w:jc w:val="center"/>
              <w:rPr>
                <w:rFonts w:cs="Calibri"/>
                <w:b/>
                <w:bCs/>
                <w:color w:val="000000"/>
                <w:sz w:val="18"/>
                <w:szCs w:val="18"/>
              </w:rPr>
            </w:pPr>
            <w:r>
              <w:rPr>
                <w:rFonts w:cs="Calibri"/>
                <w:b/>
                <w:bCs/>
                <w:color w:val="000000"/>
                <w:sz w:val="18"/>
                <w:szCs w:val="18"/>
              </w:rPr>
              <w:t>Prod. medzera</w:t>
            </w:r>
          </w:p>
        </w:tc>
      </w:tr>
      <w:tr w:rsidR="00490255" w:rsidRPr="000F7810" w14:paraId="5FB9D64A" w14:textId="77777777" w:rsidTr="000E4D54">
        <w:trPr>
          <w:gridAfter w:val="1"/>
          <w:wAfter w:w="12" w:type="dxa"/>
          <w:trHeight w:val="198"/>
        </w:trPr>
        <w:tc>
          <w:tcPr>
            <w:tcW w:w="4466" w:type="dxa"/>
            <w:vMerge/>
            <w:tcBorders>
              <w:left w:val="nil"/>
              <w:bottom w:val="single" w:sz="4" w:space="0" w:color="000000"/>
              <w:right w:val="nil"/>
            </w:tcBorders>
            <w:vAlign w:val="center"/>
            <w:hideMark/>
          </w:tcPr>
          <w:p w14:paraId="1C835985" w14:textId="77777777" w:rsidR="00490255" w:rsidRPr="000F7810" w:rsidRDefault="00490255" w:rsidP="000E4D54">
            <w:pPr>
              <w:ind w:left="360"/>
              <w:rPr>
                <w:rFonts w:cs="Times New Roman"/>
                <w:b/>
                <w:bCs/>
                <w:color w:val="000000"/>
                <w:sz w:val="16"/>
                <w:szCs w:val="16"/>
                <w:highlight w:val="yellow"/>
              </w:rPr>
            </w:pPr>
          </w:p>
        </w:tc>
        <w:tc>
          <w:tcPr>
            <w:tcW w:w="567" w:type="dxa"/>
            <w:tcBorders>
              <w:left w:val="nil"/>
              <w:bottom w:val="nil"/>
              <w:right w:val="nil"/>
            </w:tcBorders>
            <w:shd w:val="clear" w:color="auto" w:fill="auto"/>
            <w:noWrap/>
            <w:vAlign w:val="center"/>
          </w:tcPr>
          <w:p w14:paraId="760E0879" w14:textId="77777777" w:rsidR="00490255" w:rsidRPr="000F7810" w:rsidRDefault="00490255" w:rsidP="000E4D54">
            <w:pPr>
              <w:rPr>
                <w:color w:val="000000"/>
                <w:sz w:val="18"/>
                <w:szCs w:val="18"/>
                <w:highlight w:val="yellow"/>
              </w:rPr>
            </w:pPr>
          </w:p>
        </w:tc>
        <w:tc>
          <w:tcPr>
            <w:tcW w:w="1276" w:type="dxa"/>
            <w:tcBorders>
              <w:left w:val="nil"/>
              <w:bottom w:val="nil"/>
              <w:right w:val="nil"/>
            </w:tcBorders>
            <w:shd w:val="clear" w:color="auto" w:fill="auto"/>
            <w:noWrap/>
            <w:vAlign w:val="center"/>
          </w:tcPr>
          <w:p w14:paraId="1367FCE6" w14:textId="77777777" w:rsidR="00490255" w:rsidRPr="000F7810" w:rsidRDefault="00490255" w:rsidP="000E4D54">
            <w:pPr>
              <w:jc w:val="center"/>
              <w:rPr>
                <w:b/>
                <w:bCs/>
                <w:color w:val="000000"/>
                <w:sz w:val="18"/>
                <w:szCs w:val="18"/>
                <w:highlight w:val="yellow"/>
              </w:rPr>
            </w:pPr>
            <w:r>
              <w:rPr>
                <w:rFonts w:cs="Calibri"/>
                <w:b/>
                <w:bCs/>
                <w:color w:val="000000"/>
                <w:sz w:val="18"/>
                <w:szCs w:val="18"/>
              </w:rPr>
              <w:t>(reálny rast, %)</w:t>
            </w:r>
          </w:p>
        </w:tc>
        <w:tc>
          <w:tcPr>
            <w:tcW w:w="1150" w:type="dxa"/>
            <w:vMerge/>
            <w:tcBorders>
              <w:left w:val="nil"/>
              <w:bottom w:val="nil"/>
              <w:right w:val="nil"/>
            </w:tcBorders>
            <w:shd w:val="clear" w:color="auto" w:fill="auto"/>
            <w:noWrap/>
            <w:vAlign w:val="center"/>
          </w:tcPr>
          <w:p w14:paraId="175DCF9C" w14:textId="77777777" w:rsidR="00490255" w:rsidRPr="000F7810" w:rsidRDefault="00490255" w:rsidP="000E4D54">
            <w:pPr>
              <w:jc w:val="center"/>
              <w:rPr>
                <w:b/>
                <w:bCs/>
                <w:color w:val="000000"/>
                <w:sz w:val="18"/>
                <w:szCs w:val="18"/>
                <w:highlight w:val="yellow"/>
              </w:rPr>
            </w:pPr>
          </w:p>
        </w:tc>
        <w:tc>
          <w:tcPr>
            <w:tcW w:w="1247" w:type="dxa"/>
            <w:gridSpan w:val="2"/>
            <w:tcBorders>
              <w:left w:val="nil"/>
              <w:bottom w:val="nil"/>
              <w:right w:val="nil"/>
            </w:tcBorders>
            <w:shd w:val="clear" w:color="000000" w:fill="E6E6E6"/>
            <w:vAlign w:val="center"/>
          </w:tcPr>
          <w:p w14:paraId="04F2552A" w14:textId="77777777" w:rsidR="00490255" w:rsidRPr="000F7810" w:rsidRDefault="00490255" w:rsidP="000E4D54">
            <w:pPr>
              <w:jc w:val="center"/>
              <w:rPr>
                <w:b/>
                <w:bCs/>
                <w:color w:val="000000"/>
                <w:sz w:val="18"/>
                <w:szCs w:val="18"/>
                <w:highlight w:val="yellow"/>
              </w:rPr>
            </w:pPr>
            <w:r>
              <w:rPr>
                <w:rFonts w:cs="Calibri"/>
                <w:b/>
                <w:bCs/>
                <w:color w:val="000000"/>
                <w:sz w:val="18"/>
                <w:szCs w:val="18"/>
              </w:rPr>
              <w:t>(% pot. HDP)</w:t>
            </w:r>
          </w:p>
        </w:tc>
      </w:tr>
      <w:tr w:rsidR="00490255" w:rsidRPr="000F7810" w14:paraId="06845E5A" w14:textId="77777777" w:rsidTr="000E4D54">
        <w:trPr>
          <w:gridAfter w:val="1"/>
          <w:wAfter w:w="12" w:type="dxa"/>
          <w:trHeight w:val="261"/>
        </w:trPr>
        <w:tc>
          <w:tcPr>
            <w:tcW w:w="4466" w:type="dxa"/>
            <w:vMerge/>
            <w:tcBorders>
              <w:top w:val="nil"/>
              <w:left w:val="nil"/>
              <w:bottom w:val="single" w:sz="4" w:space="0" w:color="000000"/>
              <w:right w:val="nil"/>
            </w:tcBorders>
            <w:vAlign w:val="center"/>
            <w:hideMark/>
          </w:tcPr>
          <w:p w14:paraId="775ED143"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nil"/>
              <w:right w:val="nil"/>
            </w:tcBorders>
            <w:shd w:val="clear" w:color="auto" w:fill="auto"/>
            <w:noWrap/>
            <w:vAlign w:val="center"/>
          </w:tcPr>
          <w:p w14:paraId="0B8EE543" w14:textId="77777777" w:rsidR="00490255" w:rsidRDefault="00490255" w:rsidP="000E4D54">
            <w:pPr>
              <w:jc w:val="center"/>
              <w:rPr>
                <w:rFonts w:cs="Calibri"/>
                <w:color w:val="000000"/>
                <w:sz w:val="18"/>
                <w:szCs w:val="18"/>
              </w:rPr>
            </w:pPr>
            <w:r>
              <w:rPr>
                <w:rFonts w:cs="Calibri"/>
                <w:color w:val="000000"/>
                <w:sz w:val="18"/>
                <w:szCs w:val="18"/>
              </w:rPr>
              <w:t>2018</w:t>
            </w:r>
          </w:p>
        </w:tc>
        <w:tc>
          <w:tcPr>
            <w:tcW w:w="1276" w:type="dxa"/>
            <w:tcBorders>
              <w:top w:val="nil"/>
              <w:left w:val="nil"/>
              <w:bottom w:val="nil"/>
              <w:right w:val="nil"/>
            </w:tcBorders>
            <w:shd w:val="clear" w:color="auto" w:fill="auto"/>
            <w:noWrap/>
            <w:vAlign w:val="center"/>
          </w:tcPr>
          <w:p w14:paraId="03FE00CD" w14:textId="77777777" w:rsidR="00490255" w:rsidRDefault="00490255" w:rsidP="000E4D54">
            <w:pPr>
              <w:jc w:val="center"/>
              <w:rPr>
                <w:rFonts w:cs="Calibri"/>
                <w:color w:val="000000"/>
                <w:sz w:val="18"/>
                <w:szCs w:val="18"/>
              </w:rPr>
            </w:pPr>
            <w:r>
              <w:rPr>
                <w:rFonts w:cs="Calibri"/>
                <w:color w:val="000000"/>
                <w:sz w:val="18"/>
                <w:szCs w:val="18"/>
              </w:rPr>
              <w:t>3,8</w:t>
            </w:r>
          </w:p>
        </w:tc>
        <w:tc>
          <w:tcPr>
            <w:tcW w:w="1150" w:type="dxa"/>
            <w:tcBorders>
              <w:top w:val="nil"/>
              <w:left w:val="nil"/>
              <w:bottom w:val="nil"/>
              <w:right w:val="nil"/>
            </w:tcBorders>
            <w:shd w:val="clear" w:color="auto" w:fill="auto"/>
            <w:noWrap/>
            <w:vAlign w:val="center"/>
          </w:tcPr>
          <w:p w14:paraId="42717A8F" w14:textId="77777777" w:rsidR="00490255" w:rsidRDefault="00490255" w:rsidP="000E4D54">
            <w:pPr>
              <w:jc w:val="center"/>
              <w:rPr>
                <w:rFonts w:cs="Calibri"/>
                <w:color w:val="000000"/>
                <w:sz w:val="18"/>
                <w:szCs w:val="18"/>
              </w:rPr>
            </w:pPr>
            <w:r>
              <w:rPr>
                <w:rFonts w:cs="Calibri"/>
                <w:color w:val="000000"/>
                <w:sz w:val="18"/>
                <w:szCs w:val="18"/>
              </w:rPr>
              <w:t>2,5</w:t>
            </w:r>
          </w:p>
        </w:tc>
        <w:tc>
          <w:tcPr>
            <w:tcW w:w="1247" w:type="dxa"/>
            <w:gridSpan w:val="2"/>
            <w:tcBorders>
              <w:top w:val="nil"/>
              <w:left w:val="nil"/>
              <w:bottom w:val="nil"/>
              <w:right w:val="nil"/>
            </w:tcBorders>
            <w:shd w:val="clear" w:color="000000" w:fill="E6E6E6"/>
            <w:vAlign w:val="center"/>
          </w:tcPr>
          <w:p w14:paraId="1677A1BC" w14:textId="77777777" w:rsidR="00490255" w:rsidRDefault="00490255" w:rsidP="000E4D54">
            <w:pPr>
              <w:jc w:val="center"/>
              <w:rPr>
                <w:rFonts w:cs="Calibri"/>
                <w:b/>
                <w:bCs/>
                <w:color w:val="000000"/>
                <w:sz w:val="18"/>
                <w:szCs w:val="18"/>
              </w:rPr>
            </w:pPr>
            <w:r>
              <w:rPr>
                <w:rFonts w:cs="Calibri"/>
                <w:b/>
                <w:bCs/>
                <w:color w:val="000000"/>
                <w:sz w:val="18"/>
                <w:szCs w:val="18"/>
              </w:rPr>
              <w:t>1,6</w:t>
            </w:r>
          </w:p>
        </w:tc>
      </w:tr>
      <w:tr w:rsidR="00490255" w:rsidRPr="000F7810" w14:paraId="6DB2BAD3" w14:textId="77777777" w:rsidTr="000E4D54">
        <w:trPr>
          <w:gridAfter w:val="1"/>
          <w:wAfter w:w="12" w:type="dxa"/>
          <w:trHeight w:val="261"/>
        </w:trPr>
        <w:tc>
          <w:tcPr>
            <w:tcW w:w="4466" w:type="dxa"/>
            <w:vMerge/>
            <w:tcBorders>
              <w:top w:val="nil"/>
              <w:left w:val="nil"/>
              <w:bottom w:val="single" w:sz="4" w:space="0" w:color="000000"/>
              <w:right w:val="nil"/>
            </w:tcBorders>
            <w:vAlign w:val="center"/>
            <w:hideMark/>
          </w:tcPr>
          <w:p w14:paraId="1F2446E3"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nil"/>
              <w:right w:val="nil"/>
            </w:tcBorders>
            <w:shd w:val="clear" w:color="auto" w:fill="auto"/>
            <w:noWrap/>
            <w:vAlign w:val="center"/>
          </w:tcPr>
          <w:p w14:paraId="4DC0420A" w14:textId="77777777" w:rsidR="00490255" w:rsidRDefault="00490255" w:rsidP="000E4D54">
            <w:pPr>
              <w:jc w:val="center"/>
              <w:rPr>
                <w:rFonts w:cs="Calibri"/>
                <w:color w:val="000000"/>
                <w:sz w:val="18"/>
                <w:szCs w:val="18"/>
              </w:rPr>
            </w:pPr>
            <w:r>
              <w:rPr>
                <w:rFonts w:cs="Calibri"/>
                <w:color w:val="000000"/>
                <w:sz w:val="18"/>
                <w:szCs w:val="18"/>
              </w:rPr>
              <w:t>2019</w:t>
            </w:r>
          </w:p>
        </w:tc>
        <w:tc>
          <w:tcPr>
            <w:tcW w:w="1276" w:type="dxa"/>
            <w:tcBorders>
              <w:top w:val="nil"/>
              <w:left w:val="nil"/>
              <w:bottom w:val="nil"/>
              <w:right w:val="nil"/>
            </w:tcBorders>
            <w:shd w:val="clear" w:color="auto" w:fill="auto"/>
            <w:noWrap/>
            <w:vAlign w:val="center"/>
          </w:tcPr>
          <w:p w14:paraId="63B24FB9" w14:textId="77777777" w:rsidR="00490255" w:rsidRDefault="00490255" w:rsidP="000E4D54">
            <w:pPr>
              <w:jc w:val="center"/>
              <w:rPr>
                <w:rFonts w:cs="Calibri"/>
                <w:color w:val="000000"/>
                <w:sz w:val="18"/>
                <w:szCs w:val="18"/>
              </w:rPr>
            </w:pPr>
            <w:r>
              <w:rPr>
                <w:rFonts w:cs="Calibri"/>
                <w:color w:val="000000"/>
                <w:sz w:val="18"/>
                <w:szCs w:val="18"/>
              </w:rPr>
              <w:t>2,6</w:t>
            </w:r>
          </w:p>
        </w:tc>
        <w:tc>
          <w:tcPr>
            <w:tcW w:w="1150" w:type="dxa"/>
            <w:tcBorders>
              <w:top w:val="nil"/>
              <w:left w:val="nil"/>
              <w:bottom w:val="nil"/>
              <w:right w:val="nil"/>
            </w:tcBorders>
            <w:shd w:val="clear" w:color="auto" w:fill="auto"/>
            <w:noWrap/>
            <w:vAlign w:val="center"/>
          </w:tcPr>
          <w:p w14:paraId="4AA96118" w14:textId="77777777" w:rsidR="00490255" w:rsidRDefault="00490255" w:rsidP="000E4D54">
            <w:pPr>
              <w:jc w:val="center"/>
              <w:rPr>
                <w:rFonts w:cs="Calibri"/>
                <w:color w:val="000000"/>
                <w:sz w:val="18"/>
                <w:szCs w:val="18"/>
              </w:rPr>
            </w:pPr>
            <w:r>
              <w:rPr>
                <w:rFonts w:cs="Calibri"/>
                <w:color w:val="000000"/>
                <w:sz w:val="18"/>
                <w:szCs w:val="18"/>
              </w:rPr>
              <w:t>2,3</w:t>
            </w:r>
          </w:p>
        </w:tc>
        <w:tc>
          <w:tcPr>
            <w:tcW w:w="1247" w:type="dxa"/>
            <w:gridSpan w:val="2"/>
            <w:tcBorders>
              <w:top w:val="nil"/>
              <w:left w:val="nil"/>
              <w:bottom w:val="nil"/>
              <w:right w:val="nil"/>
            </w:tcBorders>
            <w:shd w:val="clear" w:color="000000" w:fill="E6E6E6"/>
            <w:vAlign w:val="center"/>
          </w:tcPr>
          <w:p w14:paraId="5EFEBD58" w14:textId="77777777" w:rsidR="00490255" w:rsidRDefault="00490255" w:rsidP="000E4D54">
            <w:pPr>
              <w:jc w:val="center"/>
              <w:rPr>
                <w:rFonts w:cs="Calibri"/>
                <w:b/>
                <w:bCs/>
                <w:color w:val="000000"/>
                <w:sz w:val="18"/>
                <w:szCs w:val="18"/>
              </w:rPr>
            </w:pPr>
            <w:r>
              <w:rPr>
                <w:rFonts w:cs="Calibri"/>
                <w:b/>
                <w:bCs/>
                <w:color w:val="000000"/>
                <w:sz w:val="18"/>
                <w:szCs w:val="18"/>
              </w:rPr>
              <w:t>1,9</w:t>
            </w:r>
          </w:p>
        </w:tc>
      </w:tr>
      <w:tr w:rsidR="00490255" w:rsidRPr="000F7810" w14:paraId="56F99073" w14:textId="77777777" w:rsidTr="000E4D54">
        <w:trPr>
          <w:gridAfter w:val="1"/>
          <w:wAfter w:w="12" w:type="dxa"/>
          <w:trHeight w:val="261"/>
        </w:trPr>
        <w:tc>
          <w:tcPr>
            <w:tcW w:w="4466" w:type="dxa"/>
            <w:vMerge/>
            <w:tcBorders>
              <w:top w:val="nil"/>
              <w:left w:val="nil"/>
              <w:bottom w:val="single" w:sz="4" w:space="0" w:color="000000"/>
              <w:right w:val="nil"/>
            </w:tcBorders>
            <w:vAlign w:val="center"/>
            <w:hideMark/>
          </w:tcPr>
          <w:p w14:paraId="7CB61308"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nil"/>
              <w:right w:val="nil"/>
            </w:tcBorders>
            <w:shd w:val="clear" w:color="auto" w:fill="auto"/>
            <w:noWrap/>
            <w:vAlign w:val="center"/>
          </w:tcPr>
          <w:p w14:paraId="700506C6" w14:textId="77777777" w:rsidR="00490255" w:rsidRDefault="00490255" w:rsidP="000E4D54">
            <w:pPr>
              <w:jc w:val="center"/>
              <w:rPr>
                <w:rFonts w:cs="Calibri"/>
                <w:color w:val="000000"/>
                <w:sz w:val="18"/>
                <w:szCs w:val="18"/>
              </w:rPr>
            </w:pPr>
            <w:r>
              <w:rPr>
                <w:rFonts w:cs="Calibri"/>
                <w:color w:val="000000"/>
                <w:sz w:val="18"/>
                <w:szCs w:val="18"/>
              </w:rPr>
              <w:t>2020</w:t>
            </w:r>
          </w:p>
        </w:tc>
        <w:tc>
          <w:tcPr>
            <w:tcW w:w="1276" w:type="dxa"/>
            <w:tcBorders>
              <w:top w:val="nil"/>
              <w:left w:val="nil"/>
              <w:bottom w:val="nil"/>
              <w:right w:val="nil"/>
            </w:tcBorders>
            <w:shd w:val="clear" w:color="auto" w:fill="auto"/>
            <w:noWrap/>
            <w:vAlign w:val="center"/>
          </w:tcPr>
          <w:p w14:paraId="0BE1D74A" w14:textId="77777777" w:rsidR="00490255" w:rsidRDefault="00490255" w:rsidP="000E4D54">
            <w:pPr>
              <w:jc w:val="center"/>
              <w:rPr>
                <w:rFonts w:cs="Calibri"/>
                <w:color w:val="000000"/>
                <w:sz w:val="18"/>
                <w:szCs w:val="18"/>
              </w:rPr>
            </w:pPr>
            <w:r>
              <w:rPr>
                <w:rFonts w:cs="Calibri"/>
                <w:color w:val="000000"/>
                <w:sz w:val="18"/>
                <w:szCs w:val="18"/>
              </w:rPr>
              <w:t>-4,4</w:t>
            </w:r>
          </w:p>
        </w:tc>
        <w:tc>
          <w:tcPr>
            <w:tcW w:w="1150" w:type="dxa"/>
            <w:tcBorders>
              <w:top w:val="nil"/>
              <w:left w:val="nil"/>
              <w:bottom w:val="nil"/>
              <w:right w:val="nil"/>
            </w:tcBorders>
            <w:shd w:val="clear" w:color="auto" w:fill="auto"/>
            <w:noWrap/>
            <w:vAlign w:val="center"/>
          </w:tcPr>
          <w:p w14:paraId="720CE103" w14:textId="77777777" w:rsidR="00490255" w:rsidRDefault="00490255" w:rsidP="000E4D54">
            <w:pPr>
              <w:jc w:val="center"/>
              <w:rPr>
                <w:rFonts w:cs="Calibri"/>
                <w:color w:val="000000"/>
                <w:sz w:val="18"/>
                <w:szCs w:val="18"/>
              </w:rPr>
            </w:pPr>
            <w:r>
              <w:rPr>
                <w:rFonts w:cs="Calibri"/>
                <w:color w:val="000000"/>
                <w:sz w:val="18"/>
                <w:szCs w:val="18"/>
              </w:rPr>
              <w:t>0,7</w:t>
            </w:r>
          </w:p>
        </w:tc>
        <w:tc>
          <w:tcPr>
            <w:tcW w:w="1247" w:type="dxa"/>
            <w:gridSpan w:val="2"/>
            <w:tcBorders>
              <w:top w:val="nil"/>
              <w:left w:val="nil"/>
              <w:bottom w:val="nil"/>
              <w:right w:val="nil"/>
            </w:tcBorders>
            <w:shd w:val="clear" w:color="000000" w:fill="E6E6E6"/>
            <w:vAlign w:val="center"/>
          </w:tcPr>
          <w:p w14:paraId="73211398" w14:textId="77777777" w:rsidR="00490255" w:rsidRDefault="00490255" w:rsidP="000E4D54">
            <w:pPr>
              <w:jc w:val="center"/>
              <w:rPr>
                <w:rFonts w:cs="Calibri"/>
                <w:b/>
                <w:bCs/>
                <w:color w:val="000000"/>
                <w:sz w:val="18"/>
                <w:szCs w:val="18"/>
              </w:rPr>
            </w:pPr>
            <w:r>
              <w:rPr>
                <w:rFonts w:cs="Calibri"/>
                <w:b/>
                <w:bCs/>
                <w:color w:val="000000"/>
                <w:sz w:val="18"/>
                <w:szCs w:val="18"/>
              </w:rPr>
              <w:t>-3,2</w:t>
            </w:r>
          </w:p>
        </w:tc>
      </w:tr>
      <w:tr w:rsidR="00490255" w:rsidRPr="000F7810" w14:paraId="2E02D5EB" w14:textId="77777777" w:rsidTr="000E4D54">
        <w:trPr>
          <w:gridAfter w:val="1"/>
          <w:wAfter w:w="12" w:type="dxa"/>
          <w:trHeight w:val="262"/>
        </w:trPr>
        <w:tc>
          <w:tcPr>
            <w:tcW w:w="4466" w:type="dxa"/>
            <w:vMerge/>
            <w:tcBorders>
              <w:top w:val="nil"/>
              <w:left w:val="nil"/>
              <w:bottom w:val="single" w:sz="4" w:space="0" w:color="000000"/>
              <w:right w:val="nil"/>
            </w:tcBorders>
            <w:vAlign w:val="center"/>
            <w:hideMark/>
          </w:tcPr>
          <w:p w14:paraId="3F276AB6"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single" w:sz="4" w:space="0" w:color="auto"/>
              <w:right w:val="nil"/>
            </w:tcBorders>
            <w:shd w:val="clear" w:color="auto" w:fill="auto"/>
            <w:noWrap/>
            <w:vAlign w:val="center"/>
          </w:tcPr>
          <w:p w14:paraId="6635A746" w14:textId="77777777" w:rsidR="00490255" w:rsidRDefault="00490255" w:rsidP="000E4D54">
            <w:pPr>
              <w:jc w:val="center"/>
              <w:rPr>
                <w:rFonts w:cs="Calibri"/>
                <w:color w:val="000000"/>
                <w:sz w:val="18"/>
                <w:szCs w:val="18"/>
              </w:rPr>
            </w:pPr>
            <w:r>
              <w:rPr>
                <w:rFonts w:cs="Calibri"/>
                <w:color w:val="000000"/>
                <w:sz w:val="18"/>
                <w:szCs w:val="18"/>
              </w:rPr>
              <w:t>2021</w:t>
            </w:r>
          </w:p>
        </w:tc>
        <w:tc>
          <w:tcPr>
            <w:tcW w:w="1276" w:type="dxa"/>
            <w:tcBorders>
              <w:top w:val="nil"/>
              <w:left w:val="nil"/>
              <w:bottom w:val="single" w:sz="4" w:space="0" w:color="auto"/>
              <w:right w:val="nil"/>
            </w:tcBorders>
            <w:shd w:val="clear" w:color="auto" w:fill="auto"/>
            <w:noWrap/>
            <w:vAlign w:val="center"/>
          </w:tcPr>
          <w:p w14:paraId="335F1C7F" w14:textId="77777777" w:rsidR="00490255" w:rsidRDefault="00490255" w:rsidP="000E4D54">
            <w:pPr>
              <w:jc w:val="center"/>
              <w:rPr>
                <w:rFonts w:cs="Calibri"/>
                <w:color w:val="000000"/>
                <w:sz w:val="18"/>
                <w:szCs w:val="18"/>
              </w:rPr>
            </w:pPr>
            <w:r>
              <w:rPr>
                <w:rFonts w:cs="Calibri"/>
                <w:color w:val="000000"/>
                <w:sz w:val="18"/>
                <w:szCs w:val="18"/>
              </w:rPr>
              <w:t>3,0</w:t>
            </w:r>
          </w:p>
        </w:tc>
        <w:tc>
          <w:tcPr>
            <w:tcW w:w="1150" w:type="dxa"/>
            <w:tcBorders>
              <w:top w:val="nil"/>
              <w:left w:val="nil"/>
              <w:bottom w:val="single" w:sz="4" w:space="0" w:color="auto"/>
              <w:right w:val="nil"/>
            </w:tcBorders>
            <w:shd w:val="clear" w:color="auto" w:fill="auto"/>
            <w:noWrap/>
            <w:vAlign w:val="center"/>
          </w:tcPr>
          <w:p w14:paraId="62D4F579" w14:textId="77777777" w:rsidR="00490255" w:rsidRDefault="00490255" w:rsidP="000E4D54">
            <w:pPr>
              <w:jc w:val="center"/>
              <w:rPr>
                <w:rFonts w:cs="Calibri"/>
                <w:color w:val="000000"/>
                <w:sz w:val="18"/>
                <w:szCs w:val="18"/>
              </w:rPr>
            </w:pPr>
            <w:r>
              <w:rPr>
                <w:rFonts w:cs="Calibri"/>
                <w:color w:val="000000"/>
                <w:sz w:val="18"/>
                <w:szCs w:val="18"/>
              </w:rPr>
              <w:t>1,3</w:t>
            </w:r>
          </w:p>
        </w:tc>
        <w:tc>
          <w:tcPr>
            <w:tcW w:w="1247" w:type="dxa"/>
            <w:gridSpan w:val="2"/>
            <w:tcBorders>
              <w:top w:val="nil"/>
              <w:left w:val="nil"/>
              <w:bottom w:val="single" w:sz="4" w:space="0" w:color="auto"/>
              <w:right w:val="nil"/>
            </w:tcBorders>
            <w:shd w:val="clear" w:color="000000" w:fill="E6E6E6"/>
            <w:vAlign w:val="center"/>
          </w:tcPr>
          <w:p w14:paraId="1EDA0BC9" w14:textId="77777777" w:rsidR="00490255" w:rsidRDefault="00490255" w:rsidP="000E4D54">
            <w:pPr>
              <w:jc w:val="center"/>
              <w:rPr>
                <w:rFonts w:cs="Calibri"/>
                <w:b/>
                <w:bCs/>
                <w:color w:val="000000"/>
                <w:sz w:val="18"/>
                <w:szCs w:val="18"/>
              </w:rPr>
            </w:pPr>
            <w:r>
              <w:rPr>
                <w:rFonts w:cs="Calibri"/>
                <w:b/>
                <w:bCs/>
                <w:color w:val="000000"/>
                <w:sz w:val="18"/>
                <w:szCs w:val="18"/>
              </w:rPr>
              <w:t>-1,6</w:t>
            </w:r>
          </w:p>
        </w:tc>
      </w:tr>
      <w:tr w:rsidR="00490255" w:rsidRPr="000F7810" w14:paraId="5D13F6C2" w14:textId="77777777" w:rsidTr="000E4D54">
        <w:trPr>
          <w:gridAfter w:val="1"/>
          <w:wAfter w:w="12" w:type="dxa"/>
          <w:trHeight w:val="280"/>
        </w:trPr>
        <w:tc>
          <w:tcPr>
            <w:tcW w:w="4466" w:type="dxa"/>
            <w:vMerge/>
            <w:tcBorders>
              <w:top w:val="nil"/>
              <w:left w:val="nil"/>
              <w:bottom w:val="single" w:sz="4" w:space="0" w:color="000000"/>
              <w:right w:val="nil"/>
            </w:tcBorders>
            <w:vAlign w:val="center"/>
            <w:hideMark/>
          </w:tcPr>
          <w:p w14:paraId="3DD55F2E"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nil"/>
              <w:right w:val="nil"/>
            </w:tcBorders>
            <w:shd w:val="clear" w:color="auto" w:fill="auto"/>
            <w:noWrap/>
            <w:vAlign w:val="center"/>
          </w:tcPr>
          <w:p w14:paraId="3DB13423" w14:textId="77777777" w:rsidR="00490255" w:rsidRDefault="00490255" w:rsidP="000E4D54">
            <w:pPr>
              <w:jc w:val="center"/>
              <w:rPr>
                <w:rFonts w:cs="Calibri"/>
                <w:color w:val="000000"/>
                <w:sz w:val="18"/>
                <w:szCs w:val="18"/>
              </w:rPr>
            </w:pPr>
            <w:r>
              <w:rPr>
                <w:rFonts w:cs="Calibri"/>
                <w:color w:val="000000"/>
                <w:sz w:val="18"/>
                <w:szCs w:val="18"/>
              </w:rPr>
              <w:t>2022F</w:t>
            </w:r>
          </w:p>
        </w:tc>
        <w:tc>
          <w:tcPr>
            <w:tcW w:w="1276" w:type="dxa"/>
            <w:tcBorders>
              <w:top w:val="nil"/>
              <w:left w:val="nil"/>
              <w:bottom w:val="nil"/>
              <w:right w:val="nil"/>
            </w:tcBorders>
            <w:shd w:val="clear" w:color="auto" w:fill="auto"/>
            <w:noWrap/>
            <w:vAlign w:val="center"/>
          </w:tcPr>
          <w:p w14:paraId="522A070B" w14:textId="77777777" w:rsidR="00490255" w:rsidRDefault="00490255" w:rsidP="000E4D54">
            <w:pPr>
              <w:jc w:val="center"/>
              <w:rPr>
                <w:rFonts w:cs="Calibri"/>
                <w:color w:val="000000"/>
                <w:sz w:val="18"/>
                <w:szCs w:val="18"/>
              </w:rPr>
            </w:pPr>
            <w:r>
              <w:rPr>
                <w:rFonts w:cs="Calibri"/>
                <w:color w:val="000000"/>
                <w:sz w:val="18"/>
                <w:szCs w:val="18"/>
              </w:rPr>
              <w:t>2,1</w:t>
            </w:r>
          </w:p>
        </w:tc>
        <w:tc>
          <w:tcPr>
            <w:tcW w:w="1150" w:type="dxa"/>
            <w:tcBorders>
              <w:top w:val="nil"/>
              <w:left w:val="nil"/>
              <w:bottom w:val="nil"/>
              <w:right w:val="nil"/>
            </w:tcBorders>
            <w:shd w:val="clear" w:color="auto" w:fill="auto"/>
            <w:noWrap/>
            <w:vAlign w:val="center"/>
          </w:tcPr>
          <w:p w14:paraId="315D1327" w14:textId="77777777" w:rsidR="00490255" w:rsidRDefault="00490255" w:rsidP="000E4D54">
            <w:pPr>
              <w:jc w:val="center"/>
              <w:rPr>
                <w:rFonts w:cs="Calibri"/>
                <w:color w:val="000000"/>
                <w:sz w:val="18"/>
                <w:szCs w:val="18"/>
              </w:rPr>
            </w:pPr>
            <w:r>
              <w:rPr>
                <w:rFonts w:cs="Calibri"/>
                <w:color w:val="000000"/>
                <w:sz w:val="18"/>
                <w:szCs w:val="18"/>
              </w:rPr>
              <w:t>1,4</w:t>
            </w:r>
          </w:p>
        </w:tc>
        <w:tc>
          <w:tcPr>
            <w:tcW w:w="1247" w:type="dxa"/>
            <w:gridSpan w:val="2"/>
            <w:tcBorders>
              <w:top w:val="nil"/>
              <w:left w:val="nil"/>
              <w:bottom w:val="nil"/>
              <w:right w:val="nil"/>
            </w:tcBorders>
            <w:shd w:val="clear" w:color="000000" w:fill="E6E6E6"/>
            <w:vAlign w:val="center"/>
          </w:tcPr>
          <w:p w14:paraId="5AB4970F" w14:textId="77777777" w:rsidR="00490255" w:rsidRDefault="00490255" w:rsidP="000E4D54">
            <w:pPr>
              <w:jc w:val="center"/>
              <w:rPr>
                <w:rFonts w:cs="Calibri"/>
                <w:b/>
                <w:bCs/>
                <w:color w:val="000000"/>
                <w:sz w:val="18"/>
                <w:szCs w:val="18"/>
              </w:rPr>
            </w:pPr>
            <w:r>
              <w:rPr>
                <w:rFonts w:cs="Calibri"/>
                <w:b/>
                <w:bCs/>
                <w:color w:val="000000"/>
                <w:sz w:val="18"/>
                <w:szCs w:val="18"/>
              </w:rPr>
              <w:t>-0,9</w:t>
            </w:r>
          </w:p>
        </w:tc>
      </w:tr>
      <w:tr w:rsidR="00490255" w:rsidRPr="000F7810" w14:paraId="3960C892" w14:textId="77777777" w:rsidTr="000E4D54">
        <w:trPr>
          <w:gridAfter w:val="1"/>
          <w:wAfter w:w="12" w:type="dxa"/>
          <w:trHeight w:val="272"/>
        </w:trPr>
        <w:tc>
          <w:tcPr>
            <w:tcW w:w="4466" w:type="dxa"/>
            <w:vMerge/>
            <w:tcBorders>
              <w:top w:val="nil"/>
              <w:left w:val="nil"/>
              <w:bottom w:val="single" w:sz="4" w:space="0" w:color="000000"/>
              <w:right w:val="nil"/>
            </w:tcBorders>
            <w:vAlign w:val="center"/>
            <w:hideMark/>
          </w:tcPr>
          <w:p w14:paraId="61EE6849"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nil"/>
              <w:right w:val="nil"/>
            </w:tcBorders>
            <w:shd w:val="clear" w:color="auto" w:fill="auto"/>
            <w:noWrap/>
            <w:vAlign w:val="center"/>
          </w:tcPr>
          <w:p w14:paraId="1223A35F" w14:textId="77777777" w:rsidR="00490255" w:rsidRDefault="00490255" w:rsidP="000E4D54">
            <w:pPr>
              <w:jc w:val="center"/>
              <w:rPr>
                <w:rFonts w:cs="Calibri"/>
                <w:color w:val="000000"/>
                <w:sz w:val="18"/>
                <w:szCs w:val="18"/>
              </w:rPr>
            </w:pPr>
            <w:r>
              <w:rPr>
                <w:rFonts w:cs="Calibri"/>
                <w:color w:val="000000"/>
                <w:sz w:val="18"/>
                <w:szCs w:val="18"/>
              </w:rPr>
              <w:t>2023F</w:t>
            </w:r>
          </w:p>
        </w:tc>
        <w:tc>
          <w:tcPr>
            <w:tcW w:w="1276" w:type="dxa"/>
            <w:tcBorders>
              <w:top w:val="nil"/>
              <w:left w:val="nil"/>
              <w:bottom w:val="nil"/>
              <w:right w:val="nil"/>
            </w:tcBorders>
            <w:shd w:val="clear" w:color="auto" w:fill="auto"/>
            <w:noWrap/>
            <w:vAlign w:val="center"/>
          </w:tcPr>
          <w:p w14:paraId="7C3F27BC" w14:textId="77777777" w:rsidR="00490255" w:rsidRDefault="00490255" w:rsidP="000E4D54">
            <w:pPr>
              <w:jc w:val="center"/>
              <w:rPr>
                <w:rFonts w:cs="Calibri"/>
                <w:color w:val="000000"/>
                <w:sz w:val="18"/>
                <w:szCs w:val="18"/>
              </w:rPr>
            </w:pPr>
            <w:r>
              <w:rPr>
                <w:rFonts w:cs="Calibri"/>
                <w:color w:val="000000"/>
                <w:sz w:val="18"/>
                <w:szCs w:val="18"/>
              </w:rPr>
              <w:t>5,3</w:t>
            </w:r>
          </w:p>
        </w:tc>
        <w:tc>
          <w:tcPr>
            <w:tcW w:w="1150" w:type="dxa"/>
            <w:tcBorders>
              <w:top w:val="nil"/>
              <w:left w:val="nil"/>
              <w:bottom w:val="nil"/>
              <w:right w:val="nil"/>
            </w:tcBorders>
            <w:shd w:val="clear" w:color="auto" w:fill="auto"/>
            <w:noWrap/>
            <w:vAlign w:val="center"/>
          </w:tcPr>
          <w:p w14:paraId="1DE4484B" w14:textId="77777777" w:rsidR="00490255" w:rsidRDefault="00490255" w:rsidP="000E4D54">
            <w:pPr>
              <w:jc w:val="center"/>
              <w:rPr>
                <w:rFonts w:cs="Calibri"/>
                <w:color w:val="000000"/>
                <w:sz w:val="18"/>
                <w:szCs w:val="18"/>
              </w:rPr>
            </w:pPr>
            <w:r>
              <w:rPr>
                <w:rFonts w:cs="Calibri"/>
                <w:color w:val="000000"/>
                <w:sz w:val="18"/>
                <w:szCs w:val="18"/>
              </w:rPr>
              <w:t>2,8</w:t>
            </w:r>
          </w:p>
        </w:tc>
        <w:tc>
          <w:tcPr>
            <w:tcW w:w="1247" w:type="dxa"/>
            <w:gridSpan w:val="2"/>
            <w:tcBorders>
              <w:top w:val="nil"/>
              <w:left w:val="nil"/>
              <w:bottom w:val="nil"/>
              <w:right w:val="nil"/>
            </w:tcBorders>
            <w:shd w:val="clear" w:color="000000" w:fill="E6E6E6"/>
            <w:vAlign w:val="center"/>
          </w:tcPr>
          <w:p w14:paraId="59B6156C" w14:textId="77777777" w:rsidR="00490255" w:rsidRDefault="00490255" w:rsidP="000E4D54">
            <w:pPr>
              <w:jc w:val="center"/>
              <w:rPr>
                <w:rFonts w:cs="Calibri"/>
                <w:b/>
                <w:bCs/>
                <w:color w:val="000000"/>
                <w:sz w:val="18"/>
                <w:szCs w:val="18"/>
              </w:rPr>
            </w:pPr>
            <w:r>
              <w:rPr>
                <w:rFonts w:cs="Calibri"/>
                <w:b/>
                <w:bCs/>
                <w:color w:val="000000"/>
                <w:sz w:val="18"/>
                <w:szCs w:val="18"/>
              </w:rPr>
              <w:t>1,6</w:t>
            </w:r>
          </w:p>
        </w:tc>
      </w:tr>
      <w:tr w:rsidR="00490255" w:rsidRPr="000F7810" w14:paraId="7E4F9309" w14:textId="77777777" w:rsidTr="000E4D54">
        <w:trPr>
          <w:gridAfter w:val="1"/>
          <w:wAfter w:w="12" w:type="dxa"/>
          <w:trHeight w:val="64"/>
        </w:trPr>
        <w:tc>
          <w:tcPr>
            <w:tcW w:w="4466" w:type="dxa"/>
            <w:vMerge/>
            <w:tcBorders>
              <w:top w:val="nil"/>
              <w:left w:val="nil"/>
              <w:bottom w:val="single" w:sz="4" w:space="0" w:color="000000"/>
              <w:right w:val="nil"/>
            </w:tcBorders>
            <w:vAlign w:val="center"/>
            <w:hideMark/>
          </w:tcPr>
          <w:p w14:paraId="50FB57F0"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nil"/>
              <w:right w:val="nil"/>
            </w:tcBorders>
            <w:shd w:val="clear" w:color="auto" w:fill="auto"/>
            <w:noWrap/>
            <w:vAlign w:val="center"/>
          </w:tcPr>
          <w:p w14:paraId="5569764A" w14:textId="77777777" w:rsidR="00490255" w:rsidRDefault="00490255" w:rsidP="000E4D54">
            <w:pPr>
              <w:jc w:val="center"/>
              <w:rPr>
                <w:rFonts w:cs="Calibri"/>
                <w:color w:val="000000"/>
                <w:sz w:val="18"/>
                <w:szCs w:val="18"/>
              </w:rPr>
            </w:pPr>
            <w:r>
              <w:rPr>
                <w:rFonts w:cs="Calibri"/>
                <w:color w:val="000000"/>
                <w:sz w:val="18"/>
                <w:szCs w:val="18"/>
              </w:rPr>
              <w:t>2024F</w:t>
            </w:r>
          </w:p>
        </w:tc>
        <w:tc>
          <w:tcPr>
            <w:tcW w:w="1276" w:type="dxa"/>
            <w:tcBorders>
              <w:top w:val="nil"/>
              <w:left w:val="nil"/>
              <w:bottom w:val="nil"/>
              <w:right w:val="nil"/>
            </w:tcBorders>
            <w:shd w:val="clear" w:color="auto" w:fill="auto"/>
            <w:noWrap/>
            <w:vAlign w:val="center"/>
          </w:tcPr>
          <w:p w14:paraId="49EBE87F" w14:textId="77777777" w:rsidR="00490255" w:rsidRDefault="00490255" w:rsidP="000E4D54">
            <w:pPr>
              <w:jc w:val="center"/>
              <w:rPr>
                <w:rFonts w:cs="Calibri"/>
                <w:color w:val="000000"/>
                <w:sz w:val="18"/>
                <w:szCs w:val="18"/>
              </w:rPr>
            </w:pPr>
            <w:r>
              <w:rPr>
                <w:rFonts w:cs="Calibri"/>
                <w:color w:val="000000"/>
                <w:sz w:val="18"/>
                <w:szCs w:val="18"/>
              </w:rPr>
              <w:t>1,8</w:t>
            </w:r>
          </w:p>
        </w:tc>
        <w:tc>
          <w:tcPr>
            <w:tcW w:w="1150" w:type="dxa"/>
            <w:tcBorders>
              <w:top w:val="nil"/>
              <w:left w:val="nil"/>
              <w:bottom w:val="nil"/>
              <w:right w:val="nil"/>
            </w:tcBorders>
            <w:shd w:val="clear" w:color="auto" w:fill="auto"/>
            <w:noWrap/>
            <w:vAlign w:val="center"/>
          </w:tcPr>
          <w:p w14:paraId="7A433463" w14:textId="77777777" w:rsidR="00490255" w:rsidRDefault="00490255" w:rsidP="000E4D54">
            <w:pPr>
              <w:jc w:val="center"/>
              <w:rPr>
                <w:rFonts w:cs="Calibri"/>
                <w:color w:val="000000"/>
                <w:sz w:val="18"/>
                <w:szCs w:val="18"/>
              </w:rPr>
            </w:pPr>
            <w:r>
              <w:rPr>
                <w:rFonts w:cs="Calibri"/>
                <w:color w:val="000000"/>
                <w:sz w:val="18"/>
                <w:szCs w:val="18"/>
              </w:rPr>
              <w:t>2,9</w:t>
            </w:r>
          </w:p>
        </w:tc>
        <w:tc>
          <w:tcPr>
            <w:tcW w:w="1247" w:type="dxa"/>
            <w:gridSpan w:val="2"/>
            <w:tcBorders>
              <w:top w:val="nil"/>
              <w:left w:val="nil"/>
              <w:bottom w:val="nil"/>
              <w:right w:val="nil"/>
            </w:tcBorders>
            <w:shd w:val="clear" w:color="000000" w:fill="E6E6E6"/>
            <w:vAlign w:val="center"/>
          </w:tcPr>
          <w:p w14:paraId="7F3DBB83" w14:textId="77777777" w:rsidR="00490255" w:rsidRDefault="00490255" w:rsidP="000E4D54">
            <w:pPr>
              <w:jc w:val="center"/>
              <w:rPr>
                <w:rFonts w:cs="Calibri"/>
                <w:b/>
                <w:bCs/>
                <w:color w:val="000000"/>
                <w:sz w:val="18"/>
                <w:szCs w:val="18"/>
              </w:rPr>
            </w:pPr>
            <w:r>
              <w:rPr>
                <w:rFonts w:cs="Calibri"/>
                <w:b/>
                <w:bCs/>
                <w:color w:val="000000"/>
                <w:sz w:val="18"/>
                <w:szCs w:val="18"/>
              </w:rPr>
              <w:t>0,5</w:t>
            </w:r>
          </w:p>
        </w:tc>
      </w:tr>
      <w:tr w:rsidR="00490255" w:rsidRPr="000F7810" w14:paraId="6029BAFB" w14:textId="77777777" w:rsidTr="000E4D54">
        <w:trPr>
          <w:gridAfter w:val="1"/>
          <w:wAfter w:w="12" w:type="dxa"/>
          <w:trHeight w:val="353"/>
        </w:trPr>
        <w:tc>
          <w:tcPr>
            <w:tcW w:w="4466" w:type="dxa"/>
            <w:vMerge/>
            <w:tcBorders>
              <w:top w:val="nil"/>
              <w:left w:val="nil"/>
              <w:bottom w:val="single" w:sz="4" w:space="0" w:color="auto"/>
              <w:right w:val="nil"/>
            </w:tcBorders>
            <w:vAlign w:val="center"/>
            <w:hideMark/>
          </w:tcPr>
          <w:p w14:paraId="4DC8C99D" w14:textId="77777777" w:rsidR="00490255" w:rsidRPr="000F7810" w:rsidRDefault="00490255" w:rsidP="000E4D54">
            <w:pPr>
              <w:ind w:left="360"/>
              <w:rPr>
                <w:rFonts w:cs="Times New Roman"/>
                <w:b/>
                <w:bCs/>
                <w:color w:val="000000"/>
                <w:sz w:val="16"/>
                <w:szCs w:val="16"/>
                <w:highlight w:val="yellow"/>
              </w:rPr>
            </w:pPr>
          </w:p>
        </w:tc>
        <w:tc>
          <w:tcPr>
            <w:tcW w:w="567" w:type="dxa"/>
            <w:tcBorders>
              <w:top w:val="nil"/>
              <w:left w:val="nil"/>
              <w:bottom w:val="single" w:sz="4" w:space="0" w:color="auto"/>
              <w:right w:val="nil"/>
            </w:tcBorders>
            <w:shd w:val="clear" w:color="auto" w:fill="auto"/>
            <w:noWrap/>
            <w:vAlign w:val="center"/>
          </w:tcPr>
          <w:p w14:paraId="2AEB63ED" w14:textId="77777777" w:rsidR="00490255" w:rsidRDefault="00490255" w:rsidP="000E4D54">
            <w:pPr>
              <w:jc w:val="center"/>
              <w:rPr>
                <w:rFonts w:cs="Calibri"/>
                <w:color w:val="000000"/>
                <w:sz w:val="18"/>
                <w:szCs w:val="18"/>
              </w:rPr>
            </w:pPr>
            <w:r>
              <w:rPr>
                <w:rFonts w:cs="Calibri"/>
                <w:color w:val="000000"/>
                <w:sz w:val="18"/>
                <w:szCs w:val="18"/>
              </w:rPr>
              <w:t>2025F</w:t>
            </w:r>
          </w:p>
        </w:tc>
        <w:tc>
          <w:tcPr>
            <w:tcW w:w="1276" w:type="dxa"/>
            <w:tcBorders>
              <w:top w:val="nil"/>
              <w:left w:val="nil"/>
              <w:bottom w:val="single" w:sz="4" w:space="0" w:color="auto"/>
              <w:right w:val="nil"/>
            </w:tcBorders>
            <w:shd w:val="clear" w:color="auto" w:fill="auto"/>
            <w:noWrap/>
            <w:vAlign w:val="center"/>
          </w:tcPr>
          <w:p w14:paraId="23655769" w14:textId="77777777" w:rsidR="00490255" w:rsidRDefault="00490255" w:rsidP="000E4D54">
            <w:pPr>
              <w:jc w:val="center"/>
              <w:rPr>
                <w:rFonts w:cs="Calibri"/>
                <w:color w:val="000000"/>
                <w:sz w:val="18"/>
                <w:szCs w:val="18"/>
              </w:rPr>
            </w:pPr>
            <w:r>
              <w:rPr>
                <w:rFonts w:cs="Calibri"/>
                <w:color w:val="000000"/>
                <w:sz w:val="18"/>
                <w:szCs w:val="18"/>
              </w:rPr>
              <w:t>1,8</w:t>
            </w:r>
          </w:p>
        </w:tc>
        <w:tc>
          <w:tcPr>
            <w:tcW w:w="1150" w:type="dxa"/>
            <w:tcBorders>
              <w:top w:val="nil"/>
              <w:left w:val="nil"/>
              <w:bottom w:val="single" w:sz="4" w:space="0" w:color="auto"/>
              <w:right w:val="nil"/>
            </w:tcBorders>
            <w:shd w:val="clear" w:color="auto" w:fill="auto"/>
            <w:noWrap/>
            <w:vAlign w:val="center"/>
          </w:tcPr>
          <w:p w14:paraId="01D72899" w14:textId="77777777" w:rsidR="00490255" w:rsidRDefault="00490255" w:rsidP="000E4D54">
            <w:pPr>
              <w:jc w:val="center"/>
              <w:rPr>
                <w:rFonts w:cs="Calibri"/>
                <w:color w:val="000000"/>
                <w:sz w:val="18"/>
                <w:szCs w:val="18"/>
              </w:rPr>
            </w:pPr>
            <w:r>
              <w:rPr>
                <w:rFonts w:cs="Calibri"/>
                <w:color w:val="000000"/>
                <w:sz w:val="18"/>
                <w:szCs w:val="18"/>
              </w:rPr>
              <w:t>2,3</w:t>
            </w:r>
          </w:p>
        </w:tc>
        <w:tc>
          <w:tcPr>
            <w:tcW w:w="1247" w:type="dxa"/>
            <w:gridSpan w:val="2"/>
            <w:tcBorders>
              <w:top w:val="nil"/>
              <w:left w:val="nil"/>
              <w:bottom w:val="single" w:sz="4" w:space="0" w:color="auto"/>
              <w:right w:val="nil"/>
            </w:tcBorders>
            <w:shd w:val="clear" w:color="000000" w:fill="E6E6E6"/>
            <w:vAlign w:val="center"/>
          </w:tcPr>
          <w:p w14:paraId="363D13B4" w14:textId="77777777" w:rsidR="00490255" w:rsidRDefault="00490255" w:rsidP="000E4D54">
            <w:pPr>
              <w:jc w:val="center"/>
              <w:rPr>
                <w:rFonts w:cs="Calibri"/>
                <w:b/>
                <w:bCs/>
                <w:color w:val="000000"/>
                <w:sz w:val="18"/>
                <w:szCs w:val="18"/>
              </w:rPr>
            </w:pPr>
            <w:r>
              <w:rPr>
                <w:rFonts w:cs="Calibri"/>
                <w:b/>
                <w:bCs/>
                <w:color w:val="000000"/>
                <w:sz w:val="18"/>
                <w:szCs w:val="18"/>
              </w:rPr>
              <w:t>-0,1</w:t>
            </w:r>
          </w:p>
        </w:tc>
      </w:tr>
      <w:tr w:rsidR="00490255" w:rsidRPr="000F7810" w14:paraId="72891536" w14:textId="77777777" w:rsidTr="000E4D54">
        <w:trPr>
          <w:trHeight w:val="227"/>
        </w:trPr>
        <w:tc>
          <w:tcPr>
            <w:tcW w:w="4466" w:type="dxa"/>
            <w:tcBorders>
              <w:top w:val="single" w:sz="4" w:space="0" w:color="auto"/>
              <w:left w:val="nil"/>
              <w:bottom w:val="nil"/>
              <w:right w:val="nil"/>
            </w:tcBorders>
            <w:shd w:val="clear" w:color="auto" w:fill="auto"/>
            <w:vAlign w:val="center"/>
          </w:tcPr>
          <w:p w14:paraId="3BF710D1" w14:textId="77777777" w:rsidR="00490255" w:rsidRPr="000F7810" w:rsidRDefault="00490255" w:rsidP="000E4D54">
            <w:pPr>
              <w:rPr>
                <w:rFonts w:cs="Times New Roman"/>
                <w:i/>
                <w:iCs/>
                <w:color w:val="000000"/>
                <w:sz w:val="16"/>
                <w:szCs w:val="16"/>
                <w:highlight w:val="yellow"/>
              </w:rPr>
            </w:pPr>
          </w:p>
        </w:tc>
        <w:tc>
          <w:tcPr>
            <w:tcW w:w="4252" w:type="dxa"/>
            <w:gridSpan w:val="6"/>
            <w:tcBorders>
              <w:top w:val="single" w:sz="4" w:space="0" w:color="auto"/>
              <w:left w:val="nil"/>
              <w:bottom w:val="nil"/>
              <w:right w:val="nil"/>
            </w:tcBorders>
            <w:shd w:val="clear" w:color="auto" w:fill="auto"/>
            <w:vAlign w:val="center"/>
            <w:hideMark/>
          </w:tcPr>
          <w:p w14:paraId="104CEF68" w14:textId="77777777" w:rsidR="00490255" w:rsidRPr="000F7810" w:rsidRDefault="00490255" w:rsidP="000E4D54">
            <w:pPr>
              <w:pStyle w:val="poznmka"/>
              <w:rPr>
                <w:rFonts w:cs="Times New Roman"/>
                <w:highlight w:val="yellow"/>
              </w:rPr>
            </w:pPr>
            <w:r w:rsidRPr="00A63575">
              <w:t>Zdroj: MF SR</w:t>
            </w:r>
          </w:p>
        </w:tc>
      </w:tr>
    </w:tbl>
    <w:p w14:paraId="0FFFADCF" w14:textId="77777777" w:rsidR="00490255" w:rsidRPr="00183B47" w:rsidRDefault="00490255" w:rsidP="00490255">
      <w:pPr>
        <w:pStyle w:val="Nadpis2"/>
        <w:keepLines/>
        <w:numPr>
          <w:ilvl w:val="1"/>
          <w:numId w:val="2"/>
        </w:numPr>
        <w:spacing w:before="240" w:after="120" w:line="276" w:lineRule="auto"/>
        <w:rPr>
          <w:b/>
          <w:color w:val="2C9ADC"/>
          <w:szCs w:val="28"/>
        </w:rPr>
      </w:pPr>
      <w:bookmarkStart w:id="74" w:name="_Toc70700324"/>
      <w:bookmarkStart w:id="75" w:name="_Toc101880659"/>
      <w:r w:rsidRPr="00183B47">
        <w:rPr>
          <w:b/>
          <w:color w:val="2C9ADC"/>
          <w:szCs w:val="28"/>
        </w:rPr>
        <w:t>Porovnanie prognóz slovenskej ekonomiky MF SR s prognózami ostatných inštitúcií</w:t>
      </w:r>
      <w:bookmarkEnd w:id="66"/>
      <w:bookmarkEnd w:id="67"/>
      <w:bookmarkEnd w:id="68"/>
      <w:bookmarkEnd w:id="69"/>
      <w:bookmarkEnd w:id="74"/>
      <w:bookmarkEnd w:id="75"/>
      <w:r w:rsidRPr="00183B47">
        <w:rPr>
          <w:b/>
          <w:color w:val="2C9ADC"/>
          <w:szCs w:val="28"/>
        </w:rPr>
        <w:t xml:space="preserve"> </w:t>
      </w:r>
    </w:p>
    <w:p w14:paraId="5EBB94F8" w14:textId="77777777" w:rsidR="00490255" w:rsidRPr="00183B47" w:rsidRDefault="00490255" w:rsidP="00490255">
      <w:pPr>
        <w:pStyle w:val="Odsek"/>
        <w:rPr>
          <w:sz w:val="24"/>
        </w:rPr>
      </w:pPr>
      <w:r w:rsidRPr="00183B47">
        <w:rPr>
          <w:b/>
          <w:bCs/>
          <w:szCs w:val="20"/>
        </w:rPr>
        <w:t>Prognóza MF SR je porovnateľná s ostatnými inštitúciami.</w:t>
      </w:r>
      <w:r w:rsidRPr="00183B47">
        <w:rPr>
          <w:szCs w:val="20"/>
        </w:rPr>
        <w:t xml:space="preserve"> Aktuálne prognózy EK a OECD boli publikované ešte pred začiatkom vojny na Ukrajine. Oproti ostatným inštitúciám (NBS a MMF) očakáva MF SR pomalší rast HDP v roku 2022, na druhej strane však čaká o niečo rýchlejšie oživenie v roku 2023. Neistota spôsobená vojnou vedie k vysokému rozptylu odhadov rastu cenovej hladiny medzi prognózami, najmä pokiaľ ide o rok 2023, MF SR však spomedzi týchto odhadov výrazne nevybočuje. Aktualizovanú prognózu bežného účtu publikoval len MMF, pričom ten mal k dispozícii najnovšie údaje o vývoji v štvrtom štvrťroku 2021, z čoho vyplýva rozdiel v roku 2021. MMF zároveň očakáva výrazné prehĺbenie deficitu bežného účtu platobnej bilancie. </w:t>
      </w:r>
    </w:p>
    <w:tbl>
      <w:tblPr>
        <w:tblW w:w="4619" w:type="pct"/>
        <w:jc w:val="center"/>
        <w:tblCellMar>
          <w:left w:w="70" w:type="dxa"/>
          <w:right w:w="70" w:type="dxa"/>
        </w:tblCellMar>
        <w:tblLook w:val="00A0" w:firstRow="1" w:lastRow="0" w:firstColumn="1" w:lastColumn="0" w:noHBand="0" w:noVBand="0"/>
      </w:tblPr>
      <w:tblGrid>
        <w:gridCol w:w="3400"/>
        <w:gridCol w:w="1750"/>
        <w:gridCol w:w="1736"/>
        <w:gridCol w:w="2184"/>
      </w:tblGrid>
      <w:tr w:rsidR="00490255" w:rsidRPr="00E45C5F" w14:paraId="36D3D9E5" w14:textId="77777777" w:rsidTr="00544E4E">
        <w:trPr>
          <w:trHeight w:val="21"/>
          <w:jc w:val="center"/>
        </w:trPr>
        <w:tc>
          <w:tcPr>
            <w:tcW w:w="5000" w:type="pct"/>
            <w:gridSpan w:val="4"/>
            <w:tcBorders>
              <w:top w:val="nil"/>
              <w:left w:val="nil"/>
              <w:bottom w:val="single" w:sz="8" w:space="0" w:color="auto"/>
              <w:right w:val="nil"/>
            </w:tcBorders>
            <w:shd w:val="clear" w:color="000000" w:fill="auto"/>
            <w:noWrap/>
          </w:tcPr>
          <w:p w14:paraId="5D4EE5D4" w14:textId="25F826D6" w:rsidR="00490255" w:rsidRPr="00183B47" w:rsidRDefault="00490255" w:rsidP="000E4D54">
            <w:pPr>
              <w:pStyle w:val="Nadpis3"/>
              <w:rPr>
                <w:rFonts w:eastAsiaTheme="minorHAnsi"/>
                <w:color w:val="2C9ADC"/>
                <w:lang w:eastAsia="en-US"/>
              </w:rPr>
            </w:pPr>
            <w:bookmarkStart w:id="76" w:name="_Toc480444013"/>
            <w:bookmarkStart w:id="77" w:name="_Toc480444518"/>
            <w:bookmarkStart w:id="78" w:name="_Toc101880685"/>
            <w:r w:rsidRPr="00183B47">
              <w:rPr>
                <w:rFonts w:eastAsiaTheme="minorHAnsi"/>
                <w:color w:val="2C9ADC" w:themeColor="accent1"/>
                <w:lang w:eastAsia="en-US"/>
              </w:rPr>
              <w:t xml:space="preserve">TABUĽKA </w:t>
            </w:r>
            <w:r w:rsidRPr="00183B47">
              <w:rPr>
                <w:rFonts w:eastAsiaTheme="minorHAnsi"/>
                <w:color w:val="2C9ADC" w:themeColor="accent1"/>
                <w:lang w:eastAsia="en-US"/>
              </w:rPr>
              <w:fldChar w:fldCharType="begin"/>
            </w:r>
            <w:r w:rsidRPr="00183B47">
              <w:rPr>
                <w:rFonts w:eastAsiaTheme="minorHAnsi"/>
                <w:color w:val="2C9ADC" w:themeColor="accent1"/>
                <w:lang w:eastAsia="en-US"/>
              </w:rPr>
              <w:instrText xml:space="preserve"> SEQ TABUĽKA \* ARABIC </w:instrText>
            </w:r>
            <w:r w:rsidRPr="00183B47">
              <w:rPr>
                <w:rFonts w:eastAsiaTheme="minorHAnsi"/>
                <w:color w:val="2C9ADC" w:themeColor="accent1"/>
                <w:lang w:eastAsia="en-US"/>
              </w:rPr>
              <w:fldChar w:fldCharType="separate"/>
            </w:r>
            <w:r w:rsidR="005D3280">
              <w:rPr>
                <w:rFonts w:eastAsiaTheme="minorHAnsi"/>
                <w:noProof/>
                <w:color w:val="2C9ADC" w:themeColor="accent1"/>
                <w:lang w:eastAsia="en-US"/>
              </w:rPr>
              <w:t>6</w:t>
            </w:r>
            <w:r w:rsidRPr="00183B47">
              <w:rPr>
                <w:rFonts w:eastAsiaTheme="minorHAnsi"/>
                <w:color w:val="2C9ADC" w:themeColor="accent1"/>
                <w:lang w:eastAsia="en-US"/>
              </w:rPr>
              <w:fldChar w:fldCharType="end"/>
            </w:r>
            <w:r w:rsidRPr="00183B47">
              <w:rPr>
                <w:rFonts w:eastAsiaTheme="minorHAnsi"/>
                <w:color w:val="2C9ADC"/>
                <w:lang w:eastAsia="en-US"/>
              </w:rPr>
              <w:t xml:space="preserve"> – Porovnanie prognóz slovenskej ekonomiky MF SR a ostatných inštitúcií</w:t>
            </w:r>
            <w:bookmarkEnd w:id="76"/>
            <w:bookmarkEnd w:id="77"/>
            <w:bookmarkEnd w:id="78"/>
          </w:p>
        </w:tc>
      </w:tr>
      <w:tr w:rsidR="00490255" w:rsidRPr="00E45C5F" w14:paraId="61BFA61A" w14:textId="77777777" w:rsidTr="00544E4E">
        <w:trPr>
          <w:trHeight w:val="21"/>
          <w:jc w:val="center"/>
        </w:trPr>
        <w:tc>
          <w:tcPr>
            <w:tcW w:w="1877" w:type="pct"/>
            <w:tcBorders>
              <w:top w:val="single" w:sz="8" w:space="0" w:color="auto"/>
              <w:left w:val="nil"/>
              <w:bottom w:val="single" w:sz="8" w:space="0" w:color="auto"/>
              <w:right w:val="nil"/>
            </w:tcBorders>
            <w:shd w:val="clear" w:color="auto" w:fill="FFFFFF" w:themeFill="background1"/>
            <w:vAlign w:val="center"/>
          </w:tcPr>
          <w:p w14:paraId="785B04E6" w14:textId="77777777" w:rsidR="00490255" w:rsidRPr="00183B47" w:rsidRDefault="00490255" w:rsidP="000E4D54">
            <w:pPr>
              <w:rPr>
                <w:rFonts w:cs="Times New Roman"/>
                <w:color w:val="000000"/>
                <w:sz w:val="20"/>
                <w:szCs w:val="20"/>
              </w:rPr>
            </w:pPr>
          </w:p>
        </w:tc>
        <w:tc>
          <w:tcPr>
            <w:tcW w:w="963" w:type="pct"/>
            <w:tcBorders>
              <w:top w:val="single" w:sz="8" w:space="0" w:color="auto"/>
              <w:left w:val="nil"/>
              <w:bottom w:val="single" w:sz="8" w:space="0" w:color="auto"/>
              <w:right w:val="nil"/>
            </w:tcBorders>
            <w:shd w:val="clear" w:color="auto" w:fill="FFFFFF" w:themeFill="background1"/>
            <w:vAlign w:val="center"/>
          </w:tcPr>
          <w:p w14:paraId="56D7DC2C" w14:textId="77777777" w:rsidR="00490255" w:rsidRPr="00183B47" w:rsidRDefault="00490255" w:rsidP="000E4D54">
            <w:pPr>
              <w:jc w:val="center"/>
              <w:rPr>
                <w:rFonts w:cs="Times New Roman"/>
                <w:b/>
                <w:bCs/>
                <w:color w:val="000000"/>
                <w:sz w:val="18"/>
                <w:szCs w:val="18"/>
              </w:rPr>
            </w:pPr>
            <w:r w:rsidRPr="00E45C5F">
              <w:rPr>
                <w:rFonts w:cs="Calibri"/>
                <w:b/>
                <w:bCs/>
                <w:color w:val="000000"/>
                <w:sz w:val="18"/>
                <w:szCs w:val="18"/>
              </w:rPr>
              <w:t>2021</w:t>
            </w:r>
          </w:p>
        </w:tc>
        <w:tc>
          <w:tcPr>
            <w:tcW w:w="956" w:type="pct"/>
            <w:tcBorders>
              <w:top w:val="single" w:sz="8" w:space="0" w:color="auto"/>
              <w:left w:val="nil"/>
              <w:bottom w:val="single" w:sz="8" w:space="0" w:color="auto"/>
              <w:right w:val="nil"/>
            </w:tcBorders>
            <w:shd w:val="clear" w:color="auto" w:fill="FFFFFF" w:themeFill="background1"/>
            <w:vAlign w:val="center"/>
          </w:tcPr>
          <w:p w14:paraId="32265E20" w14:textId="77777777" w:rsidR="00490255" w:rsidRPr="00183B47" w:rsidRDefault="00490255" w:rsidP="000E4D54">
            <w:pPr>
              <w:jc w:val="center"/>
              <w:rPr>
                <w:b/>
                <w:bCs/>
                <w:color w:val="000000"/>
                <w:sz w:val="18"/>
                <w:szCs w:val="18"/>
              </w:rPr>
            </w:pPr>
            <w:r w:rsidRPr="00E45C5F">
              <w:rPr>
                <w:rFonts w:cs="Calibri"/>
                <w:b/>
                <w:bCs/>
                <w:color w:val="000000"/>
                <w:sz w:val="18"/>
                <w:szCs w:val="18"/>
              </w:rPr>
              <w:t>2022</w:t>
            </w:r>
          </w:p>
        </w:tc>
        <w:tc>
          <w:tcPr>
            <w:tcW w:w="1203" w:type="pct"/>
            <w:tcBorders>
              <w:top w:val="single" w:sz="8" w:space="0" w:color="auto"/>
              <w:left w:val="nil"/>
              <w:bottom w:val="single" w:sz="8" w:space="0" w:color="auto"/>
              <w:right w:val="nil"/>
            </w:tcBorders>
            <w:shd w:val="clear" w:color="auto" w:fill="FFFFFF" w:themeFill="background1"/>
            <w:vAlign w:val="center"/>
          </w:tcPr>
          <w:p w14:paraId="04F5B8D0" w14:textId="77777777" w:rsidR="00490255" w:rsidRPr="00183B47" w:rsidRDefault="00490255" w:rsidP="000E4D54">
            <w:pPr>
              <w:jc w:val="center"/>
              <w:rPr>
                <w:b/>
                <w:bCs/>
                <w:color w:val="000000"/>
                <w:sz w:val="18"/>
                <w:szCs w:val="18"/>
              </w:rPr>
            </w:pPr>
            <w:r w:rsidRPr="00E45C5F">
              <w:rPr>
                <w:rFonts w:cs="Calibri"/>
                <w:b/>
                <w:bCs/>
                <w:color w:val="000000"/>
                <w:sz w:val="18"/>
                <w:szCs w:val="18"/>
              </w:rPr>
              <w:t>2023</w:t>
            </w:r>
          </w:p>
        </w:tc>
      </w:tr>
      <w:tr w:rsidR="00490255" w:rsidRPr="00E45C5F" w14:paraId="07CA2A70" w14:textId="77777777" w:rsidTr="00544E4E">
        <w:trPr>
          <w:trHeight w:val="21"/>
          <w:jc w:val="center"/>
        </w:trPr>
        <w:tc>
          <w:tcPr>
            <w:tcW w:w="5000" w:type="pct"/>
            <w:gridSpan w:val="4"/>
            <w:tcBorders>
              <w:top w:val="single" w:sz="8" w:space="0" w:color="auto"/>
              <w:left w:val="nil"/>
              <w:bottom w:val="single" w:sz="8" w:space="0" w:color="auto"/>
              <w:right w:val="nil"/>
            </w:tcBorders>
            <w:shd w:val="clear" w:color="auto" w:fill="F2F2F2" w:themeFill="background1" w:themeFillShade="F2"/>
            <w:vAlign w:val="center"/>
          </w:tcPr>
          <w:p w14:paraId="10542989" w14:textId="77777777" w:rsidR="00490255" w:rsidRPr="00183B47" w:rsidRDefault="00490255" w:rsidP="000E4D54">
            <w:pPr>
              <w:jc w:val="center"/>
              <w:rPr>
                <w:rFonts w:cs="Times New Roman"/>
                <w:b/>
                <w:bCs/>
                <w:color w:val="000000"/>
                <w:sz w:val="20"/>
                <w:szCs w:val="20"/>
              </w:rPr>
            </w:pPr>
            <w:r w:rsidRPr="00183B47">
              <w:rPr>
                <w:rFonts w:cs="Times New Roman"/>
                <w:b/>
                <w:bCs/>
                <w:color w:val="000000"/>
                <w:sz w:val="20"/>
                <w:szCs w:val="20"/>
              </w:rPr>
              <w:t xml:space="preserve">                                                                         Reálny rast HDP (%)</w:t>
            </w:r>
          </w:p>
        </w:tc>
      </w:tr>
      <w:tr w:rsidR="00490255" w:rsidRPr="00E45C5F" w14:paraId="5196087F" w14:textId="77777777" w:rsidTr="00544E4E">
        <w:trPr>
          <w:trHeight w:val="21"/>
          <w:jc w:val="center"/>
        </w:trPr>
        <w:tc>
          <w:tcPr>
            <w:tcW w:w="1877" w:type="pct"/>
            <w:tcBorders>
              <w:top w:val="single" w:sz="8" w:space="0" w:color="auto"/>
              <w:left w:val="nil"/>
              <w:bottom w:val="nil"/>
              <w:right w:val="nil"/>
            </w:tcBorders>
            <w:shd w:val="clear" w:color="000000" w:fill="FFFFFF"/>
            <w:vAlign w:val="center"/>
          </w:tcPr>
          <w:p w14:paraId="71CAD0F8" w14:textId="23635AEE" w:rsidR="00490255" w:rsidRPr="00183B47" w:rsidRDefault="00490255" w:rsidP="000E4D54">
            <w:pPr>
              <w:ind w:firstLineChars="100" w:firstLine="181"/>
              <w:rPr>
                <w:rFonts w:cs="Times New Roman"/>
                <w:b/>
                <w:bCs/>
                <w:color w:val="000000"/>
                <w:sz w:val="18"/>
                <w:szCs w:val="18"/>
              </w:rPr>
            </w:pPr>
            <w:r w:rsidRPr="00183B47">
              <w:rPr>
                <w:b/>
                <w:bCs/>
                <w:color w:val="000000"/>
                <w:sz w:val="18"/>
                <w:szCs w:val="18"/>
              </w:rPr>
              <w:t>MF</w:t>
            </w:r>
            <w:r w:rsidR="007A6A54">
              <w:rPr>
                <w:b/>
                <w:bCs/>
                <w:color w:val="000000"/>
                <w:sz w:val="18"/>
                <w:szCs w:val="18"/>
              </w:rPr>
              <w:t xml:space="preserve"> </w:t>
            </w:r>
            <w:r w:rsidRPr="00183B47">
              <w:rPr>
                <w:b/>
                <w:bCs/>
                <w:color w:val="000000"/>
                <w:sz w:val="18"/>
                <w:szCs w:val="18"/>
              </w:rPr>
              <w:t>SR</w:t>
            </w:r>
          </w:p>
        </w:tc>
        <w:tc>
          <w:tcPr>
            <w:tcW w:w="963" w:type="pct"/>
            <w:tcBorders>
              <w:top w:val="single" w:sz="8" w:space="0" w:color="auto"/>
              <w:left w:val="nil"/>
              <w:bottom w:val="nil"/>
              <w:right w:val="nil"/>
            </w:tcBorders>
            <w:shd w:val="clear" w:color="000000" w:fill="FFFFFF"/>
            <w:vAlign w:val="center"/>
          </w:tcPr>
          <w:p w14:paraId="0CBFA279" w14:textId="77777777" w:rsidR="00490255" w:rsidRPr="00183B47" w:rsidRDefault="00490255" w:rsidP="000E4D54">
            <w:pPr>
              <w:jc w:val="center"/>
              <w:rPr>
                <w:b/>
                <w:bCs/>
                <w:color w:val="000000"/>
                <w:sz w:val="18"/>
                <w:szCs w:val="18"/>
              </w:rPr>
            </w:pPr>
            <w:r>
              <w:rPr>
                <w:rFonts w:cs="Calibri"/>
                <w:b/>
                <w:bCs/>
                <w:color w:val="000000"/>
                <w:sz w:val="18"/>
                <w:szCs w:val="18"/>
              </w:rPr>
              <w:t>3,0</w:t>
            </w:r>
          </w:p>
        </w:tc>
        <w:tc>
          <w:tcPr>
            <w:tcW w:w="956" w:type="pct"/>
            <w:tcBorders>
              <w:top w:val="single" w:sz="8" w:space="0" w:color="auto"/>
              <w:left w:val="nil"/>
              <w:bottom w:val="nil"/>
              <w:right w:val="nil"/>
            </w:tcBorders>
            <w:shd w:val="clear" w:color="000000" w:fill="FFFFFF"/>
            <w:vAlign w:val="center"/>
          </w:tcPr>
          <w:p w14:paraId="2EC8B07C" w14:textId="77777777" w:rsidR="00490255" w:rsidRPr="00183B47" w:rsidRDefault="00490255" w:rsidP="000E4D54">
            <w:pPr>
              <w:jc w:val="center"/>
              <w:rPr>
                <w:b/>
                <w:bCs/>
                <w:color w:val="000000"/>
                <w:sz w:val="18"/>
                <w:szCs w:val="18"/>
              </w:rPr>
            </w:pPr>
            <w:r>
              <w:rPr>
                <w:rFonts w:cs="Calibri"/>
                <w:b/>
                <w:bCs/>
                <w:color w:val="000000"/>
                <w:sz w:val="18"/>
                <w:szCs w:val="18"/>
              </w:rPr>
              <w:t>2,1</w:t>
            </w:r>
          </w:p>
        </w:tc>
        <w:tc>
          <w:tcPr>
            <w:tcW w:w="1203" w:type="pct"/>
            <w:tcBorders>
              <w:top w:val="single" w:sz="8" w:space="0" w:color="auto"/>
              <w:left w:val="nil"/>
              <w:bottom w:val="nil"/>
              <w:right w:val="nil"/>
            </w:tcBorders>
            <w:shd w:val="clear" w:color="000000" w:fill="FFFFFF"/>
            <w:vAlign w:val="center"/>
          </w:tcPr>
          <w:p w14:paraId="6427452F" w14:textId="77777777" w:rsidR="00490255" w:rsidRPr="00183B47" w:rsidRDefault="00490255" w:rsidP="000E4D54">
            <w:pPr>
              <w:jc w:val="center"/>
              <w:rPr>
                <w:b/>
                <w:bCs/>
                <w:color w:val="000000"/>
                <w:sz w:val="18"/>
                <w:szCs w:val="18"/>
              </w:rPr>
            </w:pPr>
            <w:r>
              <w:rPr>
                <w:rFonts w:cs="Calibri"/>
                <w:b/>
                <w:bCs/>
                <w:color w:val="000000"/>
                <w:sz w:val="18"/>
                <w:szCs w:val="18"/>
              </w:rPr>
              <w:t>5,3</w:t>
            </w:r>
          </w:p>
        </w:tc>
      </w:tr>
      <w:tr w:rsidR="00490255" w:rsidRPr="00E45C5F" w14:paraId="37E54783" w14:textId="77777777" w:rsidTr="00544E4E">
        <w:trPr>
          <w:trHeight w:val="21"/>
          <w:jc w:val="center"/>
        </w:trPr>
        <w:tc>
          <w:tcPr>
            <w:tcW w:w="1877" w:type="pct"/>
            <w:tcBorders>
              <w:top w:val="nil"/>
              <w:left w:val="nil"/>
              <w:bottom w:val="nil"/>
              <w:right w:val="nil"/>
            </w:tcBorders>
            <w:shd w:val="clear" w:color="auto" w:fill="auto"/>
            <w:vAlign w:val="center"/>
          </w:tcPr>
          <w:p w14:paraId="03D0C39C" w14:textId="77777777" w:rsidR="00490255" w:rsidRPr="00183B47" w:rsidRDefault="00490255" w:rsidP="000E4D54">
            <w:pPr>
              <w:ind w:firstLineChars="100" w:firstLine="180"/>
              <w:rPr>
                <w:color w:val="000000"/>
                <w:sz w:val="18"/>
                <w:szCs w:val="18"/>
              </w:rPr>
            </w:pPr>
            <w:r w:rsidRPr="00183B47">
              <w:rPr>
                <w:color w:val="000000"/>
                <w:sz w:val="18"/>
                <w:szCs w:val="18"/>
              </w:rPr>
              <w:t>Makrovýbor (medián)</w:t>
            </w:r>
          </w:p>
        </w:tc>
        <w:tc>
          <w:tcPr>
            <w:tcW w:w="963" w:type="pct"/>
            <w:tcBorders>
              <w:top w:val="nil"/>
              <w:left w:val="nil"/>
              <w:bottom w:val="nil"/>
              <w:right w:val="nil"/>
            </w:tcBorders>
            <w:shd w:val="clear" w:color="auto" w:fill="auto"/>
            <w:vAlign w:val="center"/>
          </w:tcPr>
          <w:p w14:paraId="7AECF87B" w14:textId="77777777" w:rsidR="00490255" w:rsidRPr="00183B47" w:rsidRDefault="00490255" w:rsidP="000E4D54">
            <w:pPr>
              <w:jc w:val="center"/>
              <w:rPr>
                <w:color w:val="000000"/>
                <w:sz w:val="18"/>
                <w:szCs w:val="18"/>
              </w:rPr>
            </w:pPr>
            <w:r>
              <w:rPr>
                <w:rFonts w:cs="Calibri"/>
                <w:color w:val="000000"/>
                <w:sz w:val="18"/>
                <w:szCs w:val="18"/>
              </w:rPr>
              <w:t>3,0</w:t>
            </w:r>
          </w:p>
        </w:tc>
        <w:tc>
          <w:tcPr>
            <w:tcW w:w="956" w:type="pct"/>
            <w:tcBorders>
              <w:top w:val="nil"/>
              <w:left w:val="nil"/>
              <w:bottom w:val="nil"/>
              <w:right w:val="nil"/>
            </w:tcBorders>
            <w:shd w:val="clear" w:color="auto" w:fill="auto"/>
            <w:vAlign w:val="center"/>
          </w:tcPr>
          <w:p w14:paraId="70058B74" w14:textId="77777777" w:rsidR="00490255" w:rsidRPr="00183B47" w:rsidRDefault="00490255" w:rsidP="000E4D54">
            <w:pPr>
              <w:jc w:val="center"/>
              <w:rPr>
                <w:color w:val="000000"/>
                <w:sz w:val="18"/>
                <w:szCs w:val="18"/>
              </w:rPr>
            </w:pPr>
            <w:r>
              <w:rPr>
                <w:rFonts w:cs="Calibri"/>
                <w:color w:val="000000"/>
                <w:sz w:val="18"/>
                <w:szCs w:val="18"/>
              </w:rPr>
              <w:t>2,0</w:t>
            </w:r>
          </w:p>
        </w:tc>
        <w:tc>
          <w:tcPr>
            <w:tcW w:w="1203" w:type="pct"/>
            <w:tcBorders>
              <w:top w:val="nil"/>
              <w:left w:val="nil"/>
              <w:bottom w:val="nil"/>
              <w:right w:val="nil"/>
            </w:tcBorders>
            <w:shd w:val="clear" w:color="auto" w:fill="auto"/>
            <w:vAlign w:val="center"/>
          </w:tcPr>
          <w:p w14:paraId="1FC3DC40" w14:textId="77777777" w:rsidR="00490255" w:rsidRPr="00183B47" w:rsidRDefault="00490255" w:rsidP="000E4D54">
            <w:pPr>
              <w:jc w:val="center"/>
              <w:rPr>
                <w:color w:val="000000"/>
                <w:sz w:val="18"/>
                <w:szCs w:val="18"/>
              </w:rPr>
            </w:pPr>
            <w:r>
              <w:rPr>
                <w:rFonts w:cs="Calibri"/>
                <w:color w:val="000000"/>
                <w:sz w:val="18"/>
                <w:szCs w:val="18"/>
              </w:rPr>
              <w:t>4,0</w:t>
            </w:r>
          </w:p>
        </w:tc>
      </w:tr>
      <w:tr w:rsidR="00490255" w:rsidRPr="00E45C5F" w14:paraId="24ED2C23" w14:textId="77777777" w:rsidTr="00544E4E">
        <w:trPr>
          <w:trHeight w:val="21"/>
          <w:jc w:val="center"/>
        </w:trPr>
        <w:tc>
          <w:tcPr>
            <w:tcW w:w="1877" w:type="pct"/>
            <w:tcBorders>
              <w:top w:val="nil"/>
              <w:left w:val="nil"/>
              <w:bottom w:val="nil"/>
              <w:right w:val="nil"/>
            </w:tcBorders>
            <w:shd w:val="clear" w:color="000000" w:fill="FFFFFF"/>
            <w:vAlign w:val="center"/>
          </w:tcPr>
          <w:p w14:paraId="71F53245" w14:textId="77777777" w:rsidR="00490255" w:rsidRPr="00183B47" w:rsidRDefault="00490255" w:rsidP="000E4D54">
            <w:pPr>
              <w:ind w:firstLineChars="100" w:firstLine="180"/>
              <w:rPr>
                <w:color w:val="000000"/>
                <w:sz w:val="18"/>
                <w:szCs w:val="18"/>
              </w:rPr>
            </w:pPr>
            <w:r w:rsidRPr="00183B47">
              <w:rPr>
                <w:color w:val="000000"/>
                <w:sz w:val="18"/>
                <w:szCs w:val="18"/>
              </w:rPr>
              <w:t>NBS (miernejší vojnový scenár)</w:t>
            </w:r>
          </w:p>
        </w:tc>
        <w:tc>
          <w:tcPr>
            <w:tcW w:w="963" w:type="pct"/>
            <w:tcBorders>
              <w:top w:val="nil"/>
              <w:left w:val="nil"/>
              <w:bottom w:val="nil"/>
              <w:right w:val="nil"/>
            </w:tcBorders>
            <w:shd w:val="clear" w:color="000000" w:fill="FFFFFF"/>
            <w:vAlign w:val="center"/>
          </w:tcPr>
          <w:p w14:paraId="66967E6B" w14:textId="77777777" w:rsidR="00490255" w:rsidRPr="00183B47" w:rsidRDefault="00490255" w:rsidP="000E4D54">
            <w:pPr>
              <w:jc w:val="center"/>
              <w:rPr>
                <w:color w:val="000000"/>
                <w:sz w:val="18"/>
                <w:szCs w:val="18"/>
              </w:rPr>
            </w:pPr>
            <w:r>
              <w:rPr>
                <w:rFonts w:cs="Calibri"/>
                <w:color w:val="000000"/>
                <w:sz w:val="18"/>
                <w:szCs w:val="18"/>
              </w:rPr>
              <w:t>3,0</w:t>
            </w:r>
          </w:p>
        </w:tc>
        <w:tc>
          <w:tcPr>
            <w:tcW w:w="956" w:type="pct"/>
            <w:tcBorders>
              <w:top w:val="nil"/>
              <w:left w:val="nil"/>
              <w:bottom w:val="nil"/>
              <w:right w:val="nil"/>
            </w:tcBorders>
            <w:shd w:val="clear" w:color="000000" w:fill="FFFFFF"/>
            <w:vAlign w:val="center"/>
          </w:tcPr>
          <w:p w14:paraId="367CCABA" w14:textId="77777777" w:rsidR="00490255" w:rsidRPr="00183B47" w:rsidRDefault="00490255" w:rsidP="000E4D54">
            <w:pPr>
              <w:jc w:val="center"/>
              <w:rPr>
                <w:color w:val="000000"/>
                <w:sz w:val="18"/>
                <w:szCs w:val="18"/>
              </w:rPr>
            </w:pPr>
            <w:r>
              <w:rPr>
                <w:rFonts w:cs="Calibri"/>
                <w:color w:val="000000"/>
                <w:sz w:val="18"/>
                <w:szCs w:val="18"/>
              </w:rPr>
              <w:t>2,8</w:t>
            </w:r>
          </w:p>
        </w:tc>
        <w:tc>
          <w:tcPr>
            <w:tcW w:w="1203" w:type="pct"/>
            <w:tcBorders>
              <w:top w:val="nil"/>
              <w:left w:val="nil"/>
              <w:bottom w:val="nil"/>
              <w:right w:val="nil"/>
            </w:tcBorders>
            <w:shd w:val="clear" w:color="000000" w:fill="FFFFFF"/>
            <w:vAlign w:val="center"/>
          </w:tcPr>
          <w:p w14:paraId="6C7A2513" w14:textId="77777777" w:rsidR="00490255" w:rsidRPr="00183B47" w:rsidRDefault="00490255" w:rsidP="000E4D54">
            <w:pPr>
              <w:jc w:val="center"/>
              <w:rPr>
                <w:color w:val="000000"/>
                <w:sz w:val="18"/>
                <w:szCs w:val="18"/>
              </w:rPr>
            </w:pPr>
            <w:r>
              <w:rPr>
                <w:rFonts w:cs="Calibri"/>
                <w:color w:val="000000"/>
                <w:sz w:val="18"/>
                <w:szCs w:val="18"/>
              </w:rPr>
              <w:t>2,3</w:t>
            </w:r>
          </w:p>
        </w:tc>
      </w:tr>
      <w:tr w:rsidR="00490255" w:rsidRPr="00E45C5F" w14:paraId="6FA7B0CA" w14:textId="77777777" w:rsidTr="00544E4E">
        <w:trPr>
          <w:trHeight w:val="21"/>
          <w:jc w:val="center"/>
        </w:trPr>
        <w:tc>
          <w:tcPr>
            <w:tcW w:w="1877" w:type="pct"/>
            <w:tcBorders>
              <w:top w:val="nil"/>
              <w:left w:val="nil"/>
              <w:bottom w:val="nil"/>
              <w:right w:val="nil"/>
            </w:tcBorders>
            <w:shd w:val="clear" w:color="000000" w:fill="FFFFFF"/>
            <w:vAlign w:val="center"/>
          </w:tcPr>
          <w:p w14:paraId="39C2F349" w14:textId="77777777" w:rsidR="00490255" w:rsidRPr="00183B47" w:rsidRDefault="00490255" w:rsidP="000E4D54">
            <w:pPr>
              <w:ind w:firstLineChars="100" w:firstLine="180"/>
              <w:rPr>
                <w:color w:val="000000"/>
                <w:sz w:val="18"/>
                <w:szCs w:val="18"/>
              </w:rPr>
            </w:pPr>
            <w:r w:rsidRPr="00183B47">
              <w:rPr>
                <w:color w:val="000000"/>
                <w:sz w:val="18"/>
                <w:szCs w:val="18"/>
              </w:rPr>
              <w:t>EK</w:t>
            </w:r>
          </w:p>
        </w:tc>
        <w:tc>
          <w:tcPr>
            <w:tcW w:w="963" w:type="pct"/>
            <w:tcBorders>
              <w:top w:val="nil"/>
              <w:left w:val="nil"/>
              <w:bottom w:val="nil"/>
              <w:right w:val="nil"/>
            </w:tcBorders>
            <w:shd w:val="clear" w:color="000000" w:fill="FFFFFF"/>
            <w:vAlign w:val="center"/>
          </w:tcPr>
          <w:p w14:paraId="06FC16AF" w14:textId="77777777" w:rsidR="00490255" w:rsidRPr="00183B47" w:rsidRDefault="00490255" w:rsidP="000E4D54">
            <w:pPr>
              <w:jc w:val="center"/>
              <w:rPr>
                <w:color w:val="000000"/>
                <w:sz w:val="18"/>
                <w:szCs w:val="18"/>
              </w:rPr>
            </w:pPr>
            <w:r>
              <w:rPr>
                <w:rFonts w:cs="Calibri"/>
                <w:color w:val="000000"/>
                <w:sz w:val="18"/>
                <w:szCs w:val="18"/>
              </w:rPr>
              <w:t>3,0</w:t>
            </w:r>
          </w:p>
        </w:tc>
        <w:tc>
          <w:tcPr>
            <w:tcW w:w="956" w:type="pct"/>
            <w:tcBorders>
              <w:top w:val="nil"/>
              <w:left w:val="nil"/>
              <w:bottom w:val="nil"/>
              <w:right w:val="nil"/>
            </w:tcBorders>
            <w:shd w:val="clear" w:color="000000" w:fill="FFFFFF"/>
            <w:vAlign w:val="center"/>
          </w:tcPr>
          <w:p w14:paraId="0FFEDEEA" w14:textId="77777777" w:rsidR="00490255" w:rsidRPr="00183B47" w:rsidRDefault="00490255" w:rsidP="000E4D54">
            <w:pPr>
              <w:jc w:val="center"/>
              <w:rPr>
                <w:color w:val="000000"/>
                <w:sz w:val="18"/>
                <w:szCs w:val="18"/>
              </w:rPr>
            </w:pPr>
            <w:r>
              <w:rPr>
                <w:rFonts w:cs="Calibri"/>
                <w:color w:val="000000"/>
                <w:sz w:val="18"/>
                <w:szCs w:val="18"/>
              </w:rPr>
              <w:t>5,0</w:t>
            </w:r>
          </w:p>
        </w:tc>
        <w:tc>
          <w:tcPr>
            <w:tcW w:w="1203" w:type="pct"/>
            <w:tcBorders>
              <w:top w:val="nil"/>
              <w:left w:val="nil"/>
              <w:bottom w:val="nil"/>
              <w:right w:val="nil"/>
            </w:tcBorders>
            <w:shd w:val="clear" w:color="000000" w:fill="FFFFFF"/>
            <w:vAlign w:val="center"/>
          </w:tcPr>
          <w:p w14:paraId="3FBA7858" w14:textId="77777777" w:rsidR="00490255" w:rsidRPr="00183B47" w:rsidRDefault="00490255" w:rsidP="000E4D54">
            <w:pPr>
              <w:jc w:val="center"/>
              <w:rPr>
                <w:color w:val="000000"/>
                <w:sz w:val="18"/>
                <w:szCs w:val="18"/>
              </w:rPr>
            </w:pPr>
            <w:r>
              <w:rPr>
                <w:rFonts w:cs="Calibri"/>
                <w:color w:val="000000"/>
                <w:sz w:val="18"/>
                <w:szCs w:val="18"/>
              </w:rPr>
              <w:t>5,1</w:t>
            </w:r>
          </w:p>
        </w:tc>
      </w:tr>
      <w:tr w:rsidR="00490255" w:rsidRPr="00E45C5F" w14:paraId="768FAB55" w14:textId="77777777" w:rsidTr="00544E4E">
        <w:trPr>
          <w:trHeight w:val="21"/>
          <w:jc w:val="center"/>
        </w:trPr>
        <w:tc>
          <w:tcPr>
            <w:tcW w:w="1877" w:type="pct"/>
            <w:tcBorders>
              <w:top w:val="nil"/>
              <w:left w:val="nil"/>
              <w:bottom w:val="nil"/>
              <w:right w:val="nil"/>
            </w:tcBorders>
            <w:shd w:val="clear" w:color="000000" w:fill="FFFFFF"/>
            <w:vAlign w:val="center"/>
          </w:tcPr>
          <w:p w14:paraId="0F363A02" w14:textId="77777777" w:rsidR="00490255" w:rsidRPr="00183B47" w:rsidRDefault="00490255" w:rsidP="000E4D54">
            <w:pPr>
              <w:ind w:firstLineChars="100" w:firstLine="180"/>
              <w:rPr>
                <w:color w:val="000000"/>
                <w:sz w:val="18"/>
                <w:szCs w:val="18"/>
              </w:rPr>
            </w:pPr>
            <w:r w:rsidRPr="00183B47">
              <w:rPr>
                <w:color w:val="000000"/>
                <w:sz w:val="18"/>
                <w:szCs w:val="18"/>
              </w:rPr>
              <w:t>OECD</w:t>
            </w:r>
          </w:p>
        </w:tc>
        <w:tc>
          <w:tcPr>
            <w:tcW w:w="963" w:type="pct"/>
            <w:tcBorders>
              <w:top w:val="nil"/>
              <w:left w:val="nil"/>
              <w:bottom w:val="nil"/>
              <w:right w:val="nil"/>
            </w:tcBorders>
            <w:shd w:val="clear" w:color="000000" w:fill="FFFFFF"/>
            <w:vAlign w:val="center"/>
          </w:tcPr>
          <w:p w14:paraId="2E5C25AF" w14:textId="77777777" w:rsidR="00490255" w:rsidRPr="00183B47" w:rsidRDefault="00490255" w:rsidP="000E4D54">
            <w:pPr>
              <w:jc w:val="center"/>
              <w:rPr>
                <w:color w:val="000000"/>
                <w:sz w:val="18"/>
                <w:szCs w:val="18"/>
              </w:rPr>
            </w:pPr>
            <w:r>
              <w:rPr>
                <w:rFonts w:cs="Calibri"/>
                <w:color w:val="000000"/>
                <w:sz w:val="18"/>
                <w:szCs w:val="18"/>
              </w:rPr>
              <w:t>3,2</w:t>
            </w:r>
          </w:p>
        </w:tc>
        <w:tc>
          <w:tcPr>
            <w:tcW w:w="956" w:type="pct"/>
            <w:tcBorders>
              <w:top w:val="nil"/>
              <w:left w:val="nil"/>
              <w:bottom w:val="nil"/>
              <w:right w:val="nil"/>
            </w:tcBorders>
            <w:shd w:val="clear" w:color="000000" w:fill="FFFFFF"/>
            <w:vAlign w:val="center"/>
          </w:tcPr>
          <w:p w14:paraId="201E84F1" w14:textId="77777777" w:rsidR="00490255" w:rsidRPr="00183B47" w:rsidRDefault="00490255" w:rsidP="000E4D54">
            <w:pPr>
              <w:jc w:val="center"/>
              <w:rPr>
                <w:color w:val="000000"/>
                <w:sz w:val="18"/>
                <w:szCs w:val="18"/>
              </w:rPr>
            </w:pPr>
            <w:r>
              <w:rPr>
                <w:rFonts w:cs="Calibri"/>
                <w:color w:val="000000"/>
                <w:sz w:val="18"/>
                <w:szCs w:val="18"/>
              </w:rPr>
              <w:t>5,0</w:t>
            </w:r>
          </w:p>
        </w:tc>
        <w:tc>
          <w:tcPr>
            <w:tcW w:w="1203" w:type="pct"/>
            <w:tcBorders>
              <w:top w:val="nil"/>
              <w:left w:val="nil"/>
              <w:bottom w:val="nil"/>
              <w:right w:val="nil"/>
            </w:tcBorders>
            <w:shd w:val="clear" w:color="000000" w:fill="FFFFFF"/>
            <w:vAlign w:val="center"/>
          </w:tcPr>
          <w:p w14:paraId="4DDEC746" w14:textId="77777777" w:rsidR="00490255" w:rsidRPr="00183B47" w:rsidRDefault="00490255" w:rsidP="000E4D54">
            <w:pPr>
              <w:jc w:val="center"/>
              <w:rPr>
                <w:color w:val="000000"/>
                <w:sz w:val="18"/>
                <w:szCs w:val="18"/>
              </w:rPr>
            </w:pPr>
            <w:r>
              <w:rPr>
                <w:rFonts w:cs="Calibri"/>
                <w:color w:val="000000"/>
                <w:sz w:val="18"/>
                <w:szCs w:val="18"/>
              </w:rPr>
              <w:t>4,8</w:t>
            </w:r>
          </w:p>
        </w:tc>
      </w:tr>
      <w:tr w:rsidR="00490255" w:rsidRPr="00E45C5F" w14:paraId="28C0EFF3" w14:textId="77777777" w:rsidTr="00544E4E">
        <w:trPr>
          <w:trHeight w:val="21"/>
          <w:jc w:val="center"/>
        </w:trPr>
        <w:tc>
          <w:tcPr>
            <w:tcW w:w="1877" w:type="pct"/>
            <w:tcBorders>
              <w:top w:val="nil"/>
              <w:left w:val="nil"/>
              <w:bottom w:val="single" w:sz="8" w:space="0" w:color="auto"/>
              <w:right w:val="nil"/>
            </w:tcBorders>
            <w:shd w:val="clear" w:color="auto" w:fill="auto"/>
            <w:vAlign w:val="center"/>
          </w:tcPr>
          <w:p w14:paraId="00ACD318" w14:textId="77777777" w:rsidR="00490255" w:rsidRPr="00183B47" w:rsidRDefault="00490255" w:rsidP="000E4D54">
            <w:pPr>
              <w:ind w:firstLineChars="100" w:firstLine="180"/>
              <w:rPr>
                <w:color w:val="000000"/>
                <w:sz w:val="18"/>
                <w:szCs w:val="18"/>
              </w:rPr>
            </w:pPr>
            <w:r w:rsidRPr="00183B47">
              <w:rPr>
                <w:color w:val="000000"/>
                <w:sz w:val="18"/>
                <w:szCs w:val="18"/>
              </w:rPr>
              <w:t>MMF</w:t>
            </w:r>
          </w:p>
        </w:tc>
        <w:tc>
          <w:tcPr>
            <w:tcW w:w="963" w:type="pct"/>
            <w:tcBorders>
              <w:top w:val="nil"/>
              <w:left w:val="nil"/>
              <w:bottom w:val="single" w:sz="8" w:space="0" w:color="auto"/>
              <w:right w:val="nil"/>
            </w:tcBorders>
            <w:vAlign w:val="center"/>
          </w:tcPr>
          <w:p w14:paraId="012AF2E6" w14:textId="77777777" w:rsidR="00490255" w:rsidRPr="00183B47" w:rsidRDefault="00490255" w:rsidP="000E4D54">
            <w:pPr>
              <w:jc w:val="center"/>
              <w:rPr>
                <w:color w:val="000000"/>
                <w:sz w:val="18"/>
                <w:szCs w:val="18"/>
              </w:rPr>
            </w:pPr>
            <w:r>
              <w:rPr>
                <w:rFonts w:cs="Calibri"/>
                <w:color w:val="000000"/>
                <w:sz w:val="18"/>
                <w:szCs w:val="18"/>
              </w:rPr>
              <w:t>3,0</w:t>
            </w:r>
          </w:p>
        </w:tc>
        <w:tc>
          <w:tcPr>
            <w:tcW w:w="956" w:type="pct"/>
            <w:tcBorders>
              <w:top w:val="nil"/>
              <w:left w:val="nil"/>
              <w:bottom w:val="single" w:sz="8" w:space="0" w:color="auto"/>
              <w:right w:val="nil"/>
            </w:tcBorders>
            <w:vAlign w:val="center"/>
          </w:tcPr>
          <w:p w14:paraId="67B5175A" w14:textId="77777777" w:rsidR="00490255" w:rsidRPr="00183B47" w:rsidRDefault="00490255" w:rsidP="000E4D54">
            <w:pPr>
              <w:jc w:val="center"/>
              <w:rPr>
                <w:color w:val="000000"/>
                <w:sz w:val="18"/>
                <w:szCs w:val="18"/>
              </w:rPr>
            </w:pPr>
            <w:r>
              <w:rPr>
                <w:rFonts w:cs="Calibri"/>
                <w:color w:val="000000"/>
                <w:sz w:val="18"/>
                <w:szCs w:val="18"/>
              </w:rPr>
              <w:t>2,6</w:t>
            </w:r>
          </w:p>
        </w:tc>
        <w:tc>
          <w:tcPr>
            <w:tcW w:w="1203" w:type="pct"/>
            <w:tcBorders>
              <w:top w:val="nil"/>
              <w:left w:val="nil"/>
              <w:bottom w:val="single" w:sz="8" w:space="0" w:color="auto"/>
              <w:right w:val="nil"/>
            </w:tcBorders>
            <w:vAlign w:val="center"/>
          </w:tcPr>
          <w:p w14:paraId="294DCD12" w14:textId="77777777" w:rsidR="00490255" w:rsidRPr="00183B47" w:rsidRDefault="00490255" w:rsidP="000E4D54">
            <w:pPr>
              <w:jc w:val="center"/>
              <w:rPr>
                <w:color w:val="000000"/>
                <w:sz w:val="18"/>
                <w:szCs w:val="18"/>
              </w:rPr>
            </w:pPr>
            <w:r>
              <w:rPr>
                <w:rFonts w:cs="Calibri"/>
                <w:color w:val="000000"/>
                <w:sz w:val="18"/>
                <w:szCs w:val="18"/>
              </w:rPr>
              <w:t>5,0</w:t>
            </w:r>
          </w:p>
        </w:tc>
      </w:tr>
      <w:tr w:rsidR="00490255" w:rsidRPr="00E45C5F" w14:paraId="0C0F164F" w14:textId="77777777" w:rsidTr="00544E4E">
        <w:trPr>
          <w:trHeight w:val="21"/>
          <w:jc w:val="center"/>
        </w:trPr>
        <w:tc>
          <w:tcPr>
            <w:tcW w:w="5000" w:type="pct"/>
            <w:gridSpan w:val="4"/>
            <w:tcBorders>
              <w:top w:val="single" w:sz="8" w:space="0" w:color="auto"/>
              <w:left w:val="nil"/>
              <w:bottom w:val="single" w:sz="8" w:space="0" w:color="auto"/>
              <w:right w:val="nil"/>
            </w:tcBorders>
            <w:shd w:val="clear" w:color="auto" w:fill="F2F2F2" w:themeFill="background1" w:themeFillShade="F2"/>
            <w:vAlign w:val="center"/>
          </w:tcPr>
          <w:p w14:paraId="0CC210E7" w14:textId="77777777" w:rsidR="00490255" w:rsidRPr="00183B47" w:rsidRDefault="00490255" w:rsidP="000E4D54">
            <w:pPr>
              <w:jc w:val="center"/>
              <w:rPr>
                <w:rFonts w:cs="Times New Roman"/>
                <w:b/>
                <w:bCs/>
                <w:color w:val="000000"/>
                <w:sz w:val="20"/>
                <w:szCs w:val="20"/>
              </w:rPr>
            </w:pPr>
            <w:r w:rsidRPr="00183B47">
              <w:rPr>
                <w:rFonts w:cs="Times New Roman"/>
                <w:b/>
                <w:bCs/>
                <w:color w:val="000000"/>
                <w:sz w:val="20"/>
                <w:szCs w:val="20"/>
              </w:rPr>
              <w:t xml:space="preserve">                                                                         HICP (CPI ak nie je dostupné) (%)</w:t>
            </w:r>
          </w:p>
        </w:tc>
      </w:tr>
      <w:tr w:rsidR="00490255" w:rsidRPr="00E45C5F" w14:paraId="206B5D5C" w14:textId="77777777" w:rsidTr="00544E4E">
        <w:trPr>
          <w:trHeight w:val="21"/>
          <w:jc w:val="center"/>
        </w:trPr>
        <w:tc>
          <w:tcPr>
            <w:tcW w:w="1877" w:type="pct"/>
            <w:tcBorders>
              <w:top w:val="nil"/>
              <w:left w:val="nil"/>
              <w:bottom w:val="nil"/>
              <w:right w:val="nil"/>
            </w:tcBorders>
            <w:shd w:val="clear" w:color="000000" w:fill="FFFFFF"/>
            <w:vAlign w:val="center"/>
          </w:tcPr>
          <w:p w14:paraId="39D78481" w14:textId="6B8811C4" w:rsidR="00490255" w:rsidRPr="00183B47" w:rsidRDefault="00490255" w:rsidP="000E4D54">
            <w:pPr>
              <w:ind w:firstLineChars="100" w:firstLine="181"/>
              <w:rPr>
                <w:rFonts w:cs="Times New Roman"/>
                <w:b/>
                <w:bCs/>
                <w:color w:val="000000"/>
                <w:sz w:val="18"/>
                <w:szCs w:val="18"/>
              </w:rPr>
            </w:pPr>
            <w:r w:rsidRPr="00183B47">
              <w:rPr>
                <w:b/>
                <w:bCs/>
                <w:color w:val="000000"/>
                <w:sz w:val="18"/>
                <w:szCs w:val="18"/>
              </w:rPr>
              <w:t>MF</w:t>
            </w:r>
            <w:r w:rsidR="007A6A54">
              <w:rPr>
                <w:b/>
                <w:bCs/>
                <w:color w:val="000000"/>
                <w:sz w:val="18"/>
                <w:szCs w:val="18"/>
              </w:rPr>
              <w:t xml:space="preserve"> </w:t>
            </w:r>
            <w:r w:rsidRPr="00183B47">
              <w:rPr>
                <w:b/>
                <w:bCs/>
                <w:color w:val="000000"/>
                <w:sz w:val="18"/>
                <w:szCs w:val="18"/>
              </w:rPr>
              <w:t>SR</w:t>
            </w:r>
          </w:p>
        </w:tc>
        <w:tc>
          <w:tcPr>
            <w:tcW w:w="963" w:type="pct"/>
            <w:tcBorders>
              <w:top w:val="nil"/>
              <w:left w:val="nil"/>
              <w:bottom w:val="nil"/>
              <w:right w:val="nil"/>
            </w:tcBorders>
            <w:shd w:val="clear" w:color="000000" w:fill="FFFFFF"/>
            <w:vAlign w:val="center"/>
          </w:tcPr>
          <w:p w14:paraId="1C031E5C" w14:textId="77777777" w:rsidR="00490255" w:rsidRPr="00183B47" w:rsidRDefault="00490255" w:rsidP="000E4D54">
            <w:pPr>
              <w:jc w:val="center"/>
              <w:rPr>
                <w:b/>
                <w:bCs/>
                <w:color w:val="000000"/>
                <w:sz w:val="18"/>
                <w:szCs w:val="18"/>
              </w:rPr>
            </w:pPr>
            <w:r>
              <w:rPr>
                <w:rFonts w:cs="Calibri"/>
                <w:b/>
                <w:bCs/>
                <w:color w:val="000000"/>
                <w:sz w:val="18"/>
                <w:szCs w:val="18"/>
              </w:rPr>
              <w:t>2,8</w:t>
            </w:r>
          </w:p>
        </w:tc>
        <w:tc>
          <w:tcPr>
            <w:tcW w:w="956" w:type="pct"/>
            <w:tcBorders>
              <w:top w:val="nil"/>
              <w:left w:val="nil"/>
              <w:bottom w:val="nil"/>
              <w:right w:val="nil"/>
            </w:tcBorders>
            <w:shd w:val="clear" w:color="000000" w:fill="FFFFFF"/>
            <w:vAlign w:val="center"/>
          </w:tcPr>
          <w:p w14:paraId="3EB06C90" w14:textId="77777777" w:rsidR="00490255" w:rsidRPr="00183B47" w:rsidRDefault="00490255" w:rsidP="000E4D54">
            <w:pPr>
              <w:jc w:val="center"/>
              <w:rPr>
                <w:b/>
                <w:bCs/>
                <w:color w:val="000000"/>
                <w:sz w:val="18"/>
                <w:szCs w:val="18"/>
              </w:rPr>
            </w:pPr>
            <w:r>
              <w:rPr>
                <w:rFonts w:cs="Calibri"/>
                <w:b/>
                <w:bCs/>
                <w:color w:val="000000"/>
                <w:sz w:val="18"/>
                <w:szCs w:val="18"/>
              </w:rPr>
              <w:t>8,1</w:t>
            </w:r>
          </w:p>
        </w:tc>
        <w:tc>
          <w:tcPr>
            <w:tcW w:w="1203" w:type="pct"/>
            <w:tcBorders>
              <w:top w:val="nil"/>
              <w:left w:val="nil"/>
              <w:bottom w:val="nil"/>
              <w:right w:val="nil"/>
            </w:tcBorders>
            <w:shd w:val="clear" w:color="000000" w:fill="FFFFFF"/>
            <w:vAlign w:val="center"/>
          </w:tcPr>
          <w:p w14:paraId="1141B28C" w14:textId="77777777" w:rsidR="00490255" w:rsidRPr="00183B47" w:rsidRDefault="00490255" w:rsidP="000E4D54">
            <w:pPr>
              <w:jc w:val="center"/>
              <w:rPr>
                <w:b/>
                <w:bCs/>
                <w:color w:val="000000"/>
                <w:sz w:val="18"/>
                <w:szCs w:val="18"/>
              </w:rPr>
            </w:pPr>
            <w:r>
              <w:rPr>
                <w:rFonts w:cs="Calibri"/>
                <w:b/>
                <w:bCs/>
                <w:color w:val="000000"/>
                <w:sz w:val="18"/>
                <w:szCs w:val="18"/>
              </w:rPr>
              <w:t>6,7</w:t>
            </w:r>
          </w:p>
        </w:tc>
      </w:tr>
      <w:tr w:rsidR="00490255" w:rsidRPr="00E45C5F" w14:paraId="08D6473A" w14:textId="77777777" w:rsidTr="00544E4E">
        <w:trPr>
          <w:trHeight w:val="21"/>
          <w:jc w:val="center"/>
        </w:trPr>
        <w:tc>
          <w:tcPr>
            <w:tcW w:w="1877" w:type="pct"/>
            <w:tcBorders>
              <w:top w:val="nil"/>
              <w:left w:val="nil"/>
              <w:bottom w:val="nil"/>
              <w:right w:val="nil"/>
            </w:tcBorders>
            <w:shd w:val="clear" w:color="auto" w:fill="auto"/>
            <w:vAlign w:val="center"/>
          </w:tcPr>
          <w:p w14:paraId="51E94440" w14:textId="77777777" w:rsidR="00490255" w:rsidRPr="00183B47" w:rsidRDefault="00490255" w:rsidP="000E4D54">
            <w:pPr>
              <w:ind w:firstLineChars="100" w:firstLine="180"/>
              <w:rPr>
                <w:color w:val="000000"/>
                <w:sz w:val="18"/>
                <w:szCs w:val="18"/>
              </w:rPr>
            </w:pPr>
            <w:r w:rsidRPr="00183B47">
              <w:rPr>
                <w:color w:val="000000"/>
                <w:sz w:val="18"/>
                <w:szCs w:val="18"/>
              </w:rPr>
              <w:t>Makrovýbor (medián)</w:t>
            </w:r>
          </w:p>
        </w:tc>
        <w:tc>
          <w:tcPr>
            <w:tcW w:w="963" w:type="pct"/>
            <w:tcBorders>
              <w:top w:val="nil"/>
              <w:left w:val="nil"/>
              <w:bottom w:val="nil"/>
              <w:right w:val="nil"/>
            </w:tcBorders>
            <w:shd w:val="clear" w:color="auto" w:fill="auto"/>
            <w:vAlign w:val="center"/>
          </w:tcPr>
          <w:p w14:paraId="7CEC1D11" w14:textId="77777777" w:rsidR="00490255" w:rsidRPr="00183B47" w:rsidRDefault="00490255" w:rsidP="000E4D54">
            <w:pPr>
              <w:jc w:val="center"/>
              <w:rPr>
                <w:color w:val="000000"/>
                <w:sz w:val="18"/>
                <w:szCs w:val="18"/>
              </w:rPr>
            </w:pPr>
            <w:r>
              <w:rPr>
                <w:rFonts w:cs="Calibri"/>
                <w:color w:val="000000"/>
                <w:sz w:val="18"/>
                <w:szCs w:val="18"/>
              </w:rPr>
              <w:t>3,2</w:t>
            </w:r>
          </w:p>
        </w:tc>
        <w:tc>
          <w:tcPr>
            <w:tcW w:w="956" w:type="pct"/>
            <w:tcBorders>
              <w:top w:val="nil"/>
              <w:left w:val="nil"/>
              <w:bottom w:val="nil"/>
              <w:right w:val="nil"/>
            </w:tcBorders>
            <w:shd w:val="clear" w:color="auto" w:fill="auto"/>
            <w:vAlign w:val="center"/>
          </w:tcPr>
          <w:p w14:paraId="092422DE" w14:textId="77777777" w:rsidR="00490255" w:rsidRPr="00183B47" w:rsidRDefault="00490255" w:rsidP="000E4D54">
            <w:pPr>
              <w:jc w:val="center"/>
              <w:rPr>
                <w:color w:val="000000"/>
                <w:sz w:val="18"/>
                <w:szCs w:val="18"/>
              </w:rPr>
            </w:pPr>
            <w:r>
              <w:rPr>
                <w:rFonts w:cs="Calibri"/>
                <w:color w:val="000000"/>
                <w:sz w:val="18"/>
                <w:szCs w:val="18"/>
              </w:rPr>
              <w:t>8,7</w:t>
            </w:r>
          </w:p>
        </w:tc>
        <w:tc>
          <w:tcPr>
            <w:tcW w:w="1203" w:type="pct"/>
            <w:tcBorders>
              <w:top w:val="nil"/>
              <w:left w:val="nil"/>
              <w:bottom w:val="nil"/>
              <w:right w:val="nil"/>
            </w:tcBorders>
            <w:shd w:val="clear" w:color="auto" w:fill="auto"/>
            <w:vAlign w:val="center"/>
          </w:tcPr>
          <w:p w14:paraId="4A5A64B5" w14:textId="77777777" w:rsidR="00490255" w:rsidRPr="00183B47" w:rsidRDefault="00490255" w:rsidP="000E4D54">
            <w:pPr>
              <w:jc w:val="center"/>
              <w:rPr>
                <w:color w:val="000000"/>
                <w:sz w:val="18"/>
                <w:szCs w:val="18"/>
              </w:rPr>
            </w:pPr>
            <w:r>
              <w:rPr>
                <w:rFonts w:cs="Calibri"/>
                <w:color w:val="000000"/>
                <w:sz w:val="18"/>
                <w:szCs w:val="18"/>
              </w:rPr>
              <w:t>5,3</w:t>
            </w:r>
          </w:p>
        </w:tc>
      </w:tr>
      <w:tr w:rsidR="00490255" w:rsidRPr="00E45C5F" w14:paraId="381933D4" w14:textId="77777777" w:rsidTr="00544E4E">
        <w:trPr>
          <w:trHeight w:val="21"/>
          <w:jc w:val="center"/>
        </w:trPr>
        <w:tc>
          <w:tcPr>
            <w:tcW w:w="1877" w:type="pct"/>
            <w:tcBorders>
              <w:top w:val="nil"/>
              <w:left w:val="nil"/>
              <w:bottom w:val="nil"/>
              <w:right w:val="nil"/>
            </w:tcBorders>
            <w:shd w:val="clear" w:color="000000" w:fill="FFFFFF"/>
            <w:vAlign w:val="center"/>
          </w:tcPr>
          <w:p w14:paraId="1F773CE3" w14:textId="77777777" w:rsidR="00490255" w:rsidRPr="00183B47" w:rsidRDefault="00490255" w:rsidP="000E4D54">
            <w:pPr>
              <w:ind w:firstLineChars="100" w:firstLine="180"/>
              <w:rPr>
                <w:color w:val="000000"/>
                <w:sz w:val="18"/>
                <w:szCs w:val="18"/>
              </w:rPr>
            </w:pPr>
            <w:r w:rsidRPr="00183B47">
              <w:rPr>
                <w:color w:val="000000"/>
                <w:sz w:val="18"/>
                <w:szCs w:val="18"/>
              </w:rPr>
              <w:t>NBS (miernejší vojnový scenár)</w:t>
            </w:r>
          </w:p>
        </w:tc>
        <w:tc>
          <w:tcPr>
            <w:tcW w:w="963" w:type="pct"/>
            <w:tcBorders>
              <w:top w:val="nil"/>
              <w:left w:val="nil"/>
              <w:bottom w:val="nil"/>
              <w:right w:val="nil"/>
            </w:tcBorders>
            <w:shd w:val="clear" w:color="000000" w:fill="FFFFFF"/>
            <w:vAlign w:val="center"/>
          </w:tcPr>
          <w:p w14:paraId="3C678883" w14:textId="77777777" w:rsidR="00490255" w:rsidRPr="00183B47" w:rsidRDefault="00490255" w:rsidP="000E4D54">
            <w:pPr>
              <w:jc w:val="center"/>
              <w:rPr>
                <w:color w:val="000000"/>
                <w:sz w:val="18"/>
                <w:szCs w:val="18"/>
              </w:rPr>
            </w:pPr>
            <w:r>
              <w:rPr>
                <w:rFonts w:cs="Calibri"/>
                <w:color w:val="000000"/>
                <w:sz w:val="18"/>
                <w:szCs w:val="18"/>
              </w:rPr>
              <w:t>2,8</w:t>
            </w:r>
          </w:p>
        </w:tc>
        <w:tc>
          <w:tcPr>
            <w:tcW w:w="956" w:type="pct"/>
            <w:tcBorders>
              <w:top w:val="nil"/>
              <w:left w:val="nil"/>
              <w:bottom w:val="nil"/>
              <w:right w:val="nil"/>
            </w:tcBorders>
            <w:shd w:val="clear" w:color="000000" w:fill="FFFFFF"/>
            <w:vAlign w:val="center"/>
          </w:tcPr>
          <w:p w14:paraId="6AECDE55" w14:textId="77777777" w:rsidR="00490255" w:rsidRPr="00183B47" w:rsidRDefault="00490255" w:rsidP="000E4D54">
            <w:pPr>
              <w:jc w:val="center"/>
              <w:rPr>
                <w:color w:val="000000"/>
                <w:sz w:val="18"/>
                <w:szCs w:val="18"/>
              </w:rPr>
            </w:pPr>
            <w:r>
              <w:rPr>
                <w:rFonts w:cs="Calibri"/>
                <w:color w:val="000000"/>
                <w:sz w:val="18"/>
                <w:szCs w:val="18"/>
              </w:rPr>
              <w:t>7,6</w:t>
            </w:r>
          </w:p>
        </w:tc>
        <w:tc>
          <w:tcPr>
            <w:tcW w:w="1203" w:type="pct"/>
            <w:tcBorders>
              <w:top w:val="nil"/>
              <w:left w:val="nil"/>
              <w:bottom w:val="nil"/>
              <w:right w:val="nil"/>
            </w:tcBorders>
            <w:shd w:val="clear" w:color="000000" w:fill="FFFFFF"/>
            <w:vAlign w:val="center"/>
          </w:tcPr>
          <w:p w14:paraId="1C1A4D6E" w14:textId="77777777" w:rsidR="00490255" w:rsidRPr="00183B47" w:rsidRDefault="00490255" w:rsidP="000E4D54">
            <w:pPr>
              <w:jc w:val="center"/>
              <w:rPr>
                <w:color w:val="000000"/>
                <w:sz w:val="18"/>
                <w:szCs w:val="18"/>
              </w:rPr>
            </w:pPr>
            <w:r>
              <w:rPr>
                <w:rFonts w:cs="Calibri"/>
                <w:color w:val="000000"/>
                <w:sz w:val="18"/>
                <w:szCs w:val="18"/>
              </w:rPr>
              <w:t>9,7</w:t>
            </w:r>
          </w:p>
        </w:tc>
      </w:tr>
      <w:tr w:rsidR="00490255" w:rsidRPr="00E45C5F" w14:paraId="2F305E79" w14:textId="77777777" w:rsidTr="00544E4E">
        <w:trPr>
          <w:trHeight w:val="21"/>
          <w:jc w:val="center"/>
        </w:trPr>
        <w:tc>
          <w:tcPr>
            <w:tcW w:w="1877" w:type="pct"/>
            <w:tcBorders>
              <w:top w:val="nil"/>
              <w:left w:val="nil"/>
              <w:bottom w:val="nil"/>
              <w:right w:val="nil"/>
            </w:tcBorders>
            <w:shd w:val="clear" w:color="000000" w:fill="FFFFFF"/>
            <w:vAlign w:val="center"/>
          </w:tcPr>
          <w:p w14:paraId="39E60EB4" w14:textId="77777777" w:rsidR="00490255" w:rsidRPr="00183B47" w:rsidRDefault="00490255" w:rsidP="000E4D54">
            <w:pPr>
              <w:ind w:firstLineChars="100" w:firstLine="180"/>
              <w:rPr>
                <w:color w:val="000000"/>
                <w:sz w:val="18"/>
                <w:szCs w:val="18"/>
              </w:rPr>
            </w:pPr>
            <w:r w:rsidRPr="00183B47">
              <w:rPr>
                <w:color w:val="000000"/>
                <w:sz w:val="18"/>
                <w:szCs w:val="18"/>
              </w:rPr>
              <w:t>EK</w:t>
            </w:r>
          </w:p>
        </w:tc>
        <w:tc>
          <w:tcPr>
            <w:tcW w:w="963" w:type="pct"/>
            <w:tcBorders>
              <w:top w:val="nil"/>
              <w:left w:val="nil"/>
              <w:bottom w:val="nil"/>
              <w:right w:val="nil"/>
            </w:tcBorders>
            <w:shd w:val="clear" w:color="auto" w:fill="auto"/>
            <w:vAlign w:val="center"/>
          </w:tcPr>
          <w:p w14:paraId="49CEDC31" w14:textId="77777777" w:rsidR="00490255" w:rsidRPr="00183B47" w:rsidRDefault="00490255" w:rsidP="000E4D54">
            <w:pPr>
              <w:jc w:val="center"/>
              <w:rPr>
                <w:color w:val="000000"/>
                <w:sz w:val="18"/>
                <w:szCs w:val="18"/>
              </w:rPr>
            </w:pPr>
            <w:r>
              <w:rPr>
                <w:rFonts w:cs="Calibri"/>
                <w:color w:val="000000"/>
                <w:sz w:val="18"/>
                <w:szCs w:val="18"/>
              </w:rPr>
              <w:t>2,8</w:t>
            </w:r>
          </w:p>
        </w:tc>
        <w:tc>
          <w:tcPr>
            <w:tcW w:w="956" w:type="pct"/>
            <w:tcBorders>
              <w:top w:val="nil"/>
              <w:left w:val="nil"/>
              <w:bottom w:val="nil"/>
              <w:right w:val="nil"/>
            </w:tcBorders>
            <w:shd w:val="clear" w:color="auto" w:fill="auto"/>
            <w:vAlign w:val="center"/>
          </w:tcPr>
          <w:p w14:paraId="1FE2249C" w14:textId="77777777" w:rsidR="00490255" w:rsidRPr="00183B47" w:rsidRDefault="00490255" w:rsidP="000E4D54">
            <w:pPr>
              <w:jc w:val="center"/>
              <w:rPr>
                <w:color w:val="000000"/>
                <w:sz w:val="18"/>
                <w:szCs w:val="18"/>
              </w:rPr>
            </w:pPr>
            <w:r>
              <w:rPr>
                <w:rFonts w:cs="Calibri"/>
                <w:color w:val="000000"/>
                <w:sz w:val="18"/>
                <w:szCs w:val="18"/>
              </w:rPr>
              <w:t>6,4</w:t>
            </w:r>
          </w:p>
        </w:tc>
        <w:tc>
          <w:tcPr>
            <w:tcW w:w="1203" w:type="pct"/>
            <w:tcBorders>
              <w:top w:val="nil"/>
              <w:left w:val="nil"/>
              <w:bottom w:val="nil"/>
              <w:right w:val="nil"/>
            </w:tcBorders>
            <w:shd w:val="clear" w:color="auto" w:fill="auto"/>
            <w:vAlign w:val="center"/>
          </w:tcPr>
          <w:p w14:paraId="41A34239" w14:textId="77777777" w:rsidR="00490255" w:rsidRPr="00183B47" w:rsidRDefault="00490255" w:rsidP="000E4D54">
            <w:pPr>
              <w:jc w:val="center"/>
              <w:rPr>
                <w:color w:val="000000"/>
                <w:sz w:val="18"/>
                <w:szCs w:val="18"/>
              </w:rPr>
            </w:pPr>
            <w:r>
              <w:rPr>
                <w:rFonts w:cs="Calibri"/>
                <w:color w:val="000000"/>
                <w:sz w:val="18"/>
                <w:szCs w:val="18"/>
              </w:rPr>
              <w:t>2,4</w:t>
            </w:r>
          </w:p>
        </w:tc>
      </w:tr>
      <w:tr w:rsidR="00490255" w:rsidRPr="00E45C5F" w14:paraId="1956E995" w14:textId="77777777" w:rsidTr="00544E4E">
        <w:trPr>
          <w:trHeight w:val="21"/>
          <w:jc w:val="center"/>
        </w:trPr>
        <w:tc>
          <w:tcPr>
            <w:tcW w:w="1877" w:type="pct"/>
            <w:tcBorders>
              <w:top w:val="nil"/>
              <w:left w:val="nil"/>
              <w:bottom w:val="nil"/>
              <w:right w:val="nil"/>
            </w:tcBorders>
            <w:shd w:val="clear" w:color="000000" w:fill="FFFFFF"/>
            <w:vAlign w:val="center"/>
          </w:tcPr>
          <w:p w14:paraId="6DA512A8" w14:textId="77777777" w:rsidR="00490255" w:rsidRPr="00183B47" w:rsidRDefault="00490255" w:rsidP="000E4D54">
            <w:pPr>
              <w:ind w:firstLineChars="100" w:firstLine="180"/>
              <w:rPr>
                <w:color w:val="000000"/>
                <w:sz w:val="18"/>
                <w:szCs w:val="18"/>
              </w:rPr>
            </w:pPr>
            <w:r w:rsidRPr="00183B47">
              <w:rPr>
                <w:color w:val="000000"/>
                <w:sz w:val="18"/>
                <w:szCs w:val="18"/>
              </w:rPr>
              <w:t>OECD</w:t>
            </w:r>
          </w:p>
        </w:tc>
        <w:tc>
          <w:tcPr>
            <w:tcW w:w="963" w:type="pct"/>
            <w:tcBorders>
              <w:top w:val="nil"/>
              <w:left w:val="nil"/>
              <w:bottom w:val="nil"/>
              <w:right w:val="nil"/>
            </w:tcBorders>
            <w:shd w:val="clear" w:color="auto" w:fill="auto"/>
            <w:vAlign w:val="center"/>
          </w:tcPr>
          <w:p w14:paraId="70C9BAE7" w14:textId="77777777" w:rsidR="00490255" w:rsidRPr="00183B47" w:rsidRDefault="00490255" w:rsidP="000E4D54">
            <w:pPr>
              <w:jc w:val="center"/>
              <w:rPr>
                <w:color w:val="000000"/>
                <w:sz w:val="18"/>
                <w:szCs w:val="18"/>
              </w:rPr>
            </w:pPr>
            <w:r>
              <w:rPr>
                <w:rFonts w:cs="Calibri"/>
                <w:color w:val="000000"/>
                <w:sz w:val="18"/>
                <w:szCs w:val="18"/>
              </w:rPr>
              <w:t>2,6</w:t>
            </w:r>
          </w:p>
        </w:tc>
        <w:tc>
          <w:tcPr>
            <w:tcW w:w="956" w:type="pct"/>
            <w:tcBorders>
              <w:top w:val="nil"/>
              <w:left w:val="nil"/>
              <w:bottom w:val="nil"/>
              <w:right w:val="nil"/>
            </w:tcBorders>
            <w:shd w:val="clear" w:color="auto" w:fill="auto"/>
            <w:vAlign w:val="center"/>
          </w:tcPr>
          <w:p w14:paraId="06142423" w14:textId="77777777" w:rsidR="00490255" w:rsidRPr="00183B47" w:rsidRDefault="00490255" w:rsidP="000E4D54">
            <w:pPr>
              <w:jc w:val="center"/>
              <w:rPr>
                <w:color w:val="000000"/>
                <w:sz w:val="18"/>
                <w:szCs w:val="18"/>
              </w:rPr>
            </w:pPr>
            <w:r>
              <w:rPr>
                <w:rFonts w:cs="Calibri"/>
                <w:color w:val="000000"/>
                <w:sz w:val="18"/>
                <w:szCs w:val="18"/>
              </w:rPr>
              <w:t>4,1</w:t>
            </w:r>
          </w:p>
        </w:tc>
        <w:tc>
          <w:tcPr>
            <w:tcW w:w="1203" w:type="pct"/>
            <w:tcBorders>
              <w:top w:val="nil"/>
              <w:left w:val="nil"/>
              <w:bottom w:val="nil"/>
              <w:right w:val="nil"/>
            </w:tcBorders>
            <w:shd w:val="clear" w:color="auto" w:fill="auto"/>
            <w:vAlign w:val="center"/>
          </w:tcPr>
          <w:p w14:paraId="4DBAFBB3" w14:textId="77777777" w:rsidR="00490255" w:rsidRPr="00183B47" w:rsidRDefault="00490255" w:rsidP="000E4D54">
            <w:pPr>
              <w:jc w:val="center"/>
              <w:rPr>
                <w:color w:val="000000"/>
                <w:sz w:val="18"/>
                <w:szCs w:val="18"/>
              </w:rPr>
            </w:pPr>
            <w:r>
              <w:rPr>
                <w:rFonts w:cs="Calibri"/>
                <w:color w:val="000000"/>
                <w:sz w:val="18"/>
                <w:szCs w:val="18"/>
              </w:rPr>
              <w:t>2,5</w:t>
            </w:r>
          </w:p>
        </w:tc>
      </w:tr>
      <w:tr w:rsidR="00490255" w:rsidRPr="00E45C5F" w14:paraId="2C3A5D69" w14:textId="77777777" w:rsidTr="00544E4E">
        <w:trPr>
          <w:trHeight w:val="21"/>
          <w:jc w:val="center"/>
        </w:trPr>
        <w:tc>
          <w:tcPr>
            <w:tcW w:w="1877" w:type="pct"/>
            <w:tcBorders>
              <w:top w:val="nil"/>
              <w:left w:val="nil"/>
              <w:bottom w:val="single" w:sz="8" w:space="0" w:color="auto"/>
              <w:right w:val="nil"/>
            </w:tcBorders>
            <w:shd w:val="clear" w:color="000000" w:fill="FFFFFF"/>
            <w:vAlign w:val="center"/>
          </w:tcPr>
          <w:p w14:paraId="364BADA8" w14:textId="77777777" w:rsidR="00490255" w:rsidRPr="00183B47" w:rsidRDefault="00490255" w:rsidP="000E4D54">
            <w:pPr>
              <w:ind w:firstLineChars="100" w:firstLine="180"/>
              <w:rPr>
                <w:color w:val="000000"/>
                <w:sz w:val="18"/>
                <w:szCs w:val="18"/>
              </w:rPr>
            </w:pPr>
            <w:r w:rsidRPr="00183B47">
              <w:rPr>
                <w:color w:val="000000"/>
                <w:sz w:val="18"/>
                <w:szCs w:val="18"/>
              </w:rPr>
              <w:t>MMF</w:t>
            </w:r>
          </w:p>
        </w:tc>
        <w:tc>
          <w:tcPr>
            <w:tcW w:w="963" w:type="pct"/>
            <w:tcBorders>
              <w:top w:val="nil"/>
              <w:left w:val="nil"/>
              <w:bottom w:val="single" w:sz="8" w:space="0" w:color="auto"/>
              <w:right w:val="nil"/>
            </w:tcBorders>
            <w:shd w:val="clear" w:color="000000" w:fill="FFFFFF"/>
            <w:vAlign w:val="center"/>
          </w:tcPr>
          <w:p w14:paraId="1051C62C" w14:textId="77777777" w:rsidR="00490255" w:rsidRPr="00183B47" w:rsidRDefault="00490255" w:rsidP="000E4D54">
            <w:pPr>
              <w:jc w:val="center"/>
              <w:rPr>
                <w:color w:val="000000"/>
                <w:sz w:val="18"/>
                <w:szCs w:val="18"/>
              </w:rPr>
            </w:pPr>
            <w:r>
              <w:rPr>
                <w:rFonts w:cs="Calibri"/>
                <w:color w:val="000000"/>
                <w:sz w:val="18"/>
                <w:szCs w:val="18"/>
              </w:rPr>
              <w:t>2,8</w:t>
            </w:r>
          </w:p>
        </w:tc>
        <w:tc>
          <w:tcPr>
            <w:tcW w:w="956" w:type="pct"/>
            <w:tcBorders>
              <w:top w:val="nil"/>
              <w:left w:val="nil"/>
              <w:bottom w:val="single" w:sz="8" w:space="0" w:color="auto"/>
              <w:right w:val="nil"/>
            </w:tcBorders>
            <w:shd w:val="clear" w:color="000000" w:fill="FFFFFF"/>
            <w:vAlign w:val="center"/>
          </w:tcPr>
          <w:p w14:paraId="2C2C4C0B" w14:textId="77777777" w:rsidR="00490255" w:rsidRPr="00183B47" w:rsidRDefault="00490255" w:rsidP="000E4D54">
            <w:pPr>
              <w:jc w:val="center"/>
              <w:rPr>
                <w:color w:val="000000"/>
                <w:sz w:val="18"/>
                <w:szCs w:val="18"/>
              </w:rPr>
            </w:pPr>
            <w:r>
              <w:rPr>
                <w:rFonts w:cs="Calibri"/>
                <w:color w:val="000000"/>
                <w:sz w:val="18"/>
                <w:szCs w:val="18"/>
              </w:rPr>
              <w:t>8,5</w:t>
            </w:r>
          </w:p>
        </w:tc>
        <w:tc>
          <w:tcPr>
            <w:tcW w:w="1203" w:type="pct"/>
            <w:tcBorders>
              <w:top w:val="nil"/>
              <w:left w:val="nil"/>
              <w:bottom w:val="single" w:sz="8" w:space="0" w:color="auto"/>
              <w:right w:val="nil"/>
            </w:tcBorders>
            <w:shd w:val="clear" w:color="000000" w:fill="FFFFFF"/>
            <w:vAlign w:val="center"/>
          </w:tcPr>
          <w:p w14:paraId="3A6E1578" w14:textId="77777777" w:rsidR="00490255" w:rsidRPr="00183B47" w:rsidRDefault="00490255" w:rsidP="000E4D54">
            <w:pPr>
              <w:jc w:val="center"/>
              <w:rPr>
                <w:color w:val="000000"/>
                <w:sz w:val="18"/>
                <w:szCs w:val="18"/>
              </w:rPr>
            </w:pPr>
            <w:r>
              <w:rPr>
                <w:rFonts w:cs="Calibri"/>
                <w:color w:val="000000"/>
                <w:sz w:val="18"/>
                <w:szCs w:val="18"/>
              </w:rPr>
              <w:t>4,1</w:t>
            </w:r>
          </w:p>
        </w:tc>
      </w:tr>
      <w:tr w:rsidR="00490255" w:rsidRPr="00E45C5F" w14:paraId="611E558B" w14:textId="77777777" w:rsidTr="00544E4E">
        <w:trPr>
          <w:trHeight w:val="21"/>
          <w:jc w:val="center"/>
        </w:trPr>
        <w:tc>
          <w:tcPr>
            <w:tcW w:w="5000" w:type="pct"/>
            <w:gridSpan w:val="4"/>
            <w:tcBorders>
              <w:top w:val="single" w:sz="8" w:space="0" w:color="auto"/>
              <w:left w:val="nil"/>
              <w:bottom w:val="single" w:sz="8" w:space="0" w:color="auto"/>
              <w:right w:val="nil"/>
            </w:tcBorders>
            <w:shd w:val="clear" w:color="auto" w:fill="F2F2F2" w:themeFill="background1" w:themeFillShade="F2"/>
            <w:vAlign w:val="center"/>
          </w:tcPr>
          <w:p w14:paraId="561E3D31" w14:textId="77777777" w:rsidR="00490255" w:rsidRPr="00183B47" w:rsidRDefault="00490255" w:rsidP="000E4D54">
            <w:pPr>
              <w:jc w:val="center"/>
              <w:rPr>
                <w:rFonts w:cs="Times New Roman"/>
                <w:b/>
                <w:bCs/>
                <w:color w:val="000000"/>
                <w:sz w:val="20"/>
                <w:szCs w:val="20"/>
              </w:rPr>
            </w:pPr>
            <w:r w:rsidRPr="00183B47">
              <w:rPr>
                <w:rFonts w:cs="Times New Roman"/>
                <w:b/>
                <w:bCs/>
                <w:color w:val="000000"/>
                <w:sz w:val="20"/>
                <w:szCs w:val="20"/>
              </w:rPr>
              <w:t xml:space="preserve">                                                                           Bežný účet (% HDP)</w:t>
            </w:r>
          </w:p>
        </w:tc>
      </w:tr>
      <w:tr w:rsidR="00490255" w:rsidRPr="00E45C5F" w14:paraId="15548946" w14:textId="77777777" w:rsidTr="00544E4E">
        <w:trPr>
          <w:trHeight w:val="21"/>
          <w:jc w:val="center"/>
        </w:trPr>
        <w:tc>
          <w:tcPr>
            <w:tcW w:w="1877" w:type="pct"/>
            <w:tcBorders>
              <w:top w:val="nil"/>
              <w:left w:val="nil"/>
              <w:bottom w:val="nil"/>
              <w:right w:val="nil"/>
            </w:tcBorders>
            <w:shd w:val="clear" w:color="000000" w:fill="FFFFFF"/>
            <w:vAlign w:val="center"/>
          </w:tcPr>
          <w:p w14:paraId="63C4A00B" w14:textId="4B844460" w:rsidR="00490255" w:rsidRPr="00183B47" w:rsidRDefault="00490255" w:rsidP="000E4D54">
            <w:pPr>
              <w:ind w:firstLineChars="100" w:firstLine="181"/>
              <w:rPr>
                <w:rFonts w:cs="Times New Roman"/>
                <w:b/>
                <w:bCs/>
                <w:color w:val="000000"/>
                <w:sz w:val="18"/>
                <w:szCs w:val="18"/>
              </w:rPr>
            </w:pPr>
            <w:r w:rsidRPr="00183B47">
              <w:rPr>
                <w:b/>
                <w:bCs/>
                <w:color w:val="000000"/>
                <w:sz w:val="18"/>
                <w:szCs w:val="18"/>
              </w:rPr>
              <w:t>MF</w:t>
            </w:r>
            <w:r w:rsidR="007A6A54">
              <w:rPr>
                <w:b/>
                <w:bCs/>
                <w:color w:val="000000"/>
                <w:sz w:val="18"/>
                <w:szCs w:val="18"/>
              </w:rPr>
              <w:t xml:space="preserve"> </w:t>
            </w:r>
            <w:r w:rsidRPr="00183B47">
              <w:rPr>
                <w:b/>
                <w:bCs/>
                <w:color w:val="000000"/>
                <w:sz w:val="18"/>
                <w:szCs w:val="18"/>
              </w:rPr>
              <w:t>SR</w:t>
            </w:r>
          </w:p>
        </w:tc>
        <w:tc>
          <w:tcPr>
            <w:tcW w:w="963" w:type="pct"/>
            <w:tcBorders>
              <w:top w:val="nil"/>
              <w:left w:val="nil"/>
              <w:bottom w:val="nil"/>
              <w:right w:val="nil"/>
            </w:tcBorders>
            <w:shd w:val="clear" w:color="000000" w:fill="auto"/>
            <w:vAlign w:val="center"/>
          </w:tcPr>
          <w:p w14:paraId="093CAB14" w14:textId="77777777" w:rsidR="00490255" w:rsidRPr="00183B47" w:rsidRDefault="00490255" w:rsidP="000E4D54">
            <w:pPr>
              <w:jc w:val="center"/>
              <w:rPr>
                <w:b/>
                <w:bCs/>
                <w:color w:val="000000"/>
                <w:sz w:val="18"/>
                <w:szCs w:val="18"/>
              </w:rPr>
            </w:pPr>
            <w:r>
              <w:rPr>
                <w:rFonts w:cs="Calibri"/>
                <w:b/>
                <w:bCs/>
                <w:color w:val="000000"/>
                <w:sz w:val="18"/>
                <w:szCs w:val="18"/>
              </w:rPr>
              <w:t>-1,0</w:t>
            </w:r>
          </w:p>
        </w:tc>
        <w:tc>
          <w:tcPr>
            <w:tcW w:w="956" w:type="pct"/>
            <w:tcBorders>
              <w:top w:val="nil"/>
              <w:left w:val="nil"/>
              <w:bottom w:val="nil"/>
              <w:right w:val="nil"/>
            </w:tcBorders>
            <w:shd w:val="clear" w:color="000000" w:fill="FFFFFF"/>
            <w:vAlign w:val="center"/>
          </w:tcPr>
          <w:p w14:paraId="777BD303" w14:textId="77777777" w:rsidR="00490255" w:rsidRPr="00183B47" w:rsidRDefault="00490255" w:rsidP="000E4D54">
            <w:pPr>
              <w:jc w:val="center"/>
              <w:rPr>
                <w:b/>
                <w:bCs/>
                <w:color w:val="000000"/>
                <w:sz w:val="18"/>
                <w:szCs w:val="18"/>
              </w:rPr>
            </w:pPr>
            <w:r>
              <w:rPr>
                <w:rFonts w:cs="Calibri"/>
                <w:b/>
                <w:bCs/>
                <w:color w:val="000000"/>
                <w:sz w:val="18"/>
                <w:szCs w:val="18"/>
              </w:rPr>
              <w:t>-1,2</w:t>
            </w:r>
          </w:p>
        </w:tc>
        <w:tc>
          <w:tcPr>
            <w:tcW w:w="1203" w:type="pct"/>
            <w:tcBorders>
              <w:top w:val="nil"/>
              <w:left w:val="nil"/>
              <w:bottom w:val="nil"/>
              <w:right w:val="nil"/>
            </w:tcBorders>
            <w:shd w:val="clear" w:color="000000" w:fill="FFFFFF"/>
            <w:vAlign w:val="center"/>
          </w:tcPr>
          <w:p w14:paraId="645B157F" w14:textId="77777777" w:rsidR="00490255" w:rsidRPr="00183B47" w:rsidRDefault="00490255" w:rsidP="000E4D54">
            <w:pPr>
              <w:jc w:val="center"/>
              <w:rPr>
                <w:b/>
                <w:bCs/>
                <w:color w:val="000000"/>
                <w:sz w:val="18"/>
                <w:szCs w:val="18"/>
              </w:rPr>
            </w:pPr>
            <w:r>
              <w:rPr>
                <w:rFonts w:cs="Calibri"/>
                <w:b/>
                <w:bCs/>
                <w:color w:val="000000"/>
                <w:sz w:val="18"/>
                <w:szCs w:val="18"/>
              </w:rPr>
              <w:t>-1,0</w:t>
            </w:r>
          </w:p>
        </w:tc>
      </w:tr>
      <w:tr w:rsidR="00490255" w:rsidRPr="00E45C5F" w14:paraId="6E42C297" w14:textId="77777777" w:rsidTr="00544E4E">
        <w:trPr>
          <w:trHeight w:val="21"/>
          <w:jc w:val="center"/>
        </w:trPr>
        <w:tc>
          <w:tcPr>
            <w:tcW w:w="1877" w:type="pct"/>
            <w:tcBorders>
              <w:top w:val="nil"/>
              <w:left w:val="nil"/>
              <w:bottom w:val="nil"/>
              <w:right w:val="nil"/>
            </w:tcBorders>
            <w:shd w:val="clear" w:color="000000" w:fill="FFFFFF"/>
            <w:vAlign w:val="center"/>
          </w:tcPr>
          <w:p w14:paraId="6722F7A0" w14:textId="77777777" w:rsidR="00490255" w:rsidRPr="00183B47" w:rsidRDefault="00490255" w:rsidP="000E4D54">
            <w:pPr>
              <w:ind w:firstLineChars="100" w:firstLine="180"/>
              <w:rPr>
                <w:color w:val="000000"/>
                <w:sz w:val="18"/>
                <w:szCs w:val="18"/>
              </w:rPr>
            </w:pPr>
            <w:r w:rsidRPr="00183B47">
              <w:rPr>
                <w:color w:val="000000"/>
                <w:sz w:val="18"/>
                <w:szCs w:val="18"/>
              </w:rPr>
              <w:t>Makrovýbor (medián)</w:t>
            </w:r>
          </w:p>
        </w:tc>
        <w:tc>
          <w:tcPr>
            <w:tcW w:w="963" w:type="pct"/>
            <w:tcBorders>
              <w:top w:val="nil"/>
              <w:left w:val="nil"/>
              <w:bottom w:val="nil"/>
              <w:right w:val="nil"/>
            </w:tcBorders>
            <w:shd w:val="clear" w:color="000000" w:fill="FFFFFF"/>
            <w:vAlign w:val="center"/>
          </w:tcPr>
          <w:p w14:paraId="4382B3FB" w14:textId="77777777" w:rsidR="00490255" w:rsidRPr="00183B47" w:rsidRDefault="00490255" w:rsidP="000E4D54">
            <w:pPr>
              <w:jc w:val="center"/>
              <w:rPr>
                <w:color w:val="000000"/>
                <w:sz w:val="18"/>
                <w:szCs w:val="18"/>
              </w:rPr>
            </w:pPr>
            <w:r>
              <w:rPr>
                <w:rFonts w:cs="Calibri"/>
                <w:color w:val="000000"/>
                <w:sz w:val="18"/>
                <w:szCs w:val="18"/>
              </w:rPr>
              <w:t>-</w:t>
            </w:r>
          </w:p>
        </w:tc>
        <w:tc>
          <w:tcPr>
            <w:tcW w:w="956" w:type="pct"/>
            <w:tcBorders>
              <w:top w:val="nil"/>
              <w:left w:val="nil"/>
              <w:bottom w:val="nil"/>
              <w:right w:val="nil"/>
            </w:tcBorders>
            <w:shd w:val="clear" w:color="000000" w:fill="FFFFFF"/>
            <w:vAlign w:val="center"/>
          </w:tcPr>
          <w:p w14:paraId="083F6B85" w14:textId="77777777" w:rsidR="00490255" w:rsidRPr="00183B47" w:rsidRDefault="00490255" w:rsidP="000E4D54">
            <w:pPr>
              <w:jc w:val="center"/>
              <w:rPr>
                <w:color w:val="000000"/>
                <w:sz w:val="18"/>
                <w:szCs w:val="18"/>
              </w:rPr>
            </w:pPr>
            <w:r>
              <w:rPr>
                <w:rFonts w:cs="Calibri"/>
                <w:color w:val="000000"/>
                <w:sz w:val="18"/>
                <w:szCs w:val="18"/>
              </w:rPr>
              <w:t>-</w:t>
            </w:r>
          </w:p>
        </w:tc>
        <w:tc>
          <w:tcPr>
            <w:tcW w:w="1203" w:type="pct"/>
            <w:tcBorders>
              <w:top w:val="nil"/>
              <w:left w:val="nil"/>
              <w:bottom w:val="nil"/>
              <w:right w:val="nil"/>
            </w:tcBorders>
            <w:shd w:val="clear" w:color="000000" w:fill="FFFFFF"/>
            <w:vAlign w:val="center"/>
          </w:tcPr>
          <w:p w14:paraId="040C7DCD" w14:textId="77777777" w:rsidR="00490255" w:rsidRPr="00183B47" w:rsidRDefault="00490255" w:rsidP="000E4D54">
            <w:pPr>
              <w:jc w:val="center"/>
              <w:rPr>
                <w:color w:val="000000"/>
                <w:sz w:val="18"/>
                <w:szCs w:val="18"/>
              </w:rPr>
            </w:pPr>
            <w:r>
              <w:rPr>
                <w:rFonts w:cs="Calibri"/>
                <w:color w:val="000000"/>
                <w:sz w:val="18"/>
                <w:szCs w:val="18"/>
              </w:rPr>
              <w:t>-</w:t>
            </w:r>
          </w:p>
        </w:tc>
      </w:tr>
      <w:tr w:rsidR="00490255" w:rsidRPr="00E45C5F" w14:paraId="2F35D62C" w14:textId="77777777" w:rsidTr="00544E4E">
        <w:trPr>
          <w:trHeight w:val="21"/>
          <w:jc w:val="center"/>
        </w:trPr>
        <w:tc>
          <w:tcPr>
            <w:tcW w:w="1877" w:type="pct"/>
            <w:tcBorders>
              <w:top w:val="nil"/>
              <w:left w:val="nil"/>
              <w:bottom w:val="nil"/>
              <w:right w:val="nil"/>
            </w:tcBorders>
            <w:shd w:val="clear" w:color="000000" w:fill="FFFFFF"/>
            <w:vAlign w:val="center"/>
          </w:tcPr>
          <w:p w14:paraId="122FFFA3" w14:textId="77777777" w:rsidR="00490255" w:rsidRPr="00183B47" w:rsidRDefault="00490255" w:rsidP="000E4D54">
            <w:pPr>
              <w:ind w:firstLineChars="100" w:firstLine="180"/>
              <w:rPr>
                <w:color w:val="000000"/>
                <w:sz w:val="18"/>
                <w:szCs w:val="18"/>
              </w:rPr>
            </w:pPr>
            <w:r w:rsidRPr="00183B47">
              <w:rPr>
                <w:color w:val="000000"/>
                <w:sz w:val="18"/>
                <w:szCs w:val="18"/>
              </w:rPr>
              <w:t>NBS (miernejší vojnový scenár)</w:t>
            </w:r>
          </w:p>
        </w:tc>
        <w:tc>
          <w:tcPr>
            <w:tcW w:w="963" w:type="pct"/>
            <w:tcBorders>
              <w:top w:val="nil"/>
              <w:left w:val="nil"/>
              <w:bottom w:val="nil"/>
              <w:right w:val="nil"/>
            </w:tcBorders>
            <w:shd w:val="clear" w:color="000000" w:fill="FFFFFF"/>
            <w:vAlign w:val="center"/>
          </w:tcPr>
          <w:p w14:paraId="566ECF87" w14:textId="77777777" w:rsidR="00490255" w:rsidRPr="00183B47" w:rsidRDefault="00490255" w:rsidP="000E4D54">
            <w:pPr>
              <w:jc w:val="center"/>
              <w:rPr>
                <w:color w:val="000000"/>
                <w:sz w:val="18"/>
                <w:szCs w:val="18"/>
              </w:rPr>
            </w:pPr>
            <w:r>
              <w:rPr>
                <w:rFonts w:cs="Calibri"/>
                <w:color w:val="000000"/>
                <w:sz w:val="18"/>
                <w:szCs w:val="18"/>
              </w:rPr>
              <w:t>-</w:t>
            </w:r>
          </w:p>
        </w:tc>
        <w:tc>
          <w:tcPr>
            <w:tcW w:w="956" w:type="pct"/>
            <w:tcBorders>
              <w:top w:val="nil"/>
              <w:left w:val="nil"/>
              <w:bottom w:val="nil"/>
              <w:right w:val="nil"/>
            </w:tcBorders>
            <w:shd w:val="clear" w:color="000000" w:fill="FFFFFF"/>
            <w:vAlign w:val="center"/>
          </w:tcPr>
          <w:p w14:paraId="741C5A89" w14:textId="77777777" w:rsidR="00490255" w:rsidRPr="00183B47" w:rsidRDefault="00490255" w:rsidP="000E4D54">
            <w:pPr>
              <w:jc w:val="center"/>
              <w:rPr>
                <w:color w:val="000000"/>
                <w:sz w:val="18"/>
                <w:szCs w:val="18"/>
              </w:rPr>
            </w:pPr>
            <w:r>
              <w:rPr>
                <w:rFonts w:cs="Calibri"/>
                <w:color w:val="000000"/>
                <w:sz w:val="18"/>
                <w:szCs w:val="18"/>
              </w:rPr>
              <w:t>-</w:t>
            </w:r>
          </w:p>
        </w:tc>
        <w:tc>
          <w:tcPr>
            <w:tcW w:w="1203" w:type="pct"/>
            <w:tcBorders>
              <w:top w:val="nil"/>
              <w:left w:val="nil"/>
              <w:bottom w:val="nil"/>
              <w:right w:val="nil"/>
            </w:tcBorders>
            <w:shd w:val="clear" w:color="000000" w:fill="FFFFFF"/>
            <w:vAlign w:val="center"/>
          </w:tcPr>
          <w:p w14:paraId="7ECA3A91" w14:textId="77777777" w:rsidR="00490255" w:rsidRPr="00183B47" w:rsidRDefault="00490255" w:rsidP="000E4D54">
            <w:pPr>
              <w:jc w:val="center"/>
              <w:rPr>
                <w:color w:val="000000"/>
                <w:sz w:val="18"/>
                <w:szCs w:val="18"/>
              </w:rPr>
            </w:pPr>
            <w:r>
              <w:rPr>
                <w:rFonts w:cs="Calibri"/>
                <w:color w:val="000000"/>
                <w:sz w:val="18"/>
                <w:szCs w:val="18"/>
              </w:rPr>
              <w:t>-</w:t>
            </w:r>
          </w:p>
        </w:tc>
      </w:tr>
      <w:tr w:rsidR="00490255" w:rsidRPr="00E45C5F" w14:paraId="0EB71D14" w14:textId="77777777" w:rsidTr="00544E4E">
        <w:trPr>
          <w:trHeight w:val="21"/>
          <w:jc w:val="center"/>
        </w:trPr>
        <w:tc>
          <w:tcPr>
            <w:tcW w:w="1877" w:type="pct"/>
            <w:tcBorders>
              <w:top w:val="nil"/>
              <w:left w:val="nil"/>
              <w:bottom w:val="nil"/>
              <w:right w:val="nil"/>
            </w:tcBorders>
            <w:shd w:val="clear" w:color="000000" w:fill="FFFFFF"/>
            <w:vAlign w:val="center"/>
          </w:tcPr>
          <w:p w14:paraId="3F661573" w14:textId="77777777" w:rsidR="00490255" w:rsidRPr="00183B47" w:rsidRDefault="00490255" w:rsidP="000E4D54">
            <w:pPr>
              <w:ind w:firstLineChars="100" w:firstLine="180"/>
              <w:rPr>
                <w:color w:val="000000"/>
                <w:sz w:val="18"/>
                <w:szCs w:val="18"/>
              </w:rPr>
            </w:pPr>
            <w:r w:rsidRPr="00183B47">
              <w:rPr>
                <w:color w:val="000000"/>
                <w:sz w:val="18"/>
                <w:szCs w:val="18"/>
              </w:rPr>
              <w:t>EK</w:t>
            </w:r>
          </w:p>
        </w:tc>
        <w:tc>
          <w:tcPr>
            <w:tcW w:w="963" w:type="pct"/>
            <w:tcBorders>
              <w:top w:val="nil"/>
              <w:left w:val="nil"/>
              <w:bottom w:val="nil"/>
              <w:right w:val="nil"/>
            </w:tcBorders>
            <w:shd w:val="clear" w:color="000000" w:fill="FFFFFF"/>
            <w:vAlign w:val="center"/>
          </w:tcPr>
          <w:p w14:paraId="4A51B0D9" w14:textId="77777777" w:rsidR="00490255" w:rsidRPr="00183B47" w:rsidRDefault="00490255" w:rsidP="000E4D54">
            <w:pPr>
              <w:jc w:val="center"/>
              <w:rPr>
                <w:color w:val="000000"/>
                <w:sz w:val="18"/>
                <w:szCs w:val="18"/>
              </w:rPr>
            </w:pPr>
            <w:r>
              <w:rPr>
                <w:rFonts w:cs="Calibri"/>
                <w:color w:val="000000"/>
                <w:sz w:val="18"/>
                <w:szCs w:val="18"/>
              </w:rPr>
              <w:t>-</w:t>
            </w:r>
          </w:p>
        </w:tc>
        <w:tc>
          <w:tcPr>
            <w:tcW w:w="956" w:type="pct"/>
            <w:tcBorders>
              <w:top w:val="nil"/>
              <w:left w:val="nil"/>
              <w:bottom w:val="nil"/>
              <w:right w:val="nil"/>
            </w:tcBorders>
            <w:shd w:val="clear" w:color="000000" w:fill="FFFFFF"/>
            <w:vAlign w:val="center"/>
          </w:tcPr>
          <w:p w14:paraId="3AFA4707" w14:textId="77777777" w:rsidR="00490255" w:rsidRPr="00183B47" w:rsidRDefault="00490255" w:rsidP="000E4D54">
            <w:pPr>
              <w:jc w:val="center"/>
              <w:rPr>
                <w:color w:val="000000"/>
                <w:sz w:val="18"/>
                <w:szCs w:val="18"/>
              </w:rPr>
            </w:pPr>
            <w:r>
              <w:rPr>
                <w:rFonts w:cs="Calibri"/>
                <w:color w:val="000000"/>
                <w:sz w:val="18"/>
                <w:szCs w:val="18"/>
              </w:rPr>
              <w:t>-</w:t>
            </w:r>
          </w:p>
        </w:tc>
        <w:tc>
          <w:tcPr>
            <w:tcW w:w="1203" w:type="pct"/>
            <w:tcBorders>
              <w:top w:val="nil"/>
              <w:left w:val="nil"/>
              <w:bottom w:val="nil"/>
              <w:right w:val="nil"/>
            </w:tcBorders>
            <w:shd w:val="clear" w:color="000000" w:fill="FFFFFF"/>
            <w:vAlign w:val="center"/>
          </w:tcPr>
          <w:p w14:paraId="2E83BB59" w14:textId="77777777" w:rsidR="00490255" w:rsidRPr="00183B47" w:rsidRDefault="00490255" w:rsidP="000E4D54">
            <w:pPr>
              <w:jc w:val="center"/>
              <w:rPr>
                <w:color w:val="000000"/>
                <w:sz w:val="18"/>
                <w:szCs w:val="18"/>
              </w:rPr>
            </w:pPr>
            <w:r>
              <w:rPr>
                <w:rFonts w:cs="Calibri"/>
                <w:color w:val="000000"/>
                <w:sz w:val="18"/>
                <w:szCs w:val="18"/>
              </w:rPr>
              <w:t>-</w:t>
            </w:r>
          </w:p>
        </w:tc>
      </w:tr>
      <w:tr w:rsidR="00490255" w:rsidRPr="00E45C5F" w14:paraId="6880CF5B" w14:textId="77777777" w:rsidTr="00544E4E">
        <w:trPr>
          <w:trHeight w:val="21"/>
          <w:jc w:val="center"/>
        </w:trPr>
        <w:tc>
          <w:tcPr>
            <w:tcW w:w="1877" w:type="pct"/>
            <w:tcBorders>
              <w:top w:val="nil"/>
              <w:left w:val="nil"/>
              <w:bottom w:val="nil"/>
              <w:right w:val="nil"/>
            </w:tcBorders>
            <w:shd w:val="clear" w:color="000000" w:fill="FFFFFF"/>
            <w:vAlign w:val="center"/>
          </w:tcPr>
          <w:p w14:paraId="21E33048" w14:textId="77777777" w:rsidR="00490255" w:rsidRPr="00183B47" w:rsidRDefault="00490255" w:rsidP="000E4D54">
            <w:pPr>
              <w:ind w:firstLineChars="100" w:firstLine="180"/>
              <w:rPr>
                <w:color w:val="000000"/>
                <w:sz w:val="18"/>
                <w:szCs w:val="18"/>
              </w:rPr>
            </w:pPr>
            <w:r w:rsidRPr="00183B47">
              <w:rPr>
                <w:color w:val="000000"/>
                <w:sz w:val="18"/>
                <w:szCs w:val="18"/>
              </w:rPr>
              <w:t>OECD</w:t>
            </w:r>
          </w:p>
        </w:tc>
        <w:tc>
          <w:tcPr>
            <w:tcW w:w="963" w:type="pct"/>
            <w:tcBorders>
              <w:top w:val="nil"/>
              <w:left w:val="nil"/>
              <w:bottom w:val="nil"/>
              <w:right w:val="nil"/>
            </w:tcBorders>
            <w:shd w:val="clear" w:color="000000" w:fill="FFFFFF"/>
            <w:vAlign w:val="center"/>
          </w:tcPr>
          <w:p w14:paraId="23BFED7C" w14:textId="77777777" w:rsidR="00490255" w:rsidRPr="00183B47" w:rsidRDefault="00490255" w:rsidP="000E4D54">
            <w:pPr>
              <w:jc w:val="center"/>
              <w:rPr>
                <w:color w:val="000000"/>
                <w:sz w:val="18"/>
                <w:szCs w:val="18"/>
              </w:rPr>
            </w:pPr>
            <w:r>
              <w:rPr>
                <w:rFonts w:cs="Calibri"/>
                <w:color w:val="000000"/>
                <w:sz w:val="18"/>
                <w:szCs w:val="18"/>
              </w:rPr>
              <w:t>-1,0</w:t>
            </w:r>
          </w:p>
        </w:tc>
        <w:tc>
          <w:tcPr>
            <w:tcW w:w="956" w:type="pct"/>
            <w:tcBorders>
              <w:top w:val="nil"/>
              <w:left w:val="nil"/>
              <w:bottom w:val="nil"/>
              <w:right w:val="nil"/>
            </w:tcBorders>
            <w:shd w:val="clear" w:color="000000" w:fill="FFFFFF"/>
            <w:vAlign w:val="center"/>
          </w:tcPr>
          <w:p w14:paraId="150671C9" w14:textId="77777777" w:rsidR="00490255" w:rsidRPr="00183B47" w:rsidRDefault="00490255" w:rsidP="000E4D54">
            <w:pPr>
              <w:jc w:val="center"/>
              <w:rPr>
                <w:color w:val="000000"/>
                <w:sz w:val="18"/>
                <w:szCs w:val="18"/>
              </w:rPr>
            </w:pPr>
            <w:r>
              <w:rPr>
                <w:rFonts w:cs="Calibri"/>
                <w:color w:val="000000"/>
                <w:sz w:val="18"/>
                <w:szCs w:val="18"/>
              </w:rPr>
              <w:t>-2,2</w:t>
            </w:r>
          </w:p>
        </w:tc>
        <w:tc>
          <w:tcPr>
            <w:tcW w:w="1203" w:type="pct"/>
            <w:tcBorders>
              <w:top w:val="nil"/>
              <w:left w:val="nil"/>
              <w:bottom w:val="nil"/>
              <w:right w:val="nil"/>
            </w:tcBorders>
            <w:shd w:val="clear" w:color="000000" w:fill="FFFFFF"/>
            <w:vAlign w:val="center"/>
          </w:tcPr>
          <w:p w14:paraId="3347E74A" w14:textId="77777777" w:rsidR="00490255" w:rsidRPr="00183B47" w:rsidRDefault="00490255" w:rsidP="000E4D54">
            <w:pPr>
              <w:jc w:val="center"/>
              <w:rPr>
                <w:color w:val="000000"/>
                <w:sz w:val="18"/>
                <w:szCs w:val="18"/>
              </w:rPr>
            </w:pPr>
            <w:r>
              <w:rPr>
                <w:rFonts w:cs="Calibri"/>
                <w:color w:val="000000"/>
                <w:sz w:val="18"/>
                <w:szCs w:val="18"/>
              </w:rPr>
              <w:t>-1,9</w:t>
            </w:r>
          </w:p>
        </w:tc>
      </w:tr>
      <w:tr w:rsidR="00490255" w:rsidRPr="00E45C5F" w14:paraId="64DAFB95" w14:textId="77777777" w:rsidTr="00544E4E">
        <w:trPr>
          <w:trHeight w:val="21"/>
          <w:jc w:val="center"/>
        </w:trPr>
        <w:tc>
          <w:tcPr>
            <w:tcW w:w="1877" w:type="pct"/>
            <w:tcBorders>
              <w:top w:val="nil"/>
              <w:left w:val="nil"/>
              <w:bottom w:val="single" w:sz="8" w:space="0" w:color="auto"/>
              <w:right w:val="nil"/>
            </w:tcBorders>
            <w:shd w:val="clear" w:color="000000" w:fill="FFFFFF"/>
            <w:vAlign w:val="center"/>
          </w:tcPr>
          <w:p w14:paraId="309FCF38" w14:textId="77777777" w:rsidR="00490255" w:rsidRPr="00183B47" w:rsidRDefault="00490255" w:rsidP="000E4D54">
            <w:pPr>
              <w:ind w:firstLineChars="100" w:firstLine="180"/>
              <w:rPr>
                <w:color w:val="000000"/>
                <w:sz w:val="18"/>
                <w:szCs w:val="18"/>
              </w:rPr>
            </w:pPr>
            <w:r w:rsidRPr="00183B47">
              <w:rPr>
                <w:color w:val="000000"/>
                <w:sz w:val="18"/>
                <w:szCs w:val="18"/>
              </w:rPr>
              <w:t>MMF</w:t>
            </w:r>
          </w:p>
        </w:tc>
        <w:tc>
          <w:tcPr>
            <w:tcW w:w="963" w:type="pct"/>
            <w:tcBorders>
              <w:top w:val="nil"/>
              <w:left w:val="nil"/>
              <w:bottom w:val="single" w:sz="8" w:space="0" w:color="auto"/>
              <w:right w:val="nil"/>
            </w:tcBorders>
            <w:shd w:val="clear" w:color="000000" w:fill="FFFFFF"/>
            <w:vAlign w:val="center"/>
          </w:tcPr>
          <w:p w14:paraId="7DDD662A" w14:textId="77777777" w:rsidR="00490255" w:rsidRPr="00183B47" w:rsidRDefault="00490255" w:rsidP="000E4D54">
            <w:pPr>
              <w:jc w:val="center"/>
              <w:rPr>
                <w:rFonts w:cs="Times New Roman"/>
                <w:color w:val="000000"/>
                <w:sz w:val="18"/>
                <w:szCs w:val="18"/>
              </w:rPr>
            </w:pPr>
            <w:r>
              <w:rPr>
                <w:rFonts w:cs="Calibri"/>
                <w:color w:val="000000"/>
                <w:sz w:val="18"/>
                <w:szCs w:val="18"/>
              </w:rPr>
              <w:t>-2,0</w:t>
            </w:r>
          </w:p>
        </w:tc>
        <w:tc>
          <w:tcPr>
            <w:tcW w:w="956" w:type="pct"/>
            <w:tcBorders>
              <w:top w:val="nil"/>
              <w:left w:val="nil"/>
              <w:bottom w:val="single" w:sz="8" w:space="0" w:color="auto"/>
              <w:right w:val="nil"/>
            </w:tcBorders>
            <w:shd w:val="clear" w:color="000000" w:fill="FFFFFF"/>
            <w:vAlign w:val="center"/>
          </w:tcPr>
          <w:p w14:paraId="31A55CC2" w14:textId="77777777" w:rsidR="00490255" w:rsidRPr="00183B47" w:rsidRDefault="00490255" w:rsidP="000E4D54">
            <w:pPr>
              <w:jc w:val="center"/>
              <w:rPr>
                <w:color w:val="000000"/>
                <w:sz w:val="18"/>
                <w:szCs w:val="18"/>
              </w:rPr>
            </w:pPr>
            <w:r>
              <w:rPr>
                <w:rFonts w:cs="Calibri"/>
                <w:color w:val="000000"/>
                <w:sz w:val="18"/>
                <w:szCs w:val="18"/>
              </w:rPr>
              <w:t>-5,0</w:t>
            </w:r>
          </w:p>
        </w:tc>
        <w:tc>
          <w:tcPr>
            <w:tcW w:w="1203" w:type="pct"/>
            <w:tcBorders>
              <w:top w:val="nil"/>
              <w:left w:val="nil"/>
              <w:bottom w:val="single" w:sz="8" w:space="0" w:color="auto"/>
              <w:right w:val="nil"/>
            </w:tcBorders>
            <w:shd w:val="clear" w:color="000000" w:fill="FFFFFF"/>
            <w:vAlign w:val="center"/>
          </w:tcPr>
          <w:p w14:paraId="2FE44FED" w14:textId="77777777" w:rsidR="00490255" w:rsidRPr="00183B47" w:rsidRDefault="00490255" w:rsidP="000E4D54">
            <w:pPr>
              <w:jc w:val="center"/>
              <w:rPr>
                <w:color w:val="000000"/>
                <w:sz w:val="18"/>
                <w:szCs w:val="18"/>
              </w:rPr>
            </w:pPr>
            <w:r>
              <w:rPr>
                <w:rFonts w:cs="Calibri"/>
                <w:color w:val="000000"/>
                <w:sz w:val="18"/>
                <w:szCs w:val="18"/>
              </w:rPr>
              <w:t>-4,8</w:t>
            </w:r>
          </w:p>
        </w:tc>
      </w:tr>
      <w:tr w:rsidR="00490255" w:rsidRPr="000F7810" w14:paraId="50022679" w14:textId="77777777" w:rsidTr="00544E4E">
        <w:trPr>
          <w:trHeight w:val="21"/>
          <w:jc w:val="center"/>
        </w:trPr>
        <w:tc>
          <w:tcPr>
            <w:tcW w:w="5000" w:type="pct"/>
            <w:gridSpan w:val="4"/>
            <w:tcBorders>
              <w:top w:val="single" w:sz="8" w:space="0" w:color="auto"/>
              <w:left w:val="nil"/>
              <w:bottom w:val="nil"/>
              <w:right w:val="nil"/>
            </w:tcBorders>
            <w:shd w:val="clear" w:color="000000" w:fill="FFFFFF"/>
            <w:noWrap/>
            <w:vAlign w:val="center"/>
          </w:tcPr>
          <w:p w14:paraId="3FF25DB8" w14:textId="77777777" w:rsidR="00490255" w:rsidRPr="00183B47" w:rsidRDefault="00490255" w:rsidP="000E4D54">
            <w:pPr>
              <w:pStyle w:val="poznmka"/>
              <w:jc w:val="both"/>
            </w:pPr>
            <w:r w:rsidRPr="00E45C5F">
              <w:t>Zdroj: MF SR (marec 2022), Výbor pre makroekonomické prognózy (marec 2022), NBS (marec 2022), EK (február 2022), OECD (december 2021) a MMF (apríl 2022).</w:t>
            </w:r>
          </w:p>
        </w:tc>
      </w:tr>
    </w:tbl>
    <w:p w14:paraId="7D8AC67F" w14:textId="77777777" w:rsidR="00490255" w:rsidRPr="00D44F00" w:rsidRDefault="00490255" w:rsidP="00490255">
      <w:pPr>
        <w:pStyle w:val="Nadpis2"/>
        <w:keepLines/>
        <w:numPr>
          <w:ilvl w:val="1"/>
          <w:numId w:val="2"/>
        </w:numPr>
        <w:spacing w:before="240" w:after="120" w:line="276" w:lineRule="auto"/>
        <w:rPr>
          <w:b/>
          <w:color w:val="2C9ADC"/>
          <w:szCs w:val="28"/>
        </w:rPr>
      </w:pPr>
      <w:bookmarkStart w:id="79" w:name="_Toc70700326"/>
      <w:bookmarkStart w:id="80" w:name="_Toc101880660"/>
      <w:r>
        <w:rPr>
          <w:b/>
          <w:color w:val="2C9ADC"/>
          <w:szCs w:val="28"/>
        </w:rPr>
        <w:t>Rizikový</w:t>
      </w:r>
      <w:r w:rsidRPr="00D44F00">
        <w:rPr>
          <w:b/>
          <w:color w:val="2C9ADC"/>
          <w:szCs w:val="28"/>
        </w:rPr>
        <w:t xml:space="preserve"> scenár</w:t>
      </w:r>
      <w:bookmarkEnd w:id="79"/>
      <w:bookmarkEnd w:id="80"/>
    </w:p>
    <w:p w14:paraId="4FEDEE79" w14:textId="77777777" w:rsidR="00490255" w:rsidRDefault="00490255" w:rsidP="00490255">
      <w:pPr>
        <w:spacing w:after="120"/>
        <w:jc w:val="both"/>
      </w:pPr>
      <w:r w:rsidRPr="00D44F00">
        <w:rPr>
          <w:b/>
        </w:rPr>
        <w:t xml:space="preserve">Vojenský konflikt na Ukrajine a uvalené sankcie výrazne obmedzia medzinárodný obchod s Ruskom. </w:t>
      </w:r>
      <w:r>
        <w:rPr>
          <w:b/>
        </w:rPr>
        <w:t>Rizikový scenár predpokladá</w:t>
      </w:r>
      <w:r w:rsidRPr="00D44F00">
        <w:rPr>
          <w:b/>
        </w:rPr>
        <w:t xml:space="preserve"> zastavenie exportov do Ruska, vyšší rast cien a vážne výpadky v dodávateľských reťazcoch, ktoré budú negatívne ovplyvňovať ekonomiku v krátkodobom aj strednodobom horizonte.</w:t>
      </w:r>
      <w:r>
        <w:t xml:space="preserve"> </w:t>
      </w:r>
    </w:p>
    <w:p w14:paraId="75E26701" w14:textId="77777777" w:rsidR="00490255" w:rsidRDefault="00490255" w:rsidP="00490255">
      <w:pPr>
        <w:spacing w:after="120"/>
        <w:jc w:val="both"/>
      </w:pPr>
      <w:r w:rsidRPr="00B41903">
        <w:rPr>
          <w:b/>
        </w:rPr>
        <w:t>Pri naplnení rizikového scenára sa očakáva rast cenovej hladiny v tomto a budúcom roku blízko 10 %.</w:t>
      </w:r>
      <w:r>
        <w:t xml:space="preserve"> Zavedenie sankcii zastaví vývoz tovarov a služieb do Ruska, čo bude viesť firmy k hľadaniu nových odbytísk. Predpokladáme, že </w:t>
      </w:r>
      <w:r w:rsidRPr="00D44F00">
        <w:t>nový odberatelia postupom času vykompenzujú len polovicu exportov do Ruska, čo vytvorí permanentnú stratu na exporte a HDP.</w:t>
      </w:r>
      <w:r>
        <w:t xml:space="preserve"> Slovenská ekonomika bude čeliť aj závažným výpadkom v dodávateľských reťazcoch, čo bude obmedzovať najmä priemysel a negatívne ovplyvní exporty. Výpadky komponentov sa odrazia aj na nižšej produktivite výrobných faktorov, čo negatívne ovplyvní ekonomiku aj na strednodobom horizonte. Rizikový scenár predpokladá, že na trhu s energiami nedôjde k stabilizácii a ich vysoké ceny sa výrazne pretavia do ostatných cien tovarov a služieb. </w:t>
      </w:r>
      <w:r w:rsidRPr="00B41903">
        <w:t>Cenová hladina vzrastie tento rok o 9,3 %.</w:t>
      </w:r>
      <w:r w:rsidRPr="006F26F6">
        <w:t xml:space="preserve"> V prípade ak sa neschvália dodatočné opatrenia na zníženie cien energií pre domácnosti, </w:t>
      </w:r>
      <w:r w:rsidRPr="00B41903">
        <w:t>inflácia v budúcom roku zrýchli až na 10 %.</w:t>
      </w:r>
      <w:r>
        <w:t xml:space="preserve"> Rast nominálnych miezd najbližšie 2 roky nebude stačiť na vykompenzovanie inflácie, čo zníži spotrebu domácností. </w:t>
      </w:r>
    </w:p>
    <w:p w14:paraId="09968368" w14:textId="4DE02AD5" w:rsidR="00490255" w:rsidRPr="000F7810" w:rsidRDefault="00490255" w:rsidP="00490255">
      <w:pPr>
        <w:spacing w:after="120"/>
        <w:jc w:val="both"/>
        <w:rPr>
          <w:rFonts w:eastAsia="NeueHaasGroteskText W02" w:cs="Arial"/>
          <w:szCs w:val="20"/>
          <w:highlight w:val="yellow"/>
        </w:rPr>
      </w:pPr>
      <w:r w:rsidRPr="00B41903">
        <w:rPr>
          <w:b/>
        </w:rPr>
        <w:t>Naplnenie rizikového scenára</w:t>
      </w:r>
      <w:r>
        <w:rPr>
          <w:b/>
        </w:rPr>
        <w:t xml:space="preserve"> stiahne reálny rast HDP a v roku 2025 bude zamestnaných o</w:t>
      </w:r>
      <w:r w:rsidR="00221554">
        <w:rPr>
          <w:b/>
        </w:rPr>
        <w:t> </w:t>
      </w:r>
      <w:r>
        <w:rPr>
          <w:b/>
        </w:rPr>
        <w:t>25</w:t>
      </w:r>
      <w:r w:rsidR="00221554">
        <w:rPr>
          <w:b/>
        </w:rPr>
        <w:t>-</w:t>
      </w:r>
      <w:r>
        <w:rPr>
          <w:b/>
        </w:rPr>
        <w:t>tisíc ľudí menej.</w:t>
      </w:r>
      <w:r w:rsidRPr="00B41903">
        <w:rPr>
          <w:b/>
        </w:rPr>
        <w:t xml:space="preserve"> </w:t>
      </w:r>
      <w:r w:rsidRPr="00B41903">
        <w:t xml:space="preserve">Rizikový scenár </w:t>
      </w:r>
      <w:r w:rsidRPr="006F26F6">
        <w:t xml:space="preserve">ovplyvní hlavne zahraničný obchod a </w:t>
      </w:r>
      <w:r w:rsidRPr="00B41903">
        <w:t xml:space="preserve">stiahne reálny rast HDP v tomto roku na 0,4 % </w:t>
      </w:r>
      <w:r w:rsidRPr="00D44F00">
        <w:t>(z pôvodných 2,1 %).</w:t>
      </w:r>
      <w:r>
        <w:t xml:space="preserve"> </w:t>
      </w:r>
      <w:r w:rsidRPr="00D44F00">
        <w:t>Tieto negatívne</w:t>
      </w:r>
      <w:r w:rsidRPr="00D44F00">
        <w:rPr>
          <w:b/>
        </w:rPr>
        <w:t xml:space="preserve"> </w:t>
      </w:r>
      <w:r w:rsidRPr="00B41903">
        <w:t xml:space="preserve">dopady sa prelejú aj do roku 2023 a znížia reálny rast ekonomiky na 3,5 % </w:t>
      </w:r>
      <w:r w:rsidRPr="00D44F00">
        <w:t>(z 5,3 % v hlavnom scenári).</w:t>
      </w:r>
      <w:r>
        <w:t xml:space="preserve"> Naplnenie rizikového scenára spomalí aj rast zamestnanosti v nasledujúcich rokoch, čo bude mať za následok </w:t>
      </w:r>
      <w:r w:rsidRPr="00B41903">
        <w:t>o 25</w:t>
      </w:r>
      <w:r w:rsidR="00221554">
        <w:t>-</w:t>
      </w:r>
      <w:r w:rsidRPr="00B41903">
        <w:t>tisíc menej zamestnaných ako v základnej prognóze v roku 2025.</w:t>
      </w:r>
      <w:r w:rsidRPr="006F26F6">
        <w:t xml:space="preserve"> </w:t>
      </w:r>
      <w:r>
        <w:t>S vplyvom migrácie obyvateľov na trh práce a výpadkom energetických surovín tento scenár nepočíta.</w:t>
      </w:r>
    </w:p>
    <w:tbl>
      <w:tblPr>
        <w:tblpPr w:leftFromText="141" w:rightFromText="141" w:vertAnchor="text" w:horzAnchor="margin" w:tblpY="6"/>
        <w:tblOverlap w:val="never"/>
        <w:tblW w:w="497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398"/>
        <w:gridCol w:w="4632"/>
      </w:tblGrid>
      <w:tr w:rsidR="00490255" w:rsidRPr="000F7810" w14:paraId="5B8FF90A" w14:textId="77777777" w:rsidTr="000E4D54">
        <w:trPr>
          <w:trHeight w:val="361"/>
        </w:trPr>
        <w:tc>
          <w:tcPr>
            <w:tcW w:w="2435" w:type="pct"/>
            <w:tcBorders>
              <w:top w:val="nil"/>
              <w:left w:val="nil"/>
              <w:bottom w:val="single" w:sz="4" w:space="0" w:color="auto"/>
              <w:right w:val="nil"/>
            </w:tcBorders>
            <w:shd w:val="clear" w:color="auto" w:fill="auto"/>
            <w:vAlign w:val="center"/>
          </w:tcPr>
          <w:p w14:paraId="6E3BF1F0" w14:textId="15B81947" w:rsidR="00490255" w:rsidRPr="00AC28A0" w:rsidRDefault="00490255" w:rsidP="000E4D54">
            <w:pPr>
              <w:spacing w:before="40" w:after="40"/>
              <w:rPr>
                <w:rFonts w:cs="Arial"/>
                <w:b/>
                <w:color w:val="2C9ADC"/>
                <w:sz w:val="20"/>
                <w:szCs w:val="20"/>
              </w:rPr>
            </w:pPr>
            <w:bookmarkStart w:id="81" w:name="_Toc101881935"/>
            <w:r w:rsidRPr="00AC28A0">
              <w:rPr>
                <w:rFonts w:eastAsiaTheme="minorHAnsi"/>
                <w:b/>
                <w:color w:val="2C9ADC"/>
                <w:sz w:val="20"/>
                <w:szCs w:val="20"/>
                <w:lang w:eastAsia="en-US"/>
              </w:rPr>
              <w:t xml:space="preserve">GRAF </w:t>
            </w:r>
            <w:r w:rsidRPr="00AC28A0">
              <w:rPr>
                <w:rFonts w:eastAsiaTheme="minorHAnsi"/>
                <w:b/>
                <w:color w:val="2C9ADC"/>
                <w:sz w:val="20"/>
                <w:szCs w:val="20"/>
                <w:lang w:eastAsia="en-US"/>
              </w:rPr>
              <w:fldChar w:fldCharType="begin"/>
            </w:r>
            <w:r w:rsidRPr="00AC28A0">
              <w:rPr>
                <w:rFonts w:eastAsiaTheme="minorHAnsi"/>
                <w:b/>
                <w:color w:val="2C9ADC"/>
                <w:sz w:val="20"/>
                <w:szCs w:val="20"/>
                <w:lang w:eastAsia="en-US"/>
              </w:rPr>
              <w:instrText xml:space="preserve"> SEQ GRAF \* ARABIC </w:instrText>
            </w:r>
            <w:r w:rsidRPr="00AC28A0">
              <w:rPr>
                <w:rFonts w:eastAsiaTheme="minorHAnsi"/>
                <w:b/>
                <w:color w:val="2C9ADC"/>
                <w:sz w:val="20"/>
                <w:szCs w:val="20"/>
                <w:lang w:eastAsia="en-US"/>
              </w:rPr>
              <w:fldChar w:fldCharType="separate"/>
            </w:r>
            <w:r w:rsidR="005D3280">
              <w:rPr>
                <w:rFonts w:eastAsiaTheme="minorHAnsi"/>
                <w:b/>
                <w:noProof/>
                <w:color w:val="2C9ADC"/>
                <w:sz w:val="20"/>
                <w:szCs w:val="20"/>
                <w:lang w:eastAsia="en-US"/>
              </w:rPr>
              <w:t>11</w:t>
            </w:r>
            <w:r w:rsidRPr="00AC28A0">
              <w:rPr>
                <w:rFonts w:eastAsiaTheme="minorHAnsi"/>
                <w:b/>
                <w:color w:val="2C9ADC"/>
                <w:sz w:val="20"/>
                <w:szCs w:val="20"/>
                <w:lang w:eastAsia="en-US"/>
              </w:rPr>
              <w:fldChar w:fldCharType="end"/>
            </w:r>
            <w:r w:rsidRPr="00AC28A0">
              <w:rPr>
                <w:rFonts w:eastAsiaTheme="minorHAnsi"/>
                <w:b/>
                <w:color w:val="2C9ADC"/>
                <w:sz w:val="20"/>
                <w:szCs w:val="20"/>
                <w:lang w:eastAsia="en-US"/>
              </w:rPr>
              <w:t xml:space="preserve"> – H</w:t>
            </w:r>
            <w:r w:rsidRPr="00AC28A0">
              <w:rPr>
                <w:rFonts w:cs="Arial"/>
                <w:b/>
                <w:color w:val="2C9ADC"/>
                <w:sz w:val="20"/>
                <w:szCs w:val="20"/>
              </w:rPr>
              <w:t>DP Slovenska v prognóze a v scenári s vážnejšími dopadmi vojny (index, 2019 = 100)</w:t>
            </w:r>
            <w:bookmarkEnd w:id="81"/>
          </w:p>
        </w:tc>
        <w:tc>
          <w:tcPr>
            <w:tcW w:w="2565" w:type="pct"/>
            <w:tcBorders>
              <w:top w:val="nil"/>
              <w:left w:val="nil"/>
              <w:bottom w:val="single" w:sz="4" w:space="0" w:color="auto"/>
              <w:right w:val="nil"/>
            </w:tcBorders>
            <w:shd w:val="clear" w:color="auto" w:fill="auto"/>
            <w:vAlign w:val="center"/>
          </w:tcPr>
          <w:p w14:paraId="0CBD7722" w14:textId="18C1AFCB" w:rsidR="00490255" w:rsidRPr="00AC28A0" w:rsidRDefault="00490255" w:rsidP="000E4D54">
            <w:pPr>
              <w:spacing w:before="40" w:after="40"/>
              <w:rPr>
                <w:rFonts w:cs="Arial"/>
                <w:b/>
                <w:color w:val="2C9ADC"/>
                <w:sz w:val="20"/>
                <w:szCs w:val="20"/>
              </w:rPr>
            </w:pPr>
            <w:bookmarkStart w:id="82" w:name="_Toc101881936"/>
            <w:r w:rsidRPr="00AC28A0">
              <w:rPr>
                <w:rFonts w:eastAsiaTheme="minorHAnsi"/>
                <w:b/>
                <w:color w:val="2C9ADC"/>
                <w:sz w:val="20"/>
                <w:szCs w:val="20"/>
                <w:lang w:eastAsia="en-US"/>
              </w:rPr>
              <w:t xml:space="preserve">GRAF </w:t>
            </w:r>
            <w:r w:rsidRPr="00AC28A0">
              <w:rPr>
                <w:rFonts w:eastAsiaTheme="minorHAnsi"/>
                <w:b/>
                <w:color w:val="2C9ADC"/>
                <w:sz w:val="20"/>
                <w:szCs w:val="20"/>
                <w:lang w:eastAsia="en-US"/>
              </w:rPr>
              <w:fldChar w:fldCharType="begin"/>
            </w:r>
            <w:r w:rsidRPr="00AC28A0">
              <w:rPr>
                <w:rFonts w:eastAsiaTheme="minorHAnsi"/>
                <w:b/>
                <w:color w:val="2C9ADC"/>
                <w:sz w:val="20"/>
                <w:szCs w:val="20"/>
                <w:lang w:eastAsia="en-US"/>
              </w:rPr>
              <w:instrText xml:space="preserve"> SEQ GRAF \* ARABIC </w:instrText>
            </w:r>
            <w:r w:rsidRPr="00AC28A0">
              <w:rPr>
                <w:rFonts w:eastAsiaTheme="minorHAnsi"/>
                <w:b/>
                <w:color w:val="2C9ADC"/>
                <w:sz w:val="20"/>
                <w:szCs w:val="20"/>
                <w:lang w:eastAsia="en-US"/>
              </w:rPr>
              <w:fldChar w:fldCharType="separate"/>
            </w:r>
            <w:r w:rsidR="005D3280">
              <w:rPr>
                <w:rFonts w:eastAsiaTheme="minorHAnsi"/>
                <w:b/>
                <w:noProof/>
                <w:color w:val="2C9ADC"/>
                <w:sz w:val="20"/>
                <w:szCs w:val="20"/>
                <w:lang w:eastAsia="en-US"/>
              </w:rPr>
              <w:t>12</w:t>
            </w:r>
            <w:r w:rsidRPr="00AC28A0">
              <w:rPr>
                <w:rFonts w:eastAsiaTheme="minorHAnsi"/>
                <w:b/>
                <w:color w:val="2C9ADC"/>
                <w:sz w:val="20"/>
                <w:szCs w:val="20"/>
                <w:lang w:eastAsia="en-US"/>
              </w:rPr>
              <w:fldChar w:fldCharType="end"/>
            </w:r>
            <w:r w:rsidRPr="00AC28A0">
              <w:rPr>
                <w:rFonts w:eastAsiaTheme="minorHAnsi"/>
                <w:b/>
                <w:color w:val="2C9ADC"/>
                <w:sz w:val="20"/>
                <w:szCs w:val="20"/>
                <w:lang w:eastAsia="en-US"/>
              </w:rPr>
              <w:t xml:space="preserve"> – </w:t>
            </w:r>
            <w:r w:rsidRPr="00AC28A0">
              <w:rPr>
                <w:rFonts w:cs="Arial"/>
                <w:b/>
                <w:color w:val="2C9ADC"/>
                <w:sz w:val="20"/>
                <w:szCs w:val="20"/>
              </w:rPr>
              <w:t>Zamestnanosť v prognóze a v scenári s vážnejšími dopadmi vojny (index, 2019 = 100)</w:t>
            </w:r>
            <w:bookmarkEnd w:id="82"/>
            <w:r w:rsidRPr="00AC28A0">
              <w:rPr>
                <w:rFonts w:cs="Arial"/>
                <w:b/>
                <w:color w:val="2C9ADC"/>
                <w:sz w:val="20"/>
                <w:szCs w:val="20"/>
              </w:rPr>
              <w:t xml:space="preserve"> </w:t>
            </w:r>
          </w:p>
        </w:tc>
      </w:tr>
      <w:tr w:rsidR="00490255" w:rsidRPr="000F7810" w14:paraId="5735586E" w14:textId="77777777" w:rsidTr="000E4D54">
        <w:trPr>
          <w:trHeight w:val="3327"/>
        </w:trPr>
        <w:tc>
          <w:tcPr>
            <w:tcW w:w="2435" w:type="pct"/>
            <w:tcBorders>
              <w:top w:val="single" w:sz="4" w:space="0" w:color="auto"/>
              <w:left w:val="nil"/>
              <w:bottom w:val="single" w:sz="4" w:space="0" w:color="auto"/>
              <w:right w:val="nil"/>
            </w:tcBorders>
            <w:vAlign w:val="center"/>
          </w:tcPr>
          <w:p w14:paraId="3D51DC7C" w14:textId="77777777" w:rsidR="00490255" w:rsidRPr="000F7810" w:rsidRDefault="00490255" w:rsidP="000E4D54">
            <w:pPr>
              <w:spacing w:before="40" w:after="40"/>
              <w:jc w:val="center"/>
              <w:rPr>
                <w:rFonts w:cs="Arial"/>
                <w:b/>
                <w:sz w:val="20"/>
                <w:szCs w:val="20"/>
                <w:highlight w:val="yellow"/>
              </w:rPr>
            </w:pPr>
            <w:r>
              <w:rPr>
                <w:noProof/>
              </w:rPr>
              <w:drawing>
                <wp:inline distT="0" distB="0" distL="0" distR="0" wp14:anchorId="683D017C" wp14:editId="076EF2B4">
                  <wp:extent cx="2704465" cy="2109458"/>
                  <wp:effectExtent l="0" t="0" r="635" b="571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565" w:type="pct"/>
            <w:tcBorders>
              <w:top w:val="single" w:sz="4" w:space="0" w:color="auto"/>
              <w:left w:val="nil"/>
              <w:bottom w:val="single" w:sz="4" w:space="0" w:color="auto"/>
              <w:right w:val="nil"/>
            </w:tcBorders>
            <w:shd w:val="clear" w:color="auto" w:fill="auto"/>
            <w:vAlign w:val="center"/>
          </w:tcPr>
          <w:p w14:paraId="08845173" w14:textId="77777777" w:rsidR="00490255" w:rsidRPr="000F7810" w:rsidRDefault="00490255" w:rsidP="000E4D54">
            <w:pPr>
              <w:spacing w:before="40" w:after="40"/>
              <w:jc w:val="center"/>
              <w:rPr>
                <w:rFonts w:cs="Arial"/>
                <w:b/>
                <w:sz w:val="20"/>
                <w:szCs w:val="20"/>
                <w:highlight w:val="yellow"/>
              </w:rPr>
            </w:pPr>
            <w:r>
              <w:rPr>
                <w:noProof/>
              </w:rPr>
              <w:drawing>
                <wp:inline distT="0" distB="0" distL="0" distR="0" wp14:anchorId="46619225" wp14:editId="28307C78">
                  <wp:extent cx="2853055" cy="2092520"/>
                  <wp:effectExtent l="0" t="0" r="4445" b="317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490255" w:rsidRPr="00AC28A0" w14:paraId="27A9D688" w14:textId="77777777" w:rsidTr="000E4D54">
        <w:trPr>
          <w:trHeight w:val="117"/>
        </w:trPr>
        <w:tc>
          <w:tcPr>
            <w:tcW w:w="2435" w:type="pct"/>
            <w:tcBorders>
              <w:top w:val="single" w:sz="4" w:space="0" w:color="auto"/>
              <w:left w:val="nil"/>
              <w:bottom w:val="nil"/>
              <w:right w:val="nil"/>
            </w:tcBorders>
          </w:tcPr>
          <w:p w14:paraId="348E61E2" w14:textId="77777777" w:rsidR="00490255" w:rsidRPr="00AC28A0" w:rsidRDefault="00490255" w:rsidP="000E4D54">
            <w:pPr>
              <w:spacing w:before="40" w:after="40"/>
              <w:jc w:val="right"/>
              <w:rPr>
                <w:rFonts w:cs="Arial"/>
                <w:i/>
                <w:sz w:val="16"/>
                <w:szCs w:val="14"/>
              </w:rPr>
            </w:pPr>
            <w:r w:rsidRPr="00AC28A0">
              <w:rPr>
                <w:rFonts w:cs="Arial"/>
                <w:i/>
                <w:sz w:val="16"/>
                <w:szCs w:val="14"/>
              </w:rPr>
              <w:t>Zdroj: IFP</w:t>
            </w:r>
          </w:p>
        </w:tc>
        <w:tc>
          <w:tcPr>
            <w:tcW w:w="2565" w:type="pct"/>
            <w:tcBorders>
              <w:top w:val="single" w:sz="4" w:space="0" w:color="auto"/>
              <w:left w:val="nil"/>
              <w:bottom w:val="nil"/>
              <w:right w:val="nil"/>
            </w:tcBorders>
            <w:shd w:val="clear" w:color="auto" w:fill="auto"/>
          </w:tcPr>
          <w:p w14:paraId="554DE07C" w14:textId="77777777" w:rsidR="00490255" w:rsidRPr="00AC28A0" w:rsidRDefault="00490255" w:rsidP="000E4D54">
            <w:pPr>
              <w:spacing w:before="40" w:after="40"/>
              <w:jc w:val="right"/>
              <w:rPr>
                <w:rFonts w:cs="Arial"/>
                <w:i/>
                <w:sz w:val="16"/>
                <w:szCs w:val="14"/>
              </w:rPr>
            </w:pPr>
            <w:r w:rsidRPr="00AC28A0">
              <w:rPr>
                <w:rFonts w:cs="Arial"/>
                <w:i/>
                <w:sz w:val="16"/>
                <w:szCs w:val="14"/>
              </w:rPr>
              <w:t>Zdroj: IFP</w:t>
            </w:r>
          </w:p>
        </w:tc>
      </w:tr>
    </w:tbl>
    <w:p w14:paraId="3997DEF2" w14:textId="0D123B41" w:rsidR="00490255" w:rsidRDefault="00490255" w:rsidP="00490255">
      <w:pPr>
        <w:spacing w:after="120"/>
        <w:jc w:val="both"/>
      </w:pPr>
    </w:p>
    <w:p w14:paraId="0F77EC4E" w14:textId="77777777" w:rsidR="00FA1A55" w:rsidRPr="00AC28A0" w:rsidRDefault="00FA1A55" w:rsidP="00490255">
      <w:pPr>
        <w:spacing w:after="120"/>
        <w:jc w:val="both"/>
      </w:pPr>
    </w:p>
    <w:tbl>
      <w:tblPr>
        <w:tblW w:w="8919" w:type="dxa"/>
        <w:tblCellMar>
          <w:left w:w="70" w:type="dxa"/>
          <w:right w:w="70" w:type="dxa"/>
        </w:tblCellMar>
        <w:tblLook w:val="04A0" w:firstRow="1" w:lastRow="0" w:firstColumn="1" w:lastColumn="0" w:noHBand="0" w:noVBand="1"/>
      </w:tblPr>
      <w:tblGrid>
        <w:gridCol w:w="469"/>
        <w:gridCol w:w="880"/>
        <w:gridCol w:w="1026"/>
        <w:gridCol w:w="1116"/>
        <w:gridCol w:w="1058"/>
        <w:gridCol w:w="992"/>
        <w:gridCol w:w="880"/>
        <w:gridCol w:w="1344"/>
        <w:gridCol w:w="1195"/>
      </w:tblGrid>
      <w:tr w:rsidR="00490255" w14:paraId="3FA092B7" w14:textId="77777777" w:rsidTr="00293DD6">
        <w:trPr>
          <w:trHeight w:val="215"/>
        </w:trPr>
        <w:tc>
          <w:tcPr>
            <w:tcW w:w="8919" w:type="dxa"/>
            <w:gridSpan w:val="9"/>
            <w:tcBorders>
              <w:top w:val="nil"/>
              <w:left w:val="nil"/>
              <w:bottom w:val="single" w:sz="8" w:space="0" w:color="auto"/>
              <w:right w:val="nil"/>
            </w:tcBorders>
            <w:shd w:val="clear" w:color="auto" w:fill="auto"/>
            <w:noWrap/>
            <w:vAlign w:val="center"/>
            <w:hideMark/>
          </w:tcPr>
          <w:p w14:paraId="1250C4F4" w14:textId="5D9FCC57" w:rsidR="00490255" w:rsidRDefault="00490255" w:rsidP="000E4D54">
            <w:pPr>
              <w:rPr>
                <w:rFonts w:cs="Calibri"/>
                <w:b/>
                <w:bCs/>
                <w:color w:val="2C9ADC"/>
                <w:sz w:val="18"/>
                <w:szCs w:val="18"/>
              </w:rPr>
            </w:pPr>
            <w:bookmarkStart w:id="83" w:name="_Toc101880686"/>
            <w:r w:rsidRPr="00B64FCD">
              <w:rPr>
                <w:rFonts w:cs="Calibri"/>
                <w:b/>
                <w:bCs/>
                <w:color w:val="2C9ADC"/>
                <w:sz w:val="20"/>
                <w:szCs w:val="18"/>
              </w:rPr>
              <w:t xml:space="preserve">TABUĽKA </w:t>
            </w:r>
            <w:r w:rsidR="00544E4E" w:rsidRPr="00B64FCD">
              <w:rPr>
                <w:rFonts w:cs="Calibri"/>
                <w:b/>
                <w:bCs/>
                <w:color w:val="2C9ADC"/>
                <w:sz w:val="20"/>
                <w:szCs w:val="18"/>
              </w:rPr>
              <w:fldChar w:fldCharType="begin"/>
            </w:r>
            <w:r w:rsidR="00544E4E" w:rsidRPr="00B64FCD">
              <w:rPr>
                <w:rFonts w:cs="Calibri"/>
                <w:b/>
                <w:bCs/>
                <w:color w:val="2C9ADC"/>
                <w:sz w:val="20"/>
                <w:szCs w:val="18"/>
              </w:rPr>
              <w:instrText xml:space="preserve"> SEQ TABUĽKA \* ARABIC </w:instrText>
            </w:r>
            <w:r w:rsidR="00544E4E" w:rsidRPr="00B64FCD">
              <w:rPr>
                <w:rFonts w:cs="Calibri"/>
                <w:b/>
                <w:bCs/>
                <w:color w:val="2C9ADC"/>
                <w:sz w:val="20"/>
                <w:szCs w:val="18"/>
              </w:rPr>
              <w:fldChar w:fldCharType="separate"/>
            </w:r>
            <w:r w:rsidR="005D3280">
              <w:rPr>
                <w:rFonts w:cs="Calibri"/>
                <w:b/>
                <w:bCs/>
                <w:noProof/>
                <w:color w:val="2C9ADC"/>
                <w:sz w:val="20"/>
                <w:szCs w:val="18"/>
              </w:rPr>
              <w:t>7</w:t>
            </w:r>
            <w:r w:rsidR="00544E4E" w:rsidRPr="00B64FCD">
              <w:rPr>
                <w:rFonts w:cs="Calibri"/>
                <w:b/>
                <w:bCs/>
                <w:color w:val="2C9ADC"/>
                <w:sz w:val="20"/>
                <w:szCs w:val="18"/>
              </w:rPr>
              <w:fldChar w:fldCharType="end"/>
            </w:r>
            <w:r w:rsidR="004E7FF6" w:rsidRPr="00B64FCD">
              <w:rPr>
                <w:rFonts w:cs="Calibri"/>
                <w:b/>
                <w:bCs/>
                <w:color w:val="2C9ADC"/>
                <w:sz w:val="20"/>
                <w:szCs w:val="18"/>
              </w:rPr>
              <w:t xml:space="preserve"> – </w:t>
            </w:r>
            <w:r w:rsidRPr="00B64FCD">
              <w:rPr>
                <w:rFonts w:cs="Calibri"/>
                <w:b/>
                <w:bCs/>
                <w:color w:val="2C9ADC"/>
                <w:sz w:val="20"/>
                <w:szCs w:val="18"/>
              </w:rPr>
              <w:t>Rizikový scenár vážnejších dopadov vojny na ekonomiku</w:t>
            </w:r>
            <w:bookmarkEnd w:id="83"/>
          </w:p>
        </w:tc>
      </w:tr>
      <w:tr w:rsidR="00490255" w14:paraId="6387D99D" w14:textId="77777777" w:rsidTr="00293DD6">
        <w:trPr>
          <w:trHeight w:val="215"/>
        </w:trPr>
        <w:tc>
          <w:tcPr>
            <w:tcW w:w="8919" w:type="dxa"/>
            <w:gridSpan w:val="9"/>
            <w:tcBorders>
              <w:top w:val="single" w:sz="8" w:space="0" w:color="auto"/>
              <w:left w:val="nil"/>
              <w:bottom w:val="single" w:sz="8" w:space="0" w:color="auto"/>
              <w:right w:val="nil"/>
            </w:tcBorders>
            <w:shd w:val="clear" w:color="auto" w:fill="auto"/>
            <w:noWrap/>
            <w:vAlign w:val="center"/>
            <w:hideMark/>
          </w:tcPr>
          <w:p w14:paraId="0E295AAA" w14:textId="77777777" w:rsidR="00490255" w:rsidRDefault="00490255" w:rsidP="000E4D54">
            <w:pPr>
              <w:rPr>
                <w:rFonts w:cs="Calibri"/>
                <w:color w:val="000000"/>
                <w:sz w:val="18"/>
                <w:szCs w:val="18"/>
              </w:rPr>
            </w:pPr>
            <w:r>
              <w:rPr>
                <w:rFonts w:cs="Calibri"/>
                <w:color w:val="000000"/>
                <w:sz w:val="18"/>
                <w:szCs w:val="18"/>
              </w:rPr>
              <w:t>Percentuálna zmena úrovní jednotlivých premenných oproti prognóze</w:t>
            </w:r>
          </w:p>
        </w:tc>
      </w:tr>
      <w:tr w:rsidR="00490255" w14:paraId="31F814E8" w14:textId="77777777" w:rsidTr="00293DD6">
        <w:trPr>
          <w:trHeight w:val="484"/>
        </w:trPr>
        <w:tc>
          <w:tcPr>
            <w:tcW w:w="422" w:type="dxa"/>
            <w:tcBorders>
              <w:top w:val="nil"/>
              <w:left w:val="nil"/>
              <w:bottom w:val="nil"/>
              <w:right w:val="nil"/>
            </w:tcBorders>
            <w:shd w:val="clear" w:color="auto" w:fill="auto"/>
            <w:noWrap/>
            <w:vAlign w:val="center"/>
            <w:hideMark/>
          </w:tcPr>
          <w:p w14:paraId="6DB43C2A" w14:textId="77777777" w:rsidR="00490255" w:rsidRDefault="00490255" w:rsidP="000E4D54">
            <w:pPr>
              <w:rPr>
                <w:rFonts w:cs="Calibri"/>
                <w:color w:val="000000"/>
                <w:sz w:val="18"/>
                <w:szCs w:val="18"/>
              </w:rPr>
            </w:pPr>
            <w:r>
              <w:rPr>
                <w:rFonts w:cs="Calibri"/>
                <w:color w:val="000000"/>
                <w:sz w:val="18"/>
                <w:szCs w:val="18"/>
              </w:rPr>
              <w:t> </w:t>
            </w:r>
          </w:p>
        </w:tc>
        <w:tc>
          <w:tcPr>
            <w:tcW w:w="880" w:type="dxa"/>
            <w:tcBorders>
              <w:top w:val="nil"/>
              <w:left w:val="nil"/>
              <w:bottom w:val="nil"/>
              <w:right w:val="nil"/>
            </w:tcBorders>
            <w:shd w:val="clear" w:color="auto" w:fill="auto"/>
            <w:vAlign w:val="center"/>
            <w:hideMark/>
          </w:tcPr>
          <w:p w14:paraId="3675192F" w14:textId="77777777" w:rsidR="00490255" w:rsidRDefault="00490255" w:rsidP="000E4D54">
            <w:pPr>
              <w:jc w:val="center"/>
              <w:rPr>
                <w:rFonts w:cs="Calibri"/>
                <w:b/>
                <w:bCs/>
                <w:color w:val="000000"/>
                <w:sz w:val="18"/>
                <w:szCs w:val="18"/>
              </w:rPr>
            </w:pPr>
            <w:r>
              <w:rPr>
                <w:rFonts w:cs="Calibri"/>
                <w:b/>
                <w:bCs/>
                <w:color w:val="000000"/>
                <w:sz w:val="18"/>
                <w:szCs w:val="18"/>
              </w:rPr>
              <w:t>Reálne HDP</w:t>
            </w:r>
          </w:p>
        </w:tc>
        <w:tc>
          <w:tcPr>
            <w:tcW w:w="1026" w:type="dxa"/>
            <w:tcBorders>
              <w:top w:val="nil"/>
              <w:left w:val="nil"/>
              <w:bottom w:val="nil"/>
              <w:right w:val="nil"/>
            </w:tcBorders>
            <w:shd w:val="clear" w:color="auto" w:fill="auto"/>
            <w:vAlign w:val="center"/>
            <w:hideMark/>
          </w:tcPr>
          <w:p w14:paraId="4553F8B7" w14:textId="77777777" w:rsidR="00490255" w:rsidRDefault="00490255" w:rsidP="000E4D54">
            <w:pPr>
              <w:jc w:val="center"/>
              <w:rPr>
                <w:rFonts w:cs="Calibri"/>
                <w:b/>
                <w:bCs/>
                <w:color w:val="000000"/>
                <w:sz w:val="18"/>
                <w:szCs w:val="18"/>
              </w:rPr>
            </w:pPr>
            <w:r>
              <w:rPr>
                <w:rFonts w:cs="Calibri"/>
                <w:b/>
                <w:bCs/>
                <w:color w:val="000000"/>
                <w:sz w:val="18"/>
                <w:szCs w:val="18"/>
              </w:rPr>
              <w:t>Spotrebné ceny</w:t>
            </w:r>
          </w:p>
        </w:tc>
        <w:tc>
          <w:tcPr>
            <w:tcW w:w="1116" w:type="dxa"/>
            <w:tcBorders>
              <w:top w:val="nil"/>
              <w:left w:val="nil"/>
              <w:bottom w:val="nil"/>
              <w:right w:val="nil"/>
            </w:tcBorders>
            <w:shd w:val="clear" w:color="auto" w:fill="auto"/>
            <w:vAlign w:val="center"/>
            <w:hideMark/>
          </w:tcPr>
          <w:p w14:paraId="417959C0" w14:textId="77777777" w:rsidR="00490255" w:rsidRDefault="00490255" w:rsidP="000E4D54">
            <w:pPr>
              <w:jc w:val="center"/>
              <w:rPr>
                <w:rFonts w:cs="Calibri"/>
                <w:b/>
                <w:bCs/>
                <w:color w:val="000000"/>
                <w:sz w:val="18"/>
                <w:szCs w:val="18"/>
              </w:rPr>
            </w:pPr>
            <w:r>
              <w:rPr>
                <w:rFonts w:cs="Calibri"/>
                <w:b/>
                <w:bCs/>
                <w:color w:val="000000"/>
                <w:sz w:val="18"/>
                <w:szCs w:val="18"/>
              </w:rPr>
              <w:t>Súkromná spotreba</w:t>
            </w:r>
          </w:p>
        </w:tc>
        <w:tc>
          <w:tcPr>
            <w:tcW w:w="1058" w:type="dxa"/>
            <w:tcBorders>
              <w:top w:val="nil"/>
              <w:left w:val="nil"/>
              <w:bottom w:val="nil"/>
              <w:right w:val="nil"/>
            </w:tcBorders>
            <w:shd w:val="clear" w:color="auto" w:fill="auto"/>
            <w:vAlign w:val="center"/>
            <w:hideMark/>
          </w:tcPr>
          <w:p w14:paraId="6774E959" w14:textId="77777777" w:rsidR="00490255" w:rsidRDefault="00490255" w:rsidP="000E4D54">
            <w:pPr>
              <w:jc w:val="center"/>
              <w:rPr>
                <w:rFonts w:cs="Calibri"/>
                <w:b/>
                <w:bCs/>
                <w:color w:val="000000"/>
                <w:sz w:val="18"/>
                <w:szCs w:val="18"/>
              </w:rPr>
            </w:pPr>
            <w:r>
              <w:rPr>
                <w:rFonts w:cs="Calibri"/>
                <w:b/>
                <w:bCs/>
                <w:color w:val="000000"/>
                <w:sz w:val="18"/>
                <w:szCs w:val="18"/>
              </w:rPr>
              <w:t>Vládna spotreba</w:t>
            </w:r>
          </w:p>
        </w:tc>
        <w:tc>
          <w:tcPr>
            <w:tcW w:w="992" w:type="dxa"/>
            <w:tcBorders>
              <w:top w:val="nil"/>
              <w:left w:val="nil"/>
              <w:bottom w:val="nil"/>
              <w:right w:val="nil"/>
            </w:tcBorders>
            <w:shd w:val="clear" w:color="auto" w:fill="auto"/>
            <w:vAlign w:val="center"/>
            <w:hideMark/>
          </w:tcPr>
          <w:p w14:paraId="0B28E9EE" w14:textId="77777777" w:rsidR="00490255" w:rsidRDefault="00490255" w:rsidP="000E4D54">
            <w:pPr>
              <w:jc w:val="center"/>
              <w:rPr>
                <w:rFonts w:cs="Calibri"/>
                <w:b/>
                <w:bCs/>
                <w:color w:val="000000"/>
                <w:sz w:val="18"/>
                <w:szCs w:val="18"/>
              </w:rPr>
            </w:pPr>
            <w:r>
              <w:rPr>
                <w:rFonts w:cs="Calibri"/>
                <w:b/>
                <w:bCs/>
                <w:color w:val="000000"/>
                <w:sz w:val="18"/>
                <w:szCs w:val="18"/>
              </w:rPr>
              <w:t>Reálne investície</w:t>
            </w:r>
          </w:p>
        </w:tc>
        <w:tc>
          <w:tcPr>
            <w:tcW w:w="880" w:type="dxa"/>
            <w:tcBorders>
              <w:top w:val="nil"/>
              <w:left w:val="nil"/>
              <w:bottom w:val="nil"/>
              <w:right w:val="nil"/>
            </w:tcBorders>
            <w:shd w:val="clear" w:color="auto" w:fill="auto"/>
            <w:vAlign w:val="center"/>
            <w:hideMark/>
          </w:tcPr>
          <w:p w14:paraId="3BA306D5" w14:textId="77777777" w:rsidR="00490255" w:rsidRDefault="00490255" w:rsidP="000E4D54">
            <w:pPr>
              <w:jc w:val="center"/>
              <w:rPr>
                <w:rFonts w:cs="Calibri"/>
                <w:b/>
                <w:bCs/>
                <w:color w:val="000000"/>
                <w:sz w:val="18"/>
                <w:szCs w:val="18"/>
              </w:rPr>
            </w:pPr>
            <w:r>
              <w:rPr>
                <w:rFonts w:cs="Calibri"/>
                <w:b/>
                <w:bCs/>
                <w:color w:val="000000"/>
                <w:sz w:val="18"/>
                <w:szCs w:val="18"/>
              </w:rPr>
              <w:t>Reálny export</w:t>
            </w:r>
          </w:p>
        </w:tc>
        <w:tc>
          <w:tcPr>
            <w:tcW w:w="1344" w:type="dxa"/>
            <w:tcBorders>
              <w:top w:val="nil"/>
              <w:left w:val="nil"/>
              <w:bottom w:val="nil"/>
              <w:right w:val="nil"/>
            </w:tcBorders>
            <w:shd w:val="clear" w:color="auto" w:fill="auto"/>
            <w:vAlign w:val="center"/>
            <w:hideMark/>
          </w:tcPr>
          <w:p w14:paraId="7849FC22" w14:textId="77777777" w:rsidR="00490255" w:rsidRDefault="00490255" w:rsidP="000E4D54">
            <w:pPr>
              <w:jc w:val="center"/>
              <w:rPr>
                <w:rFonts w:cs="Calibri"/>
                <w:b/>
                <w:bCs/>
                <w:color w:val="000000"/>
                <w:sz w:val="18"/>
                <w:szCs w:val="18"/>
              </w:rPr>
            </w:pPr>
            <w:r>
              <w:rPr>
                <w:rFonts w:cs="Calibri"/>
                <w:b/>
                <w:bCs/>
                <w:color w:val="000000"/>
                <w:sz w:val="18"/>
                <w:szCs w:val="18"/>
              </w:rPr>
              <w:t>Celková zamestnanosť</w:t>
            </w:r>
          </w:p>
        </w:tc>
        <w:tc>
          <w:tcPr>
            <w:tcW w:w="1195" w:type="dxa"/>
            <w:tcBorders>
              <w:top w:val="nil"/>
              <w:left w:val="nil"/>
              <w:bottom w:val="nil"/>
              <w:right w:val="nil"/>
            </w:tcBorders>
            <w:shd w:val="clear" w:color="auto" w:fill="auto"/>
            <w:vAlign w:val="center"/>
            <w:hideMark/>
          </w:tcPr>
          <w:p w14:paraId="495A8DA0" w14:textId="77777777" w:rsidR="00490255" w:rsidRDefault="00490255" w:rsidP="000E4D54">
            <w:pPr>
              <w:jc w:val="center"/>
              <w:rPr>
                <w:rFonts w:cs="Calibri"/>
                <w:b/>
                <w:bCs/>
                <w:color w:val="000000"/>
                <w:sz w:val="18"/>
                <w:szCs w:val="18"/>
              </w:rPr>
            </w:pPr>
            <w:r>
              <w:rPr>
                <w:rFonts w:cs="Calibri"/>
                <w:b/>
                <w:bCs/>
                <w:color w:val="000000"/>
                <w:sz w:val="18"/>
                <w:szCs w:val="18"/>
              </w:rPr>
              <w:t>Nominálne mzdy</w:t>
            </w:r>
          </w:p>
        </w:tc>
      </w:tr>
      <w:tr w:rsidR="00490255" w14:paraId="4E99EBCC" w14:textId="77777777" w:rsidTr="00293DD6">
        <w:trPr>
          <w:trHeight w:val="57"/>
        </w:trPr>
        <w:tc>
          <w:tcPr>
            <w:tcW w:w="422" w:type="dxa"/>
            <w:tcBorders>
              <w:top w:val="nil"/>
              <w:left w:val="nil"/>
              <w:bottom w:val="single" w:sz="12" w:space="0" w:color="000000"/>
              <w:right w:val="nil"/>
            </w:tcBorders>
            <w:shd w:val="clear" w:color="auto" w:fill="auto"/>
            <w:noWrap/>
            <w:vAlign w:val="center"/>
          </w:tcPr>
          <w:p w14:paraId="1546E3B2" w14:textId="77777777" w:rsidR="00490255" w:rsidRDefault="00490255" w:rsidP="000E4D54">
            <w:pPr>
              <w:rPr>
                <w:rFonts w:cs="Calibri"/>
                <w:color w:val="000000"/>
                <w:sz w:val="18"/>
                <w:szCs w:val="18"/>
              </w:rPr>
            </w:pPr>
          </w:p>
        </w:tc>
        <w:tc>
          <w:tcPr>
            <w:tcW w:w="880" w:type="dxa"/>
            <w:tcBorders>
              <w:top w:val="nil"/>
              <w:left w:val="nil"/>
              <w:bottom w:val="single" w:sz="12" w:space="0" w:color="000000"/>
              <w:right w:val="nil"/>
            </w:tcBorders>
            <w:shd w:val="clear" w:color="auto" w:fill="auto"/>
            <w:vAlign w:val="center"/>
          </w:tcPr>
          <w:p w14:paraId="5B99EE37" w14:textId="77777777" w:rsidR="00490255" w:rsidRDefault="00490255" w:rsidP="000E4D54">
            <w:pPr>
              <w:jc w:val="center"/>
              <w:rPr>
                <w:rFonts w:cs="Calibri"/>
                <w:b/>
                <w:bCs/>
                <w:color w:val="000000"/>
                <w:sz w:val="18"/>
                <w:szCs w:val="18"/>
              </w:rPr>
            </w:pPr>
          </w:p>
        </w:tc>
        <w:tc>
          <w:tcPr>
            <w:tcW w:w="1026" w:type="dxa"/>
            <w:tcBorders>
              <w:top w:val="nil"/>
              <w:left w:val="nil"/>
              <w:bottom w:val="single" w:sz="12" w:space="0" w:color="000000"/>
              <w:right w:val="nil"/>
            </w:tcBorders>
            <w:shd w:val="clear" w:color="auto" w:fill="auto"/>
            <w:vAlign w:val="center"/>
          </w:tcPr>
          <w:p w14:paraId="3B54A9EB" w14:textId="77777777" w:rsidR="00490255" w:rsidRDefault="00490255" w:rsidP="000E4D54">
            <w:pPr>
              <w:rPr>
                <w:rFonts w:cs="Calibri"/>
                <w:b/>
                <w:bCs/>
                <w:color w:val="000000"/>
                <w:sz w:val="18"/>
                <w:szCs w:val="18"/>
              </w:rPr>
            </w:pPr>
          </w:p>
        </w:tc>
        <w:tc>
          <w:tcPr>
            <w:tcW w:w="1116" w:type="dxa"/>
            <w:tcBorders>
              <w:top w:val="nil"/>
              <w:left w:val="nil"/>
              <w:bottom w:val="single" w:sz="12" w:space="0" w:color="000000"/>
              <w:right w:val="nil"/>
            </w:tcBorders>
            <w:shd w:val="clear" w:color="auto" w:fill="auto"/>
            <w:vAlign w:val="center"/>
          </w:tcPr>
          <w:p w14:paraId="3A077277" w14:textId="77777777" w:rsidR="00490255" w:rsidRDefault="00490255" w:rsidP="000E4D54">
            <w:pPr>
              <w:jc w:val="center"/>
              <w:rPr>
                <w:rFonts w:cs="Calibri"/>
                <w:b/>
                <w:bCs/>
                <w:color w:val="000000"/>
                <w:sz w:val="18"/>
                <w:szCs w:val="18"/>
              </w:rPr>
            </w:pPr>
          </w:p>
        </w:tc>
        <w:tc>
          <w:tcPr>
            <w:tcW w:w="1058" w:type="dxa"/>
            <w:tcBorders>
              <w:top w:val="nil"/>
              <w:left w:val="nil"/>
              <w:bottom w:val="single" w:sz="12" w:space="0" w:color="000000"/>
              <w:right w:val="nil"/>
            </w:tcBorders>
            <w:shd w:val="clear" w:color="auto" w:fill="auto"/>
            <w:vAlign w:val="center"/>
          </w:tcPr>
          <w:p w14:paraId="4ABF0DC1" w14:textId="77777777" w:rsidR="00490255" w:rsidRDefault="00490255" w:rsidP="000E4D54">
            <w:pPr>
              <w:jc w:val="center"/>
              <w:rPr>
                <w:rFonts w:cs="Calibri"/>
                <w:b/>
                <w:bCs/>
                <w:color w:val="000000"/>
                <w:sz w:val="18"/>
                <w:szCs w:val="18"/>
              </w:rPr>
            </w:pPr>
          </w:p>
        </w:tc>
        <w:tc>
          <w:tcPr>
            <w:tcW w:w="992" w:type="dxa"/>
            <w:tcBorders>
              <w:top w:val="nil"/>
              <w:left w:val="nil"/>
              <w:bottom w:val="single" w:sz="12" w:space="0" w:color="000000"/>
              <w:right w:val="nil"/>
            </w:tcBorders>
            <w:shd w:val="clear" w:color="auto" w:fill="auto"/>
            <w:vAlign w:val="center"/>
          </w:tcPr>
          <w:p w14:paraId="1E7F8CBE" w14:textId="77777777" w:rsidR="00490255" w:rsidRDefault="00490255" w:rsidP="000E4D54">
            <w:pPr>
              <w:jc w:val="center"/>
              <w:rPr>
                <w:rFonts w:cs="Calibri"/>
                <w:b/>
                <w:bCs/>
                <w:color w:val="000000"/>
                <w:sz w:val="18"/>
                <w:szCs w:val="18"/>
              </w:rPr>
            </w:pPr>
          </w:p>
        </w:tc>
        <w:tc>
          <w:tcPr>
            <w:tcW w:w="880" w:type="dxa"/>
            <w:tcBorders>
              <w:top w:val="nil"/>
              <w:left w:val="nil"/>
              <w:bottom w:val="single" w:sz="12" w:space="0" w:color="000000"/>
              <w:right w:val="nil"/>
            </w:tcBorders>
            <w:shd w:val="clear" w:color="auto" w:fill="auto"/>
            <w:vAlign w:val="center"/>
          </w:tcPr>
          <w:p w14:paraId="1E471085" w14:textId="77777777" w:rsidR="00490255" w:rsidRDefault="00490255" w:rsidP="000E4D54">
            <w:pPr>
              <w:jc w:val="center"/>
              <w:rPr>
                <w:rFonts w:cs="Calibri"/>
                <w:b/>
                <w:bCs/>
                <w:color w:val="000000"/>
                <w:sz w:val="18"/>
                <w:szCs w:val="18"/>
              </w:rPr>
            </w:pPr>
          </w:p>
        </w:tc>
        <w:tc>
          <w:tcPr>
            <w:tcW w:w="1344" w:type="dxa"/>
            <w:tcBorders>
              <w:top w:val="nil"/>
              <w:left w:val="nil"/>
              <w:bottom w:val="single" w:sz="12" w:space="0" w:color="auto"/>
              <w:right w:val="nil"/>
            </w:tcBorders>
            <w:shd w:val="clear" w:color="auto" w:fill="auto"/>
            <w:vAlign w:val="center"/>
          </w:tcPr>
          <w:p w14:paraId="27517A56" w14:textId="77777777" w:rsidR="00490255" w:rsidRDefault="00490255" w:rsidP="000E4D54">
            <w:pPr>
              <w:jc w:val="center"/>
              <w:rPr>
                <w:rFonts w:cs="Calibri"/>
                <w:color w:val="000000"/>
                <w:sz w:val="18"/>
                <w:szCs w:val="18"/>
              </w:rPr>
            </w:pPr>
          </w:p>
        </w:tc>
        <w:tc>
          <w:tcPr>
            <w:tcW w:w="1195" w:type="dxa"/>
            <w:tcBorders>
              <w:top w:val="nil"/>
              <w:left w:val="nil"/>
              <w:bottom w:val="single" w:sz="12" w:space="0" w:color="auto"/>
              <w:right w:val="nil"/>
            </w:tcBorders>
            <w:shd w:val="clear" w:color="auto" w:fill="auto"/>
            <w:vAlign w:val="center"/>
          </w:tcPr>
          <w:p w14:paraId="7BCEFBAC" w14:textId="77777777" w:rsidR="00490255" w:rsidRDefault="00490255" w:rsidP="000E4D54">
            <w:pPr>
              <w:jc w:val="center"/>
              <w:rPr>
                <w:rFonts w:cs="Calibri"/>
                <w:color w:val="000000"/>
                <w:sz w:val="18"/>
                <w:szCs w:val="18"/>
              </w:rPr>
            </w:pPr>
          </w:p>
        </w:tc>
      </w:tr>
      <w:tr w:rsidR="00490255" w14:paraId="75C3771B" w14:textId="77777777" w:rsidTr="00293DD6">
        <w:trPr>
          <w:trHeight w:val="255"/>
        </w:trPr>
        <w:tc>
          <w:tcPr>
            <w:tcW w:w="422" w:type="dxa"/>
            <w:tcBorders>
              <w:top w:val="nil"/>
              <w:left w:val="nil"/>
              <w:bottom w:val="nil"/>
              <w:right w:val="nil"/>
            </w:tcBorders>
            <w:shd w:val="clear" w:color="auto" w:fill="auto"/>
            <w:noWrap/>
            <w:vAlign w:val="center"/>
            <w:hideMark/>
          </w:tcPr>
          <w:p w14:paraId="01F7C3C2" w14:textId="77777777" w:rsidR="00490255" w:rsidRDefault="00490255" w:rsidP="000E4D54">
            <w:pPr>
              <w:jc w:val="center"/>
              <w:rPr>
                <w:rFonts w:cs="Calibri"/>
                <w:color w:val="000000"/>
                <w:sz w:val="18"/>
                <w:szCs w:val="18"/>
              </w:rPr>
            </w:pPr>
            <w:r>
              <w:rPr>
                <w:rFonts w:cs="Calibri"/>
                <w:color w:val="000000"/>
                <w:sz w:val="18"/>
                <w:szCs w:val="18"/>
              </w:rPr>
              <w:t>2022</w:t>
            </w:r>
          </w:p>
        </w:tc>
        <w:tc>
          <w:tcPr>
            <w:tcW w:w="880" w:type="dxa"/>
            <w:tcBorders>
              <w:top w:val="nil"/>
              <w:left w:val="nil"/>
              <w:bottom w:val="nil"/>
              <w:right w:val="nil"/>
            </w:tcBorders>
            <w:shd w:val="clear" w:color="auto" w:fill="auto"/>
            <w:noWrap/>
            <w:vAlign w:val="center"/>
            <w:hideMark/>
          </w:tcPr>
          <w:p w14:paraId="191DAA5E" w14:textId="77777777" w:rsidR="00490255" w:rsidRDefault="00490255" w:rsidP="000E4D54">
            <w:pPr>
              <w:jc w:val="center"/>
              <w:rPr>
                <w:rFonts w:cs="Calibri"/>
                <w:color w:val="000000"/>
                <w:sz w:val="18"/>
                <w:szCs w:val="18"/>
              </w:rPr>
            </w:pPr>
            <w:r>
              <w:rPr>
                <w:rFonts w:cs="Calibri"/>
                <w:color w:val="000000"/>
                <w:sz w:val="18"/>
                <w:szCs w:val="18"/>
              </w:rPr>
              <w:t>-1,6</w:t>
            </w:r>
          </w:p>
        </w:tc>
        <w:tc>
          <w:tcPr>
            <w:tcW w:w="1026" w:type="dxa"/>
            <w:tcBorders>
              <w:top w:val="nil"/>
              <w:left w:val="nil"/>
              <w:bottom w:val="nil"/>
              <w:right w:val="nil"/>
            </w:tcBorders>
            <w:shd w:val="clear" w:color="auto" w:fill="auto"/>
            <w:noWrap/>
            <w:vAlign w:val="center"/>
            <w:hideMark/>
          </w:tcPr>
          <w:p w14:paraId="221D972B" w14:textId="77777777" w:rsidR="00490255" w:rsidRDefault="00490255" w:rsidP="000E4D54">
            <w:pPr>
              <w:jc w:val="center"/>
              <w:rPr>
                <w:rFonts w:cs="Calibri"/>
                <w:color w:val="000000"/>
                <w:sz w:val="18"/>
                <w:szCs w:val="18"/>
              </w:rPr>
            </w:pPr>
            <w:r>
              <w:rPr>
                <w:rFonts w:cs="Calibri"/>
                <w:color w:val="000000"/>
                <w:sz w:val="18"/>
                <w:szCs w:val="18"/>
              </w:rPr>
              <w:t>0,7</w:t>
            </w:r>
          </w:p>
        </w:tc>
        <w:tc>
          <w:tcPr>
            <w:tcW w:w="1116" w:type="dxa"/>
            <w:tcBorders>
              <w:top w:val="nil"/>
              <w:left w:val="nil"/>
              <w:bottom w:val="nil"/>
              <w:right w:val="nil"/>
            </w:tcBorders>
            <w:shd w:val="clear" w:color="auto" w:fill="auto"/>
            <w:noWrap/>
            <w:vAlign w:val="center"/>
            <w:hideMark/>
          </w:tcPr>
          <w:p w14:paraId="643D0DE2" w14:textId="77777777" w:rsidR="00490255" w:rsidRDefault="00490255" w:rsidP="000E4D54">
            <w:pPr>
              <w:jc w:val="center"/>
              <w:rPr>
                <w:rFonts w:cs="Calibri"/>
                <w:color w:val="000000"/>
                <w:sz w:val="18"/>
                <w:szCs w:val="18"/>
              </w:rPr>
            </w:pPr>
            <w:r>
              <w:rPr>
                <w:rFonts w:cs="Calibri"/>
                <w:color w:val="000000"/>
                <w:sz w:val="18"/>
                <w:szCs w:val="18"/>
              </w:rPr>
              <w:t>-0,6</w:t>
            </w:r>
          </w:p>
        </w:tc>
        <w:tc>
          <w:tcPr>
            <w:tcW w:w="1058" w:type="dxa"/>
            <w:tcBorders>
              <w:top w:val="nil"/>
              <w:left w:val="nil"/>
              <w:bottom w:val="nil"/>
              <w:right w:val="nil"/>
            </w:tcBorders>
            <w:shd w:val="clear" w:color="auto" w:fill="auto"/>
            <w:noWrap/>
            <w:vAlign w:val="center"/>
            <w:hideMark/>
          </w:tcPr>
          <w:p w14:paraId="154A78F6" w14:textId="77777777" w:rsidR="00490255" w:rsidRDefault="00490255" w:rsidP="000E4D54">
            <w:pPr>
              <w:jc w:val="center"/>
              <w:rPr>
                <w:rFonts w:cs="Calibri"/>
                <w:color w:val="000000"/>
                <w:sz w:val="18"/>
                <w:szCs w:val="18"/>
              </w:rPr>
            </w:pPr>
            <w:r>
              <w:rPr>
                <w:rFonts w:cs="Calibri"/>
                <w:color w:val="000000"/>
                <w:sz w:val="18"/>
                <w:szCs w:val="18"/>
              </w:rPr>
              <w:t>-0,6</w:t>
            </w:r>
          </w:p>
        </w:tc>
        <w:tc>
          <w:tcPr>
            <w:tcW w:w="992" w:type="dxa"/>
            <w:tcBorders>
              <w:top w:val="nil"/>
              <w:left w:val="nil"/>
              <w:bottom w:val="nil"/>
              <w:right w:val="nil"/>
            </w:tcBorders>
            <w:shd w:val="clear" w:color="auto" w:fill="auto"/>
            <w:noWrap/>
            <w:vAlign w:val="center"/>
            <w:hideMark/>
          </w:tcPr>
          <w:p w14:paraId="650F3162" w14:textId="77777777" w:rsidR="00490255" w:rsidRDefault="00490255" w:rsidP="000E4D54">
            <w:pPr>
              <w:jc w:val="center"/>
              <w:rPr>
                <w:rFonts w:cs="Calibri"/>
                <w:color w:val="000000"/>
                <w:sz w:val="18"/>
                <w:szCs w:val="18"/>
              </w:rPr>
            </w:pPr>
            <w:r>
              <w:rPr>
                <w:rFonts w:cs="Calibri"/>
                <w:color w:val="000000"/>
                <w:sz w:val="18"/>
                <w:szCs w:val="18"/>
              </w:rPr>
              <w:t>-1,6</w:t>
            </w:r>
          </w:p>
        </w:tc>
        <w:tc>
          <w:tcPr>
            <w:tcW w:w="880" w:type="dxa"/>
            <w:tcBorders>
              <w:top w:val="nil"/>
              <w:left w:val="nil"/>
              <w:bottom w:val="nil"/>
              <w:right w:val="nil"/>
            </w:tcBorders>
            <w:shd w:val="clear" w:color="auto" w:fill="auto"/>
            <w:noWrap/>
            <w:vAlign w:val="center"/>
            <w:hideMark/>
          </w:tcPr>
          <w:p w14:paraId="12E66967" w14:textId="77777777" w:rsidR="00490255" w:rsidRDefault="00490255" w:rsidP="000E4D54">
            <w:pPr>
              <w:jc w:val="center"/>
              <w:rPr>
                <w:rFonts w:cs="Calibri"/>
                <w:color w:val="000000"/>
                <w:sz w:val="18"/>
                <w:szCs w:val="18"/>
              </w:rPr>
            </w:pPr>
            <w:r>
              <w:rPr>
                <w:rFonts w:cs="Calibri"/>
                <w:color w:val="000000"/>
                <w:sz w:val="18"/>
                <w:szCs w:val="18"/>
              </w:rPr>
              <w:t>-5,2</w:t>
            </w:r>
          </w:p>
        </w:tc>
        <w:tc>
          <w:tcPr>
            <w:tcW w:w="1344" w:type="dxa"/>
            <w:tcBorders>
              <w:top w:val="nil"/>
              <w:left w:val="nil"/>
              <w:bottom w:val="nil"/>
              <w:right w:val="nil"/>
            </w:tcBorders>
            <w:shd w:val="clear" w:color="auto" w:fill="auto"/>
            <w:noWrap/>
            <w:vAlign w:val="center"/>
            <w:hideMark/>
          </w:tcPr>
          <w:p w14:paraId="2C663E01" w14:textId="77777777" w:rsidR="00490255" w:rsidRDefault="00490255" w:rsidP="000E4D54">
            <w:pPr>
              <w:jc w:val="center"/>
              <w:rPr>
                <w:rFonts w:cs="Calibri"/>
                <w:color w:val="000000"/>
                <w:sz w:val="18"/>
                <w:szCs w:val="18"/>
              </w:rPr>
            </w:pPr>
            <w:r>
              <w:rPr>
                <w:rFonts w:cs="Calibri"/>
                <w:color w:val="000000"/>
                <w:sz w:val="18"/>
                <w:szCs w:val="18"/>
              </w:rPr>
              <w:t>-0,3</w:t>
            </w:r>
          </w:p>
        </w:tc>
        <w:tc>
          <w:tcPr>
            <w:tcW w:w="1195" w:type="dxa"/>
            <w:tcBorders>
              <w:top w:val="nil"/>
              <w:left w:val="nil"/>
              <w:bottom w:val="nil"/>
              <w:right w:val="nil"/>
            </w:tcBorders>
            <w:shd w:val="clear" w:color="auto" w:fill="auto"/>
            <w:noWrap/>
            <w:vAlign w:val="center"/>
            <w:hideMark/>
          </w:tcPr>
          <w:p w14:paraId="69657EEF" w14:textId="77777777" w:rsidR="00490255" w:rsidRDefault="00490255" w:rsidP="000E4D54">
            <w:pPr>
              <w:jc w:val="center"/>
              <w:rPr>
                <w:rFonts w:cs="Calibri"/>
                <w:color w:val="000000"/>
                <w:sz w:val="18"/>
                <w:szCs w:val="18"/>
              </w:rPr>
            </w:pPr>
            <w:r>
              <w:rPr>
                <w:rFonts w:cs="Calibri"/>
                <w:color w:val="000000"/>
                <w:sz w:val="18"/>
                <w:szCs w:val="18"/>
              </w:rPr>
              <w:t>-0,3</w:t>
            </w:r>
          </w:p>
        </w:tc>
      </w:tr>
      <w:tr w:rsidR="00490255" w14:paraId="207D28F1" w14:textId="77777777" w:rsidTr="00293DD6">
        <w:trPr>
          <w:trHeight w:val="206"/>
        </w:trPr>
        <w:tc>
          <w:tcPr>
            <w:tcW w:w="422" w:type="dxa"/>
            <w:tcBorders>
              <w:top w:val="nil"/>
              <w:left w:val="nil"/>
              <w:bottom w:val="nil"/>
              <w:right w:val="nil"/>
            </w:tcBorders>
            <w:shd w:val="clear" w:color="auto" w:fill="auto"/>
            <w:noWrap/>
            <w:vAlign w:val="center"/>
            <w:hideMark/>
          </w:tcPr>
          <w:p w14:paraId="66BD304E" w14:textId="77777777" w:rsidR="00490255" w:rsidRDefault="00490255" w:rsidP="000E4D54">
            <w:pPr>
              <w:jc w:val="center"/>
              <w:rPr>
                <w:rFonts w:cs="Calibri"/>
                <w:color w:val="000000"/>
                <w:sz w:val="18"/>
                <w:szCs w:val="18"/>
              </w:rPr>
            </w:pPr>
            <w:r>
              <w:rPr>
                <w:rFonts w:cs="Calibri"/>
                <w:color w:val="000000"/>
                <w:sz w:val="18"/>
                <w:szCs w:val="18"/>
              </w:rPr>
              <w:t>2023</w:t>
            </w:r>
          </w:p>
        </w:tc>
        <w:tc>
          <w:tcPr>
            <w:tcW w:w="880" w:type="dxa"/>
            <w:tcBorders>
              <w:top w:val="nil"/>
              <w:left w:val="nil"/>
              <w:bottom w:val="nil"/>
              <w:right w:val="nil"/>
            </w:tcBorders>
            <w:shd w:val="clear" w:color="auto" w:fill="auto"/>
            <w:noWrap/>
            <w:vAlign w:val="center"/>
            <w:hideMark/>
          </w:tcPr>
          <w:p w14:paraId="02F316F4" w14:textId="77777777" w:rsidR="00490255" w:rsidRDefault="00490255" w:rsidP="000E4D54">
            <w:pPr>
              <w:jc w:val="center"/>
              <w:rPr>
                <w:rFonts w:cs="Calibri"/>
                <w:color w:val="000000"/>
                <w:sz w:val="18"/>
                <w:szCs w:val="18"/>
              </w:rPr>
            </w:pPr>
            <w:r>
              <w:rPr>
                <w:rFonts w:cs="Calibri"/>
                <w:color w:val="000000"/>
                <w:sz w:val="18"/>
                <w:szCs w:val="18"/>
              </w:rPr>
              <w:t>-3,3</w:t>
            </w:r>
          </w:p>
        </w:tc>
        <w:tc>
          <w:tcPr>
            <w:tcW w:w="1026" w:type="dxa"/>
            <w:tcBorders>
              <w:top w:val="nil"/>
              <w:left w:val="nil"/>
              <w:bottom w:val="nil"/>
              <w:right w:val="nil"/>
            </w:tcBorders>
            <w:shd w:val="clear" w:color="auto" w:fill="auto"/>
            <w:noWrap/>
            <w:vAlign w:val="center"/>
            <w:hideMark/>
          </w:tcPr>
          <w:p w14:paraId="42C4305C" w14:textId="77777777" w:rsidR="00490255" w:rsidRDefault="00490255" w:rsidP="000E4D54">
            <w:pPr>
              <w:jc w:val="center"/>
              <w:rPr>
                <w:rFonts w:cs="Calibri"/>
                <w:color w:val="000000"/>
                <w:sz w:val="18"/>
                <w:szCs w:val="18"/>
              </w:rPr>
            </w:pPr>
            <w:r>
              <w:rPr>
                <w:rFonts w:cs="Calibri"/>
                <w:color w:val="000000"/>
                <w:sz w:val="18"/>
                <w:szCs w:val="18"/>
              </w:rPr>
              <w:t>4,1</w:t>
            </w:r>
          </w:p>
        </w:tc>
        <w:tc>
          <w:tcPr>
            <w:tcW w:w="1116" w:type="dxa"/>
            <w:tcBorders>
              <w:top w:val="nil"/>
              <w:left w:val="nil"/>
              <w:bottom w:val="nil"/>
              <w:right w:val="nil"/>
            </w:tcBorders>
            <w:shd w:val="clear" w:color="auto" w:fill="auto"/>
            <w:noWrap/>
            <w:vAlign w:val="center"/>
            <w:hideMark/>
          </w:tcPr>
          <w:p w14:paraId="7B800938" w14:textId="77777777" w:rsidR="00490255" w:rsidRDefault="00490255" w:rsidP="000E4D54">
            <w:pPr>
              <w:jc w:val="center"/>
              <w:rPr>
                <w:rFonts w:cs="Calibri"/>
                <w:color w:val="000000"/>
                <w:sz w:val="18"/>
                <w:szCs w:val="18"/>
              </w:rPr>
            </w:pPr>
            <w:r>
              <w:rPr>
                <w:rFonts w:cs="Calibri"/>
                <w:color w:val="000000"/>
                <w:sz w:val="18"/>
                <w:szCs w:val="18"/>
              </w:rPr>
              <w:t>-2,1</w:t>
            </w:r>
          </w:p>
        </w:tc>
        <w:tc>
          <w:tcPr>
            <w:tcW w:w="1058" w:type="dxa"/>
            <w:tcBorders>
              <w:top w:val="nil"/>
              <w:left w:val="nil"/>
              <w:bottom w:val="nil"/>
              <w:right w:val="nil"/>
            </w:tcBorders>
            <w:shd w:val="clear" w:color="auto" w:fill="auto"/>
            <w:noWrap/>
            <w:vAlign w:val="center"/>
            <w:hideMark/>
          </w:tcPr>
          <w:p w14:paraId="79EEAB57" w14:textId="77777777" w:rsidR="00490255" w:rsidRDefault="00490255" w:rsidP="000E4D54">
            <w:pPr>
              <w:jc w:val="center"/>
              <w:rPr>
                <w:rFonts w:cs="Calibri"/>
                <w:color w:val="000000"/>
                <w:sz w:val="18"/>
                <w:szCs w:val="18"/>
              </w:rPr>
            </w:pPr>
            <w:r>
              <w:rPr>
                <w:rFonts w:cs="Calibri"/>
                <w:color w:val="000000"/>
                <w:sz w:val="18"/>
                <w:szCs w:val="18"/>
              </w:rPr>
              <w:t>-1,2</w:t>
            </w:r>
          </w:p>
        </w:tc>
        <w:tc>
          <w:tcPr>
            <w:tcW w:w="992" w:type="dxa"/>
            <w:tcBorders>
              <w:top w:val="nil"/>
              <w:left w:val="nil"/>
              <w:bottom w:val="nil"/>
              <w:right w:val="nil"/>
            </w:tcBorders>
            <w:shd w:val="clear" w:color="auto" w:fill="auto"/>
            <w:noWrap/>
            <w:vAlign w:val="center"/>
            <w:hideMark/>
          </w:tcPr>
          <w:p w14:paraId="54302E80" w14:textId="77777777" w:rsidR="00490255" w:rsidRDefault="00490255" w:rsidP="000E4D54">
            <w:pPr>
              <w:jc w:val="center"/>
              <w:rPr>
                <w:rFonts w:cs="Calibri"/>
                <w:color w:val="000000"/>
                <w:sz w:val="18"/>
                <w:szCs w:val="18"/>
              </w:rPr>
            </w:pPr>
            <w:r>
              <w:rPr>
                <w:rFonts w:cs="Calibri"/>
                <w:color w:val="000000"/>
                <w:sz w:val="18"/>
                <w:szCs w:val="18"/>
              </w:rPr>
              <w:t>-5,1</w:t>
            </w:r>
          </w:p>
        </w:tc>
        <w:tc>
          <w:tcPr>
            <w:tcW w:w="880" w:type="dxa"/>
            <w:tcBorders>
              <w:top w:val="nil"/>
              <w:left w:val="nil"/>
              <w:bottom w:val="nil"/>
              <w:right w:val="nil"/>
            </w:tcBorders>
            <w:shd w:val="clear" w:color="auto" w:fill="auto"/>
            <w:noWrap/>
            <w:vAlign w:val="center"/>
            <w:hideMark/>
          </w:tcPr>
          <w:p w14:paraId="5774D51E" w14:textId="77777777" w:rsidR="00490255" w:rsidRDefault="00490255" w:rsidP="000E4D54">
            <w:pPr>
              <w:jc w:val="center"/>
              <w:rPr>
                <w:rFonts w:cs="Calibri"/>
                <w:color w:val="000000"/>
                <w:sz w:val="18"/>
                <w:szCs w:val="18"/>
              </w:rPr>
            </w:pPr>
            <w:r>
              <w:rPr>
                <w:rFonts w:cs="Calibri"/>
                <w:color w:val="000000"/>
                <w:sz w:val="18"/>
                <w:szCs w:val="18"/>
              </w:rPr>
              <w:t>-6,5</w:t>
            </w:r>
          </w:p>
        </w:tc>
        <w:tc>
          <w:tcPr>
            <w:tcW w:w="1344" w:type="dxa"/>
            <w:tcBorders>
              <w:top w:val="nil"/>
              <w:left w:val="nil"/>
              <w:bottom w:val="nil"/>
              <w:right w:val="nil"/>
            </w:tcBorders>
            <w:shd w:val="clear" w:color="auto" w:fill="auto"/>
            <w:noWrap/>
            <w:vAlign w:val="center"/>
            <w:hideMark/>
          </w:tcPr>
          <w:p w14:paraId="3820B9F7" w14:textId="77777777" w:rsidR="00490255" w:rsidRDefault="00490255" w:rsidP="000E4D54">
            <w:pPr>
              <w:jc w:val="center"/>
              <w:rPr>
                <w:rFonts w:cs="Calibri"/>
                <w:color w:val="000000"/>
                <w:sz w:val="18"/>
                <w:szCs w:val="18"/>
              </w:rPr>
            </w:pPr>
            <w:r>
              <w:rPr>
                <w:rFonts w:cs="Calibri"/>
                <w:color w:val="000000"/>
                <w:sz w:val="18"/>
                <w:szCs w:val="18"/>
              </w:rPr>
              <w:t>-0,9</w:t>
            </w:r>
          </w:p>
        </w:tc>
        <w:tc>
          <w:tcPr>
            <w:tcW w:w="1195" w:type="dxa"/>
            <w:tcBorders>
              <w:top w:val="nil"/>
              <w:left w:val="nil"/>
              <w:bottom w:val="nil"/>
              <w:right w:val="nil"/>
            </w:tcBorders>
            <w:shd w:val="clear" w:color="auto" w:fill="auto"/>
            <w:noWrap/>
            <w:vAlign w:val="center"/>
            <w:hideMark/>
          </w:tcPr>
          <w:p w14:paraId="5A8AF8F1" w14:textId="77777777" w:rsidR="00490255" w:rsidRDefault="00490255" w:rsidP="000E4D54">
            <w:pPr>
              <w:jc w:val="center"/>
              <w:rPr>
                <w:rFonts w:cs="Calibri"/>
                <w:color w:val="000000"/>
                <w:sz w:val="18"/>
                <w:szCs w:val="18"/>
              </w:rPr>
            </w:pPr>
            <w:r>
              <w:rPr>
                <w:rFonts w:cs="Calibri"/>
                <w:color w:val="000000"/>
                <w:sz w:val="18"/>
                <w:szCs w:val="18"/>
              </w:rPr>
              <w:t>-0,5</w:t>
            </w:r>
          </w:p>
        </w:tc>
      </w:tr>
      <w:tr w:rsidR="00490255" w14:paraId="1C831343" w14:textId="77777777" w:rsidTr="00293DD6">
        <w:trPr>
          <w:trHeight w:val="206"/>
        </w:trPr>
        <w:tc>
          <w:tcPr>
            <w:tcW w:w="422" w:type="dxa"/>
            <w:tcBorders>
              <w:top w:val="nil"/>
              <w:left w:val="nil"/>
              <w:bottom w:val="nil"/>
              <w:right w:val="nil"/>
            </w:tcBorders>
            <w:shd w:val="clear" w:color="auto" w:fill="auto"/>
            <w:noWrap/>
            <w:vAlign w:val="center"/>
            <w:hideMark/>
          </w:tcPr>
          <w:p w14:paraId="7C9874E5" w14:textId="77777777" w:rsidR="00490255" w:rsidRDefault="00490255" w:rsidP="000E4D54">
            <w:pPr>
              <w:jc w:val="center"/>
              <w:rPr>
                <w:rFonts w:cs="Calibri"/>
                <w:color w:val="000000"/>
                <w:sz w:val="18"/>
                <w:szCs w:val="18"/>
              </w:rPr>
            </w:pPr>
            <w:r>
              <w:rPr>
                <w:rFonts w:cs="Calibri"/>
                <w:color w:val="000000"/>
                <w:sz w:val="18"/>
                <w:szCs w:val="18"/>
              </w:rPr>
              <w:t>2024</w:t>
            </w:r>
          </w:p>
        </w:tc>
        <w:tc>
          <w:tcPr>
            <w:tcW w:w="880" w:type="dxa"/>
            <w:tcBorders>
              <w:top w:val="nil"/>
              <w:left w:val="nil"/>
              <w:bottom w:val="nil"/>
              <w:right w:val="nil"/>
            </w:tcBorders>
            <w:shd w:val="clear" w:color="auto" w:fill="auto"/>
            <w:noWrap/>
            <w:vAlign w:val="center"/>
            <w:hideMark/>
          </w:tcPr>
          <w:p w14:paraId="7FC9831A" w14:textId="77777777" w:rsidR="00490255" w:rsidRDefault="00490255" w:rsidP="000E4D54">
            <w:pPr>
              <w:jc w:val="center"/>
              <w:rPr>
                <w:rFonts w:cs="Calibri"/>
                <w:color w:val="000000"/>
                <w:sz w:val="18"/>
                <w:szCs w:val="18"/>
              </w:rPr>
            </w:pPr>
            <w:r>
              <w:rPr>
                <w:rFonts w:cs="Calibri"/>
                <w:color w:val="000000"/>
                <w:sz w:val="18"/>
                <w:szCs w:val="18"/>
              </w:rPr>
              <w:t>-3,2</w:t>
            </w:r>
          </w:p>
        </w:tc>
        <w:tc>
          <w:tcPr>
            <w:tcW w:w="1026" w:type="dxa"/>
            <w:tcBorders>
              <w:top w:val="nil"/>
              <w:left w:val="nil"/>
              <w:bottom w:val="nil"/>
              <w:right w:val="nil"/>
            </w:tcBorders>
            <w:shd w:val="clear" w:color="auto" w:fill="auto"/>
            <w:noWrap/>
            <w:vAlign w:val="center"/>
            <w:hideMark/>
          </w:tcPr>
          <w:p w14:paraId="70B77DD8" w14:textId="77777777" w:rsidR="00490255" w:rsidRDefault="00490255" w:rsidP="000E4D54">
            <w:pPr>
              <w:jc w:val="center"/>
              <w:rPr>
                <w:rFonts w:cs="Calibri"/>
                <w:color w:val="000000"/>
                <w:sz w:val="18"/>
                <w:szCs w:val="18"/>
              </w:rPr>
            </w:pPr>
            <w:r>
              <w:rPr>
                <w:rFonts w:cs="Calibri"/>
                <w:color w:val="000000"/>
                <w:sz w:val="18"/>
                <w:szCs w:val="18"/>
              </w:rPr>
              <w:t>4,4</w:t>
            </w:r>
          </w:p>
        </w:tc>
        <w:tc>
          <w:tcPr>
            <w:tcW w:w="1116" w:type="dxa"/>
            <w:tcBorders>
              <w:top w:val="nil"/>
              <w:left w:val="nil"/>
              <w:bottom w:val="nil"/>
              <w:right w:val="nil"/>
            </w:tcBorders>
            <w:shd w:val="clear" w:color="auto" w:fill="auto"/>
            <w:noWrap/>
            <w:vAlign w:val="center"/>
            <w:hideMark/>
          </w:tcPr>
          <w:p w14:paraId="4A63BBFB" w14:textId="77777777" w:rsidR="00490255" w:rsidRDefault="00490255" w:rsidP="000E4D54">
            <w:pPr>
              <w:jc w:val="center"/>
              <w:rPr>
                <w:rFonts w:cs="Calibri"/>
                <w:color w:val="000000"/>
                <w:sz w:val="18"/>
                <w:szCs w:val="18"/>
              </w:rPr>
            </w:pPr>
            <w:r>
              <w:rPr>
                <w:rFonts w:cs="Calibri"/>
                <w:color w:val="000000"/>
                <w:sz w:val="18"/>
                <w:szCs w:val="18"/>
              </w:rPr>
              <w:t>-1,7</w:t>
            </w:r>
          </w:p>
        </w:tc>
        <w:tc>
          <w:tcPr>
            <w:tcW w:w="1058" w:type="dxa"/>
            <w:tcBorders>
              <w:top w:val="nil"/>
              <w:left w:val="nil"/>
              <w:bottom w:val="nil"/>
              <w:right w:val="nil"/>
            </w:tcBorders>
            <w:shd w:val="clear" w:color="auto" w:fill="auto"/>
            <w:noWrap/>
            <w:vAlign w:val="center"/>
            <w:hideMark/>
          </w:tcPr>
          <w:p w14:paraId="6F2F7767" w14:textId="77777777" w:rsidR="00490255" w:rsidRDefault="00490255" w:rsidP="000E4D54">
            <w:pPr>
              <w:jc w:val="center"/>
              <w:rPr>
                <w:rFonts w:cs="Calibri"/>
                <w:color w:val="000000"/>
                <w:sz w:val="18"/>
                <w:szCs w:val="18"/>
              </w:rPr>
            </w:pPr>
            <w:r>
              <w:rPr>
                <w:rFonts w:cs="Calibri"/>
                <w:color w:val="000000"/>
                <w:sz w:val="18"/>
                <w:szCs w:val="18"/>
              </w:rPr>
              <w:t>-1,2</w:t>
            </w:r>
          </w:p>
        </w:tc>
        <w:tc>
          <w:tcPr>
            <w:tcW w:w="992" w:type="dxa"/>
            <w:tcBorders>
              <w:top w:val="nil"/>
              <w:left w:val="nil"/>
              <w:bottom w:val="nil"/>
              <w:right w:val="nil"/>
            </w:tcBorders>
            <w:shd w:val="clear" w:color="auto" w:fill="auto"/>
            <w:noWrap/>
            <w:vAlign w:val="center"/>
            <w:hideMark/>
          </w:tcPr>
          <w:p w14:paraId="0B04A7DA" w14:textId="77777777" w:rsidR="00490255" w:rsidRDefault="00490255" w:rsidP="000E4D54">
            <w:pPr>
              <w:jc w:val="center"/>
              <w:rPr>
                <w:rFonts w:cs="Calibri"/>
                <w:color w:val="000000"/>
                <w:sz w:val="18"/>
                <w:szCs w:val="18"/>
              </w:rPr>
            </w:pPr>
            <w:r>
              <w:rPr>
                <w:rFonts w:cs="Calibri"/>
                <w:color w:val="000000"/>
                <w:sz w:val="18"/>
                <w:szCs w:val="18"/>
              </w:rPr>
              <w:t>-4,9</w:t>
            </w:r>
          </w:p>
        </w:tc>
        <w:tc>
          <w:tcPr>
            <w:tcW w:w="880" w:type="dxa"/>
            <w:tcBorders>
              <w:top w:val="nil"/>
              <w:left w:val="nil"/>
              <w:bottom w:val="nil"/>
              <w:right w:val="nil"/>
            </w:tcBorders>
            <w:shd w:val="clear" w:color="auto" w:fill="auto"/>
            <w:noWrap/>
            <w:vAlign w:val="center"/>
            <w:hideMark/>
          </w:tcPr>
          <w:p w14:paraId="4CA80C5E" w14:textId="77777777" w:rsidR="00490255" w:rsidRDefault="00490255" w:rsidP="000E4D54">
            <w:pPr>
              <w:jc w:val="center"/>
              <w:rPr>
                <w:rFonts w:cs="Calibri"/>
                <w:color w:val="000000"/>
                <w:sz w:val="18"/>
                <w:szCs w:val="18"/>
              </w:rPr>
            </w:pPr>
            <w:r>
              <w:rPr>
                <w:rFonts w:cs="Calibri"/>
                <w:color w:val="000000"/>
                <w:sz w:val="18"/>
                <w:szCs w:val="18"/>
              </w:rPr>
              <w:t>-5,9</w:t>
            </w:r>
          </w:p>
        </w:tc>
        <w:tc>
          <w:tcPr>
            <w:tcW w:w="1344" w:type="dxa"/>
            <w:tcBorders>
              <w:top w:val="nil"/>
              <w:left w:val="nil"/>
              <w:bottom w:val="nil"/>
              <w:right w:val="nil"/>
            </w:tcBorders>
            <w:shd w:val="clear" w:color="auto" w:fill="auto"/>
            <w:noWrap/>
            <w:vAlign w:val="center"/>
            <w:hideMark/>
          </w:tcPr>
          <w:p w14:paraId="65EF5880" w14:textId="77777777" w:rsidR="00490255" w:rsidRDefault="00490255" w:rsidP="000E4D54">
            <w:pPr>
              <w:jc w:val="center"/>
              <w:rPr>
                <w:rFonts w:cs="Calibri"/>
                <w:color w:val="000000"/>
                <w:sz w:val="18"/>
                <w:szCs w:val="18"/>
              </w:rPr>
            </w:pPr>
            <w:r>
              <w:rPr>
                <w:rFonts w:cs="Calibri"/>
                <w:color w:val="000000"/>
                <w:sz w:val="18"/>
                <w:szCs w:val="18"/>
              </w:rPr>
              <w:t>-1,3</w:t>
            </w:r>
          </w:p>
        </w:tc>
        <w:tc>
          <w:tcPr>
            <w:tcW w:w="1195" w:type="dxa"/>
            <w:tcBorders>
              <w:top w:val="nil"/>
              <w:left w:val="nil"/>
              <w:bottom w:val="nil"/>
              <w:right w:val="nil"/>
            </w:tcBorders>
            <w:shd w:val="clear" w:color="auto" w:fill="auto"/>
            <w:noWrap/>
            <w:vAlign w:val="center"/>
            <w:hideMark/>
          </w:tcPr>
          <w:p w14:paraId="2A2304FC" w14:textId="77777777" w:rsidR="00490255" w:rsidRDefault="00490255" w:rsidP="000E4D54">
            <w:pPr>
              <w:jc w:val="center"/>
              <w:rPr>
                <w:rFonts w:cs="Calibri"/>
                <w:color w:val="000000"/>
                <w:sz w:val="18"/>
                <w:szCs w:val="18"/>
              </w:rPr>
            </w:pPr>
            <w:r>
              <w:rPr>
                <w:rFonts w:cs="Calibri"/>
                <w:color w:val="000000"/>
                <w:sz w:val="18"/>
                <w:szCs w:val="18"/>
              </w:rPr>
              <w:t>1,1</w:t>
            </w:r>
          </w:p>
        </w:tc>
      </w:tr>
      <w:tr w:rsidR="00490255" w14:paraId="007247D1" w14:textId="77777777" w:rsidTr="00293DD6">
        <w:trPr>
          <w:trHeight w:val="215"/>
        </w:trPr>
        <w:tc>
          <w:tcPr>
            <w:tcW w:w="422" w:type="dxa"/>
            <w:tcBorders>
              <w:top w:val="nil"/>
              <w:left w:val="nil"/>
              <w:bottom w:val="nil"/>
              <w:right w:val="nil"/>
            </w:tcBorders>
            <w:shd w:val="clear" w:color="auto" w:fill="auto"/>
            <w:noWrap/>
            <w:vAlign w:val="center"/>
            <w:hideMark/>
          </w:tcPr>
          <w:p w14:paraId="6B86B167" w14:textId="77777777" w:rsidR="00490255" w:rsidRDefault="00490255" w:rsidP="000E4D54">
            <w:pPr>
              <w:jc w:val="center"/>
              <w:rPr>
                <w:rFonts w:cs="Calibri"/>
                <w:color w:val="000000"/>
                <w:sz w:val="18"/>
                <w:szCs w:val="18"/>
              </w:rPr>
            </w:pPr>
            <w:r>
              <w:rPr>
                <w:rFonts w:cs="Calibri"/>
                <w:color w:val="000000"/>
                <w:sz w:val="18"/>
                <w:szCs w:val="18"/>
              </w:rPr>
              <w:t>2025</w:t>
            </w:r>
          </w:p>
        </w:tc>
        <w:tc>
          <w:tcPr>
            <w:tcW w:w="880" w:type="dxa"/>
            <w:tcBorders>
              <w:top w:val="nil"/>
              <w:left w:val="nil"/>
              <w:bottom w:val="nil"/>
              <w:right w:val="nil"/>
            </w:tcBorders>
            <w:shd w:val="clear" w:color="auto" w:fill="auto"/>
            <w:noWrap/>
            <w:vAlign w:val="center"/>
            <w:hideMark/>
          </w:tcPr>
          <w:p w14:paraId="2950A1DF" w14:textId="77777777" w:rsidR="00490255" w:rsidRDefault="00490255" w:rsidP="000E4D54">
            <w:pPr>
              <w:jc w:val="center"/>
              <w:rPr>
                <w:rFonts w:cs="Calibri"/>
                <w:color w:val="000000"/>
                <w:sz w:val="18"/>
                <w:szCs w:val="18"/>
              </w:rPr>
            </w:pPr>
            <w:r>
              <w:rPr>
                <w:rFonts w:cs="Calibri"/>
                <w:color w:val="000000"/>
                <w:sz w:val="18"/>
                <w:szCs w:val="18"/>
              </w:rPr>
              <w:t>-3,0</w:t>
            </w:r>
          </w:p>
        </w:tc>
        <w:tc>
          <w:tcPr>
            <w:tcW w:w="1026" w:type="dxa"/>
            <w:tcBorders>
              <w:top w:val="nil"/>
              <w:left w:val="nil"/>
              <w:bottom w:val="nil"/>
              <w:right w:val="nil"/>
            </w:tcBorders>
            <w:shd w:val="clear" w:color="auto" w:fill="auto"/>
            <w:noWrap/>
            <w:vAlign w:val="center"/>
            <w:hideMark/>
          </w:tcPr>
          <w:p w14:paraId="155EBFC1" w14:textId="77777777" w:rsidR="00490255" w:rsidRDefault="00490255" w:rsidP="000E4D54">
            <w:pPr>
              <w:jc w:val="center"/>
              <w:rPr>
                <w:rFonts w:cs="Calibri"/>
                <w:color w:val="000000"/>
                <w:sz w:val="18"/>
                <w:szCs w:val="18"/>
              </w:rPr>
            </w:pPr>
            <w:r>
              <w:rPr>
                <w:rFonts w:cs="Calibri"/>
                <w:color w:val="000000"/>
                <w:sz w:val="18"/>
                <w:szCs w:val="18"/>
              </w:rPr>
              <w:t>4,7</w:t>
            </w:r>
          </w:p>
        </w:tc>
        <w:tc>
          <w:tcPr>
            <w:tcW w:w="1116" w:type="dxa"/>
            <w:tcBorders>
              <w:top w:val="nil"/>
              <w:left w:val="nil"/>
              <w:bottom w:val="nil"/>
              <w:right w:val="nil"/>
            </w:tcBorders>
            <w:shd w:val="clear" w:color="auto" w:fill="auto"/>
            <w:noWrap/>
            <w:vAlign w:val="center"/>
            <w:hideMark/>
          </w:tcPr>
          <w:p w14:paraId="6EEF1D7C" w14:textId="77777777" w:rsidR="00490255" w:rsidRDefault="00490255" w:rsidP="000E4D54">
            <w:pPr>
              <w:jc w:val="center"/>
              <w:rPr>
                <w:rFonts w:cs="Calibri"/>
                <w:color w:val="000000"/>
                <w:sz w:val="18"/>
                <w:szCs w:val="18"/>
              </w:rPr>
            </w:pPr>
            <w:r>
              <w:rPr>
                <w:rFonts w:cs="Calibri"/>
                <w:color w:val="000000"/>
                <w:sz w:val="18"/>
                <w:szCs w:val="18"/>
              </w:rPr>
              <w:t>-1,1</w:t>
            </w:r>
          </w:p>
        </w:tc>
        <w:tc>
          <w:tcPr>
            <w:tcW w:w="1058" w:type="dxa"/>
            <w:tcBorders>
              <w:top w:val="nil"/>
              <w:left w:val="nil"/>
              <w:bottom w:val="nil"/>
              <w:right w:val="nil"/>
            </w:tcBorders>
            <w:shd w:val="clear" w:color="auto" w:fill="auto"/>
            <w:noWrap/>
            <w:vAlign w:val="center"/>
            <w:hideMark/>
          </w:tcPr>
          <w:p w14:paraId="664B1E19" w14:textId="77777777" w:rsidR="00490255" w:rsidRDefault="00490255" w:rsidP="000E4D54">
            <w:pPr>
              <w:jc w:val="center"/>
              <w:rPr>
                <w:rFonts w:cs="Calibri"/>
                <w:color w:val="000000"/>
                <w:sz w:val="18"/>
                <w:szCs w:val="18"/>
              </w:rPr>
            </w:pPr>
            <w:r>
              <w:rPr>
                <w:rFonts w:cs="Calibri"/>
                <w:color w:val="000000"/>
                <w:sz w:val="18"/>
                <w:szCs w:val="18"/>
              </w:rPr>
              <w:t>-1,2</w:t>
            </w:r>
          </w:p>
        </w:tc>
        <w:tc>
          <w:tcPr>
            <w:tcW w:w="992" w:type="dxa"/>
            <w:tcBorders>
              <w:top w:val="nil"/>
              <w:left w:val="nil"/>
              <w:bottom w:val="nil"/>
              <w:right w:val="nil"/>
            </w:tcBorders>
            <w:shd w:val="clear" w:color="auto" w:fill="auto"/>
            <w:noWrap/>
            <w:vAlign w:val="center"/>
            <w:hideMark/>
          </w:tcPr>
          <w:p w14:paraId="6ACE8F41" w14:textId="77777777" w:rsidR="00490255" w:rsidRDefault="00490255" w:rsidP="000E4D54">
            <w:pPr>
              <w:jc w:val="center"/>
              <w:rPr>
                <w:rFonts w:cs="Calibri"/>
                <w:color w:val="000000"/>
                <w:sz w:val="18"/>
                <w:szCs w:val="18"/>
              </w:rPr>
            </w:pPr>
            <w:r>
              <w:rPr>
                <w:rFonts w:cs="Calibri"/>
                <w:color w:val="000000"/>
                <w:sz w:val="18"/>
                <w:szCs w:val="18"/>
              </w:rPr>
              <w:t>-5,4</w:t>
            </w:r>
          </w:p>
        </w:tc>
        <w:tc>
          <w:tcPr>
            <w:tcW w:w="880" w:type="dxa"/>
            <w:tcBorders>
              <w:top w:val="nil"/>
              <w:left w:val="nil"/>
              <w:bottom w:val="nil"/>
              <w:right w:val="nil"/>
            </w:tcBorders>
            <w:shd w:val="clear" w:color="auto" w:fill="auto"/>
            <w:noWrap/>
            <w:vAlign w:val="center"/>
            <w:hideMark/>
          </w:tcPr>
          <w:p w14:paraId="115A9937" w14:textId="77777777" w:rsidR="00490255" w:rsidRDefault="00490255" w:rsidP="000E4D54">
            <w:pPr>
              <w:jc w:val="center"/>
              <w:rPr>
                <w:rFonts w:cs="Calibri"/>
                <w:color w:val="000000"/>
                <w:sz w:val="18"/>
                <w:szCs w:val="18"/>
              </w:rPr>
            </w:pPr>
            <w:r>
              <w:rPr>
                <w:rFonts w:cs="Calibri"/>
                <w:color w:val="000000"/>
                <w:sz w:val="18"/>
                <w:szCs w:val="18"/>
              </w:rPr>
              <w:t>-5,7</w:t>
            </w:r>
          </w:p>
        </w:tc>
        <w:tc>
          <w:tcPr>
            <w:tcW w:w="1344" w:type="dxa"/>
            <w:tcBorders>
              <w:top w:val="nil"/>
              <w:left w:val="nil"/>
              <w:bottom w:val="nil"/>
              <w:right w:val="nil"/>
            </w:tcBorders>
            <w:shd w:val="clear" w:color="auto" w:fill="auto"/>
            <w:noWrap/>
            <w:vAlign w:val="center"/>
            <w:hideMark/>
          </w:tcPr>
          <w:p w14:paraId="5BB49C55" w14:textId="77777777" w:rsidR="00490255" w:rsidRDefault="00490255" w:rsidP="000E4D54">
            <w:pPr>
              <w:jc w:val="center"/>
              <w:rPr>
                <w:rFonts w:cs="Calibri"/>
                <w:color w:val="000000"/>
                <w:sz w:val="18"/>
                <w:szCs w:val="18"/>
              </w:rPr>
            </w:pPr>
            <w:r>
              <w:rPr>
                <w:rFonts w:cs="Calibri"/>
                <w:color w:val="000000"/>
                <w:sz w:val="18"/>
                <w:szCs w:val="18"/>
              </w:rPr>
              <w:t>-1,0</w:t>
            </w:r>
          </w:p>
        </w:tc>
        <w:tc>
          <w:tcPr>
            <w:tcW w:w="1195" w:type="dxa"/>
            <w:tcBorders>
              <w:top w:val="nil"/>
              <w:left w:val="nil"/>
              <w:bottom w:val="nil"/>
              <w:right w:val="nil"/>
            </w:tcBorders>
            <w:shd w:val="clear" w:color="auto" w:fill="auto"/>
            <w:noWrap/>
            <w:vAlign w:val="center"/>
            <w:hideMark/>
          </w:tcPr>
          <w:p w14:paraId="3ADE626A" w14:textId="77777777" w:rsidR="00490255" w:rsidRDefault="00490255" w:rsidP="000E4D54">
            <w:pPr>
              <w:jc w:val="center"/>
              <w:rPr>
                <w:rFonts w:cs="Calibri"/>
                <w:color w:val="000000"/>
                <w:sz w:val="18"/>
                <w:szCs w:val="18"/>
              </w:rPr>
            </w:pPr>
            <w:r>
              <w:rPr>
                <w:rFonts w:cs="Calibri"/>
                <w:color w:val="000000"/>
                <w:sz w:val="18"/>
                <w:szCs w:val="18"/>
              </w:rPr>
              <w:t>2,4</w:t>
            </w:r>
          </w:p>
        </w:tc>
      </w:tr>
      <w:tr w:rsidR="00490255" w:rsidRPr="00695B99" w14:paraId="1ECC1663" w14:textId="77777777" w:rsidTr="00293DD6">
        <w:trPr>
          <w:trHeight w:val="282"/>
        </w:trPr>
        <w:tc>
          <w:tcPr>
            <w:tcW w:w="422" w:type="dxa"/>
            <w:tcBorders>
              <w:top w:val="single" w:sz="12" w:space="0" w:color="auto"/>
              <w:left w:val="nil"/>
              <w:bottom w:val="nil"/>
              <w:right w:val="nil"/>
            </w:tcBorders>
            <w:shd w:val="clear" w:color="auto" w:fill="auto"/>
            <w:noWrap/>
            <w:vAlign w:val="center"/>
            <w:hideMark/>
          </w:tcPr>
          <w:p w14:paraId="3B39BF18" w14:textId="77777777" w:rsidR="00490255" w:rsidRDefault="00490255" w:rsidP="000E4D54">
            <w:pPr>
              <w:rPr>
                <w:rFonts w:cs="Calibri"/>
                <w:i/>
                <w:iCs/>
                <w:color w:val="000000"/>
                <w:sz w:val="18"/>
                <w:szCs w:val="18"/>
              </w:rPr>
            </w:pPr>
            <w:r>
              <w:rPr>
                <w:rFonts w:cs="Calibri"/>
                <w:i/>
                <w:iCs/>
                <w:color w:val="000000"/>
                <w:sz w:val="18"/>
                <w:szCs w:val="18"/>
              </w:rPr>
              <w:t> </w:t>
            </w:r>
          </w:p>
        </w:tc>
        <w:tc>
          <w:tcPr>
            <w:tcW w:w="880" w:type="dxa"/>
            <w:tcBorders>
              <w:top w:val="single" w:sz="12" w:space="0" w:color="auto"/>
              <w:left w:val="nil"/>
              <w:bottom w:val="nil"/>
              <w:right w:val="nil"/>
            </w:tcBorders>
            <w:shd w:val="clear" w:color="auto" w:fill="auto"/>
            <w:noWrap/>
            <w:vAlign w:val="center"/>
            <w:hideMark/>
          </w:tcPr>
          <w:p w14:paraId="3164CEF7" w14:textId="77777777" w:rsidR="00490255" w:rsidRDefault="00490255" w:rsidP="000E4D54">
            <w:pPr>
              <w:rPr>
                <w:rFonts w:cs="Calibri"/>
                <w:i/>
                <w:iCs/>
                <w:color w:val="000000"/>
                <w:sz w:val="18"/>
                <w:szCs w:val="18"/>
              </w:rPr>
            </w:pPr>
            <w:r>
              <w:rPr>
                <w:rFonts w:cs="Calibri"/>
                <w:i/>
                <w:iCs/>
                <w:color w:val="000000"/>
                <w:sz w:val="18"/>
                <w:szCs w:val="18"/>
              </w:rPr>
              <w:t> </w:t>
            </w:r>
          </w:p>
        </w:tc>
        <w:tc>
          <w:tcPr>
            <w:tcW w:w="1026" w:type="dxa"/>
            <w:tcBorders>
              <w:top w:val="single" w:sz="12" w:space="0" w:color="auto"/>
              <w:left w:val="nil"/>
              <w:bottom w:val="nil"/>
              <w:right w:val="nil"/>
            </w:tcBorders>
            <w:shd w:val="clear" w:color="auto" w:fill="auto"/>
            <w:noWrap/>
            <w:vAlign w:val="center"/>
            <w:hideMark/>
          </w:tcPr>
          <w:p w14:paraId="0364B778" w14:textId="77777777" w:rsidR="00490255" w:rsidRDefault="00490255" w:rsidP="000E4D54">
            <w:pPr>
              <w:rPr>
                <w:rFonts w:cs="Calibri"/>
                <w:i/>
                <w:iCs/>
                <w:color w:val="000000"/>
                <w:sz w:val="18"/>
                <w:szCs w:val="18"/>
              </w:rPr>
            </w:pPr>
            <w:r>
              <w:rPr>
                <w:rFonts w:cs="Calibri"/>
                <w:i/>
                <w:iCs/>
                <w:color w:val="000000"/>
                <w:sz w:val="18"/>
                <w:szCs w:val="18"/>
              </w:rPr>
              <w:t> </w:t>
            </w:r>
          </w:p>
        </w:tc>
        <w:tc>
          <w:tcPr>
            <w:tcW w:w="1116" w:type="dxa"/>
            <w:tcBorders>
              <w:top w:val="single" w:sz="12" w:space="0" w:color="auto"/>
              <w:left w:val="nil"/>
              <w:bottom w:val="nil"/>
              <w:right w:val="nil"/>
            </w:tcBorders>
            <w:shd w:val="clear" w:color="auto" w:fill="auto"/>
            <w:noWrap/>
            <w:vAlign w:val="center"/>
            <w:hideMark/>
          </w:tcPr>
          <w:p w14:paraId="49DF32FC" w14:textId="77777777" w:rsidR="00490255" w:rsidRDefault="00490255" w:rsidP="000E4D54">
            <w:pPr>
              <w:rPr>
                <w:rFonts w:cs="Calibri"/>
                <w:i/>
                <w:iCs/>
                <w:color w:val="000000"/>
                <w:sz w:val="18"/>
                <w:szCs w:val="18"/>
              </w:rPr>
            </w:pPr>
            <w:r>
              <w:rPr>
                <w:rFonts w:cs="Calibri"/>
                <w:i/>
                <w:iCs/>
                <w:color w:val="000000"/>
                <w:sz w:val="18"/>
                <w:szCs w:val="18"/>
              </w:rPr>
              <w:t> </w:t>
            </w:r>
          </w:p>
        </w:tc>
        <w:tc>
          <w:tcPr>
            <w:tcW w:w="1058" w:type="dxa"/>
            <w:tcBorders>
              <w:top w:val="single" w:sz="12" w:space="0" w:color="auto"/>
              <w:left w:val="nil"/>
              <w:bottom w:val="nil"/>
              <w:right w:val="nil"/>
            </w:tcBorders>
            <w:shd w:val="clear" w:color="auto" w:fill="auto"/>
            <w:noWrap/>
            <w:vAlign w:val="center"/>
            <w:hideMark/>
          </w:tcPr>
          <w:p w14:paraId="12B3D6D3" w14:textId="77777777" w:rsidR="00490255" w:rsidRDefault="00490255" w:rsidP="000E4D54">
            <w:pPr>
              <w:rPr>
                <w:rFonts w:cs="Calibri"/>
                <w:i/>
                <w:iCs/>
                <w:color w:val="000000"/>
                <w:sz w:val="18"/>
                <w:szCs w:val="18"/>
              </w:rPr>
            </w:pPr>
            <w:r>
              <w:rPr>
                <w:rFonts w:cs="Calibri"/>
                <w:i/>
                <w:iCs/>
                <w:color w:val="000000"/>
                <w:sz w:val="18"/>
                <w:szCs w:val="18"/>
              </w:rPr>
              <w:t> </w:t>
            </w:r>
          </w:p>
        </w:tc>
        <w:tc>
          <w:tcPr>
            <w:tcW w:w="992" w:type="dxa"/>
            <w:tcBorders>
              <w:top w:val="single" w:sz="12" w:space="0" w:color="auto"/>
              <w:left w:val="nil"/>
              <w:bottom w:val="nil"/>
              <w:right w:val="nil"/>
            </w:tcBorders>
            <w:shd w:val="clear" w:color="auto" w:fill="auto"/>
            <w:noWrap/>
            <w:vAlign w:val="center"/>
            <w:hideMark/>
          </w:tcPr>
          <w:p w14:paraId="18451800" w14:textId="77777777" w:rsidR="00490255" w:rsidRDefault="00490255" w:rsidP="000E4D54">
            <w:pPr>
              <w:rPr>
                <w:rFonts w:cs="Calibri"/>
                <w:i/>
                <w:iCs/>
                <w:color w:val="000000"/>
                <w:sz w:val="18"/>
                <w:szCs w:val="18"/>
              </w:rPr>
            </w:pPr>
            <w:r>
              <w:rPr>
                <w:rFonts w:cs="Calibri"/>
                <w:i/>
                <w:iCs/>
                <w:color w:val="000000"/>
                <w:sz w:val="18"/>
                <w:szCs w:val="18"/>
              </w:rPr>
              <w:t> </w:t>
            </w:r>
          </w:p>
        </w:tc>
        <w:tc>
          <w:tcPr>
            <w:tcW w:w="880" w:type="dxa"/>
            <w:tcBorders>
              <w:top w:val="single" w:sz="12" w:space="0" w:color="auto"/>
              <w:left w:val="nil"/>
              <w:bottom w:val="nil"/>
              <w:right w:val="nil"/>
            </w:tcBorders>
            <w:shd w:val="clear" w:color="auto" w:fill="auto"/>
            <w:noWrap/>
            <w:vAlign w:val="center"/>
            <w:hideMark/>
          </w:tcPr>
          <w:p w14:paraId="2DB66615" w14:textId="77777777" w:rsidR="00490255" w:rsidRDefault="00490255" w:rsidP="000E4D54">
            <w:pPr>
              <w:rPr>
                <w:rFonts w:cs="Calibri"/>
                <w:i/>
                <w:iCs/>
                <w:color w:val="000000"/>
                <w:sz w:val="18"/>
                <w:szCs w:val="18"/>
              </w:rPr>
            </w:pPr>
            <w:r>
              <w:rPr>
                <w:rFonts w:cs="Calibri"/>
                <w:i/>
                <w:iCs/>
                <w:color w:val="000000"/>
                <w:sz w:val="18"/>
                <w:szCs w:val="18"/>
              </w:rPr>
              <w:t> </w:t>
            </w:r>
          </w:p>
        </w:tc>
        <w:tc>
          <w:tcPr>
            <w:tcW w:w="1344" w:type="dxa"/>
            <w:tcBorders>
              <w:top w:val="single" w:sz="12" w:space="0" w:color="auto"/>
              <w:left w:val="nil"/>
              <w:bottom w:val="nil"/>
              <w:right w:val="nil"/>
            </w:tcBorders>
            <w:shd w:val="clear" w:color="auto" w:fill="auto"/>
            <w:noWrap/>
            <w:vAlign w:val="center"/>
            <w:hideMark/>
          </w:tcPr>
          <w:p w14:paraId="4977024E" w14:textId="77777777" w:rsidR="00490255" w:rsidRDefault="00490255" w:rsidP="000E4D54">
            <w:pPr>
              <w:rPr>
                <w:rFonts w:cs="Calibri"/>
                <w:i/>
                <w:iCs/>
                <w:color w:val="000000"/>
                <w:sz w:val="18"/>
                <w:szCs w:val="18"/>
              </w:rPr>
            </w:pPr>
            <w:r>
              <w:rPr>
                <w:rFonts w:cs="Calibri"/>
                <w:i/>
                <w:iCs/>
                <w:color w:val="000000"/>
                <w:sz w:val="18"/>
                <w:szCs w:val="18"/>
              </w:rPr>
              <w:t> </w:t>
            </w:r>
          </w:p>
        </w:tc>
        <w:tc>
          <w:tcPr>
            <w:tcW w:w="1195" w:type="dxa"/>
            <w:tcBorders>
              <w:top w:val="single" w:sz="12" w:space="0" w:color="auto"/>
              <w:left w:val="nil"/>
              <w:bottom w:val="nil"/>
              <w:right w:val="nil"/>
            </w:tcBorders>
            <w:shd w:val="clear" w:color="auto" w:fill="auto"/>
            <w:vAlign w:val="center"/>
            <w:hideMark/>
          </w:tcPr>
          <w:p w14:paraId="75A03988" w14:textId="77777777" w:rsidR="00490255" w:rsidRPr="00695B99" w:rsidRDefault="00490255" w:rsidP="000E4D54">
            <w:pPr>
              <w:jc w:val="right"/>
              <w:rPr>
                <w:rFonts w:cs="Calibri"/>
                <w:i/>
                <w:iCs/>
                <w:color w:val="000000"/>
                <w:sz w:val="16"/>
                <w:szCs w:val="18"/>
              </w:rPr>
            </w:pPr>
            <w:r w:rsidRPr="00695B99">
              <w:rPr>
                <w:rFonts w:cs="Calibri"/>
                <w:i/>
                <w:iCs/>
                <w:color w:val="000000"/>
                <w:sz w:val="16"/>
                <w:szCs w:val="18"/>
              </w:rPr>
              <w:t>Zdroj: MF SR</w:t>
            </w:r>
          </w:p>
        </w:tc>
      </w:tr>
    </w:tbl>
    <w:p w14:paraId="643353E8" w14:textId="77777777" w:rsidR="003B2A65" w:rsidRDefault="003B2A65">
      <w:pPr>
        <w:rPr>
          <w:b/>
          <w:bCs/>
          <w:color w:val="2C9ADC"/>
          <w:sz w:val="28"/>
          <w:szCs w:val="28"/>
        </w:rPr>
      </w:pPr>
      <w:r>
        <w:rPr>
          <w:color w:val="2C9ADC"/>
          <w:szCs w:val="28"/>
        </w:rPr>
        <w:br w:type="page"/>
      </w:r>
    </w:p>
    <w:p w14:paraId="184F02E9" w14:textId="78F0EFCD" w:rsidR="003D03FF" w:rsidRPr="005F12A3" w:rsidRDefault="000E4D54" w:rsidP="003D03FF">
      <w:pPr>
        <w:pStyle w:val="Nadpis1"/>
        <w:keepLines/>
        <w:numPr>
          <w:ilvl w:val="0"/>
          <w:numId w:val="2"/>
        </w:numPr>
        <w:spacing w:before="240" w:after="240"/>
        <w:rPr>
          <w:color w:val="2C9ADC"/>
          <w:szCs w:val="28"/>
        </w:rPr>
      </w:pPr>
      <w:bookmarkStart w:id="84" w:name="_Toc101880661"/>
      <w:r>
        <w:rPr>
          <w:color w:val="2C9ADC"/>
          <w:szCs w:val="28"/>
        </w:rPr>
        <w:t xml:space="preserve">AKTUÁLNA </w:t>
      </w:r>
      <w:r w:rsidR="003D03FF" w:rsidRPr="005F12A3">
        <w:rPr>
          <w:color w:val="2C9ADC"/>
          <w:szCs w:val="28"/>
        </w:rPr>
        <w:t>POZÍCIA VEREJNÝCH FINANCIÍ</w:t>
      </w:r>
      <w:bookmarkEnd w:id="84"/>
    </w:p>
    <w:tbl>
      <w:tblPr>
        <w:tblW w:w="9073" w:type="dxa"/>
        <w:tblInd w:w="-115" w:type="dxa"/>
        <w:tblBorders>
          <w:top w:val="single" w:sz="4" w:space="0" w:color="000000"/>
          <w:left w:val="nil"/>
          <w:bottom w:val="single" w:sz="4" w:space="0" w:color="000000"/>
          <w:right w:val="nil"/>
          <w:insideH w:val="nil"/>
          <w:insideV w:val="nil"/>
        </w:tblBorders>
        <w:tblLayout w:type="fixed"/>
        <w:tblCellMar>
          <w:left w:w="115" w:type="dxa"/>
          <w:right w:w="115" w:type="dxa"/>
        </w:tblCellMar>
        <w:tblLook w:val="0400" w:firstRow="0" w:lastRow="0" w:firstColumn="0" w:lastColumn="0" w:noHBand="0" w:noVBand="1"/>
      </w:tblPr>
      <w:tblGrid>
        <w:gridCol w:w="9073"/>
      </w:tblGrid>
      <w:tr w:rsidR="003D03FF" w:rsidRPr="00BA54C0" w14:paraId="6F987F99" w14:textId="77777777" w:rsidTr="000E4D54">
        <w:tc>
          <w:tcPr>
            <w:tcW w:w="9073" w:type="dxa"/>
            <w:shd w:val="clear" w:color="auto" w:fill="auto"/>
          </w:tcPr>
          <w:p w14:paraId="330D3D40" w14:textId="4117D4A7" w:rsidR="006B28F7" w:rsidRDefault="003D03FF" w:rsidP="00614C05">
            <w:pPr>
              <w:spacing w:before="120"/>
              <w:jc w:val="both"/>
              <w:rPr>
                <w:i/>
              </w:rPr>
            </w:pPr>
            <w:r w:rsidRPr="007A608F">
              <w:rPr>
                <w:i/>
                <w:iCs/>
                <w:color w:val="000000"/>
              </w:rPr>
              <w:t>Deficit verejnej správy dosiahol v roku 2021 podľa notifikácie Eurostatu 6,</w:t>
            </w:r>
            <w:r w:rsidR="001D09C3">
              <w:rPr>
                <w:i/>
                <w:iCs/>
                <w:color w:val="000000"/>
              </w:rPr>
              <w:t xml:space="preserve">2 </w:t>
            </w:r>
            <w:r>
              <w:rPr>
                <w:i/>
                <w:iCs/>
                <w:color w:val="000000"/>
              </w:rPr>
              <w:t>% HDP, čo je výrazne menej ako predpokladal rozpočet</w:t>
            </w:r>
            <w:r w:rsidR="006B28F7">
              <w:rPr>
                <w:i/>
                <w:iCs/>
                <w:color w:val="000000"/>
              </w:rPr>
              <w:t xml:space="preserve"> s cieľom</w:t>
            </w:r>
            <w:r>
              <w:rPr>
                <w:i/>
                <w:iCs/>
                <w:color w:val="000000"/>
              </w:rPr>
              <w:t xml:space="preserve"> 7,4 % HDP</w:t>
            </w:r>
            <w:r w:rsidRPr="00EF2548">
              <w:rPr>
                <w:i/>
                <w:iCs/>
                <w:color w:val="000000"/>
              </w:rPr>
              <w:t xml:space="preserve">. </w:t>
            </w:r>
            <w:r w:rsidRPr="007A608F">
              <w:rPr>
                <w:i/>
              </w:rPr>
              <w:t>Na boj s pandémiou COVID-19 sa v minulom roku vynaložil</w:t>
            </w:r>
            <w:r w:rsidR="00221554">
              <w:rPr>
                <w:i/>
              </w:rPr>
              <w:t>i</w:t>
            </w:r>
            <w:r w:rsidRPr="007A608F">
              <w:rPr>
                <w:i/>
              </w:rPr>
              <w:t xml:space="preserve"> o 2,0 </w:t>
            </w:r>
            <w:r w:rsidR="006B28F7">
              <w:rPr>
                <w:i/>
              </w:rPr>
              <w:t>%</w:t>
            </w:r>
            <w:r w:rsidRPr="007A608F">
              <w:rPr>
                <w:i/>
              </w:rPr>
              <w:t xml:space="preserve"> HDP väčšie výdavky s vplyvom na deficit.</w:t>
            </w:r>
            <w:r w:rsidR="00087A30">
              <w:rPr>
                <w:i/>
              </w:rPr>
              <w:t xml:space="preserve"> Deficit zvýšilo o 0,5 % HDP aj vysporiadenie platby za nezrovnalosti pri preclievaní tovaru z tretích krajín. No d</w:t>
            </w:r>
            <w:r w:rsidRPr="007A608F">
              <w:rPr>
                <w:i/>
              </w:rPr>
              <w:t>aňovo-o</w:t>
            </w:r>
            <w:r>
              <w:rPr>
                <w:i/>
              </w:rPr>
              <w:t xml:space="preserve">dvodové príjmy </w:t>
            </w:r>
            <w:r w:rsidR="00087A30">
              <w:rPr>
                <w:i/>
              </w:rPr>
              <w:t xml:space="preserve">tieto negatívne vplyvy kompenzovali, keď </w:t>
            </w:r>
            <w:r w:rsidRPr="007A608F">
              <w:rPr>
                <w:i/>
              </w:rPr>
              <w:t xml:space="preserve">prispeli popri rýchlejšom zotavení ekonomiky k zlepšeniu hospodárenia až na úrovni 1,9 </w:t>
            </w:r>
            <w:r w:rsidRPr="000E4D54">
              <w:rPr>
                <w:i/>
              </w:rPr>
              <w:t>% HDP</w:t>
            </w:r>
            <w:r w:rsidRPr="000E4D54">
              <w:rPr>
                <w:i/>
                <w:iCs/>
              </w:rPr>
              <w:t xml:space="preserve">. Hlavným faktorom </w:t>
            </w:r>
            <w:r w:rsidR="0017750E">
              <w:rPr>
                <w:i/>
                <w:iCs/>
              </w:rPr>
              <w:t xml:space="preserve">bol </w:t>
            </w:r>
            <w:r w:rsidR="009F49E9">
              <w:rPr>
                <w:i/>
              </w:rPr>
              <w:t>menej cyklický vývoj</w:t>
            </w:r>
            <w:r w:rsidR="00665268">
              <w:rPr>
                <w:i/>
              </w:rPr>
              <w:t xml:space="preserve"> dane</w:t>
            </w:r>
            <w:r w:rsidRPr="000E4D54">
              <w:rPr>
                <w:i/>
              </w:rPr>
              <w:t xml:space="preserve"> z príj</w:t>
            </w:r>
            <w:r w:rsidR="00643334">
              <w:rPr>
                <w:i/>
              </w:rPr>
              <w:t xml:space="preserve">mov právnických osôb, </w:t>
            </w:r>
            <w:r w:rsidR="009F49E9">
              <w:rPr>
                <w:i/>
              </w:rPr>
              <w:t xml:space="preserve">pozitívnejší </w:t>
            </w:r>
            <w:r w:rsidR="00643334">
              <w:rPr>
                <w:i/>
              </w:rPr>
              <w:t xml:space="preserve">vývoj DPH </w:t>
            </w:r>
            <w:r w:rsidRPr="000E4D54">
              <w:rPr>
                <w:i/>
              </w:rPr>
              <w:t>vďaka rastu úspešnosti výberu a</w:t>
            </w:r>
            <w:r w:rsidR="009F49E9">
              <w:rPr>
                <w:i/>
              </w:rPr>
              <w:t> </w:t>
            </w:r>
            <w:r w:rsidR="0017750E">
              <w:rPr>
                <w:i/>
              </w:rPr>
              <w:t>podobne</w:t>
            </w:r>
            <w:r w:rsidRPr="000E4D54">
              <w:rPr>
                <w:i/>
              </w:rPr>
              <w:t xml:space="preserve"> </w:t>
            </w:r>
            <w:r w:rsidR="0017750E">
              <w:rPr>
                <w:i/>
              </w:rPr>
              <w:t xml:space="preserve">aj </w:t>
            </w:r>
            <w:r w:rsidRPr="000E4D54">
              <w:rPr>
                <w:i/>
              </w:rPr>
              <w:t>vývoj na trhu práce, ktorý navýšil najmä odvodové príjmy. Medzi</w:t>
            </w:r>
            <w:r w:rsidRPr="007A608F">
              <w:rPr>
                <w:i/>
              </w:rPr>
              <w:t xml:space="preserve"> ostatné faktory znižujúce deficit o</w:t>
            </w:r>
            <w:r>
              <w:rPr>
                <w:i/>
              </w:rPr>
              <w:t>proti predpokladom rozpočtu patria</w:t>
            </w:r>
            <w:r w:rsidRPr="007A608F">
              <w:rPr>
                <w:i/>
              </w:rPr>
              <w:t xml:space="preserve"> </w:t>
            </w:r>
            <w:r>
              <w:rPr>
                <w:i/>
              </w:rPr>
              <w:t xml:space="preserve">najmä </w:t>
            </w:r>
            <w:r w:rsidRPr="007A608F">
              <w:rPr>
                <w:i/>
              </w:rPr>
              <w:t>neminuté kapitálové výdavky štátneho rozpočtu</w:t>
            </w:r>
            <w:r w:rsidR="006B28F7">
              <w:rPr>
                <w:i/>
              </w:rPr>
              <w:t xml:space="preserve"> (0,8 % HDP)</w:t>
            </w:r>
            <w:r w:rsidR="00154F40">
              <w:rPr>
                <w:i/>
              </w:rPr>
              <w:t xml:space="preserve"> a lepšie hospodárenie </w:t>
            </w:r>
            <w:r w:rsidR="008A3DA6">
              <w:rPr>
                <w:i/>
              </w:rPr>
              <w:t>obcí (0,3 % HDP)</w:t>
            </w:r>
            <w:r w:rsidR="00154F40">
              <w:rPr>
                <w:i/>
              </w:rPr>
              <w:t>.</w:t>
            </w:r>
            <w:r w:rsidR="001B68BF">
              <w:rPr>
                <w:i/>
              </w:rPr>
              <w:t xml:space="preserve"> </w:t>
            </w:r>
          </w:p>
          <w:p w14:paraId="3ED732FF" w14:textId="77777777" w:rsidR="006B28F7" w:rsidRDefault="006B28F7" w:rsidP="001B68BF">
            <w:pPr>
              <w:jc w:val="both"/>
              <w:rPr>
                <w:i/>
              </w:rPr>
            </w:pPr>
          </w:p>
          <w:p w14:paraId="4A711752" w14:textId="7BE2DED9" w:rsidR="003D03FF" w:rsidRPr="001B68BF" w:rsidRDefault="003D03FF" w:rsidP="00193F77">
            <w:pPr>
              <w:spacing w:after="120"/>
              <w:jc w:val="both"/>
              <w:rPr>
                <w:i/>
              </w:rPr>
            </w:pPr>
            <w:r>
              <w:rPr>
                <w:i/>
                <w:iCs/>
                <w:color w:val="000000"/>
              </w:rPr>
              <w:t>V</w:t>
            </w:r>
            <w:r w:rsidRPr="00412BA2">
              <w:rPr>
                <w:i/>
                <w:iCs/>
                <w:color w:val="000000"/>
              </w:rPr>
              <w:t xml:space="preserve"> tomto roku sa odhaduje </w:t>
            </w:r>
            <w:r>
              <w:rPr>
                <w:i/>
                <w:iCs/>
                <w:color w:val="000000"/>
              </w:rPr>
              <w:t xml:space="preserve">pokles deficitu </w:t>
            </w:r>
            <w:r w:rsidRPr="00412BA2">
              <w:rPr>
                <w:i/>
                <w:iCs/>
                <w:color w:val="000000"/>
              </w:rPr>
              <w:t>na 5,</w:t>
            </w:r>
            <w:r>
              <w:rPr>
                <w:i/>
                <w:iCs/>
                <w:color w:val="000000"/>
              </w:rPr>
              <w:t>1</w:t>
            </w:r>
            <w:r w:rsidRPr="00412BA2">
              <w:rPr>
                <w:i/>
                <w:iCs/>
                <w:color w:val="000000"/>
              </w:rPr>
              <w:t xml:space="preserve"> % HDP, </w:t>
            </w:r>
            <w:r>
              <w:rPr>
                <w:i/>
                <w:iCs/>
                <w:color w:val="000000"/>
              </w:rPr>
              <w:t>o 0,2</w:t>
            </w:r>
            <w:r w:rsidR="00002D96">
              <w:rPr>
                <w:i/>
                <w:iCs/>
                <w:color w:val="000000"/>
              </w:rPr>
              <w:t xml:space="preserve"> % HDP</w:t>
            </w:r>
            <w:r w:rsidR="00E42C35">
              <w:rPr>
                <w:i/>
                <w:iCs/>
                <w:color w:val="000000"/>
              </w:rPr>
              <w:t xml:space="preserve"> menší schodok</w:t>
            </w:r>
            <w:r>
              <w:rPr>
                <w:i/>
                <w:iCs/>
                <w:color w:val="000000"/>
              </w:rPr>
              <w:t xml:space="preserve"> ako</w:t>
            </w:r>
            <w:r w:rsidR="006B28F7">
              <w:rPr>
                <w:i/>
                <w:iCs/>
                <w:color w:val="000000"/>
              </w:rPr>
              <w:t xml:space="preserve"> predpokladal</w:t>
            </w:r>
            <w:r>
              <w:rPr>
                <w:i/>
                <w:iCs/>
                <w:color w:val="000000"/>
              </w:rPr>
              <w:t xml:space="preserve"> pôvodný</w:t>
            </w:r>
            <w:r w:rsidRPr="00412BA2">
              <w:rPr>
                <w:i/>
                <w:iCs/>
                <w:color w:val="000000"/>
              </w:rPr>
              <w:t xml:space="preserve"> rozpočtov</w:t>
            </w:r>
            <w:r>
              <w:rPr>
                <w:i/>
                <w:iCs/>
                <w:color w:val="000000"/>
              </w:rPr>
              <w:t>ý</w:t>
            </w:r>
            <w:r w:rsidRPr="00412BA2">
              <w:rPr>
                <w:i/>
                <w:iCs/>
                <w:color w:val="000000"/>
              </w:rPr>
              <w:t xml:space="preserve"> cieľ</w:t>
            </w:r>
            <w:r>
              <w:rPr>
                <w:i/>
                <w:iCs/>
                <w:color w:val="000000"/>
              </w:rPr>
              <w:t>.</w:t>
            </w:r>
            <w:r w:rsidRPr="00412BA2">
              <w:rPr>
                <w:i/>
                <w:iCs/>
                <w:color w:val="000000"/>
              </w:rPr>
              <w:t xml:space="preserve"> </w:t>
            </w:r>
            <w:r>
              <w:rPr>
                <w:i/>
                <w:iCs/>
                <w:color w:val="000000"/>
              </w:rPr>
              <w:t>V</w:t>
            </w:r>
            <w:r w:rsidRPr="00412BA2">
              <w:rPr>
                <w:i/>
                <w:iCs/>
                <w:color w:val="000000"/>
              </w:rPr>
              <w:t>ýraznejšie dofinancovanie zdravotníctva, presun neminutých nepandemických výdavkov štátnych podnikov pod Ministerstvom dopravy SR z minulého roka, ako aj ostatné faktory,</w:t>
            </w:r>
            <w:r>
              <w:rPr>
                <w:i/>
                <w:iCs/>
                <w:color w:val="000000"/>
              </w:rPr>
              <w:t xml:space="preserve"> zvyšujú deficit spolu o  </w:t>
            </w:r>
            <w:r w:rsidR="006B28F7">
              <w:rPr>
                <w:i/>
                <w:iCs/>
                <w:color w:val="000000"/>
              </w:rPr>
              <w:t>1</w:t>
            </w:r>
            <w:r>
              <w:rPr>
                <w:i/>
                <w:iCs/>
                <w:color w:val="000000"/>
              </w:rPr>
              <w:t>,</w:t>
            </w:r>
            <w:r w:rsidR="006B28F7">
              <w:rPr>
                <w:i/>
                <w:iCs/>
                <w:color w:val="000000"/>
              </w:rPr>
              <w:t>0</w:t>
            </w:r>
            <w:r w:rsidRPr="00412BA2">
              <w:rPr>
                <w:i/>
                <w:iCs/>
                <w:color w:val="000000"/>
              </w:rPr>
              <w:t xml:space="preserve"> % HDP.</w:t>
            </w:r>
            <w:r>
              <w:rPr>
                <w:i/>
                <w:iCs/>
                <w:color w:val="000000"/>
              </w:rPr>
              <w:t xml:space="preserve"> </w:t>
            </w:r>
            <w:r w:rsidR="006B28F7">
              <w:rPr>
                <w:i/>
                <w:iCs/>
                <w:color w:val="000000"/>
              </w:rPr>
              <w:t xml:space="preserve">Deficit dodatočne navýšia vyššie pandemické výdavky o 0,2 % HDP. </w:t>
            </w:r>
            <w:r>
              <w:rPr>
                <w:i/>
                <w:iCs/>
                <w:color w:val="000000"/>
              </w:rPr>
              <w:t xml:space="preserve">Zároveň sa očakáva prijatie trvalých opatrení kompenzujúcich </w:t>
            </w:r>
            <w:r w:rsidR="00193F77">
              <w:rPr>
                <w:i/>
                <w:iCs/>
                <w:color w:val="000000"/>
              </w:rPr>
              <w:t>skokový nárast</w:t>
            </w:r>
            <w:r>
              <w:rPr>
                <w:i/>
                <w:iCs/>
                <w:color w:val="000000"/>
              </w:rPr>
              <w:t xml:space="preserve"> cenovej hladiny, na ktoré sa vytvára </w:t>
            </w:r>
            <w:r w:rsidR="000E4D54">
              <w:rPr>
                <w:i/>
                <w:iCs/>
                <w:color w:val="000000"/>
              </w:rPr>
              <w:t xml:space="preserve">od tohto roku </w:t>
            </w:r>
            <w:r>
              <w:rPr>
                <w:i/>
                <w:iCs/>
                <w:color w:val="000000"/>
              </w:rPr>
              <w:t>dodatočný rozpočtový priestor 0,3 % HDP.</w:t>
            </w:r>
            <w:r w:rsidR="006B28F7">
              <w:rPr>
                <w:i/>
                <w:iCs/>
                <w:color w:val="000000"/>
              </w:rPr>
              <w:t xml:space="preserve"> </w:t>
            </w:r>
            <w:r w:rsidRPr="00412BA2">
              <w:rPr>
                <w:i/>
                <w:iCs/>
                <w:color w:val="000000"/>
              </w:rPr>
              <w:t xml:space="preserve">Tieto negatívne vplyvy  sú kompenzované </w:t>
            </w:r>
            <w:r w:rsidR="006B28F7">
              <w:rPr>
                <w:i/>
                <w:iCs/>
                <w:color w:val="000000"/>
              </w:rPr>
              <w:t xml:space="preserve">najmä </w:t>
            </w:r>
            <w:r w:rsidRPr="00412BA2">
              <w:rPr>
                <w:i/>
                <w:iCs/>
                <w:color w:val="000000"/>
              </w:rPr>
              <w:t xml:space="preserve">vyššími daňovo-odvodovými príjmami </w:t>
            </w:r>
            <w:r w:rsidR="004D5481">
              <w:rPr>
                <w:i/>
                <w:iCs/>
                <w:color w:val="000000"/>
              </w:rPr>
              <w:t>v objeme</w:t>
            </w:r>
            <w:r w:rsidRPr="000E4D54">
              <w:rPr>
                <w:i/>
                <w:iCs/>
                <w:color w:val="000000"/>
              </w:rPr>
              <w:t xml:space="preserve"> 0,8 % HDP</w:t>
            </w:r>
            <w:r w:rsidR="006B28F7">
              <w:rPr>
                <w:i/>
                <w:iCs/>
                <w:color w:val="000000"/>
              </w:rPr>
              <w:t>.</w:t>
            </w:r>
            <w:r w:rsidR="00643334">
              <w:rPr>
                <w:i/>
                <w:iCs/>
                <w:color w:val="000000"/>
              </w:rPr>
              <w:t xml:space="preserve"> </w:t>
            </w:r>
            <w:r w:rsidR="00643334" w:rsidRPr="000E4D54">
              <w:rPr>
                <w:i/>
                <w:iCs/>
                <w:color w:val="000000"/>
              </w:rPr>
              <w:t>Nárast oproti rozpočtu spôsobuje najmä pozitívne makroekonomické prostredie vrátane ra</w:t>
            </w:r>
            <w:r w:rsidR="00643334">
              <w:rPr>
                <w:i/>
                <w:iCs/>
                <w:color w:val="000000"/>
              </w:rPr>
              <w:t xml:space="preserve">stu cenových základní, ale aj </w:t>
            </w:r>
            <w:r w:rsidR="00643334" w:rsidRPr="000E4D54">
              <w:rPr>
                <w:i/>
                <w:iCs/>
                <w:color w:val="000000"/>
              </w:rPr>
              <w:t>ďalej rastúca efektivita výberu</w:t>
            </w:r>
            <w:r w:rsidR="004D5481">
              <w:rPr>
                <w:i/>
                <w:iCs/>
                <w:color w:val="000000"/>
              </w:rPr>
              <w:t xml:space="preserve"> DPH</w:t>
            </w:r>
            <w:r w:rsidR="00643334" w:rsidRPr="000E4D54">
              <w:rPr>
                <w:i/>
                <w:iCs/>
                <w:color w:val="000000"/>
              </w:rPr>
              <w:t xml:space="preserve">. </w:t>
            </w:r>
            <w:r w:rsidR="006B28F7">
              <w:rPr>
                <w:i/>
                <w:iCs/>
                <w:color w:val="000000"/>
              </w:rPr>
              <w:t>Oproti plánom deficit znižuje aj presun zaznamenia výdavkov</w:t>
            </w:r>
            <w:r w:rsidR="00643334">
              <w:rPr>
                <w:i/>
                <w:iCs/>
                <w:color w:val="000000"/>
              </w:rPr>
              <w:t xml:space="preserve"> do minulého roka</w:t>
            </w:r>
            <w:r w:rsidR="006B28F7">
              <w:rPr>
                <w:i/>
                <w:iCs/>
                <w:color w:val="000000"/>
              </w:rPr>
              <w:t xml:space="preserve"> v spojitosti s nezrovnalosťami pri preclievaní tovaru z tretích krajín (0,3</w:t>
            </w:r>
            <w:r w:rsidR="001D09C3">
              <w:rPr>
                <w:i/>
                <w:iCs/>
                <w:color w:val="000000"/>
              </w:rPr>
              <w:t xml:space="preserve"> </w:t>
            </w:r>
            <w:r w:rsidR="006B28F7">
              <w:rPr>
                <w:i/>
                <w:iCs/>
                <w:color w:val="000000"/>
              </w:rPr>
              <w:t>% HDP)</w:t>
            </w:r>
            <w:r w:rsidRPr="000E4D54">
              <w:rPr>
                <w:i/>
                <w:iCs/>
                <w:color w:val="000000"/>
              </w:rPr>
              <w:t xml:space="preserve">. </w:t>
            </w:r>
          </w:p>
        </w:tc>
      </w:tr>
    </w:tbl>
    <w:p w14:paraId="3142874C" w14:textId="77777777" w:rsidR="00490255" w:rsidRPr="00662755" w:rsidRDefault="00490255" w:rsidP="00490255">
      <w:pPr>
        <w:pStyle w:val="Nadpis2"/>
        <w:keepLines/>
        <w:numPr>
          <w:ilvl w:val="1"/>
          <w:numId w:val="2"/>
        </w:numPr>
        <w:spacing w:after="120"/>
        <w:rPr>
          <w:b/>
          <w:color w:val="2C9ADC"/>
          <w:szCs w:val="24"/>
        </w:rPr>
      </w:pPr>
      <w:bookmarkStart w:id="85" w:name="_Toc70700328"/>
      <w:bookmarkStart w:id="86" w:name="_Toc101880662"/>
      <w:r w:rsidRPr="00662755">
        <w:rPr>
          <w:b/>
          <w:color w:val="2C9ADC"/>
          <w:szCs w:val="24"/>
        </w:rPr>
        <w:t>Saldo verejnej správy v roku 202</w:t>
      </w:r>
      <w:bookmarkEnd w:id="85"/>
      <w:r w:rsidRPr="00662755">
        <w:rPr>
          <w:b/>
          <w:color w:val="2C9ADC"/>
          <w:szCs w:val="24"/>
        </w:rPr>
        <w:t>1</w:t>
      </w:r>
      <w:bookmarkEnd w:id="86"/>
    </w:p>
    <w:p w14:paraId="604D4B12" w14:textId="76652F9E" w:rsidR="00490255" w:rsidRPr="00662755" w:rsidRDefault="00490255" w:rsidP="00DF60DA">
      <w:pPr>
        <w:spacing w:before="240"/>
        <w:jc w:val="both"/>
        <w:rPr>
          <w:iCs/>
          <w:color w:val="000000"/>
        </w:rPr>
      </w:pPr>
      <w:r w:rsidRPr="00662755">
        <w:rPr>
          <w:b/>
        </w:rPr>
        <w:t>Deficit verejnej správy dosiahol v roku 2021 podľa notifikácie Eurostatu 6,</w:t>
      </w:r>
      <w:r>
        <w:rPr>
          <w:b/>
        </w:rPr>
        <w:t>2</w:t>
      </w:r>
      <w:r w:rsidRPr="00662755">
        <w:rPr>
          <w:b/>
        </w:rPr>
        <w:t xml:space="preserve"> % HDP. </w:t>
      </w:r>
      <w:r w:rsidRPr="00662755">
        <w:rPr>
          <w:iCs/>
          <w:color w:val="000000"/>
        </w:rPr>
        <w:t>Oproti predpokladom schváleného rozpočtu, ktorý uvažoval s deficitom na úrovni 7,4 % HDP, ide o</w:t>
      </w:r>
      <w:r>
        <w:rPr>
          <w:iCs/>
          <w:color w:val="000000"/>
        </w:rPr>
        <w:t xml:space="preserve"> výrazný</w:t>
      </w:r>
      <w:r w:rsidRPr="00662755">
        <w:rPr>
          <w:iCs/>
          <w:color w:val="000000"/>
        </w:rPr>
        <w:t xml:space="preserve"> pokles. Rozdiel oproti rozpočtu je možné rozdeliť </w:t>
      </w:r>
      <w:r w:rsidR="004D5481">
        <w:rPr>
          <w:iCs/>
          <w:color w:val="000000"/>
        </w:rPr>
        <w:t xml:space="preserve">na </w:t>
      </w:r>
      <w:r w:rsidRPr="00662755">
        <w:rPr>
          <w:iCs/>
          <w:color w:val="000000"/>
        </w:rPr>
        <w:t>vplyv pandémie</w:t>
      </w:r>
      <w:r>
        <w:rPr>
          <w:iCs/>
          <w:color w:val="000000"/>
        </w:rPr>
        <w:t>, ktorý bol výraznejšie negatívny</w:t>
      </w:r>
      <w:r w:rsidRPr="00662755">
        <w:rPr>
          <w:iCs/>
          <w:color w:val="000000"/>
        </w:rPr>
        <w:t xml:space="preserve"> a ostatn</w:t>
      </w:r>
      <w:r>
        <w:rPr>
          <w:iCs/>
          <w:color w:val="000000"/>
        </w:rPr>
        <w:t>é</w:t>
      </w:r>
      <w:r w:rsidRPr="00662755">
        <w:rPr>
          <w:iCs/>
          <w:color w:val="000000"/>
        </w:rPr>
        <w:t xml:space="preserve"> faktor</w:t>
      </w:r>
      <w:r>
        <w:rPr>
          <w:iCs/>
          <w:color w:val="000000"/>
        </w:rPr>
        <w:t xml:space="preserve">y, najmä nárast daňovo-odvodových príjmov a nevyčerpanie kapitálových výdavkov, ktoré </w:t>
      </w:r>
      <w:r w:rsidR="00087A30">
        <w:rPr>
          <w:iCs/>
          <w:color w:val="000000"/>
        </w:rPr>
        <w:t xml:space="preserve">spolu s ďalšími faktormi </w:t>
      </w:r>
      <w:r>
        <w:rPr>
          <w:iCs/>
          <w:color w:val="000000"/>
        </w:rPr>
        <w:t>viac než vykompenzovali navýšené náklady pandémie.</w:t>
      </w:r>
    </w:p>
    <w:p w14:paraId="1045D0ED" w14:textId="77777777" w:rsidR="00490255" w:rsidRPr="00E06705" w:rsidRDefault="00490255" w:rsidP="00490255">
      <w:pPr>
        <w:jc w:val="both"/>
        <w:rPr>
          <w:iCs/>
          <w:color w:val="000000"/>
          <w:highlight w:val="yellow"/>
        </w:rPr>
      </w:pPr>
    </w:p>
    <w:tbl>
      <w:tblPr>
        <w:tblW w:w="8985" w:type="dxa"/>
        <w:tblLayout w:type="fixed"/>
        <w:tblLook w:val="04A0" w:firstRow="1" w:lastRow="0" w:firstColumn="1" w:lastColumn="0" w:noHBand="0" w:noVBand="1"/>
      </w:tblPr>
      <w:tblGrid>
        <w:gridCol w:w="8985"/>
      </w:tblGrid>
      <w:tr w:rsidR="00490255" w:rsidRPr="00662755" w14:paraId="268174F2" w14:textId="77777777" w:rsidTr="000E4D54">
        <w:trPr>
          <w:trHeight w:val="121"/>
        </w:trPr>
        <w:tc>
          <w:tcPr>
            <w:tcW w:w="8985" w:type="dxa"/>
            <w:tcBorders>
              <w:left w:val="nil"/>
              <w:bottom w:val="single" w:sz="8" w:space="0" w:color="auto"/>
              <w:right w:val="nil"/>
            </w:tcBorders>
            <w:noWrap/>
            <w:vAlign w:val="center"/>
          </w:tcPr>
          <w:p w14:paraId="616CD057" w14:textId="59F5EE15" w:rsidR="00490255" w:rsidRPr="00662755" w:rsidRDefault="00490255" w:rsidP="000E4D54">
            <w:pPr>
              <w:pStyle w:val="Nadpis3"/>
              <w:rPr>
                <w:rFonts w:eastAsiaTheme="minorHAnsi"/>
                <w:color w:val="2C9ADC"/>
                <w:szCs w:val="20"/>
                <w:lang w:eastAsia="en-US"/>
              </w:rPr>
            </w:pPr>
            <w:bookmarkStart w:id="87" w:name="_Toc101881937"/>
            <w:r w:rsidRPr="00662755">
              <w:rPr>
                <w:rFonts w:eastAsiaTheme="minorHAnsi"/>
                <w:color w:val="2C9ADC"/>
                <w:szCs w:val="20"/>
                <w:lang w:eastAsia="en-US"/>
              </w:rPr>
              <w:t xml:space="preserve">GRAF </w:t>
            </w:r>
            <w:r w:rsidRPr="00662755">
              <w:rPr>
                <w:rFonts w:eastAsiaTheme="minorHAnsi"/>
                <w:color w:val="2C9ADC"/>
                <w:szCs w:val="20"/>
                <w:lang w:eastAsia="en-US"/>
              </w:rPr>
              <w:fldChar w:fldCharType="begin"/>
            </w:r>
            <w:r w:rsidRPr="00662755">
              <w:rPr>
                <w:rFonts w:eastAsiaTheme="minorHAnsi"/>
                <w:color w:val="2C9ADC"/>
                <w:szCs w:val="20"/>
                <w:lang w:eastAsia="en-US"/>
              </w:rPr>
              <w:instrText xml:space="preserve"> SEQ GRAF \* ARABIC </w:instrText>
            </w:r>
            <w:r w:rsidRPr="00662755">
              <w:rPr>
                <w:rFonts w:eastAsiaTheme="minorHAnsi"/>
                <w:color w:val="2C9ADC"/>
                <w:szCs w:val="20"/>
                <w:lang w:eastAsia="en-US"/>
              </w:rPr>
              <w:fldChar w:fldCharType="separate"/>
            </w:r>
            <w:r w:rsidR="005D3280">
              <w:rPr>
                <w:rFonts w:eastAsiaTheme="minorHAnsi"/>
                <w:noProof/>
                <w:color w:val="2C9ADC"/>
                <w:szCs w:val="20"/>
                <w:lang w:eastAsia="en-US"/>
              </w:rPr>
              <w:t>13</w:t>
            </w:r>
            <w:r w:rsidRPr="00662755">
              <w:rPr>
                <w:rFonts w:eastAsiaTheme="minorHAnsi"/>
                <w:color w:val="2C9ADC"/>
                <w:szCs w:val="20"/>
                <w:lang w:eastAsia="en-US"/>
              </w:rPr>
              <w:fldChar w:fldCharType="end"/>
            </w:r>
            <w:r w:rsidRPr="00662755">
              <w:rPr>
                <w:rFonts w:eastAsiaTheme="minorHAnsi"/>
                <w:color w:val="2C9ADC"/>
                <w:szCs w:val="20"/>
                <w:lang w:eastAsia="en-US"/>
              </w:rPr>
              <w:t xml:space="preserve"> – </w:t>
            </w:r>
            <w:r w:rsidRPr="00662755">
              <w:rPr>
                <w:color w:val="2C9ADC" w:themeColor="accent1"/>
                <w:szCs w:val="20"/>
              </w:rPr>
              <w:t>Plnenie schváleného rozpočtu - rozdiely na hlavných položkách (ESA 2010), príspevky v mil. eur</w:t>
            </w:r>
            <w:bookmarkEnd w:id="87"/>
          </w:p>
        </w:tc>
      </w:tr>
      <w:tr w:rsidR="00490255" w:rsidRPr="00662755" w14:paraId="1D41A133" w14:textId="77777777" w:rsidTr="003E2FF2">
        <w:tblPrEx>
          <w:tblCellMar>
            <w:left w:w="70" w:type="dxa"/>
            <w:right w:w="70" w:type="dxa"/>
          </w:tblCellMar>
        </w:tblPrEx>
        <w:trPr>
          <w:trHeight w:val="3132"/>
        </w:trPr>
        <w:tc>
          <w:tcPr>
            <w:tcW w:w="8985" w:type="dxa"/>
            <w:tcBorders>
              <w:top w:val="single" w:sz="8" w:space="0" w:color="auto"/>
              <w:left w:val="nil"/>
              <w:bottom w:val="single" w:sz="4" w:space="0" w:color="auto"/>
              <w:right w:val="nil"/>
            </w:tcBorders>
            <w:noWrap/>
          </w:tcPr>
          <w:p w14:paraId="4F702B80" w14:textId="6D33DBCA" w:rsidR="00490255" w:rsidRPr="00662755" w:rsidRDefault="003E2FF2" w:rsidP="000E4D54">
            <w:pPr>
              <w:spacing w:line="256" w:lineRule="auto"/>
              <w:rPr>
                <w:rFonts w:cs="Times New Roman"/>
                <w:b/>
                <w:bCs/>
                <w:color w:val="000000" w:themeColor="text1"/>
                <w:lang w:eastAsia="en-US"/>
              </w:rPr>
            </w:pPr>
            <w:r>
              <w:rPr>
                <w:noProof/>
              </w:rPr>
              <w:drawing>
                <wp:inline distT="0" distB="0" distL="0" distR="0" wp14:anchorId="7983D003" wp14:editId="165164F0">
                  <wp:extent cx="5616575" cy="2230120"/>
                  <wp:effectExtent l="0" t="0" r="3175" b="1778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490255" w:rsidRPr="00662755" w14:paraId="01474027" w14:textId="77777777" w:rsidTr="000E4D54">
        <w:tblPrEx>
          <w:tblCellMar>
            <w:left w:w="70" w:type="dxa"/>
            <w:right w:w="70" w:type="dxa"/>
          </w:tblCellMar>
        </w:tblPrEx>
        <w:trPr>
          <w:trHeight w:val="112"/>
        </w:trPr>
        <w:tc>
          <w:tcPr>
            <w:tcW w:w="8985" w:type="dxa"/>
            <w:tcBorders>
              <w:top w:val="single" w:sz="8" w:space="0" w:color="auto"/>
              <w:left w:val="nil"/>
              <w:right w:val="nil"/>
            </w:tcBorders>
            <w:shd w:val="clear" w:color="auto" w:fill="auto"/>
            <w:noWrap/>
            <w:vAlign w:val="center"/>
          </w:tcPr>
          <w:p w14:paraId="79D1D0E1" w14:textId="77777777" w:rsidR="00490255" w:rsidRPr="00662755" w:rsidRDefault="00490255" w:rsidP="000E4D54">
            <w:pPr>
              <w:spacing w:before="40"/>
              <w:rPr>
                <w:i/>
                <w:sz w:val="16"/>
                <w:szCs w:val="16"/>
                <w:lang w:eastAsia="en-US"/>
              </w:rPr>
            </w:pPr>
            <w:r w:rsidRPr="00662755">
              <w:rPr>
                <w:i/>
                <w:sz w:val="16"/>
                <w:szCs w:val="16"/>
                <w:lang w:eastAsia="en-US"/>
              </w:rPr>
              <w:t>(+) / (-) znamená pozitívny / negatívny vplyv na saldo VS                                                                                                                                  Zdroj: MF SR</w:t>
            </w:r>
          </w:p>
        </w:tc>
      </w:tr>
      <w:tr w:rsidR="00490255" w:rsidRPr="00E06705" w14:paraId="0C1FD158" w14:textId="77777777" w:rsidTr="000E4D54">
        <w:tblPrEx>
          <w:tblCellMar>
            <w:left w:w="70" w:type="dxa"/>
            <w:right w:w="70" w:type="dxa"/>
          </w:tblCellMar>
        </w:tblPrEx>
        <w:trPr>
          <w:trHeight w:val="112"/>
        </w:trPr>
        <w:tc>
          <w:tcPr>
            <w:tcW w:w="8985" w:type="dxa"/>
            <w:tcBorders>
              <w:left w:val="nil"/>
              <w:right w:val="nil"/>
            </w:tcBorders>
            <w:shd w:val="clear" w:color="auto" w:fill="auto"/>
            <w:noWrap/>
            <w:vAlign w:val="center"/>
          </w:tcPr>
          <w:p w14:paraId="2574C7C0" w14:textId="77777777" w:rsidR="00490255" w:rsidRPr="00E06705" w:rsidRDefault="00490255" w:rsidP="000E4D54">
            <w:pPr>
              <w:rPr>
                <w:i/>
                <w:sz w:val="16"/>
                <w:szCs w:val="16"/>
                <w:highlight w:val="yellow"/>
                <w:lang w:eastAsia="en-US"/>
              </w:rPr>
            </w:pPr>
          </w:p>
        </w:tc>
      </w:tr>
    </w:tbl>
    <w:p w14:paraId="3BAECB9D" w14:textId="77777777" w:rsidR="00490255" w:rsidRPr="00E06705" w:rsidRDefault="00490255" w:rsidP="00490255">
      <w:pPr>
        <w:spacing w:after="120"/>
        <w:jc w:val="both"/>
        <w:rPr>
          <w:b/>
          <w:color w:val="2C9ADC" w:themeColor="accent1"/>
          <w:highlight w:val="yellow"/>
        </w:rPr>
      </w:pPr>
    </w:p>
    <w:p w14:paraId="40BC063D" w14:textId="77777777" w:rsidR="000E4D54" w:rsidRDefault="000E4D54">
      <w:pPr>
        <w:rPr>
          <w:b/>
          <w:color w:val="2C9ADC" w:themeColor="accent1"/>
        </w:rPr>
      </w:pPr>
      <w:r>
        <w:rPr>
          <w:b/>
          <w:color w:val="2C9ADC" w:themeColor="accent1"/>
        </w:rPr>
        <w:br w:type="page"/>
      </w:r>
    </w:p>
    <w:p w14:paraId="3BC60F6E" w14:textId="7F0011E9" w:rsidR="00490255" w:rsidRPr="00662755" w:rsidRDefault="00490255" w:rsidP="00490255">
      <w:pPr>
        <w:spacing w:after="120"/>
        <w:jc w:val="both"/>
        <w:rPr>
          <w:b/>
          <w:color w:val="2C9ADC" w:themeColor="accent1"/>
        </w:rPr>
      </w:pPr>
      <w:r w:rsidRPr="00662755">
        <w:rPr>
          <w:b/>
          <w:color w:val="2C9ADC" w:themeColor="accent1"/>
        </w:rPr>
        <w:t>Vývoj verejných financií spôsobený koronavírusom</w:t>
      </w:r>
    </w:p>
    <w:p w14:paraId="384AB266" w14:textId="42323D91" w:rsidR="00490255" w:rsidRDefault="00490255" w:rsidP="00490255">
      <w:pPr>
        <w:spacing w:after="120"/>
        <w:jc w:val="both"/>
      </w:pPr>
      <w:r w:rsidRPr="00037D50">
        <w:rPr>
          <w:b/>
        </w:rPr>
        <w:t>Na boj s pandémiou COVID</w:t>
      </w:r>
      <w:r w:rsidR="004D5481">
        <w:rPr>
          <w:b/>
        </w:rPr>
        <w:t>-19 sa v minulom roku vynaložili</w:t>
      </w:r>
      <w:r w:rsidRPr="00037D50">
        <w:rPr>
          <w:b/>
        </w:rPr>
        <w:t xml:space="preserve"> o 2,0 p. b. HDP väčšie výdavky s vplyvom na deficit ako sa predpokladalo v</w:t>
      </w:r>
      <w:r>
        <w:rPr>
          <w:b/>
        </w:rPr>
        <w:t xml:space="preserve"> pôvodnom </w:t>
      </w:r>
      <w:r w:rsidRPr="00037D50">
        <w:rPr>
          <w:b/>
        </w:rPr>
        <w:t>rozpočte</w:t>
      </w:r>
      <w:r w:rsidRPr="00037D50">
        <w:rPr>
          <w:rStyle w:val="Odkaznapoznmkupodiarou"/>
          <w:b/>
        </w:rPr>
        <w:footnoteReference w:id="5"/>
      </w:r>
      <w:r w:rsidRPr="00037D50">
        <w:t xml:space="preserve">. Celkové náklady prijatých </w:t>
      </w:r>
      <w:r w:rsidRPr="0078069E">
        <w:t>opatrení (s vplyvom na akruálny deficit v metodike ESA2010), ktoré zaviedla vláda v reakcii na koronavírus, boli v objeme 3,0 % HDP</w:t>
      </w:r>
      <w:r w:rsidRPr="0078069E">
        <w:rPr>
          <w:rStyle w:val="Odkaznapoznmkupodiarou"/>
        </w:rPr>
        <w:footnoteReference w:id="6"/>
      </w:r>
      <w:r w:rsidRPr="0078069E">
        <w:t xml:space="preserve"> a výrazne tak presiahli vytvorenú rezervu na tento účel v rozpočte vo výške 1,1 % HDP (</w:t>
      </w:r>
      <w:r w:rsidRPr="0078069E">
        <w:rPr>
          <w:b/>
          <w:color w:val="2C9ADC" w:themeColor="accent1"/>
        </w:rPr>
        <w:t xml:space="preserve">BOX </w:t>
      </w:r>
      <w:r w:rsidR="001819B1" w:rsidRPr="0078069E">
        <w:rPr>
          <w:b/>
          <w:color w:val="2C9ADC" w:themeColor="accent1"/>
        </w:rPr>
        <w:t>3</w:t>
      </w:r>
      <w:r w:rsidRPr="0078069E">
        <w:rPr>
          <w:color w:val="2C9ADC" w:themeColor="accent1"/>
        </w:rPr>
        <w:t xml:space="preserve"> </w:t>
      </w:r>
      <w:r w:rsidRPr="0078069E">
        <w:rPr>
          <w:color w:val="000000" w:themeColor="text1"/>
        </w:rPr>
        <w:t>a</w:t>
      </w:r>
      <w:r w:rsidRPr="0078069E">
        <w:rPr>
          <w:color w:val="2C9ADC" w:themeColor="accent1"/>
        </w:rPr>
        <w:t> </w:t>
      </w:r>
      <w:r w:rsidRPr="0078069E">
        <w:rPr>
          <w:b/>
          <w:color w:val="2C9ADC" w:themeColor="accent1"/>
        </w:rPr>
        <w:t>Príloha 7</w:t>
      </w:r>
      <w:r w:rsidRPr="0078069E">
        <w:t xml:space="preserve">). Výdavky boli navýšené novelou </w:t>
      </w:r>
      <w:r w:rsidR="00B750EE" w:rsidRPr="00662CE9">
        <w:t>novelou zákona o štátnom rozpočte na rok 2021</w:t>
      </w:r>
      <w:r w:rsidRPr="0078069E">
        <w:t>, no časť výdavkov sa nakoniec neminul</w:t>
      </w:r>
      <w:r w:rsidR="00851C07" w:rsidRPr="0078069E">
        <w:t>a</w:t>
      </w:r>
      <w:r w:rsidRPr="0078069E">
        <w:t xml:space="preserve"> a prenášajú sa aj do</w:t>
      </w:r>
      <w:r>
        <w:t xml:space="preserve"> roku 2022. </w:t>
      </w:r>
    </w:p>
    <w:p w14:paraId="24AAB8D1" w14:textId="77777777" w:rsidR="00490255" w:rsidRPr="002B6C16" w:rsidRDefault="00490255" w:rsidP="00490255">
      <w:pPr>
        <w:spacing w:after="120"/>
        <w:jc w:val="both"/>
      </w:pPr>
      <w:r w:rsidRPr="00490304">
        <w:rPr>
          <w:rFonts w:cs="Times New Roman"/>
          <w:b/>
          <w:iCs/>
        </w:rPr>
        <w:t>Približne polovica</w:t>
      </w:r>
      <w:r>
        <w:rPr>
          <w:rFonts w:cs="Times New Roman"/>
          <w:b/>
          <w:iCs/>
        </w:rPr>
        <w:t xml:space="preserve"> celkových</w:t>
      </w:r>
      <w:r w:rsidRPr="00490304">
        <w:rPr>
          <w:rFonts w:cs="Times New Roman"/>
          <w:b/>
          <w:iCs/>
        </w:rPr>
        <w:t xml:space="preserve"> výdavkov vyplývajúca z opatrení vlády</w:t>
      </w:r>
      <w:r>
        <w:rPr>
          <w:rFonts w:cs="Times New Roman"/>
          <w:b/>
          <w:iCs/>
        </w:rPr>
        <w:t xml:space="preserve"> na boj s pandémiou</w:t>
      </w:r>
      <w:r w:rsidRPr="00490304">
        <w:rPr>
          <w:rFonts w:cs="Times New Roman"/>
          <w:b/>
          <w:iCs/>
        </w:rPr>
        <w:t xml:space="preserve"> smerovala na podporu udržania zamestnanosti</w:t>
      </w:r>
      <w:r>
        <w:rPr>
          <w:rFonts w:cs="Times New Roman"/>
          <w:iCs/>
        </w:rPr>
        <w:t xml:space="preserve">. Systém podpory skrátenej práce (tzv. Prvá pomoc) </w:t>
      </w:r>
      <w:r w:rsidRPr="004C78BF">
        <w:rPr>
          <w:rFonts w:cs="Times New Roman"/>
          <w:iCs/>
        </w:rPr>
        <w:t xml:space="preserve">od svojho zavedenia v marci 2020 </w:t>
      </w:r>
      <w:r>
        <w:rPr>
          <w:rFonts w:cs="Times New Roman"/>
          <w:iCs/>
        </w:rPr>
        <w:t>prechádzal</w:t>
      </w:r>
      <w:r w:rsidRPr="004C78BF">
        <w:rPr>
          <w:rFonts w:cs="Times New Roman"/>
          <w:iCs/>
        </w:rPr>
        <w:t xml:space="preserve"> viacerými zmenami, ktoré so sebou priniesli rozšírenie</w:t>
      </w:r>
      <w:r>
        <w:rPr>
          <w:rFonts w:cs="Times New Roman"/>
          <w:iCs/>
        </w:rPr>
        <w:t xml:space="preserve"> zoznamu</w:t>
      </w:r>
      <w:r w:rsidRPr="004C78BF">
        <w:rPr>
          <w:rFonts w:cs="Times New Roman"/>
          <w:iCs/>
        </w:rPr>
        <w:t xml:space="preserve"> oprávnených žiadateľov, ako aj navýšenie príspevkov.</w:t>
      </w:r>
      <w:r w:rsidRPr="00C34776">
        <w:t xml:space="preserve"> </w:t>
      </w:r>
      <w:r>
        <w:rPr>
          <w:rFonts w:cs="Times New Roman"/>
          <w:iCs/>
        </w:rPr>
        <w:t>Paušálne príspevky sa aj naďalej vyplácali</w:t>
      </w:r>
      <w:r w:rsidRPr="00C34776">
        <w:rPr>
          <w:rFonts w:cs="Times New Roman"/>
          <w:iCs/>
        </w:rPr>
        <w:t xml:space="preserve"> jednoos</w:t>
      </w:r>
      <w:r>
        <w:rPr>
          <w:rFonts w:cs="Times New Roman"/>
          <w:iCs/>
        </w:rPr>
        <w:t>obovým</w:t>
      </w:r>
      <w:r w:rsidRPr="00C34776">
        <w:rPr>
          <w:rFonts w:cs="Times New Roman"/>
          <w:iCs/>
        </w:rPr>
        <w:t xml:space="preserve"> s.r.o. a</w:t>
      </w:r>
      <w:r>
        <w:rPr>
          <w:rFonts w:cs="Times New Roman"/>
          <w:iCs/>
        </w:rPr>
        <w:t> </w:t>
      </w:r>
      <w:r w:rsidRPr="00C34776">
        <w:rPr>
          <w:rFonts w:cs="Times New Roman"/>
          <w:iCs/>
        </w:rPr>
        <w:t>SZČO</w:t>
      </w:r>
      <w:r>
        <w:rPr>
          <w:rFonts w:cs="Times New Roman"/>
          <w:iCs/>
        </w:rPr>
        <w:t>, ktorým poklesli tržby alebo museli mať zatvorené prevádzky</w:t>
      </w:r>
      <w:r w:rsidRPr="00C34776">
        <w:rPr>
          <w:rFonts w:cs="Times New Roman"/>
          <w:iCs/>
        </w:rPr>
        <w:t xml:space="preserve">. </w:t>
      </w:r>
      <w:r>
        <w:rPr>
          <w:rFonts w:cs="Times New Roman"/>
          <w:iCs/>
        </w:rPr>
        <w:t>Do júla 2021 sa pokračovalo aj vo vyplácaní t</w:t>
      </w:r>
      <w:r w:rsidRPr="00F42B1B">
        <w:rPr>
          <w:rFonts w:cs="Times New Roman"/>
          <w:iCs/>
        </w:rPr>
        <w:t>zv. SOS dotáci</w:t>
      </w:r>
      <w:r>
        <w:rPr>
          <w:rFonts w:cs="Times New Roman"/>
          <w:iCs/>
        </w:rPr>
        <w:t>e, ktorá slúžila pre tých,</w:t>
      </w:r>
      <w:r w:rsidRPr="00F42B1B">
        <w:rPr>
          <w:rFonts w:cs="Times New Roman"/>
          <w:iCs/>
        </w:rPr>
        <w:t xml:space="preserve"> ktorí </w:t>
      </w:r>
      <w:r>
        <w:rPr>
          <w:rFonts w:cs="Times New Roman"/>
          <w:iCs/>
        </w:rPr>
        <w:t>nesplnili nárok na inú</w:t>
      </w:r>
      <w:r w:rsidRPr="00F42B1B">
        <w:rPr>
          <w:rFonts w:cs="Times New Roman"/>
          <w:iCs/>
        </w:rPr>
        <w:t xml:space="preserve"> finančn</w:t>
      </w:r>
      <w:r>
        <w:rPr>
          <w:rFonts w:cs="Times New Roman"/>
          <w:iCs/>
        </w:rPr>
        <w:t>ú</w:t>
      </w:r>
      <w:r w:rsidRPr="00F42B1B">
        <w:rPr>
          <w:rFonts w:cs="Times New Roman"/>
          <w:iCs/>
        </w:rPr>
        <w:t xml:space="preserve"> pomoc</w:t>
      </w:r>
      <w:r>
        <w:rPr>
          <w:rFonts w:cs="Times New Roman"/>
          <w:iCs/>
        </w:rPr>
        <w:t xml:space="preserve"> v rámci Prvej pomoci. </w:t>
      </w:r>
      <w:r w:rsidRPr="00C34776">
        <w:rPr>
          <w:rFonts w:cs="Times New Roman"/>
          <w:iCs/>
        </w:rPr>
        <w:t xml:space="preserve">Vytvorili sa aj nové schémy na podporu najviac postihnutých sektorov. Cielená finančná pomoc smerovala na podporu pracovníkov a podnikateľov v kultúre a na základných umeleckých školách. Významné dotácie prúdili aj na podporu gastronómie a cestovného ruchu. Vytvorila sa aj schéma na kompenzáciu strát v cestnej doprave. </w:t>
      </w:r>
      <w:r w:rsidRPr="00F42B1B">
        <w:rPr>
          <w:rFonts w:cs="Times New Roman"/>
          <w:iCs/>
        </w:rPr>
        <w:t xml:space="preserve">Schéma preplácania nájmov podnikom </w:t>
      </w:r>
      <w:r>
        <w:rPr>
          <w:rFonts w:cs="Times New Roman"/>
          <w:iCs/>
        </w:rPr>
        <w:t>bola</w:t>
      </w:r>
      <w:r w:rsidRPr="00F42B1B">
        <w:rPr>
          <w:rFonts w:cs="Times New Roman"/>
          <w:iCs/>
        </w:rPr>
        <w:t xml:space="preserve"> určená pre podniky, ktoré uhrádzali nájomné za prevádzku počas obdobia sťaženého užívania</w:t>
      </w:r>
      <w:r>
        <w:rPr>
          <w:rFonts w:cs="Times New Roman"/>
          <w:iCs/>
        </w:rPr>
        <w:t>.</w:t>
      </w:r>
    </w:p>
    <w:p w14:paraId="4480E186" w14:textId="77777777" w:rsidR="00490255" w:rsidRPr="00946C68" w:rsidRDefault="00490255" w:rsidP="00490255">
      <w:pPr>
        <w:spacing w:after="120"/>
        <w:jc w:val="both"/>
        <w:rPr>
          <w:b/>
          <w:color w:val="2C9ADC" w:themeColor="accent1"/>
          <w:highlight w:val="yellow"/>
        </w:rPr>
      </w:pPr>
      <w:r w:rsidRPr="00B87614">
        <w:rPr>
          <w:rFonts w:cs="Times New Roman"/>
          <w:b/>
          <w:iCs/>
        </w:rPr>
        <w:t>Okrem podpory udržania zamestna</w:t>
      </w:r>
      <w:r>
        <w:rPr>
          <w:rFonts w:cs="Times New Roman"/>
          <w:b/>
          <w:iCs/>
        </w:rPr>
        <w:t>nosti sa opatrenia sústredili</w:t>
      </w:r>
      <w:r w:rsidRPr="00B87614">
        <w:rPr>
          <w:rFonts w:cs="Times New Roman"/>
          <w:b/>
          <w:iCs/>
        </w:rPr>
        <w:t xml:space="preserve"> na zabezpečenie náhrady príjmu formou sociálnych dávok a podporu zdravotníctva.</w:t>
      </w:r>
      <w:r>
        <w:rPr>
          <w:rFonts w:cs="Times New Roman"/>
          <w:iCs/>
        </w:rPr>
        <w:t xml:space="preserve"> </w:t>
      </w:r>
      <w:r w:rsidRPr="00C34776">
        <w:rPr>
          <w:rFonts w:cs="Times New Roman"/>
          <w:iCs/>
        </w:rPr>
        <w:t>Dávka nemocenské, ako aj ošetrovné, boli navýšené tak, aby počas apríla nahrádzali čistú mzdu zamestnancov. Opätovné predĺženie nároku na dávku v nezamestnanosti počas marca až mája malo nahradiť príjem ľuďom, ktorí si v dôsledku zhoršenej situácie na trhu práce stále nemohli nájsť zamestnanie. Jednorazový príspevok vo výške 333 eur bol vyplatený rodinám s deťmi, ktoré sa vplyvom situácie s COVID-19 ocitli v hmotnej núdzi. Ostatným rodinám s deťmi sa počas októbra doplat</w:t>
      </w:r>
      <w:r>
        <w:rPr>
          <w:rFonts w:cs="Times New Roman"/>
          <w:iCs/>
        </w:rPr>
        <w:t>il</w:t>
      </w:r>
      <w:r w:rsidRPr="00C34776">
        <w:rPr>
          <w:rFonts w:cs="Times New Roman"/>
          <w:iCs/>
        </w:rPr>
        <w:t xml:space="preserve"> prídavok na dieťa, tak aby dosahoval výšku 100 eur.</w:t>
      </w:r>
      <w:r w:rsidRPr="004654B8">
        <w:rPr>
          <w:rFonts w:cs="Times New Roman"/>
          <w:iCs/>
        </w:rPr>
        <w:t xml:space="preserve"> Výdavky na konci minulého roka zvýšila aj prvá časť finančnej podpory seniorom, ktorí sa dali zaočkovať </w:t>
      </w:r>
      <w:r>
        <w:rPr>
          <w:rFonts w:cs="Times New Roman"/>
          <w:iCs/>
        </w:rPr>
        <w:t>aspoň jednou dávkou vakcíny proti koronavírusu</w:t>
      </w:r>
      <w:r w:rsidRPr="004654B8">
        <w:rPr>
          <w:rFonts w:cs="Times New Roman"/>
          <w:iCs/>
        </w:rPr>
        <w:t>.</w:t>
      </w:r>
      <w:r>
        <w:rPr>
          <w:rFonts w:cs="Times New Roman"/>
          <w:iCs/>
        </w:rPr>
        <w:t xml:space="preserve"> Zvýšené výdavky v zdravotníctve slúžili na krytie nákladov na testovanie, očkovanie a lieky proti koronavírusu. Zamestnancom v zdravotníctve pracujúcim v prvej línii a na COVID oddeleniach sa tiež vyplácal mimoriadny príplatok.</w:t>
      </w:r>
    </w:p>
    <w:p w14:paraId="1F58A2FB" w14:textId="77777777" w:rsidR="00490255" w:rsidRPr="00946C68" w:rsidRDefault="00490255" w:rsidP="00490255">
      <w:pPr>
        <w:spacing w:after="120"/>
        <w:jc w:val="both"/>
        <w:rPr>
          <w:b/>
          <w:color w:val="2C9ADC" w:themeColor="accent1"/>
        </w:rPr>
      </w:pPr>
      <w:r w:rsidRPr="00946C68">
        <w:rPr>
          <w:b/>
          <w:color w:val="2C9ADC" w:themeColor="accent1"/>
        </w:rPr>
        <w:t>Ďalšie faktory mimo koronavírusu</w:t>
      </w:r>
    </w:p>
    <w:p w14:paraId="26712DBC" w14:textId="16BA5EA4" w:rsidR="00490255" w:rsidRDefault="00490255" w:rsidP="00490255">
      <w:pPr>
        <w:spacing w:after="240"/>
        <w:jc w:val="both"/>
        <w:rPr>
          <w:b/>
        </w:rPr>
      </w:pPr>
      <w:r w:rsidRPr="00377E59">
        <w:rPr>
          <w:b/>
        </w:rPr>
        <w:t>Daňovo-o</w:t>
      </w:r>
      <w:r>
        <w:rPr>
          <w:b/>
        </w:rPr>
        <w:t>dvodové príjmy rozpočtu prispeli</w:t>
      </w:r>
      <w:r w:rsidRPr="00377E59">
        <w:rPr>
          <w:b/>
        </w:rPr>
        <w:t xml:space="preserve"> popri rýchlejšom zotavení ekonomiky k</w:t>
      </w:r>
      <w:r w:rsidR="002B2BD4">
        <w:rPr>
          <w:b/>
        </w:rPr>
        <w:t xml:space="preserve"> nižšiemu deficitu </w:t>
      </w:r>
      <w:r>
        <w:rPr>
          <w:b/>
        </w:rPr>
        <w:t xml:space="preserve">až </w:t>
      </w:r>
      <w:r w:rsidR="002B2BD4">
        <w:rPr>
          <w:b/>
        </w:rPr>
        <w:t>o</w:t>
      </w:r>
      <w:r w:rsidR="00665268">
        <w:rPr>
          <w:b/>
        </w:rPr>
        <w:t xml:space="preserve"> 1,9</w:t>
      </w:r>
      <w:r w:rsidRPr="00AE177A">
        <w:rPr>
          <w:b/>
        </w:rPr>
        <w:t xml:space="preserve"> %</w:t>
      </w:r>
      <w:r w:rsidRPr="00377E59">
        <w:rPr>
          <w:b/>
        </w:rPr>
        <w:t xml:space="preserve"> HDP</w:t>
      </w:r>
      <w:r>
        <w:rPr>
          <w:rStyle w:val="Odkaznapoznmkupodiarou"/>
          <w:b/>
        </w:rPr>
        <w:footnoteReference w:id="7"/>
      </w:r>
      <w:r w:rsidRPr="00377E59">
        <w:rPr>
          <w:b/>
          <w:iCs/>
        </w:rPr>
        <w:t xml:space="preserve">. </w:t>
      </w:r>
      <w:r>
        <w:rPr>
          <w:iCs/>
        </w:rPr>
        <w:t>Hlavným faktorom bolo</w:t>
      </w:r>
      <w:r w:rsidRPr="00AB19DE">
        <w:rPr>
          <w:iCs/>
        </w:rPr>
        <w:t xml:space="preserve"> </w:t>
      </w:r>
      <w:r>
        <w:t xml:space="preserve">pozitívne prekvapenie pri </w:t>
      </w:r>
      <w:r w:rsidRPr="00377E59">
        <w:t>da</w:t>
      </w:r>
      <w:r>
        <w:t xml:space="preserve">ni </w:t>
      </w:r>
      <w:r w:rsidRPr="00377E59">
        <w:t xml:space="preserve">z príjmov právnických osôb </w:t>
      </w:r>
      <w:r>
        <w:t>vo výške 0,7 </w:t>
      </w:r>
      <w:r w:rsidRPr="00377E59">
        <w:t xml:space="preserve">% HDP. </w:t>
      </w:r>
      <w:r>
        <w:t xml:space="preserve">Zvyčajne procyklická korporátna daň napriek pandémii poklesla len minimálne, na rozdiel od skúsenosti počas </w:t>
      </w:r>
      <w:r w:rsidRPr="00377E59">
        <w:t>globálnej finančnej krízy</w:t>
      </w:r>
      <w:r>
        <w:rPr>
          <w:rStyle w:val="Odkaznapoznmkupodiarou"/>
        </w:rPr>
        <w:footnoteReference w:id="8"/>
      </w:r>
      <w:r>
        <w:t>, s ktorou sa počítalo aj v prognóze v rozpočte.</w:t>
      </w:r>
      <w:r w:rsidRPr="00377E59">
        <w:t xml:space="preserve"> </w:t>
      </w:r>
      <w:r w:rsidRPr="00611977">
        <w:t>Za udržaním výnosu sú najmä vybrané sektory ekonomiky, dôležité z hľadiska výberu korporátnej dane, ktor</w:t>
      </w:r>
      <w:r>
        <w:t>ým</w:t>
      </w:r>
      <w:r w:rsidRPr="00611977">
        <w:t xml:space="preserve"> sa aj napriek kríze darilo.</w:t>
      </w:r>
      <w:r>
        <w:t xml:space="preserve"> K vyššiemu výnosu  prispel</w:t>
      </w:r>
      <w:r w:rsidRPr="00377E59">
        <w:t xml:space="preserve"> </w:t>
      </w:r>
      <w:r>
        <w:t xml:space="preserve">aj </w:t>
      </w:r>
      <w:r w:rsidRPr="00377E59">
        <w:t>pozitívny vývoj pri dani z</w:t>
      </w:r>
      <w:r>
        <w:t> pridanej hodnoty</w:t>
      </w:r>
      <w:r w:rsidRPr="00377E59">
        <w:t xml:space="preserve">, kde </w:t>
      </w:r>
      <w:r>
        <w:t xml:space="preserve">výnos prekročil predpoklady </w:t>
      </w:r>
      <w:r w:rsidRPr="00AE177A">
        <w:t>rozpočtu o 0,4 % HDP</w:t>
      </w:r>
      <w:r>
        <w:t xml:space="preserve"> vďaka rastu úspešnosti výberu, s ktorým sa nepočítalo.</w:t>
      </w:r>
      <w:r w:rsidRPr="00377E59">
        <w:t xml:space="preserve"> </w:t>
      </w:r>
      <w:r>
        <w:t>Vyššiu efektívnu daňová sadzbu potvrdzuje</w:t>
      </w:r>
      <w:r w:rsidRPr="009B336C">
        <w:t xml:space="preserve"> aj aktualizácia daňovej medzery za rok 2021, ktorá indikuje historicky najlepšie zlepšenie úspešnosti výberu o 4,7 percentuálneho bodu (viď časť o kvalite verejných financií).</w:t>
      </w:r>
      <w:r>
        <w:t xml:space="preserve"> Okrem toho boli d</w:t>
      </w:r>
      <w:r w:rsidRPr="002B2BD4">
        <w:t xml:space="preserve">aňové príjmy výrazne ovplyvnené </w:t>
      </w:r>
      <w:r>
        <w:t xml:space="preserve">aj </w:t>
      </w:r>
      <w:r w:rsidRPr="002B2BD4">
        <w:t>volatilitou makroekonomických</w:t>
      </w:r>
      <w:r>
        <w:t xml:space="preserve"> indikátorov</w:t>
      </w:r>
      <w:r w:rsidRPr="002B2BD4">
        <w:t>, čo spôsobilo mierne podhodnotenie odhadov makroekonomického vývoja.</w:t>
      </w:r>
      <w:r w:rsidRPr="0033472D">
        <w:rPr>
          <w:b/>
        </w:rPr>
        <w:t xml:space="preserve"> </w:t>
      </w:r>
      <w:r w:rsidRPr="0033472D">
        <w:t>Nad rámec toho sa aj v priebehu roku 2021 situácia vyvíjala dynamicky a došlo k viacerým aktualizáciám makroekonomickej prognózy. Za zvýšením je z veľkej časti vplyv vyšších miezd, čo sa premietlo do vyšších príjmoch z odvodov a dani z príjmov fyzických os</w:t>
      </w:r>
      <w:r>
        <w:t xml:space="preserve">ôb (DPFO) v celkovom objeme </w:t>
      </w:r>
      <w:r w:rsidRPr="007C3154">
        <w:t>0,</w:t>
      </w:r>
      <w:r>
        <w:t>4 % HDP</w:t>
      </w:r>
      <w:r w:rsidRPr="002B2BD4">
        <w:rPr>
          <w:b/>
        </w:rPr>
        <w:t xml:space="preserve">. </w:t>
      </w:r>
    </w:p>
    <w:p w14:paraId="5EF441C3" w14:textId="6E73D16F" w:rsidR="00490255" w:rsidRPr="000C6444" w:rsidRDefault="00490255" w:rsidP="00490255">
      <w:pPr>
        <w:spacing w:after="240"/>
        <w:jc w:val="both"/>
      </w:pPr>
    </w:p>
    <w:tbl>
      <w:tblPr>
        <w:tblW w:w="8985" w:type="dxa"/>
        <w:tblLayout w:type="fixed"/>
        <w:tblLook w:val="04A0" w:firstRow="1" w:lastRow="0" w:firstColumn="1" w:lastColumn="0" w:noHBand="0" w:noVBand="1"/>
      </w:tblPr>
      <w:tblGrid>
        <w:gridCol w:w="8985"/>
      </w:tblGrid>
      <w:tr w:rsidR="00490255" w:rsidRPr="00071E28" w14:paraId="1C3AF138" w14:textId="77777777" w:rsidTr="000E4D54">
        <w:trPr>
          <w:trHeight w:val="121"/>
        </w:trPr>
        <w:tc>
          <w:tcPr>
            <w:tcW w:w="8985" w:type="dxa"/>
            <w:tcBorders>
              <w:left w:val="nil"/>
              <w:bottom w:val="single" w:sz="8" w:space="0" w:color="auto"/>
              <w:right w:val="nil"/>
            </w:tcBorders>
            <w:noWrap/>
            <w:vAlign w:val="center"/>
          </w:tcPr>
          <w:p w14:paraId="5B8BC615" w14:textId="7ED8CC09" w:rsidR="00490255" w:rsidRPr="00071E28" w:rsidRDefault="00490255" w:rsidP="000E4D54">
            <w:pPr>
              <w:pStyle w:val="Nadpis3"/>
              <w:rPr>
                <w:rFonts w:eastAsiaTheme="minorHAnsi"/>
                <w:color w:val="2C9ADC"/>
                <w:szCs w:val="20"/>
                <w:lang w:eastAsia="en-US"/>
              </w:rPr>
            </w:pPr>
            <w:bookmarkStart w:id="88" w:name="_Toc101881938"/>
            <w:r w:rsidRPr="00071E28">
              <w:rPr>
                <w:rFonts w:eastAsiaTheme="minorHAnsi"/>
                <w:color w:val="2C9ADC"/>
                <w:szCs w:val="20"/>
                <w:lang w:eastAsia="en-US"/>
              </w:rPr>
              <w:t xml:space="preserve">GRAF </w:t>
            </w:r>
            <w:r w:rsidR="00293DD6" w:rsidRPr="008F4E8A">
              <w:rPr>
                <w:rFonts w:eastAsiaTheme="minorHAnsi"/>
                <w:color w:val="2C9ADC"/>
                <w:szCs w:val="20"/>
                <w:lang w:eastAsia="en-US"/>
              </w:rPr>
              <w:fldChar w:fldCharType="begin"/>
            </w:r>
            <w:r w:rsidR="00293DD6" w:rsidRPr="008F4E8A">
              <w:rPr>
                <w:rFonts w:eastAsiaTheme="minorHAnsi"/>
                <w:color w:val="2C9ADC"/>
                <w:szCs w:val="20"/>
                <w:lang w:eastAsia="en-US"/>
              </w:rPr>
              <w:instrText xml:space="preserve"> SEQ GRAF \* ARABIC </w:instrText>
            </w:r>
            <w:r w:rsidR="00293DD6" w:rsidRPr="008F4E8A">
              <w:rPr>
                <w:rFonts w:eastAsiaTheme="minorHAnsi"/>
                <w:color w:val="2C9ADC"/>
                <w:szCs w:val="20"/>
                <w:lang w:eastAsia="en-US"/>
              </w:rPr>
              <w:fldChar w:fldCharType="separate"/>
            </w:r>
            <w:r w:rsidR="005D3280">
              <w:rPr>
                <w:rFonts w:eastAsiaTheme="minorHAnsi"/>
                <w:noProof/>
                <w:color w:val="2C9ADC"/>
                <w:szCs w:val="20"/>
                <w:lang w:eastAsia="en-US"/>
              </w:rPr>
              <w:t>14</w:t>
            </w:r>
            <w:r w:rsidR="00293DD6" w:rsidRPr="008F4E8A">
              <w:rPr>
                <w:rFonts w:eastAsiaTheme="minorHAnsi"/>
                <w:color w:val="2C9ADC"/>
                <w:szCs w:val="20"/>
                <w:lang w:eastAsia="en-US"/>
              </w:rPr>
              <w:fldChar w:fldCharType="end"/>
            </w:r>
            <w:r w:rsidRPr="00071E28">
              <w:rPr>
                <w:rFonts w:eastAsiaTheme="minorHAnsi"/>
                <w:color w:val="2C9ADC"/>
                <w:szCs w:val="20"/>
                <w:lang w:eastAsia="en-US"/>
              </w:rPr>
              <w:t xml:space="preserve"> – </w:t>
            </w:r>
            <w:r>
              <w:rPr>
                <w:rFonts w:eastAsiaTheme="minorHAnsi"/>
                <w:color w:val="2C9ADC"/>
                <w:szCs w:val="20"/>
                <w:lang w:eastAsia="en-US"/>
              </w:rPr>
              <w:t>Zmena odhadu daňovo-odvodových príjmov VS za rok 2021 oproti rozpočtu</w:t>
            </w:r>
            <w:r w:rsidRPr="00071E28">
              <w:rPr>
                <w:rFonts w:eastAsiaTheme="minorHAnsi"/>
                <w:color w:val="2C9ADC"/>
                <w:szCs w:val="20"/>
                <w:lang w:eastAsia="en-US"/>
              </w:rPr>
              <w:t xml:space="preserve"> (v </w:t>
            </w:r>
            <w:r>
              <w:rPr>
                <w:rFonts w:eastAsiaTheme="minorHAnsi"/>
                <w:color w:val="2C9ADC"/>
                <w:szCs w:val="20"/>
                <w:lang w:eastAsia="en-US"/>
              </w:rPr>
              <w:t>% HDP</w:t>
            </w:r>
            <w:r w:rsidRPr="00071E28">
              <w:rPr>
                <w:rFonts w:eastAsiaTheme="minorHAnsi"/>
                <w:color w:val="2C9ADC"/>
                <w:szCs w:val="20"/>
                <w:lang w:eastAsia="en-US"/>
              </w:rPr>
              <w:t>, ESA2010)</w:t>
            </w:r>
            <w:bookmarkEnd w:id="88"/>
            <w:r>
              <w:rPr>
                <w:rStyle w:val="Odkaznakomentr"/>
                <w:rFonts w:cs="Book Antiqua"/>
                <w:b w:val="0"/>
                <w:bCs w:val="0"/>
              </w:rPr>
              <w:t xml:space="preserve"> </w:t>
            </w:r>
          </w:p>
        </w:tc>
      </w:tr>
      <w:tr w:rsidR="00490255" w:rsidRPr="00071E28" w14:paraId="0FB346A1" w14:textId="77777777" w:rsidTr="000E4D54">
        <w:tblPrEx>
          <w:tblCellMar>
            <w:left w:w="70" w:type="dxa"/>
            <w:right w:w="70" w:type="dxa"/>
          </w:tblCellMar>
        </w:tblPrEx>
        <w:trPr>
          <w:trHeight w:val="3132"/>
        </w:trPr>
        <w:tc>
          <w:tcPr>
            <w:tcW w:w="8985" w:type="dxa"/>
            <w:tcBorders>
              <w:top w:val="single" w:sz="8" w:space="0" w:color="auto"/>
              <w:left w:val="nil"/>
              <w:bottom w:val="single" w:sz="4" w:space="0" w:color="auto"/>
              <w:right w:val="nil"/>
            </w:tcBorders>
            <w:noWrap/>
          </w:tcPr>
          <w:p w14:paraId="1C449FCD" w14:textId="76B1773D" w:rsidR="00490255" w:rsidRPr="00071E28" w:rsidRDefault="00490255" w:rsidP="000E4D54">
            <w:pPr>
              <w:spacing w:line="256" w:lineRule="auto"/>
              <w:rPr>
                <w:rFonts w:cs="Times New Roman"/>
                <w:b/>
                <w:bCs/>
                <w:color w:val="000000" w:themeColor="text1"/>
                <w:lang w:eastAsia="en-US"/>
              </w:rPr>
            </w:pPr>
            <w:r>
              <w:rPr>
                <w:rFonts w:cs="Times New Roman"/>
                <w:b/>
                <w:bCs/>
                <w:noProof/>
                <w:color w:val="000000" w:themeColor="text1"/>
              </w:rPr>
              <w:drawing>
                <wp:inline distT="0" distB="0" distL="0" distR="0" wp14:anchorId="63840887" wp14:editId="5B480413">
                  <wp:extent cx="5589818" cy="1762614"/>
                  <wp:effectExtent l="0" t="0" r="0" b="9525"/>
                  <wp:docPr id="295" name="Obrázo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07170" cy="1768086"/>
                          </a:xfrm>
                          <a:prstGeom prst="rect">
                            <a:avLst/>
                          </a:prstGeom>
                          <a:noFill/>
                        </pic:spPr>
                      </pic:pic>
                    </a:graphicData>
                  </a:graphic>
                </wp:inline>
              </w:drawing>
            </w:r>
          </w:p>
        </w:tc>
      </w:tr>
      <w:tr w:rsidR="00490255" w:rsidRPr="00071E28" w14:paraId="5865861D" w14:textId="77777777" w:rsidTr="000E4D54">
        <w:tblPrEx>
          <w:tblCellMar>
            <w:left w:w="70" w:type="dxa"/>
            <w:right w:w="70" w:type="dxa"/>
          </w:tblCellMar>
        </w:tblPrEx>
        <w:trPr>
          <w:trHeight w:val="112"/>
        </w:trPr>
        <w:tc>
          <w:tcPr>
            <w:tcW w:w="8985" w:type="dxa"/>
            <w:tcBorders>
              <w:top w:val="single" w:sz="8" w:space="0" w:color="auto"/>
              <w:left w:val="nil"/>
              <w:right w:val="nil"/>
            </w:tcBorders>
            <w:shd w:val="clear" w:color="auto" w:fill="auto"/>
            <w:noWrap/>
            <w:vAlign w:val="center"/>
          </w:tcPr>
          <w:p w14:paraId="6BA94914" w14:textId="77777777" w:rsidR="00490255" w:rsidRPr="00071E28" w:rsidRDefault="00490255" w:rsidP="000E4D54">
            <w:pPr>
              <w:spacing w:before="40"/>
              <w:rPr>
                <w:i/>
                <w:sz w:val="16"/>
                <w:szCs w:val="16"/>
                <w:lang w:eastAsia="en-US"/>
              </w:rPr>
            </w:pPr>
            <w:r>
              <w:rPr>
                <w:i/>
                <w:sz w:val="16"/>
                <w:szCs w:val="16"/>
                <w:lang w:eastAsia="en-US"/>
              </w:rPr>
              <w:t>Pozn.: V ostatných sú započítané aj vplyvy sankcií a vplyv daňových kreditov a 2% na výdavky</w:t>
            </w:r>
            <w:r w:rsidRPr="00071E28">
              <w:rPr>
                <w:i/>
                <w:sz w:val="16"/>
                <w:szCs w:val="16"/>
                <w:lang w:eastAsia="en-US"/>
              </w:rPr>
              <w:t xml:space="preserve">                                                           </w:t>
            </w:r>
            <w:r>
              <w:rPr>
                <w:i/>
                <w:sz w:val="16"/>
                <w:szCs w:val="16"/>
                <w:lang w:eastAsia="en-US"/>
              </w:rPr>
              <w:t xml:space="preserve">       Zdroj:  </w:t>
            </w:r>
            <w:r w:rsidRPr="00071E28">
              <w:rPr>
                <w:i/>
                <w:sz w:val="16"/>
                <w:szCs w:val="16"/>
                <w:lang w:eastAsia="en-US"/>
              </w:rPr>
              <w:t>MF SR</w:t>
            </w:r>
          </w:p>
        </w:tc>
      </w:tr>
      <w:tr w:rsidR="00490255" w:rsidRPr="00071E28" w14:paraId="57EE208F" w14:textId="77777777" w:rsidTr="000E4D54">
        <w:tblPrEx>
          <w:tblCellMar>
            <w:left w:w="70" w:type="dxa"/>
            <w:right w:w="70" w:type="dxa"/>
          </w:tblCellMar>
        </w:tblPrEx>
        <w:trPr>
          <w:trHeight w:val="112"/>
        </w:trPr>
        <w:tc>
          <w:tcPr>
            <w:tcW w:w="8985" w:type="dxa"/>
            <w:tcBorders>
              <w:top w:val="single" w:sz="8" w:space="0" w:color="auto"/>
              <w:left w:val="nil"/>
              <w:right w:val="nil"/>
            </w:tcBorders>
            <w:shd w:val="clear" w:color="auto" w:fill="auto"/>
            <w:noWrap/>
            <w:vAlign w:val="center"/>
          </w:tcPr>
          <w:p w14:paraId="49D6FE7F" w14:textId="797960B7" w:rsidR="00490255" w:rsidRDefault="00490255" w:rsidP="000E4D54">
            <w:pPr>
              <w:spacing w:before="40"/>
              <w:jc w:val="both"/>
              <w:rPr>
                <w:i/>
                <w:sz w:val="16"/>
                <w:szCs w:val="16"/>
                <w:lang w:eastAsia="en-US"/>
              </w:rPr>
            </w:pPr>
          </w:p>
        </w:tc>
      </w:tr>
    </w:tbl>
    <w:p w14:paraId="6563E04B" w14:textId="675EC95F" w:rsidR="00490255" w:rsidRPr="001869A3" w:rsidRDefault="00490255" w:rsidP="00490255">
      <w:pPr>
        <w:spacing w:after="240"/>
        <w:jc w:val="both"/>
      </w:pPr>
      <w:r>
        <w:rPr>
          <w:b/>
        </w:rPr>
        <w:t>N</w:t>
      </w:r>
      <w:r w:rsidRPr="001869A3">
        <w:rPr>
          <w:b/>
        </w:rPr>
        <w:t>eminut</w:t>
      </w:r>
      <w:r>
        <w:rPr>
          <w:b/>
        </w:rPr>
        <w:t>é</w:t>
      </w:r>
      <w:r w:rsidRPr="001869A3">
        <w:rPr>
          <w:b/>
        </w:rPr>
        <w:t xml:space="preserve"> kapitálov</w:t>
      </w:r>
      <w:r>
        <w:rPr>
          <w:b/>
        </w:rPr>
        <w:t>é</w:t>
      </w:r>
      <w:r w:rsidRPr="001869A3">
        <w:rPr>
          <w:b/>
        </w:rPr>
        <w:t xml:space="preserve"> výdavk</w:t>
      </w:r>
      <w:r>
        <w:rPr>
          <w:b/>
        </w:rPr>
        <w:t>y</w:t>
      </w:r>
      <w:r w:rsidRPr="001869A3">
        <w:rPr>
          <w:b/>
        </w:rPr>
        <w:t xml:space="preserve"> štátneho rozpočtu zlepšuj</w:t>
      </w:r>
      <w:r>
        <w:rPr>
          <w:b/>
        </w:rPr>
        <w:t>ú</w:t>
      </w:r>
      <w:r w:rsidRPr="001869A3">
        <w:rPr>
          <w:b/>
        </w:rPr>
        <w:t xml:space="preserve"> deficit o 0,8 % HDP</w:t>
      </w:r>
      <w:r w:rsidRPr="001869A3">
        <w:t xml:space="preserve">. Výrazné úspory sú zapríčinené celkovo nízkym čerpaním kapitálových prostriedkov štátneho rozpočtu </w:t>
      </w:r>
      <w:r>
        <w:t>jednotlivými kapitolami. Ide najmä o Ministerstvo dopravy a výstavby SR a Ministerstvo obrany SR. Ďalším faktorom je</w:t>
      </w:r>
      <w:r w:rsidRPr="001869A3">
        <w:t xml:space="preserve"> aj pomal</w:t>
      </w:r>
      <w:r>
        <w:t>é</w:t>
      </w:r>
      <w:r w:rsidRPr="001869A3">
        <w:t xml:space="preserve"> čerpani</w:t>
      </w:r>
      <w:r>
        <w:t>e</w:t>
      </w:r>
      <w:r w:rsidR="0022751C">
        <w:t xml:space="preserve"> prostriedkov alokovaných</w:t>
      </w:r>
      <w:r w:rsidRPr="001869A3">
        <w:t xml:space="preserve"> vo všeobecnej pokladničnej správe</w:t>
      </w:r>
      <w:r>
        <w:t xml:space="preserve"> určenej na investície</w:t>
      </w:r>
      <w:r w:rsidRPr="001869A3">
        <w:t>.</w:t>
      </w:r>
      <w:r w:rsidR="0022751C">
        <w:t xml:space="preserve"> Časť týchto peňazí</w:t>
      </w:r>
      <w:r>
        <w:t xml:space="preserve"> sa neminula z dôvodu nedostatočného množstva podaných kvalitných žiadostí o investičné projekty jednotlivými rozpočtovými kapitolami.</w:t>
      </w:r>
    </w:p>
    <w:p w14:paraId="2CA29BF1" w14:textId="040B747F" w:rsidR="00154F40" w:rsidRPr="00154F40" w:rsidRDefault="00154F40" w:rsidP="00490255">
      <w:pPr>
        <w:spacing w:after="240"/>
        <w:jc w:val="both"/>
        <w:rPr>
          <w:bCs/>
        </w:rPr>
      </w:pPr>
      <w:r>
        <w:rPr>
          <w:b/>
          <w:bCs/>
        </w:rPr>
        <w:t xml:space="preserve">K lepšiemu výsledku deficitu výrazne prispelo lepšie hospodárenie </w:t>
      </w:r>
      <w:r w:rsidR="00196CF3">
        <w:rPr>
          <w:b/>
          <w:bCs/>
        </w:rPr>
        <w:t>obcí (0,3 % HDP)</w:t>
      </w:r>
      <w:r>
        <w:rPr>
          <w:b/>
          <w:bCs/>
        </w:rPr>
        <w:t xml:space="preserve">. </w:t>
      </w:r>
      <w:r w:rsidR="00196CF3">
        <w:rPr>
          <w:bCs/>
        </w:rPr>
        <w:t>Obce</w:t>
      </w:r>
      <w:r w:rsidRPr="00154F40">
        <w:rPr>
          <w:bCs/>
        </w:rPr>
        <w:t xml:space="preserve"> hospodárili nakoniec s miernym prebytkom namiesto očakávaného vysokého deficitu</w:t>
      </w:r>
      <w:r w:rsidR="00196CF3">
        <w:rPr>
          <w:bCs/>
        </w:rPr>
        <w:t xml:space="preserve"> až vyše 0,4 % HDP. Dôvodom je najmä </w:t>
      </w:r>
      <w:r w:rsidR="00196CF3">
        <w:t>menšie čerpanie poskytnutých transferov zo štátneho rozpočtu. Zvýšené transfery sa nepremietli do zvýšených výdavkov ale kryli už predpokladaný objem výdavkov. Po očistení o vplyv vyšších daňových príjmov bol vplyv na saldo približne 0,3 % HDP.</w:t>
      </w:r>
    </w:p>
    <w:p w14:paraId="43A08EFD" w14:textId="10CC4396" w:rsidR="00490255" w:rsidRPr="00946C68" w:rsidRDefault="00490255" w:rsidP="00490255">
      <w:pPr>
        <w:spacing w:after="240"/>
        <w:jc w:val="both"/>
        <w:rPr>
          <w:highlight w:val="yellow"/>
        </w:rPr>
      </w:pPr>
      <w:r w:rsidRPr="00880DF9">
        <w:rPr>
          <w:b/>
          <w:bCs/>
        </w:rPr>
        <w:t>Výdavky Sociálnej poisťovne, ktoré nesúvis</w:t>
      </w:r>
      <w:r>
        <w:rPr>
          <w:b/>
          <w:bCs/>
        </w:rPr>
        <w:t>eli</w:t>
      </w:r>
      <w:r w:rsidRPr="00880DF9">
        <w:rPr>
          <w:b/>
          <w:bCs/>
        </w:rPr>
        <w:t xml:space="preserve"> priamo s vplyvom pandémie, </w:t>
      </w:r>
      <w:r>
        <w:rPr>
          <w:b/>
          <w:bCs/>
        </w:rPr>
        <w:t>boli</w:t>
      </w:r>
      <w:r w:rsidRPr="00880DF9">
        <w:rPr>
          <w:b/>
          <w:bCs/>
        </w:rPr>
        <w:t xml:space="preserve"> oproti rozpočtu nižšie o 0,2 % HDP. </w:t>
      </w:r>
      <w:r w:rsidRPr="00880DF9">
        <w:rPr>
          <w:rFonts w:cs="Times New Roman"/>
          <w:bCs/>
        </w:rPr>
        <w:t>Pokles výdavkov</w:t>
      </w:r>
      <w:r>
        <w:rPr>
          <w:rFonts w:cs="Times New Roman"/>
          <w:bCs/>
        </w:rPr>
        <w:t xml:space="preserve"> oproti rozpočtu</w:t>
      </w:r>
      <w:r w:rsidRPr="00880DF9">
        <w:rPr>
          <w:rFonts w:cs="Times New Roman"/>
          <w:bCs/>
        </w:rPr>
        <w:t xml:space="preserve"> </w:t>
      </w:r>
      <w:r>
        <w:rPr>
          <w:rFonts w:cs="Times New Roman"/>
          <w:bCs/>
        </w:rPr>
        <w:t>nastal</w:t>
      </w:r>
      <w:r w:rsidRPr="00880DF9">
        <w:rPr>
          <w:rFonts w:cs="Times New Roman"/>
          <w:bCs/>
        </w:rPr>
        <w:t xml:space="preserve"> najmä pri dôchodkových dávkach (0,1 % HDP) a nepandemických dávkach nemocenského poistenia (0,1 % HDP). </w:t>
      </w:r>
      <w:r>
        <w:rPr>
          <w:rFonts w:cs="Times New Roman"/>
          <w:bCs/>
        </w:rPr>
        <w:t>V prípade dôchodkov bol hlavným faktorom</w:t>
      </w:r>
      <w:r w:rsidRPr="00B26DC9">
        <w:rPr>
          <w:rFonts w:cs="Times New Roman"/>
          <w:bCs/>
        </w:rPr>
        <w:t xml:space="preserve"> vyšší počet a vyššia priemerná dávka zaniknutých dôchodkov, než sa očakávalo (nepriamy vplyv COVID-19). Ďalší dôvod je nižšia priemerná výška novopriznaných dôchodkov. </w:t>
      </w:r>
      <w:r w:rsidRPr="00880DF9">
        <w:rPr>
          <w:rFonts w:cs="Times New Roman"/>
          <w:bCs/>
        </w:rPr>
        <w:t>Výdavky na štandardné nemocenské a ošetrovné dávky kles</w:t>
      </w:r>
      <w:r>
        <w:rPr>
          <w:rFonts w:cs="Times New Roman"/>
          <w:bCs/>
        </w:rPr>
        <w:t>li</w:t>
      </w:r>
      <w:r w:rsidRPr="00880DF9">
        <w:rPr>
          <w:rFonts w:cs="Times New Roman"/>
          <w:bCs/>
        </w:rPr>
        <w:t xml:space="preserve"> kvôli výraznejšiemu čerpaniu pandemických dávok PN a OČR</w:t>
      </w:r>
      <w:r w:rsidRPr="00880DF9">
        <w:rPr>
          <w:rStyle w:val="Odkaznapoznmkupodiarou"/>
        </w:rPr>
        <w:footnoteReference w:id="9"/>
      </w:r>
      <w:r w:rsidRPr="00880DF9">
        <w:rPr>
          <w:rFonts w:cs="Times New Roman"/>
          <w:bCs/>
        </w:rPr>
        <w:t xml:space="preserve">. </w:t>
      </w:r>
      <w:r w:rsidRPr="00880DF9">
        <w:t>Zníž</w:t>
      </w:r>
      <w:r>
        <w:t>ili</w:t>
      </w:r>
      <w:r w:rsidRPr="00880DF9">
        <w:t xml:space="preserve"> sa aj výdavky na ostatné nemocenské dávky z dôvodu nižšieho čerpania materského otcami či pomalšieho nábehu poberateľov tehotenských dávok.</w:t>
      </w:r>
      <w:r w:rsidRPr="00880DF9">
        <w:rPr>
          <w:rFonts w:cs="Times New Roman"/>
          <w:bCs/>
        </w:rPr>
        <w:t xml:space="preserve"> </w:t>
      </w:r>
    </w:p>
    <w:p w14:paraId="019A4F6A" w14:textId="77777777" w:rsidR="00490255" w:rsidRDefault="00490255" w:rsidP="00490255">
      <w:pPr>
        <w:jc w:val="both"/>
      </w:pPr>
      <w:r w:rsidRPr="00592590">
        <w:rPr>
          <w:b/>
        </w:rPr>
        <w:t>Pozitívny vplyv na deficit oproti rozpočtu bol spôsobený aj</w:t>
      </w:r>
      <w:r w:rsidRPr="00592590">
        <w:t xml:space="preserve"> </w:t>
      </w:r>
      <w:r w:rsidRPr="00592590">
        <w:rPr>
          <w:b/>
          <w:bCs/>
        </w:rPr>
        <w:t xml:space="preserve">v dotáciách na podporu obnoviteľných zdrojov energie </w:t>
      </w:r>
      <w:r w:rsidRPr="00D905F3">
        <w:rPr>
          <w:b/>
        </w:rPr>
        <w:t>vo výške 0,2 % HDP</w:t>
      </w:r>
      <w:r w:rsidRPr="00592590">
        <w:t xml:space="preserve">. </w:t>
      </w:r>
      <w:r>
        <w:t>Za pozitívnym vplyvom v roku 2021 bol</w:t>
      </w:r>
      <w:r w:rsidRPr="00592590">
        <w:t xml:space="preserve"> rýchly rast trhových cien energií</w:t>
      </w:r>
      <w:r w:rsidRPr="00467330">
        <w:t>.</w:t>
      </w:r>
      <w:r>
        <w:t xml:space="preserve"> Tie rástli rekordne rýchlo a spôsobil, že v minulosti dotovaná výroba energii z obnoviteľných zdrojov </w:t>
      </w:r>
      <w:r w:rsidRPr="00B66B70">
        <w:rPr>
          <w:bCs/>
        </w:rPr>
        <w:t>(tzv. zelená energia)</w:t>
      </w:r>
      <w:r w:rsidRPr="00592590">
        <w:rPr>
          <w:b/>
          <w:bCs/>
        </w:rPr>
        <w:t xml:space="preserve"> </w:t>
      </w:r>
      <w:r>
        <w:t xml:space="preserve"> sa stala ziskovou.</w:t>
      </w:r>
    </w:p>
    <w:p w14:paraId="17E53E46" w14:textId="77777777" w:rsidR="00490255" w:rsidRDefault="00490255" w:rsidP="00490255">
      <w:pPr>
        <w:jc w:val="both"/>
      </w:pPr>
    </w:p>
    <w:p w14:paraId="5092AFB6" w14:textId="295CA0F2" w:rsidR="00490255" w:rsidRPr="002256F5" w:rsidRDefault="00490255" w:rsidP="00490255">
      <w:pPr>
        <w:spacing w:after="240"/>
        <w:jc w:val="both"/>
      </w:pPr>
      <w:r w:rsidRPr="0078069E">
        <w:rPr>
          <w:rFonts w:cs="Arial Narrow"/>
          <w:b/>
        </w:rPr>
        <w:t xml:space="preserve">Výdavky súvisiace s európskym rozpočtom </w:t>
      </w:r>
      <w:r w:rsidR="00851C07" w:rsidRPr="0078069E">
        <w:rPr>
          <w:rFonts w:cs="Arial Narrow"/>
          <w:b/>
        </w:rPr>
        <w:t>zvýšili</w:t>
      </w:r>
      <w:r w:rsidRPr="0078069E">
        <w:rPr>
          <w:rFonts w:cs="Arial Narrow"/>
          <w:b/>
        </w:rPr>
        <w:t xml:space="preserve"> deficit oproti rozpočtu o 0,</w:t>
      </w:r>
      <w:r w:rsidR="009345D8">
        <w:rPr>
          <w:rFonts w:cs="Arial Narrow"/>
          <w:b/>
        </w:rPr>
        <w:t>1</w:t>
      </w:r>
      <w:r w:rsidRPr="0078069E">
        <w:rPr>
          <w:rFonts w:cs="Arial Narrow"/>
          <w:b/>
        </w:rPr>
        <w:t xml:space="preserve"> % HDP. </w:t>
      </w:r>
      <w:r w:rsidRPr="0078069E">
        <w:t>Slabšie čerpanie prostriedkov európskych projektov prispelo formou nižšieho spolufinancovania vyše 0,3 p. b. HDP. Úspora nastala aj v prípade odvodu do EÚ, čo je dané najmä konzervatívnym prístupom pri príprave rozpočtu</w:t>
      </w:r>
      <w:r>
        <w:t xml:space="preserve"> vzhľadom na neistotu vyplývajúcu z možných úprav rozpočtu EÚ. Naopak negatívny</w:t>
      </w:r>
      <w:r w:rsidRPr="004B2F8B">
        <w:t xml:space="preserve"> dosah na rozpočet</w:t>
      </w:r>
      <w:r>
        <w:t xml:space="preserve"> s</w:t>
      </w:r>
      <w:r w:rsidR="00851C07">
        <w:t> </w:t>
      </w:r>
      <w:r>
        <w:t>vplyvom</w:t>
      </w:r>
      <w:r w:rsidR="00851C07">
        <w:t xml:space="preserve"> až</w:t>
      </w:r>
      <w:r>
        <w:t xml:space="preserve"> 0,</w:t>
      </w:r>
      <w:r w:rsidR="00851C07">
        <w:t>5</w:t>
      </w:r>
      <w:r>
        <w:t xml:space="preserve"> % HDP</w:t>
      </w:r>
      <w:r w:rsidRPr="004B2F8B">
        <w:t xml:space="preserve"> mal</w:t>
      </w:r>
      <w:r>
        <w:t>o</w:t>
      </w:r>
      <w:r w:rsidRPr="004B2F8B">
        <w:t xml:space="preserve"> vysporiadanie platby do EÚ rozpočtu v súvislosti s</w:t>
      </w:r>
      <w:r>
        <w:t xml:space="preserve"> platbou istiny a úrokov za </w:t>
      </w:r>
      <w:r w:rsidRPr="004B2F8B">
        <w:t>nezrovnalos</w:t>
      </w:r>
      <w:r>
        <w:t>ti</w:t>
      </w:r>
      <w:r w:rsidRPr="004B2F8B">
        <w:t xml:space="preserve"> pri preclievaní tovaru z tretích krajín.</w:t>
      </w:r>
      <w:r>
        <w:t xml:space="preserve"> Deficit opr</w:t>
      </w:r>
      <w:r w:rsidR="00851C07">
        <w:t xml:space="preserve">oti plánu navyšuje zaplatenie istiny ešte v roku 2021 a </w:t>
      </w:r>
      <w:r>
        <w:t>úroky z oneskorenej platby, ktoré sú hotovostne vyplatené, ale akruálne sú zaznamenané ešte v </w:t>
      </w:r>
      <w:r w:rsidR="00851C07">
        <w:t>minulom</w:t>
      </w:r>
      <w:r w:rsidRPr="004B2F8B">
        <w:t xml:space="preserve">. </w:t>
      </w:r>
    </w:p>
    <w:p w14:paraId="266BCBDF" w14:textId="6A34C652" w:rsidR="00490255" w:rsidRPr="000D175D" w:rsidRDefault="00490255" w:rsidP="00490255">
      <w:pPr>
        <w:jc w:val="both"/>
        <w:rPr>
          <w:rFonts w:cs="Arial Narrow"/>
        </w:rPr>
      </w:pPr>
      <w:r w:rsidRPr="000D175D">
        <w:rPr>
          <w:rFonts w:cs="Arial Narrow"/>
          <w:b/>
        </w:rPr>
        <w:t xml:space="preserve">Vyššie </w:t>
      </w:r>
      <w:r>
        <w:rPr>
          <w:rFonts w:cs="Arial Narrow"/>
          <w:b/>
        </w:rPr>
        <w:t xml:space="preserve">mzdové </w:t>
      </w:r>
      <w:r w:rsidRPr="000D175D">
        <w:rPr>
          <w:rFonts w:cs="Arial Narrow"/>
          <w:b/>
        </w:rPr>
        <w:t xml:space="preserve">výdavky v štátnom rozpočte zvýšili </w:t>
      </w:r>
      <w:r>
        <w:rPr>
          <w:rFonts w:cs="Arial Narrow"/>
          <w:b/>
        </w:rPr>
        <w:t xml:space="preserve">plánovaný </w:t>
      </w:r>
      <w:r w:rsidRPr="000D175D">
        <w:rPr>
          <w:rFonts w:cs="Arial Narrow"/>
          <w:b/>
        </w:rPr>
        <w:t>deficit o 0,2 % HDP.</w:t>
      </w:r>
      <w:r>
        <w:rPr>
          <w:rFonts w:cs="Arial Narrow"/>
          <w:b/>
        </w:rPr>
        <w:t xml:space="preserve"> </w:t>
      </w:r>
      <w:r>
        <w:rPr>
          <w:rFonts w:cs="Arial Narrow"/>
        </w:rPr>
        <w:t>Vláda pri tvorbe rozpočtu na rok 2021 plánovala zníženie nákladov na kompenzácie. K úspore malo dôjsť prostredníctvom znižovania</w:t>
      </w:r>
      <w:r w:rsidRPr="003C6DA7">
        <w:rPr>
          <w:rFonts w:cs="Arial Narrow"/>
        </w:rPr>
        <w:t xml:space="preserve"> zamestnanosti vybraných úradníkov o 10 % oproti stavu v roku 2020</w:t>
      </w:r>
      <w:r>
        <w:rPr>
          <w:rStyle w:val="Odkaznapoznmkupodiarou"/>
        </w:rPr>
        <w:footnoteReference w:id="10"/>
      </w:r>
      <w:r w:rsidR="00BA4021">
        <w:rPr>
          <w:rFonts w:cs="Arial Narrow"/>
        </w:rPr>
        <w:t>. Realizované úspory zo</w:t>
      </w:r>
      <w:r>
        <w:rPr>
          <w:rFonts w:cs="Arial Narrow"/>
        </w:rPr>
        <w:t xml:space="preserve"> z</w:t>
      </w:r>
      <w:r w:rsidR="00BA4021">
        <w:rPr>
          <w:rFonts w:cs="Arial Narrow"/>
        </w:rPr>
        <w:t>níženia</w:t>
      </w:r>
      <w:r>
        <w:rPr>
          <w:rFonts w:cs="Arial Narrow"/>
        </w:rPr>
        <w:t xml:space="preserve"> počtu štátnych zamestnancov a zamestnancov vykonávajúci</w:t>
      </w:r>
      <w:r w:rsidR="00BA4021">
        <w:rPr>
          <w:rFonts w:cs="Arial Narrow"/>
        </w:rPr>
        <w:t>m prácu vo verejnom záujme bolo na</w:t>
      </w:r>
      <w:r>
        <w:rPr>
          <w:rFonts w:cs="Arial Narrow"/>
        </w:rPr>
        <w:t xml:space="preserve"> úrovni štátneho ro</w:t>
      </w:r>
      <w:r w:rsidR="00BA4021">
        <w:rPr>
          <w:rFonts w:cs="Arial Narrow"/>
        </w:rPr>
        <w:t>zpočtu však kompenzované</w:t>
      </w:r>
      <w:r>
        <w:rPr>
          <w:rFonts w:cs="Arial Narrow"/>
        </w:rPr>
        <w:t xml:space="preserve"> novými výdavkami</w:t>
      </w:r>
      <w:r>
        <w:rPr>
          <w:rStyle w:val="Odkaznapoznmkupodiarou"/>
        </w:rPr>
        <w:footnoteReference w:id="11"/>
      </w:r>
      <w:r>
        <w:rPr>
          <w:rFonts w:cs="Arial Narrow"/>
        </w:rPr>
        <w:t>. K zvýšeniu výdavkov na kompenzácie prispeli aj jednorazové odmeny vo výške 350 eur na konci roka (0,1 % HDP), s ktorými sa v rozpočte nepočítalo.</w:t>
      </w:r>
    </w:p>
    <w:p w14:paraId="59A825A0" w14:textId="4A2519F5" w:rsidR="00A02171" w:rsidRDefault="00A02171" w:rsidP="00293DD6">
      <w:pPr>
        <w:spacing w:after="120"/>
        <w:jc w:val="both"/>
      </w:pPr>
    </w:p>
    <w:p w14:paraId="676CA9FA" w14:textId="2BC60F6A" w:rsidR="00490255" w:rsidRPr="0005574A" w:rsidRDefault="00490255" w:rsidP="00490255">
      <w:pPr>
        <w:pStyle w:val="Nadpis2"/>
        <w:keepLines/>
        <w:numPr>
          <w:ilvl w:val="1"/>
          <w:numId w:val="2"/>
        </w:numPr>
        <w:spacing w:before="240" w:after="240"/>
        <w:rPr>
          <w:b/>
          <w:color w:val="2C9ADC"/>
          <w:szCs w:val="24"/>
        </w:rPr>
      </w:pPr>
      <w:bookmarkStart w:id="89" w:name="_Toc70700329"/>
      <w:bookmarkStart w:id="90" w:name="_Toc101880663"/>
      <w:r w:rsidRPr="00F86ED8">
        <w:rPr>
          <w:b/>
          <w:color w:val="2C9ADC"/>
          <w:szCs w:val="24"/>
        </w:rPr>
        <w:t xml:space="preserve">Aktuálny vývoj </w:t>
      </w:r>
      <w:bookmarkEnd w:id="89"/>
      <w:r>
        <w:rPr>
          <w:b/>
          <w:color w:val="2C9ADC"/>
          <w:szCs w:val="24"/>
        </w:rPr>
        <w:t>verejných financií</w:t>
      </w:r>
      <w:bookmarkEnd w:id="90"/>
    </w:p>
    <w:p w14:paraId="4EC1DCEC" w14:textId="56E490B7" w:rsidR="00490255" w:rsidRPr="008F0BB3" w:rsidRDefault="00490255" w:rsidP="00490255">
      <w:pPr>
        <w:jc w:val="both"/>
      </w:pPr>
      <w:r w:rsidRPr="00023838">
        <w:rPr>
          <w:b/>
        </w:rPr>
        <w:t>Očakávaný deficit v tomto roku sa oproti predpokladom rozpočtu zvyšuje o 0,</w:t>
      </w:r>
      <w:r>
        <w:rPr>
          <w:b/>
        </w:rPr>
        <w:t>2</w:t>
      </w:r>
      <w:r w:rsidRPr="00023838">
        <w:rPr>
          <w:b/>
        </w:rPr>
        <w:t xml:space="preserve"> </w:t>
      </w:r>
      <w:r>
        <w:rPr>
          <w:b/>
        </w:rPr>
        <w:t>% HDP</w:t>
      </w:r>
      <w:r w:rsidRPr="00023838">
        <w:rPr>
          <w:b/>
        </w:rPr>
        <w:t xml:space="preserve"> na 5,</w:t>
      </w:r>
      <w:r>
        <w:rPr>
          <w:b/>
        </w:rPr>
        <w:t>1</w:t>
      </w:r>
      <w:r w:rsidRPr="00023838">
        <w:rPr>
          <w:b/>
        </w:rPr>
        <w:t xml:space="preserve"> % HDP</w:t>
      </w:r>
      <w:r w:rsidRPr="00023838">
        <w:t>.</w:t>
      </w:r>
      <w:r w:rsidRPr="00023838">
        <w:rPr>
          <w:b/>
        </w:rPr>
        <w:t xml:space="preserve"> </w:t>
      </w:r>
      <w:r w:rsidRPr="00023838">
        <w:t>Oproti predpokladom rozpočtu s plánovaným deficitom na úrovni 4,9 % HDP sa zvyšujú výdavky na pandémiu o 0,</w:t>
      </w:r>
      <w:r>
        <w:t>2</w:t>
      </w:r>
      <w:r w:rsidRPr="00023838">
        <w:t xml:space="preserve"> % HDP. </w:t>
      </w:r>
      <w:r>
        <w:t>Rezerva na opatrenia kompenzujúce rast cenovej hladiny zvyšuje deficit o 0,3 % HDP.</w:t>
      </w:r>
      <w:r w:rsidRPr="00023838">
        <w:t xml:space="preserve"> </w:t>
      </w:r>
      <w:r>
        <w:t>V</w:t>
      </w:r>
      <w:r w:rsidRPr="00023838">
        <w:t xml:space="preserve">yššie výdavky </w:t>
      </w:r>
      <w:r w:rsidR="00936DD8">
        <w:t>spoločností</w:t>
      </w:r>
      <w:r w:rsidRPr="00023838">
        <w:t xml:space="preserve"> pod Ministerstvom dopravy SR</w:t>
      </w:r>
      <w:r w:rsidR="006A593B">
        <w:t xml:space="preserve"> spolu s</w:t>
      </w:r>
      <w:r w:rsidRPr="00023838">
        <w:t> vyšš</w:t>
      </w:r>
      <w:r>
        <w:t>ími</w:t>
      </w:r>
      <w:r w:rsidRPr="00023838">
        <w:t xml:space="preserve"> výdavk</w:t>
      </w:r>
      <w:r>
        <w:t>ami</w:t>
      </w:r>
      <w:r w:rsidRPr="00023838">
        <w:t xml:space="preserve"> v</w:t>
      </w:r>
      <w:r>
        <w:t> </w:t>
      </w:r>
      <w:r w:rsidRPr="00023838">
        <w:t>zdravotníctve</w:t>
      </w:r>
      <w:r>
        <w:t xml:space="preserve"> sa podieľajú na vyššom očakávanom deficite o 0,4 % HDP. Ostatné negatívne faktory ako sú napríklad vyššie výdavky samospráv, výdavky na založenie priemyselného parku, </w:t>
      </w:r>
      <w:r w:rsidRPr="00023838">
        <w:t>či nižšie nedaňové príjmy</w:t>
      </w:r>
      <w:r>
        <w:t xml:space="preserve"> </w:t>
      </w:r>
      <w:r w:rsidRPr="00023838">
        <w:t>zvyšujú deficitné hospodárenie</w:t>
      </w:r>
      <w:r>
        <w:t xml:space="preserve"> spolu o 0,4 % HDP</w:t>
      </w:r>
      <w:r w:rsidRPr="00023838">
        <w:t>. Zvýšené výdavky a</w:t>
      </w:r>
      <w:r>
        <w:t xml:space="preserve"> mierny </w:t>
      </w:r>
      <w:r w:rsidRPr="00023838">
        <w:t xml:space="preserve">pokles nedaňových príjmov verejnej správy sú </w:t>
      </w:r>
      <w:r>
        <w:t>takmer celé kompenzované vyššími</w:t>
      </w:r>
      <w:r w:rsidRPr="00023838">
        <w:t xml:space="preserve"> daňov</w:t>
      </w:r>
      <w:r>
        <w:t>o-odvodovými</w:t>
      </w:r>
      <w:r w:rsidRPr="00023838">
        <w:t xml:space="preserve"> </w:t>
      </w:r>
      <w:r>
        <w:t>príjmami o</w:t>
      </w:r>
      <w:r w:rsidRPr="00023838">
        <w:t xml:space="preserve"> 0,</w:t>
      </w:r>
      <w:r>
        <w:t>8</w:t>
      </w:r>
      <w:r w:rsidRPr="00023838">
        <w:t xml:space="preserve"> % HDP.</w:t>
      </w:r>
      <w:r w:rsidRPr="008F0BB3">
        <w:rPr>
          <w:i/>
          <w:iCs/>
          <w:color w:val="000000"/>
        </w:rPr>
        <w:t xml:space="preserve"> </w:t>
      </w:r>
      <w:r>
        <w:rPr>
          <w:iCs/>
        </w:rPr>
        <w:t>Pozitívne na deficit pôsobí aj</w:t>
      </w:r>
      <w:r w:rsidRPr="00A30BF0">
        <w:rPr>
          <w:iCs/>
        </w:rPr>
        <w:t xml:space="preserve"> nevyužitie rozpočtovanej rezervy v súvislosti s nezrovnalosťami pri preclievaní tovaru z tretích krajín vo výške 0,3 % HDP</w:t>
      </w:r>
      <w:r>
        <w:rPr>
          <w:iCs/>
        </w:rPr>
        <w:t>, kvôli zaznamenani</w:t>
      </w:r>
      <w:r w:rsidR="00FC549E">
        <w:rPr>
          <w:iCs/>
        </w:rPr>
        <w:t>u zaplatených úrokov do</w:t>
      </w:r>
      <w:r>
        <w:rPr>
          <w:iCs/>
        </w:rPr>
        <w:t xml:space="preserve"> roku</w:t>
      </w:r>
      <w:r w:rsidR="00FC549E">
        <w:rPr>
          <w:iCs/>
        </w:rPr>
        <w:t xml:space="preserve"> 2021</w:t>
      </w:r>
      <w:r>
        <w:rPr>
          <w:iCs/>
        </w:rPr>
        <w:t>.</w:t>
      </w:r>
    </w:p>
    <w:p w14:paraId="7E45224C" w14:textId="77777777" w:rsidR="00490255" w:rsidRPr="00BF3A4E" w:rsidRDefault="00490255" w:rsidP="00490255">
      <w:pPr>
        <w:jc w:val="both"/>
        <w:rPr>
          <w:highlight w:val="yellow"/>
        </w:rPr>
      </w:pPr>
    </w:p>
    <w:tbl>
      <w:tblPr>
        <w:tblW w:w="8985" w:type="dxa"/>
        <w:tblLayout w:type="fixed"/>
        <w:tblLook w:val="04A0" w:firstRow="1" w:lastRow="0" w:firstColumn="1" w:lastColumn="0" w:noHBand="0" w:noVBand="1"/>
      </w:tblPr>
      <w:tblGrid>
        <w:gridCol w:w="8985"/>
      </w:tblGrid>
      <w:tr w:rsidR="00490255" w:rsidRPr="00071E28" w14:paraId="1C60FA3A" w14:textId="77777777" w:rsidTr="000E4D54">
        <w:trPr>
          <w:trHeight w:val="121"/>
        </w:trPr>
        <w:tc>
          <w:tcPr>
            <w:tcW w:w="8985" w:type="dxa"/>
            <w:tcBorders>
              <w:left w:val="nil"/>
              <w:bottom w:val="single" w:sz="8" w:space="0" w:color="auto"/>
              <w:right w:val="nil"/>
            </w:tcBorders>
            <w:noWrap/>
            <w:vAlign w:val="center"/>
          </w:tcPr>
          <w:p w14:paraId="3D41B246" w14:textId="592A1AED" w:rsidR="00490255" w:rsidRPr="00071E28" w:rsidRDefault="00490255" w:rsidP="000E4D54">
            <w:pPr>
              <w:pStyle w:val="Nadpis3"/>
              <w:rPr>
                <w:rFonts w:eastAsiaTheme="minorHAnsi"/>
                <w:color w:val="2C9ADC"/>
                <w:szCs w:val="20"/>
                <w:lang w:eastAsia="en-US"/>
              </w:rPr>
            </w:pPr>
            <w:bookmarkStart w:id="91" w:name="_Toc101881939"/>
            <w:r w:rsidRPr="00071E28">
              <w:rPr>
                <w:rFonts w:eastAsiaTheme="minorHAnsi"/>
                <w:color w:val="2C9ADC"/>
                <w:szCs w:val="20"/>
                <w:lang w:eastAsia="en-US"/>
              </w:rPr>
              <w:t xml:space="preserve">GRAF </w:t>
            </w:r>
            <w:r w:rsidRPr="00071E28">
              <w:rPr>
                <w:rFonts w:eastAsiaTheme="minorHAnsi"/>
                <w:color w:val="2C9ADC"/>
                <w:szCs w:val="20"/>
                <w:lang w:eastAsia="en-US"/>
              </w:rPr>
              <w:fldChar w:fldCharType="begin"/>
            </w:r>
            <w:r w:rsidRPr="00071E28">
              <w:rPr>
                <w:rFonts w:eastAsiaTheme="minorHAnsi"/>
                <w:color w:val="2C9ADC"/>
                <w:szCs w:val="20"/>
                <w:lang w:eastAsia="en-US"/>
              </w:rPr>
              <w:instrText xml:space="preserve"> SEQ GRAF \* ARABIC </w:instrText>
            </w:r>
            <w:r w:rsidRPr="00071E28">
              <w:rPr>
                <w:rFonts w:eastAsiaTheme="minorHAnsi"/>
                <w:color w:val="2C9ADC"/>
                <w:szCs w:val="20"/>
                <w:lang w:eastAsia="en-US"/>
              </w:rPr>
              <w:fldChar w:fldCharType="separate"/>
            </w:r>
            <w:r w:rsidR="005D3280">
              <w:rPr>
                <w:rFonts w:eastAsiaTheme="minorHAnsi"/>
                <w:noProof/>
                <w:color w:val="2C9ADC"/>
                <w:szCs w:val="20"/>
                <w:lang w:eastAsia="en-US"/>
              </w:rPr>
              <w:t>15</w:t>
            </w:r>
            <w:r w:rsidRPr="00071E28">
              <w:rPr>
                <w:rFonts w:eastAsiaTheme="minorHAnsi"/>
                <w:color w:val="2C9ADC"/>
                <w:szCs w:val="20"/>
                <w:lang w:eastAsia="en-US"/>
              </w:rPr>
              <w:fldChar w:fldCharType="end"/>
            </w:r>
            <w:r w:rsidRPr="00071E28">
              <w:rPr>
                <w:rFonts w:eastAsiaTheme="minorHAnsi"/>
                <w:color w:val="2C9ADC"/>
                <w:szCs w:val="20"/>
                <w:lang w:eastAsia="en-US"/>
              </w:rPr>
              <w:t xml:space="preserve"> – Plnenie schváleného rozpočtu - rozdiely na hlavných položkách (príspevky v mil. eur, ESA2010)</w:t>
            </w:r>
            <w:bookmarkEnd w:id="91"/>
          </w:p>
        </w:tc>
      </w:tr>
      <w:tr w:rsidR="00490255" w:rsidRPr="00071E28" w14:paraId="098E9B55" w14:textId="77777777" w:rsidTr="000E4D54">
        <w:tblPrEx>
          <w:tblCellMar>
            <w:left w:w="70" w:type="dxa"/>
            <w:right w:w="70" w:type="dxa"/>
          </w:tblCellMar>
        </w:tblPrEx>
        <w:trPr>
          <w:trHeight w:val="3132"/>
        </w:trPr>
        <w:tc>
          <w:tcPr>
            <w:tcW w:w="8985" w:type="dxa"/>
            <w:tcBorders>
              <w:top w:val="single" w:sz="8" w:space="0" w:color="auto"/>
              <w:left w:val="nil"/>
              <w:bottom w:val="single" w:sz="4" w:space="0" w:color="auto"/>
              <w:right w:val="nil"/>
            </w:tcBorders>
            <w:noWrap/>
          </w:tcPr>
          <w:p w14:paraId="4F6C51E5" w14:textId="77777777" w:rsidR="00490255" w:rsidRPr="00071E28" w:rsidRDefault="00490255" w:rsidP="000E4D54">
            <w:pPr>
              <w:spacing w:line="256" w:lineRule="auto"/>
              <w:rPr>
                <w:rFonts w:cs="Times New Roman"/>
                <w:b/>
                <w:bCs/>
                <w:color w:val="000000" w:themeColor="text1"/>
                <w:lang w:eastAsia="en-US"/>
              </w:rPr>
            </w:pPr>
            <w:r>
              <w:rPr>
                <w:noProof/>
              </w:rPr>
              <w:drawing>
                <wp:inline distT="0" distB="0" distL="0" distR="0" wp14:anchorId="72A1F295" wp14:editId="728E90FB">
                  <wp:extent cx="5616575" cy="2772410"/>
                  <wp:effectExtent l="0" t="0" r="3175" b="8890"/>
                  <wp:docPr id="298" name="Graf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490255" w:rsidRPr="00071E28" w14:paraId="271A0659" w14:textId="77777777" w:rsidTr="000E4D54">
        <w:tblPrEx>
          <w:tblCellMar>
            <w:left w:w="70" w:type="dxa"/>
            <w:right w:w="70" w:type="dxa"/>
          </w:tblCellMar>
        </w:tblPrEx>
        <w:trPr>
          <w:trHeight w:val="112"/>
        </w:trPr>
        <w:tc>
          <w:tcPr>
            <w:tcW w:w="8985" w:type="dxa"/>
            <w:tcBorders>
              <w:top w:val="single" w:sz="8" w:space="0" w:color="auto"/>
              <w:left w:val="nil"/>
              <w:right w:val="nil"/>
            </w:tcBorders>
            <w:shd w:val="clear" w:color="auto" w:fill="auto"/>
            <w:noWrap/>
            <w:vAlign w:val="center"/>
          </w:tcPr>
          <w:p w14:paraId="3EE9B6E3" w14:textId="77777777" w:rsidR="00490255" w:rsidRPr="00071E28" w:rsidRDefault="00490255" w:rsidP="000E4D54">
            <w:pPr>
              <w:spacing w:before="40"/>
              <w:rPr>
                <w:i/>
                <w:sz w:val="16"/>
                <w:szCs w:val="16"/>
                <w:lang w:eastAsia="en-US"/>
              </w:rPr>
            </w:pPr>
            <w:r w:rsidRPr="00071E28">
              <w:rPr>
                <w:i/>
                <w:sz w:val="16"/>
                <w:szCs w:val="16"/>
                <w:lang w:eastAsia="en-US"/>
              </w:rPr>
              <w:t>(+) / (-) znamená pozitívny / negatívny vplyv na saldo VS                                                                                                                                  Zdroj: MF SR</w:t>
            </w:r>
          </w:p>
        </w:tc>
      </w:tr>
      <w:tr w:rsidR="00490255" w:rsidRPr="00BF3A4E" w14:paraId="358EA977" w14:textId="77777777" w:rsidTr="000E4D54">
        <w:tblPrEx>
          <w:tblCellMar>
            <w:left w:w="70" w:type="dxa"/>
            <w:right w:w="70" w:type="dxa"/>
          </w:tblCellMar>
        </w:tblPrEx>
        <w:trPr>
          <w:trHeight w:val="112"/>
        </w:trPr>
        <w:tc>
          <w:tcPr>
            <w:tcW w:w="8985" w:type="dxa"/>
            <w:tcBorders>
              <w:left w:val="nil"/>
              <w:right w:val="nil"/>
            </w:tcBorders>
            <w:shd w:val="clear" w:color="auto" w:fill="auto"/>
            <w:noWrap/>
            <w:vAlign w:val="center"/>
          </w:tcPr>
          <w:p w14:paraId="2C723CAE" w14:textId="77777777" w:rsidR="00490255" w:rsidRPr="00BF3A4E" w:rsidRDefault="00490255" w:rsidP="000E4D54">
            <w:pPr>
              <w:rPr>
                <w:i/>
                <w:sz w:val="16"/>
                <w:szCs w:val="16"/>
                <w:highlight w:val="yellow"/>
                <w:lang w:eastAsia="en-US"/>
              </w:rPr>
            </w:pPr>
          </w:p>
        </w:tc>
      </w:tr>
    </w:tbl>
    <w:p w14:paraId="3D08144B" w14:textId="77777777" w:rsidR="00490255" w:rsidRPr="00BF3A4E" w:rsidRDefault="00490255" w:rsidP="00490255">
      <w:pPr>
        <w:jc w:val="both"/>
        <w:rPr>
          <w:b/>
          <w:highlight w:val="yellow"/>
        </w:rPr>
      </w:pPr>
    </w:p>
    <w:p w14:paraId="79FF67D2" w14:textId="77777777" w:rsidR="00490255" w:rsidRPr="00C11299" w:rsidRDefault="00490255" w:rsidP="00490255">
      <w:pPr>
        <w:spacing w:after="120"/>
        <w:jc w:val="both"/>
        <w:rPr>
          <w:b/>
          <w:color w:val="2C9ADC" w:themeColor="accent1"/>
        </w:rPr>
      </w:pPr>
      <w:r w:rsidRPr="00C11299">
        <w:rPr>
          <w:b/>
          <w:color w:val="2C9ADC" w:themeColor="accent1"/>
        </w:rPr>
        <w:t>Vývoj verejných financií spôsobený koronavírusom</w:t>
      </w:r>
    </w:p>
    <w:p w14:paraId="563ED6AD" w14:textId="3A57C722" w:rsidR="00490255" w:rsidRPr="00BF3A4E" w:rsidRDefault="00490255" w:rsidP="00490255">
      <w:pPr>
        <w:spacing w:after="120"/>
        <w:jc w:val="both"/>
        <w:rPr>
          <w:rFonts w:cs="Times New Roman"/>
          <w:iCs/>
          <w:highlight w:val="yellow"/>
        </w:rPr>
      </w:pPr>
      <w:r w:rsidRPr="00DD6957">
        <w:rPr>
          <w:b/>
        </w:rPr>
        <w:t>Na boj s pandémiou COVID-19 sa tento rok očakávajú o 0,</w:t>
      </w:r>
      <w:r>
        <w:rPr>
          <w:b/>
        </w:rPr>
        <w:t>2</w:t>
      </w:r>
      <w:r w:rsidRPr="00DD6957">
        <w:rPr>
          <w:b/>
        </w:rPr>
        <w:t xml:space="preserve"> </w:t>
      </w:r>
      <w:r>
        <w:rPr>
          <w:b/>
        </w:rPr>
        <w:t>%</w:t>
      </w:r>
      <w:r w:rsidRPr="00DD6957">
        <w:rPr>
          <w:b/>
        </w:rPr>
        <w:t xml:space="preserve"> HDP väčšie výdavky </w:t>
      </w:r>
      <w:r>
        <w:rPr>
          <w:b/>
        </w:rPr>
        <w:t>než</w:t>
      </w:r>
      <w:r w:rsidRPr="00DD6957">
        <w:rPr>
          <w:b/>
        </w:rPr>
        <w:t xml:space="preserve"> sa predpokladalo v</w:t>
      </w:r>
      <w:r>
        <w:rPr>
          <w:b/>
        </w:rPr>
        <w:t> </w:t>
      </w:r>
      <w:r w:rsidRPr="00DD6957">
        <w:rPr>
          <w:b/>
        </w:rPr>
        <w:t>rozpočte</w:t>
      </w:r>
      <w:r w:rsidRPr="00DD6957">
        <w:rPr>
          <w:rStyle w:val="Odkaznapoznmkupodiarou"/>
          <w:b/>
        </w:rPr>
        <w:footnoteReference w:id="12"/>
      </w:r>
      <w:r w:rsidRPr="00DD6957">
        <w:t>.</w:t>
      </w:r>
      <w:r>
        <w:t xml:space="preserve"> Navýšenie výdavkov na pandémiu z 0,7 na 1,0 % HDP je spôsobené prenosom časti nevyužitých výdavkov určených na tento účel z minulého roku, ktorý bol čiastočne kompenzovaný znížením pôvodnej rezervy určenej na tento účel v </w:t>
      </w:r>
      <w:r w:rsidRPr="001819B1">
        <w:t>rozpočte</w:t>
      </w:r>
      <w:r w:rsidRPr="001819B1">
        <w:rPr>
          <w:rStyle w:val="Odkaznapoznmkupodiarou"/>
        </w:rPr>
        <w:footnoteReference w:id="13"/>
      </w:r>
      <w:r w:rsidRPr="001819B1">
        <w:t>(</w:t>
      </w:r>
      <w:r w:rsidRPr="001819B1">
        <w:rPr>
          <w:b/>
          <w:color w:val="2C9ADC" w:themeColor="accent1"/>
        </w:rPr>
        <w:t xml:space="preserve">BOX </w:t>
      </w:r>
      <w:r w:rsidRPr="0078069E">
        <w:rPr>
          <w:b/>
          <w:color w:val="2C9ADC" w:themeColor="accent1"/>
        </w:rPr>
        <w:t xml:space="preserve">3 </w:t>
      </w:r>
      <w:r w:rsidR="00AA6589" w:rsidRPr="0078069E">
        <w:t>a</w:t>
      </w:r>
      <w:r w:rsidRPr="0078069E">
        <w:rPr>
          <w:b/>
          <w:color w:val="2C9ADC" w:themeColor="accent1"/>
        </w:rPr>
        <w:t> Príloha 2</w:t>
      </w:r>
      <w:r w:rsidRPr="0078069E">
        <w:t>). V tomto roku sa v rámci pandemických opatrení preplácajú náklady zamestnávateľov na testovanie zamestnancov, naďalej sa uskutočňuje nákup liekov a vakcín ako aj vyplácanie príplatkov zdravotníkom pracujúcim na COVID oddeleniach. Časť prenesených výdavkov z minulého roka je využitá na doplnenie pohotovostných zásob správy štátnych hmotných</w:t>
      </w:r>
      <w:r w:rsidRPr="00900DF9">
        <w:t xml:space="preserve"> rezerv</w:t>
      </w:r>
      <w:r>
        <w:t>.</w:t>
      </w:r>
      <w:r w:rsidRPr="00A951F5">
        <w:t xml:space="preserve"> </w:t>
      </w:r>
      <w:r>
        <w:t>Tie dopĺňajú najmä osobné ochranné pracovné pomôcky a rúška</w:t>
      </w:r>
      <w:r w:rsidRPr="00900DF9">
        <w:t xml:space="preserve">. Do konca februára 2022 bola aktívna schéma podpory zamestnanosti (tzv. Prvá pomoc), ktorú od marca nahrádza trvalý kurzarbeit. Priznávanie a vyplácanie nárokov z Prvej pomoci však bude ešte </w:t>
      </w:r>
      <w:r>
        <w:t>časť</w:t>
      </w:r>
      <w:r w:rsidRPr="00900DF9">
        <w:t xml:space="preserve"> roka 2022 pokračovať. Naďalej sa vypláca pandemické ošetrovné,</w:t>
      </w:r>
      <w:r>
        <w:t xml:space="preserve"> zatiaľ čo</w:t>
      </w:r>
      <w:r w:rsidRPr="00900DF9">
        <w:t xml:space="preserve"> pandemické nemocenské bolo od decembra 2021 zrušené</w:t>
      </w:r>
      <w:r w:rsidRPr="00900DF9">
        <w:rPr>
          <w:rStyle w:val="Odkaznapoznmkupodiarou"/>
        </w:rPr>
        <w:footnoteReference w:id="14"/>
      </w:r>
      <w:r w:rsidRPr="00900DF9">
        <w:t xml:space="preserve">. </w:t>
      </w:r>
      <w:r w:rsidRPr="00900DF9">
        <w:rPr>
          <w:rFonts w:cs="Times New Roman"/>
          <w:iCs/>
        </w:rPr>
        <w:t>Pokračuje sa vo vyplácaní dotácií na podporu cestovného ruchu,</w:t>
      </w:r>
      <w:r>
        <w:rPr>
          <w:rFonts w:cs="Times New Roman"/>
          <w:iCs/>
        </w:rPr>
        <w:t xml:space="preserve"> cestnej dopravy a nájomného podnikateľským prevádzkam</w:t>
      </w:r>
      <w:r w:rsidRPr="002B3543">
        <w:rPr>
          <w:rFonts w:cs="Times New Roman"/>
          <w:iCs/>
        </w:rPr>
        <w:t xml:space="preserve">. </w:t>
      </w:r>
      <w:r>
        <w:rPr>
          <w:rFonts w:cs="Times New Roman"/>
          <w:iCs/>
        </w:rPr>
        <w:t>V</w:t>
      </w:r>
      <w:r w:rsidRPr="002B3543">
        <w:rPr>
          <w:rFonts w:cs="Times New Roman"/>
          <w:iCs/>
        </w:rPr>
        <w:t>ýdavk</w:t>
      </w:r>
      <w:r>
        <w:rPr>
          <w:rFonts w:cs="Times New Roman"/>
          <w:iCs/>
        </w:rPr>
        <w:t>y v tomto roku zvyšuje aj pokračovanie finančnej</w:t>
      </w:r>
      <w:r w:rsidRPr="002B3543">
        <w:rPr>
          <w:rFonts w:cs="Times New Roman"/>
          <w:iCs/>
        </w:rPr>
        <w:t xml:space="preserve"> podpor</w:t>
      </w:r>
      <w:r>
        <w:rPr>
          <w:rFonts w:cs="Times New Roman"/>
          <w:iCs/>
        </w:rPr>
        <w:t>y</w:t>
      </w:r>
      <w:r w:rsidRPr="002B3543">
        <w:rPr>
          <w:rFonts w:cs="Times New Roman"/>
          <w:iCs/>
        </w:rPr>
        <w:t xml:space="preserve"> senioro</w:t>
      </w:r>
      <w:r>
        <w:rPr>
          <w:rFonts w:cs="Times New Roman"/>
          <w:iCs/>
        </w:rPr>
        <w:t>m</w:t>
      </w:r>
      <w:r w:rsidRPr="002B3543">
        <w:rPr>
          <w:rFonts w:cs="Times New Roman"/>
          <w:iCs/>
        </w:rPr>
        <w:t xml:space="preserve">, ktorí sa dali zaočkovať </w:t>
      </w:r>
      <w:r>
        <w:rPr>
          <w:rFonts w:cs="Times New Roman"/>
          <w:iCs/>
        </w:rPr>
        <w:t>2.,</w:t>
      </w:r>
      <w:r w:rsidRPr="002B3543">
        <w:rPr>
          <w:rFonts w:cs="Times New Roman"/>
          <w:iCs/>
        </w:rPr>
        <w:t xml:space="preserve"> resp. </w:t>
      </w:r>
      <w:r>
        <w:rPr>
          <w:rFonts w:cs="Times New Roman"/>
          <w:iCs/>
        </w:rPr>
        <w:t>3</w:t>
      </w:r>
      <w:r w:rsidRPr="002B3543">
        <w:rPr>
          <w:rFonts w:cs="Times New Roman"/>
          <w:iCs/>
        </w:rPr>
        <w:t>. dávkou</w:t>
      </w:r>
      <w:r>
        <w:rPr>
          <w:rFonts w:cs="Times New Roman"/>
          <w:iCs/>
        </w:rPr>
        <w:t xml:space="preserve"> začiatkom tohto roku</w:t>
      </w:r>
      <w:r w:rsidRPr="002B3543">
        <w:rPr>
          <w:rFonts w:cs="Times New Roman"/>
          <w:iCs/>
        </w:rPr>
        <w:t>.</w:t>
      </w:r>
    </w:p>
    <w:tbl>
      <w:tblPr>
        <w:tblW w:w="9075" w:type="dxa"/>
        <w:jc w:val="center"/>
        <w:shd w:val="clear" w:color="auto" w:fill="AAD3F2"/>
        <w:tblLayout w:type="fixed"/>
        <w:tblCellMar>
          <w:left w:w="70" w:type="dxa"/>
          <w:right w:w="70" w:type="dxa"/>
        </w:tblCellMar>
        <w:tblLook w:val="01E0" w:firstRow="1" w:lastRow="1" w:firstColumn="1" w:lastColumn="1" w:noHBand="0" w:noVBand="0"/>
      </w:tblPr>
      <w:tblGrid>
        <w:gridCol w:w="9075"/>
      </w:tblGrid>
      <w:tr w:rsidR="00490255" w:rsidRPr="00BF3A4E" w14:paraId="42CED57D" w14:textId="77777777" w:rsidTr="000E4D54">
        <w:trPr>
          <w:trHeight w:val="576"/>
          <w:jc w:val="center"/>
        </w:trPr>
        <w:tc>
          <w:tcPr>
            <w:tcW w:w="9075" w:type="dxa"/>
            <w:shd w:val="clear" w:color="auto" w:fill="AAD3F2"/>
          </w:tcPr>
          <w:p w14:paraId="43BEA08F" w14:textId="696509BC" w:rsidR="00490255" w:rsidRPr="00653D8B" w:rsidRDefault="00490255" w:rsidP="00763912">
            <w:pPr>
              <w:spacing w:before="120" w:after="120"/>
              <w:jc w:val="both"/>
              <w:rPr>
                <w:color w:val="2C9ADC" w:themeColor="accent1"/>
                <w:szCs w:val="20"/>
              </w:rPr>
            </w:pPr>
            <w:bookmarkStart w:id="92" w:name="_Toc101880474"/>
            <w:r w:rsidRPr="00653D8B">
              <w:rPr>
                <w:b/>
                <w:color w:val="2C9ADC" w:themeColor="accent1"/>
                <w:szCs w:val="20"/>
              </w:rPr>
              <w:t xml:space="preserve">BOX </w:t>
            </w:r>
            <w:r w:rsidRPr="00653D8B">
              <w:rPr>
                <w:b/>
                <w:color w:val="2C9ADC" w:themeColor="accent1"/>
                <w:szCs w:val="20"/>
              </w:rPr>
              <w:fldChar w:fldCharType="begin"/>
            </w:r>
            <w:r w:rsidRPr="00653D8B">
              <w:rPr>
                <w:b/>
                <w:color w:val="2C9ADC" w:themeColor="accent1"/>
                <w:szCs w:val="20"/>
              </w:rPr>
              <w:instrText xml:space="preserve"> SEQ BOX \* ARABIC </w:instrText>
            </w:r>
            <w:r w:rsidRPr="00653D8B">
              <w:rPr>
                <w:b/>
                <w:color w:val="2C9ADC" w:themeColor="accent1"/>
                <w:szCs w:val="20"/>
              </w:rPr>
              <w:fldChar w:fldCharType="separate"/>
            </w:r>
            <w:r w:rsidR="005D3280">
              <w:rPr>
                <w:b/>
                <w:noProof/>
                <w:color w:val="2C9ADC" w:themeColor="accent1"/>
                <w:szCs w:val="20"/>
              </w:rPr>
              <w:t>3</w:t>
            </w:r>
            <w:r w:rsidRPr="00653D8B">
              <w:rPr>
                <w:b/>
                <w:color w:val="2C9ADC" w:themeColor="accent1"/>
                <w:szCs w:val="20"/>
              </w:rPr>
              <w:fldChar w:fldCharType="end"/>
            </w:r>
            <w:r w:rsidRPr="00653D8B">
              <w:rPr>
                <w:b/>
                <w:color w:val="2C9ADC" w:themeColor="accent1"/>
                <w:szCs w:val="20"/>
              </w:rPr>
              <w:t xml:space="preserve"> – Súhrn opatrení prijatých v boji proti koronavírusu</w:t>
            </w:r>
            <w:bookmarkEnd w:id="92"/>
          </w:p>
          <w:p w14:paraId="03227581" w14:textId="77777777" w:rsidR="00490255" w:rsidRPr="001B1C54" w:rsidRDefault="00490255" w:rsidP="000E4D54">
            <w:pPr>
              <w:spacing w:after="240"/>
              <w:ind w:right="74"/>
              <w:jc w:val="both"/>
            </w:pPr>
            <w:r w:rsidRPr="001B1C54">
              <w:rPr>
                <w:b/>
              </w:rPr>
              <w:t xml:space="preserve">Opatrenia prijaté v boji proti koronavírusu majú charakter priamej pomoci s priamym vplyvom na deficit a bez priameho vplyvu na deficit, kam patria odklady daňových a odvodových povinností, bankové záruky pre podnikateľské úvery a transfery v rámci verejnej správy. </w:t>
            </w:r>
            <w:r w:rsidRPr="001B1C54">
              <w:t>Odklad daní a odvodov mal pomôcť firmám s likviditou a jeho vplyv na akruálny deficit je zanedbateľný. V strednodobom horizonte sa minimalizuje aj hotovostný vplyv</w:t>
            </w:r>
            <w:r w:rsidRPr="001B1C54">
              <w:rPr>
                <w:rStyle w:val="Odkaznapoznmkupodiarou"/>
              </w:rPr>
              <w:footnoteReference w:id="15"/>
            </w:r>
            <w:r w:rsidRPr="001B1C54">
              <w:t>. Garancie za úvery, ktoré tiež pomáhajú preklenúť nepriaznivé obdobie, majú vplyv na deficit a dlh iba v prípade, ak časť dlžníkov prestane splácať poskytnuté úvery, resp. v prípade štandardizovaných záruk podľa metodiky ESA2010 je nutné zohľadniť mieru rizika nesplatenia na akruálnom princípe</w:t>
            </w:r>
            <w:r w:rsidRPr="001B1C54">
              <w:rPr>
                <w:rStyle w:val="Odkaznapoznmkupodiarou"/>
              </w:rPr>
              <w:footnoteReference w:id="16"/>
            </w:r>
            <w:r w:rsidRPr="001B1C54">
              <w:t>. Transfery v rámci verejnej správy majú vplyv na akruálny deficit, len ak subjekt prijatý transfer zrealizuje na výdavkoch</w:t>
            </w:r>
            <w:r w:rsidRPr="001B1C54">
              <w:rPr>
                <w:rStyle w:val="Odkaznapoznmkupodiarou"/>
              </w:rPr>
              <w:footnoteReference w:id="17"/>
            </w:r>
            <w:r w:rsidRPr="001B1C54">
              <w:t xml:space="preserve">. Odklad splátok úverov realizujú komerčné banky po dohode s vládou, čím pomáhajú likvidite domácností bez vplyvu na vládny deficit hospodárenia. </w:t>
            </w:r>
          </w:p>
          <w:bookmarkStart w:id="93" w:name="_Toc85888031"/>
          <w:bookmarkStart w:id="94" w:name="_Toc101881940"/>
          <w:p w14:paraId="5C028A63" w14:textId="1E90DBA5" w:rsidR="00490255" w:rsidRDefault="00490255" w:rsidP="000E4D54">
            <w:pPr>
              <w:spacing w:after="240"/>
              <w:ind w:right="74"/>
              <w:jc w:val="both"/>
              <w:rPr>
                <w:rStyle w:val="Odkaznakomentr"/>
              </w:rPr>
            </w:pPr>
            <w:r w:rsidRPr="001B1C54">
              <w:rPr>
                <w:noProof/>
              </w:rPr>
              <mc:AlternateContent>
                <mc:Choice Requires="wps">
                  <w:drawing>
                    <wp:anchor distT="0" distB="0" distL="114300" distR="114300" simplePos="0" relativeHeight="251667456" behindDoc="0" locked="0" layoutInCell="1" allowOverlap="1" wp14:anchorId="5232ABE7" wp14:editId="7CF9AA29">
                      <wp:simplePos x="0" y="0"/>
                      <wp:positionH relativeFrom="column">
                        <wp:posOffset>4601308</wp:posOffset>
                      </wp:positionH>
                      <wp:positionV relativeFrom="paragraph">
                        <wp:posOffset>160020</wp:posOffset>
                      </wp:positionV>
                      <wp:extent cx="738505" cy="235527"/>
                      <wp:effectExtent l="0" t="0" r="23495" b="12700"/>
                      <wp:wrapNone/>
                      <wp:docPr id="8" name="BlokTextu 4"/>
                      <wp:cNvGraphicFramePr/>
                      <a:graphic xmlns:a="http://schemas.openxmlformats.org/drawingml/2006/main">
                        <a:graphicData uri="http://schemas.microsoft.com/office/word/2010/wordprocessingShape">
                          <wps:wsp>
                            <wps:cNvSpPr txBox="1"/>
                            <wps:spPr>
                              <a:xfrm>
                                <a:off x="0" y="0"/>
                                <a:ext cx="738505" cy="235527"/>
                              </a:xfrm>
                              <a:prstGeom prst="rect">
                                <a:avLst/>
                              </a:prstGeom>
                              <a:no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366F922" w14:textId="77777777" w:rsidR="00CF774B" w:rsidRPr="001D792F" w:rsidRDefault="00CF774B" w:rsidP="00490255">
                                  <w:pPr>
                                    <w:pStyle w:val="Normlnywebov"/>
                                    <w:spacing w:before="0" w:beforeAutospacing="0" w:after="0" w:afterAutospacing="0"/>
                                    <w:jc w:val="center"/>
                                    <w:rPr>
                                      <w:b/>
                                      <w:sz w:val="18"/>
                                      <w:szCs w:val="18"/>
                                    </w:rPr>
                                  </w:pPr>
                                  <w:r>
                                    <w:rPr>
                                      <w:rFonts w:ascii="Arial Narrow" w:hAnsi="Arial Narrow" w:cstheme="minorBidi"/>
                                      <w:b/>
                                      <w:color w:val="000000" w:themeColor="dark1"/>
                                      <w:sz w:val="18"/>
                                      <w:szCs w:val="18"/>
                                    </w:rPr>
                                    <w:t>2022</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32ABE7" id="BlokTextu 4" o:spid="_x0000_s1027" type="#_x0000_t202" style="position:absolute;left:0;text-align:left;margin-left:362.3pt;margin-top:12.6pt;width:58.15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" filled="f" strokecolor="black [3213]">
                      <v:textbox>
                        <w:txbxContent>
                          <w:p w14:paraId="1366F922" w14:textId="77777777" w:rsidR="00CF774B" w:rsidRPr="001D792F" w:rsidRDefault="00CF774B" w:rsidP="00490255">
                            <w:pPr>
                              <w:pStyle w:val="Normlnywebov"/>
                              <w:spacing w:before="0" w:beforeAutospacing="0" w:after="0" w:afterAutospacing="0"/>
                              <w:jc w:val="center"/>
                              <w:rPr>
                                <w:b/>
                                <w:sz w:val="18"/>
                                <w:szCs w:val="18"/>
                              </w:rPr>
                            </w:pPr>
                            <w:r>
                              <w:rPr>
                                <w:rFonts w:ascii="Arial Narrow" w:hAnsi="Arial Narrow" w:cstheme="minorBidi"/>
                                <w:b/>
                                <w:color w:val="000000" w:themeColor="dark1"/>
                                <w:sz w:val="18"/>
                                <w:szCs w:val="18"/>
                              </w:rPr>
                              <w:t>2022</w:t>
                            </w:r>
                          </w:p>
                        </w:txbxContent>
                      </v:textbox>
                    </v:shape>
                  </w:pict>
                </mc:Fallback>
              </mc:AlternateContent>
            </w:r>
            <w:r w:rsidRPr="001B1C54">
              <w:rPr>
                <w:noProof/>
              </w:rPr>
              <mc:AlternateContent>
                <mc:Choice Requires="wps">
                  <w:drawing>
                    <wp:anchor distT="0" distB="0" distL="114300" distR="114300" simplePos="0" relativeHeight="251666432" behindDoc="0" locked="0" layoutInCell="1" allowOverlap="1" wp14:anchorId="1101E0A8" wp14:editId="101446F4">
                      <wp:simplePos x="0" y="0"/>
                      <wp:positionH relativeFrom="column">
                        <wp:posOffset>2783254</wp:posOffset>
                      </wp:positionH>
                      <wp:positionV relativeFrom="paragraph">
                        <wp:posOffset>195385</wp:posOffset>
                      </wp:positionV>
                      <wp:extent cx="738505" cy="235527"/>
                      <wp:effectExtent l="0" t="0" r="23495" b="12700"/>
                      <wp:wrapNone/>
                      <wp:docPr id="57" name="BlokTextu 4"/>
                      <wp:cNvGraphicFramePr/>
                      <a:graphic xmlns:a="http://schemas.openxmlformats.org/drawingml/2006/main">
                        <a:graphicData uri="http://schemas.microsoft.com/office/word/2010/wordprocessingShape">
                          <wps:wsp>
                            <wps:cNvSpPr txBox="1"/>
                            <wps:spPr>
                              <a:xfrm>
                                <a:off x="0" y="0"/>
                                <a:ext cx="738505" cy="235527"/>
                              </a:xfrm>
                              <a:prstGeom prst="rect">
                                <a:avLst/>
                              </a:prstGeom>
                              <a:no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0705B59" w14:textId="77777777" w:rsidR="00CF774B" w:rsidRPr="001D792F" w:rsidRDefault="00CF774B" w:rsidP="00490255">
                                  <w:pPr>
                                    <w:pStyle w:val="Normlnywebov"/>
                                    <w:spacing w:before="0" w:beforeAutospacing="0" w:after="0" w:afterAutospacing="0"/>
                                    <w:jc w:val="center"/>
                                    <w:rPr>
                                      <w:b/>
                                      <w:sz w:val="18"/>
                                      <w:szCs w:val="18"/>
                                    </w:rPr>
                                  </w:pPr>
                                  <w:r w:rsidRPr="001D792F">
                                    <w:rPr>
                                      <w:rFonts w:ascii="Arial Narrow" w:hAnsi="Arial Narrow" w:cstheme="minorBidi"/>
                                      <w:b/>
                                      <w:color w:val="000000" w:themeColor="dark1"/>
                                      <w:sz w:val="18"/>
                                      <w:szCs w:val="18"/>
                                    </w:rPr>
                                    <w:t>2021</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01E0A8" id="_x0000_s1028" type="#_x0000_t202" style="position:absolute;left:0;text-align:left;margin-left:219.15pt;margin-top:15.4pt;width:58.1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" filled="f" strokecolor="black [3213]">
                      <v:textbox>
                        <w:txbxContent>
                          <w:p w14:paraId="70705B59" w14:textId="77777777" w:rsidR="00CF774B" w:rsidRPr="001D792F" w:rsidRDefault="00CF774B" w:rsidP="00490255">
                            <w:pPr>
                              <w:pStyle w:val="Normlnywebov"/>
                              <w:spacing w:before="0" w:beforeAutospacing="0" w:after="0" w:afterAutospacing="0"/>
                              <w:jc w:val="center"/>
                              <w:rPr>
                                <w:b/>
                                <w:sz w:val="18"/>
                                <w:szCs w:val="18"/>
                              </w:rPr>
                            </w:pPr>
                            <w:r w:rsidRPr="001D792F">
                              <w:rPr>
                                <w:rFonts w:ascii="Arial Narrow" w:hAnsi="Arial Narrow" w:cstheme="minorBidi"/>
                                <w:b/>
                                <w:color w:val="000000" w:themeColor="dark1"/>
                                <w:sz w:val="18"/>
                                <w:szCs w:val="18"/>
                              </w:rPr>
                              <w:t>2021</w:t>
                            </w:r>
                          </w:p>
                        </w:txbxContent>
                      </v:textbox>
                    </v:shape>
                  </w:pict>
                </mc:Fallback>
              </mc:AlternateContent>
            </w:r>
            <w:r w:rsidRPr="001B1C54">
              <w:rPr>
                <w:noProof/>
              </w:rPr>
              <mc:AlternateContent>
                <mc:Choice Requires="wps">
                  <w:drawing>
                    <wp:anchor distT="0" distB="0" distL="114300" distR="114300" simplePos="0" relativeHeight="251665408" behindDoc="0" locked="0" layoutInCell="1" allowOverlap="1" wp14:anchorId="74F2C1C6" wp14:editId="2000BF8B">
                      <wp:simplePos x="0" y="0"/>
                      <wp:positionH relativeFrom="column">
                        <wp:posOffset>1241425</wp:posOffset>
                      </wp:positionH>
                      <wp:positionV relativeFrom="paragraph">
                        <wp:posOffset>198928</wp:posOffset>
                      </wp:positionV>
                      <wp:extent cx="738505" cy="228600"/>
                      <wp:effectExtent l="0" t="0" r="23495" b="19050"/>
                      <wp:wrapNone/>
                      <wp:docPr id="22" name="BlokTextu 4"/>
                      <wp:cNvGraphicFramePr/>
                      <a:graphic xmlns:a="http://schemas.openxmlformats.org/drawingml/2006/main">
                        <a:graphicData uri="http://schemas.microsoft.com/office/word/2010/wordprocessingShape">
                          <wps:wsp>
                            <wps:cNvSpPr txBox="1"/>
                            <wps:spPr>
                              <a:xfrm>
                                <a:off x="0" y="0"/>
                                <a:ext cx="738505" cy="228600"/>
                              </a:xfrm>
                              <a:prstGeom prst="rect">
                                <a:avLst/>
                              </a:prstGeom>
                              <a:no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216D68E9" w14:textId="77777777" w:rsidR="00CF774B" w:rsidRPr="001D792F" w:rsidRDefault="00CF774B" w:rsidP="00490255">
                                  <w:pPr>
                                    <w:pStyle w:val="Normlnywebov"/>
                                    <w:spacing w:before="0" w:beforeAutospacing="0" w:after="0" w:afterAutospacing="0"/>
                                    <w:jc w:val="center"/>
                                    <w:rPr>
                                      <w:b/>
                                      <w:sz w:val="18"/>
                                      <w:szCs w:val="18"/>
                                    </w:rPr>
                                  </w:pPr>
                                  <w:r w:rsidRPr="001D792F">
                                    <w:rPr>
                                      <w:rFonts w:ascii="Arial Narrow" w:hAnsi="Arial Narrow" w:cstheme="minorBidi"/>
                                      <w:b/>
                                      <w:color w:val="000000" w:themeColor="dark1"/>
                                      <w:sz w:val="18"/>
                                      <w:szCs w:val="18"/>
                                    </w:rPr>
                                    <w:t>2020</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F2C1C6" id="_x0000_s1029" type="#_x0000_t202" style="position:absolute;left:0;text-align:left;margin-left:97.75pt;margin-top:15.65pt;width:58.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" filled="f" strokecolor="black [3213]">
                      <v:textbox>
                        <w:txbxContent>
                          <w:p w14:paraId="216D68E9" w14:textId="77777777" w:rsidR="00CF774B" w:rsidRPr="001D792F" w:rsidRDefault="00CF774B" w:rsidP="00490255">
                            <w:pPr>
                              <w:pStyle w:val="Normlnywebov"/>
                              <w:spacing w:before="0" w:beforeAutospacing="0" w:after="0" w:afterAutospacing="0"/>
                              <w:jc w:val="center"/>
                              <w:rPr>
                                <w:b/>
                                <w:sz w:val="18"/>
                                <w:szCs w:val="18"/>
                              </w:rPr>
                            </w:pPr>
                            <w:r w:rsidRPr="001D792F">
                              <w:rPr>
                                <w:rFonts w:ascii="Arial Narrow" w:hAnsi="Arial Narrow" w:cstheme="minorBidi"/>
                                <w:b/>
                                <w:color w:val="000000" w:themeColor="dark1"/>
                                <w:sz w:val="18"/>
                                <w:szCs w:val="18"/>
                              </w:rPr>
                              <w:t>2020</w:t>
                            </w:r>
                          </w:p>
                        </w:txbxContent>
                      </v:textbox>
                    </v:shape>
                  </w:pict>
                </mc:Fallback>
              </mc:AlternateContent>
            </w:r>
            <w:r w:rsidRPr="001B1C54">
              <w:rPr>
                <w:b/>
                <w:color w:val="2C9ADC" w:themeColor="accent1"/>
                <w:sz w:val="20"/>
                <w:szCs w:val="20"/>
              </w:rPr>
              <w:t xml:space="preserve">GRAF </w:t>
            </w:r>
            <w:r w:rsidRPr="001B1C54">
              <w:rPr>
                <w:b/>
                <w:color w:val="2C9ADC" w:themeColor="accent1"/>
                <w:sz w:val="20"/>
                <w:szCs w:val="20"/>
              </w:rPr>
              <w:fldChar w:fldCharType="begin"/>
            </w:r>
            <w:r w:rsidRPr="001B1C54">
              <w:rPr>
                <w:b/>
                <w:color w:val="2C9ADC" w:themeColor="accent1"/>
                <w:sz w:val="20"/>
                <w:szCs w:val="20"/>
              </w:rPr>
              <w:instrText xml:space="preserve"> SEQ GRAF \* ARABIC </w:instrText>
            </w:r>
            <w:r w:rsidRPr="001B1C54">
              <w:rPr>
                <w:b/>
                <w:color w:val="2C9ADC" w:themeColor="accent1"/>
                <w:sz w:val="20"/>
                <w:szCs w:val="20"/>
              </w:rPr>
              <w:fldChar w:fldCharType="separate"/>
            </w:r>
            <w:r w:rsidR="005D3280">
              <w:rPr>
                <w:b/>
                <w:noProof/>
                <w:color w:val="2C9ADC" w:themeColor="accent1"/>
                <w:sz w:val="20"/>
                <w:szCs w:val="20"/>
              </w:rPr>
              <w:t>16</w:t>
            </w:r>
            <w:r w:rsidRPr="001B1C54">
              <w:rPr>
                <w:b/>
                <w:color w:val="2C9ADC" w:themeColor="accent1"/>
                <w:sz w:val="20"/>
                <w:szCs w:val="20"/>
              </w:rPr>
              <w:fldChar w:fldCharType="end"/>
            </w:r>
            <w:r w:rsidRPr="001B1C54">
              <w:rPr>
                <w:b/>
                <w:color w:val="2C9ADC" w:themeColor="accent1"/>
                <w:sz w:val="20"/>
                <w:szCs w:val="20"/>
              </w:rPr>
              <w:t xml:space="preserve"> –</w:t>
            </w:r>
            <w:r w:rsidRPr="001B1C54">
              <w:rPr>
                <w:b/>
                <w:bCs/>
                <w:color w:val="2C9ADC" w:themeColor="accent1"/>
                <w:sz w:val="20"/>
                <w:szCs w:val="20"/>
              </w:rPr>
              <w:t xml:space="preserve"> Súhrn opatrení </w:t>
            </w:r>
            <w:r w:rsidRPr="001B1C54">
              <w:rPr>
                <w:b/>
                <w:color w:val="2C9ADC" w:themeColor="accent1"/>
                <w:sz w:val="20"/>
                <w:szCs w:val="20"/>
              </w:rPr>
              <w:t>prijatých v boji proti koronavírusu (odhad do konca roka, v % HDP)</w:t>
            </w:r>
            <w:bookmarkEnd w:id="93"/>
            <w:bookmarkEnd w:id="94"/>
            <w:r w:rsidRPr="001B1C54">
              <w:rPr>
                <w:rStyle w:val="Odkaznakomentr"/>
              </w:rPr>
              <w:t xml:space="preserve"> </w:t>
            </w:r>
          </w:p>
          <w:p w14:paraId="6883DE78" w14:textId="77777777" w:rsidR="00490255" w:rsidRPr="0002197B" w:rsidRDefault="00490255" w:rsidP="000E4D54">
            <w:pPr>
              <w:spacing w:after="240"/>
              <w:ind w:right="74"/>
              <w:jc w:val="both"/>
              <w:rPr>
                <w:sz w:val="4"/>
                <w:szCs w:val="16"/>
              </w:rPr>
            </w:pPr>
          </w:p>
          <w:p w14:paraId="25FA7EA8" w14:textId="77777777" w:rsidR="00490255" w:rsidRPr="001B1C54" w:rsidRDefault="00490255" w:rsidP="000E4D54">
            <w:pPr>
              <w:ind w:right="74"/>
              <w:jc w:val="both"/>
              <w:rPr>
                <w:b/>
                <w:color w:val="2C9ADC" w:themeColor="accent1"/>
                <w:sz w:val="2"/>
                <w:szCs w:val="20"/>
                <w:highlight w:val="yellow"/>
              </w:rPr>
            </w:pPr>
          </w:p>
          <w:p w14:paraId="15D9BD70" w14:textId="77777777" w:rsidR="00490255" w:rsidRPr="001B1C54" w:rsidRDefault="00490255" w:rsidP="000E4D54">
            <w:pPr>
              <w:spacing w:after="120"/>
              <w:ind w:right="74"/>
              <w:jc w:val="right"/>
              <w:rPr>
                <w:b/>
                <w:color w:val="2C9ADC" w:themeColor="accent1"/>
                <w:sz w:val="20"/>
                <w:szCs w:val="20"/>
              </w:rPr>
            </w:pPr>
            <w:r w:rsidRPr="001B1C54">
              <w:rPr>
                <w:i/>
                <w:noProof/>
                <w:sz w:val="16"/>
                <w:szCs w:val="16"/>
                <w:highlight w:val="yellow"/>
              </w:rPr>
              <mc:AlternateContent>
                <mc:Choice Requires="wps">
                  <w:drawing>
                    <wp:anchor distT="0" distB="0" distL="114300" distR="114300" simplePos="0" relativeHeight="251664384" behindDoc="0" locked="0" layoutInCell="1" allowOverlap="1" wp14:anchorId="57C0FFA7" wp14:editId="221C8070">
                      <wp:simplePos x="0" y="0"/>
                      <wp:positionH relativeFrom="column">
                        <wp:posOffset>2571506</wp:posOffset>
                      </wp:positionH>
                      <wp:positionV relativeFrom="paragraph">
                        <wp:posOffset>29063</wp:posOffset>
                      </wp:positionV>
                      <wp:extent cx="11967" cy="1676400"/>
                      <wp:effectExtent l="0" t="0" r="26670" b="19050"/>
                      <wp:wrapNone/>
                      <wp:docPr id="11" name="Rovná spojnica 11"/>
                      <wp:cNvGraphicFramePr/>
                      <a:graphic xmlns:a="http://schemas.openxmlformats.org/drawingml/2006/main">
                        <a:graphicData uri="http://schemas.microsoft.com/office/word/2010/wordprocessingShape">
                          <wps:wsp>
                            <wps:cNvCnPr/>
                            <wps:spPr>
                              <a:xfrm flipH="1" flipV="1">
                                <a:off x="0" y="0"/>
                                <a:ext cx="11967" cy="1676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7890F81" id="Rovná spojnica 11"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2.3pt" to="203.4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" strokecolor="black [3213]"/>
                  </w:pict>
                </mc:Fallback>
              </mc:AlternateContent>
            </w:r>
            <w:r>
              <w:rPr>
                <w:noProof/>
              </w:rPr>
              <w:t xml:space="preserve"> </w:t>
            </w:r>
            <w:r>
              <w:rPr>
                <w:noProof/>
              </w:rPr>
              <w:drawing>
                <wp:inline distT="0" distB="0" distL="0" distR="0" wp14:anchorId="3A780934" wp14:editId="29FEC4DF">
                  <wp:extent cx="5514974" cy="2407141"/>
                  <wp:effectExtent l="0" t="0" r="0" b="0"/>
                  <wp:docPr id="299" name="Graf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B1C54">
              <w:rPr>
                <w:i/>
                <w:sz w:val="16"/>
                <w:szCs w:val="16"/>
                <w:highlight w:val="yellow"/>
              </w:rPr>
              <w:t xml:space="preserve"> </w:t>
            </w:r>
            <w:r w:rsidRPr="001B1C54">
              <w:rPr>
                <w:i/>
                <w:sz w:val="16"/>
                <w:szCs w:val="16"/>
              </w:rPr>
              <w:t>Zdroj: MF SR</w:t>
            </w:r>
          </w:p>
          <w:p w14:paraId="5D453353" w14:textId="77777777" w:rsidR="00490255" w:rsidRPr="007A16A1" w:rsidRDefault="00490255" w:rsidP="000E4D54">
            <w:pPr>
              <w:spacing w:after="240"/>
              <w:ind w:right="74"/>
              <w:jc w:val="both"/>
            </w:pPr>
            <w:r w:rsidRPr="001B1C54">
              <w:rPr>
                <w:i/>
                <w:sz w:val="16"/>
                <w:szCs w:val="16"/>
              </w:rPr>
              <w:t xml:space="preserve">* Pri garanciách je uvádzaná výška garantovaných úverov, nie vplyv na akruálny deficit verejnej správy. Rovnako pri odklade daní a odvodov.                                          </w:t>
            </w:r>
          </w:p>
        </w:tc>
      </w:tr>
    </w:tbl>
    <w:p w14:paraId="13E0EA30" w14:textId="77777777" w:rsidR="00490255" w:rsidRPr="00BF3A4E" w:rsidRDefault="00490255" w:rsidP="00490255">
      <w:pPr>
        <w:spacing w:after="120"/>
        <w:jc w:val="both"/>
        <w:rPr>
          <w:b/>
          <w:color w:val="2C9ADC" w:themeColor="accent1"/>
          <w:highlight w:val="yellow"/>
        </w:rPr>
      </w:pPr>
    </w:p>
    <w:p w14:paraId="3684FBBF" w14:textId="77777777" w:rsidR="00490255" w:rsidRPr="00D06780" w:rsidRDefault="00490255" w:rsidP="00490255">
      <w:pPr>
        <w:spacing w:after="120"/>
        <w:jc w:val="both"/>
        <w:rPr>
          <w:b/>
          <w:color w:val="00B0F0"/>
        </w:rPr>
      </w:pPr>
      <w:r w:rsidRPr="00D06780">
        <w:rPr>
          <w:b/>
          <w:color w:val="2C9ADC" w:themeColor="accent1"/>
        </w:rPr>
        <w:t>Ďalšie faktory mimo koronavírusu</w:t>
      </w:r>
    </w:p>
    <w:p w14:paraId="26BA8CBB" w14:textId="17A29F75" w:rsidR="00490255" w:rsidRDefault="00490255" w:rsidP="00490255">
      <w:pPr>
        <w:spacing w:after="240"/>
        <w:jc w:val="both"/>
      </w:pPr>
      <w:r w:rsidRPr="006339F5">
        <w:rPr>
          <w:b/>
        </w:rPr>
        <w:t>Daňové spolu s odvodovými príjmami sú v porovnaní so schváleným rozpočtom vyššie o 0,8 % HDP</w:t>
      </w:r>
      <w:r w:rsidRPr="006339F5">
        <w:rPr>
          <w:rStyle w:val="Odkaznapoznmkupodiarou"/>
          <w:b/>
        </w:rPr>
        <w:footnoteReference w:id="18"/>
      </w:r>
      <w:r w:rsidRPr="006339F5">
        <w:rPr>
          <w:b/>
        </w:rPr>
        <w:t xml:space="preserve"> (</w:t>
      </w:r>
      <w:r w:rsidR="007B0A4D" w:rsidRPr="00636109">
        <w:rPr>
          <w:rFonts w:eastAsia="Calibri" w:cs="Arial"/>
          <w:b/>
          <w:bCs/>
          <w:color w:val="2C9ADC"/>
          <w:lang w:eastAsia="en-US"/>
        </w:rPr>
        <w:t>GRAF 17</w:t>
      </w:r>
      <w:r w:rsidRPr="006339F5">
        <w:rPr>
          <w:b/>
        </w:rPr>
        <w:t xml:space="preserve">). </w:t>
      </w:r>
      <w:r w:rsidRPr="006339F5">
        <w:t>Daňovým</w:t>
      </w:r>
      <w:r>
        <w:t xml:space="preserve"> príjmom</w:t>
      </w:r>
      <w:r w:rsidRPr="00412BA2">
        <w:t xml:space="preserve"> </w:t>
      </w:r>
      <w:r>
        <w:t>pomáhajú hlavne nominálne rasty makroekonomických veličín</w:t>
      </w:r>
      <w:r w:rsidRPr="00412BA2">
        <w:t>.</w:t>
      </w:r>
      <w:r>
        <w:t xml:space="preserve"> </w:t>
      </w:r>
      <w:r w:rsidRPr="00C651CF">
        <w:rPr>
          <w:rFonts w:eastAsiaTheme="minorHAnsi" w:cstheme="minorBidi"/>
          <w:lang w:eastAsia="en-US"/>
        </w:rPr>
        <w:t>Pri tvorbe rozpočtu boli odhady makroekonomického vývoja pesimistickejšie. Lepší skutočný vývoj navýšil príjmy za rok 2021 o</w:t>
      </w:r>
      <w:r>
        <w:rPr>
          <w:rFonts w:eastAsiaTheme="minorHAnsi" w:cstheme="minorBidi"/>
          <w:lang w:eastAsia="en-US"/>
        </w:rPr>
        <w:t> 0,2 % HDP</w:t>
      </w:r>
      <w:r w:rsidRPr="00C651CF">
        <w:rPr>
          <w:rFonts w:eastAsiaTheme="minorHAnsi" w:cstheme="minorBidi"/>
          <w:lang w:eastAsia="en-US"/>
        </w:rPr>
        <w:t>, čo sa následne prenieslo aj do odhadu príjmov na rok 2022</w:t>
      </w:r>
      <w:r>
        <w:rPr>
          <w:rFonts w:eastAsiaTheme="minorHAnsi" w:cstheme="minorBidi"/>
          <w:lang w:eastAsia="en-US"/>
        </w:rPr>
        <w:t>. O</w:t>
      </w:r>
      <w:r w:rsidRPr="00C651CF">
        <w:rPr>
          <w:rFonts w:eastAsiaTheme="minorHAnsi" w:cstheme="minorBidi"/>
          <w:lang w:eastAsia="en-US"/>
        </w:rPr>
        <w:t xml:space="preserve">krem efektov z roku 2021 sa navýšila makroekonomická prognóza s vplyvom na dane  o ďalších </w:t>
      </w:r>
      <w:r>
        <w:rPr>
          <w:rFonts w:eastAsiaTheme="minorHAnsi" w:cstheme="minorBidi"/>
          <w:lang w:eastAsia="en-US"/>
        </w:rPr>
        <w:t>0,3 % HDP</w:t>
      </w:r>
      <w:r w:rsidRPr="00C651CF">
        <w:rPr>
          <w:rFonts w:eastAsiaTheme="minorHAnsi" w:cstheme="minorBidi"/>
          <w:lang w:eastAsia="en-US"/>
        </w:rPr>
        <w:t>. Za zvýšením je z veľkej časti vplyv vyššej inflácie a</w:t>
      </w:r>
      <w:r>
        <w:rPr>
          <w:rFonts w:eastAsiaTheme="minorHAnsi" w:cstheme="minorBidi"/>
          <w:lang w:eastAsia="en-US"/>
        </w:rPr>
        <w:t> výdavky z Plánu obnovy a odolnosti</w:t>
      </w:r>
      <w:r w:rsidRPr="00C651CF">
        <w:rPr>
          <w:rFonts w:eastAsiaTheme="minorHAnsi" w:cstheme="minorBidi"/>
          <w:lang w:eastAsia="en-US"/>
        </w:rPr>
        <w:t xml:space="preserve">. </w:t>
      </w:r>
      <w:r w:rsidRPr="00412BA2">
        <w:t>Zlepšenie prináša aj trh práce a naň naviazané dane a odvody spolu so solídnejšou spotrebou, ktorá pomáha hlavne príjmom z DPH. K rastu DPH prispieva a</w:t>
      </w:r>
      <w:r>
        <w:t>j</w:t>
      </w:r>
      <w:r w:rsidRPr="00412BA2">
        <w:t xml:space="preserve"> zvýšenie úspešnosti výberu</w:t>
      </w:r>
      <w:r>
        <w:rPr>
          <w:rStyle w:val="Odkaznapoznmkupodiarou"/>
        </w:rPr>
        <w:footnoteReference w:id="19"/>
      </w:r>
      <w:r w:rsidRPr="00412BA2">
        <w:t>, ktorá dosahuje historické hodnoty.</w:t>
      </w:r>
      <w:r>
        <w:t xml:space="preserve"> </w:t>
      </w:r>
      <w:r w:rsidRPr="00412BA2">
        <w:t xml:space="preserve">Pri korporátnej dani </w:t>
      </w:r>
      <w:r>
        <w:t>bola zaznamenaná mierna</w:t>
      </w:r>
      <w:r w:rsidRPr="00412BA2">
        <w:t xml:space="preserve"> korekciu smerom nadol z tit</w:t>
      </w:r>
      <w:r>
        <w:t>ulu pomalšieho oživenia, ako sa pôvodne očakávalo</w:t>
      </w:r>
      <w:r w:rsidRPr="00412BA2">
        <w:t xml:space="preserve">. </w:t>
      </w:r>
      <w:r w:rsidRPr="00022068">
        <w:rPr>
          <w:b/>
        </w:rPr>
        <w:t xml:space="preserve"> </w:t>
      </w:r>
    </w:p>
    <w:tbl>
      <w:tblPr>
        <w:tblW w:w="8985" w:type="dxa"/>
        <w:tblLayout w:type="fixed"/>
        <w:tblLook w:val="04A0" w:firstRow="1" w:lastRow="0" w:firstColumn="1" w:lastColumn="0" w:noHBand="0" w:noVBand="1"/>
      </w:tblPr>
      <w:tblGrid>
        <w:gridCol w:w="8985"/>
      </w:tblGrid>
      <w:tr w:rsidR="00490255" w:rsidRPr="00071E28" w14:paraId="1AE9A68B" w14:textId="77777777" w:rsidTr="000E4D54">
        <w:trPr>
          <w:trHeight w:val="121"/>
        </w:trPr>
        <w:tc>
          <w:tcPr>
            <w:tcW w:w="8985" w:type="dxa"/>
            <w:tcBorders>
              <w:left w:val="nil"/>
              <w:bottom w:val="single" w:sz="8" w:space="0" w:color="auto"/>
              <w:right w:val="nil"/>
            </w:tcBorders>
            <w:noWrap/>
            <w:vAlign w:val="center"/>
          </w:tcPr>
          <w:p w14:paraId="5DB59A34" w14:textId="4CCEFDD2" w:rsidR="00490255" w:rsidRPr="00071E28" w:rsidRDefault="00490255" w:rsidP="000E4D54">
            <w:pPr>
              <w:pStyle w:val="Nadpis3"/>
              <w:rPr>
                <w:rFonts w:eastAsiaTheme="minorHAnsi"/>
                <w:color w:val="2C9ADC"/>
                <w:szCs w:val="20"/>
                <w:lang w:eastAsia="en-US"/>
              </w:rPr>
            </w:pPr>
            <w:bookmarkStart w:id="95" w:name="_Toc101881941"/>
            <w:r w:rsidRPr="00071E28">
              <w:rPr>
                <w:rFonts w:eastAsiaTheme="minorHAnsi"/>
                <w:color w:val="2C9ADC"/>
                <w:szCs w:val="20"/>
                <w:lang w:eastAsia="en-US"/>
              </w:rPr>
              <w:t xml:space="preserve">GRAF </w:t>
            </w:r>
            <w:r w:rsidR="00293DD6" w:rsidRPr="008F4E8A">
              <w:rPr>
                <w:rFonts w:eastAsiaTheme="minorHAnsi"/>
                <w:color w:val="2C9ADC"/>
                <w:szCs w:val="20"/>
                <w:lang w:eastAsia="en-US"/>
              </w:rPr>
              <w:fldChar w:fldCharType="begin"/>
            </w:r>
            <w:r w:rsidR="00293DD6" w:rsidRPr="008F4E8A">
              <w:rPr>
                <w:rFonts w:eastAsiaTheme="minorHAnsi"/>
                <w:color w:val="2C9ADC"/>
                <w:szCs w:val="20"/>
                <w:lang w:eastAsia="en-US"/>
              </w:rPr>
              <w:instrText xml:space="preserve"> SEQ GRAF \* ARABIC </w:instrText>
            </w:r>
            <w:r w:rsidR="00293DD6" w:rsidRPr="008F4E8A">
              <w:rPr>
                <w:rFonts w:eastAsiaTheme="minorHAnsi"/>
                <w:color w:val="2C9ADC"/>
                <w:szCs w:val="20"/>
                <w:lang w:eastAsia="en-US"/>
              </w:rPr>
              <w:fldChar w:fldCharType="separate"/>
            </w:r>
            <w:r w:rsidR="005D3280">
              <w:rPr>
                <w:rFonts w:eastAsiaTheme="minorHAnsi"/>
                <w:noProof/>
                <w:color w:val="2C9ADC"/>
                <w:szCs w:val="20"/>
                <w:lang w:eastAsia="en-US"/>
              </w:rPr>
              <w:t>17</w:t>
            </w:r>
            <w:r w:rsidR="00293DD6" w:rsidRPr="008F4E8A">
              <w:rPr>
                <w:rFonts w:eastAsiaTheme="minorHAnsi"/>
                <w:color w:val="2C9ADC"/>
                <w:szCs w:val="20"/>
                <w:lang w:eastAsia="en-US"/>
              </w:rPr>
              <w:fldChar w:fldCharType="end"/>
            </w:r>
            <w:r w:rsidRPr="00071E28">
              <w:rPr>
                <w:rFonts w:eastAsiaTheme="minorHAnsi"/>
                <w:color w:val="2C9ADC"/>
                <w:szCs w:val="20"/>
                <w:lang w:eastAsia="en-US"/>
              </w:rPr>
              <w:t xml:space="preserve"> – </w:t>
            </w:r>
            <w:r>
              <w:rPr>
                <w:rFonts w:eastAsiaTheme="minorHAnsi"/>
                <w:color w:val="2C9ADC"/>
                <w:szCs w:val="20"/>
                <w:lang w:eastAsia="en-US"/>
              </w:rPr>
              <w:t>Zmena odhadu daňovo-odvodových príjmov VS na rok 2022 oproti rozpočtu</w:t>
            </w:r>
            <w:r w:rsidRPr="00071E28">
              <w:rPr>
                <w:rFonts w:eastAsiaTheme="minorHAnsi"/>
                <w:color w:val="2C9ADC"/>
                <w:szCs w:val="20"/>
                <w:lang w:eastAsia="en-US"/>
              </w:rPr>
              <w:t xml:space="preserve"> (v </w:t>
            </w:r>
            <w:r>
              <w:rPr>
                <w:rFonts w:eastAsiaTheme="minorHAnsi"/>
                <w:color w:val="2C9ADC"/>
                <w:szCs w:val="20"/>
                <w:lang w:eastAsia="en-US"/>
              </w:rPr>
              <w:t>% HDP</w:t>
            </w:r>
            <w:r w:rsidRPr="00071E28">
              <w:rPr>
                <w:rFonts w:eastAsiaTheme="minorHAnsi"/>
                <w:color w:val="2C9ADC"/>
                <w:szCs w:val="20"/>
                <w:lang w:eastAsia="en-US"/>
              </w:rPr>
              <w:t>, ESA2010)</w:t>
            </w:r>
            <w:bookmarkEnd w:id="95"/>
          </w:p>
        </w:tc>
      </w:tr>
      <w:tr w:rsidR="00490255" w:rsidRPr="00071E28" w14:paraId="6C123BA0" w14:textId="77777777" w:rsidTr="000E4D54">
        <w:tblPrEx>
          <w:tblCellMar>
            <w:left w:w="70" w:type="dxa"/>
            <w:right w:w="70" w:type="dxa"/>
          </w:tblCellMar>
        </w:tblPrEx>
        <w:trPr>
          <w:trHeight w:val="3132"/>
        </w:trPr>
        <w:tc>
          <w:tcPr>
            <w:tcW w:w="8985" w:type="dxa"/>
            <w:tcBorders>
              <w:top w:val="single" w:sz="8" w:space="0" w:color="auto"/>
              <w:left w:val="nil"/>
              <w:bottom w:val="single" w:sz="4" w:space="0" w:color="auto"/>
              <w:right w:val="nil"/>
            </w:tcBorders>
            <w:noWrap/>
          </w:tcPr>
          <w:p w14:paraId="10A6DA52" w14:textId="760375CE" w:rsidR="00490255" w:rsidRPr="00071E28" w:rsidRDefault="00490255" w:rsidP="000E4D54">
            <w:pPr>
              <w:spacing w:line="256" w:lineRule="auto"/>
              <w:rPr>
                <w:rFonts w:cs="Times New Roman"/>
                <w:b/>
                <w:bCs/>
                <w:color w:val="000000" w:themeColor="text1"/>
                <w:lang w:eastAsia="en-US"/>
              </w:rPr>
            </w:pPr>
            <w:r>
              <w:rPr>
                <w:rFonts w:cs="Times New Roman"/>
                <w:b/>
                <w:bCs/>
                <w:noProof/>
                <w:color w:val="000000" w:themeColor="text1"/>
              </w:rPr>
              <w:drawing>
                <wp:inline distT="0" distB="0" distL="0" distR="0" wp14:anchorId="3C6684D4" wp14:editId="44027BB4">
                  <wp:extent cx="5558843" cy="1712076"/>
                  <wp:effectExtent l="0" t="0" r="3810" b="2540"/>
                  <wp:docPr id="300" name="Obrázo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02954" cy="1725662"/>
                          </a:xfrm>
                          <a:prstGeom prst="rect">
                            <a:avLst/>
                          </a:prstGeom>
                          <a:noFill/>
                        </pic:spPr>
                      </pic:pic>
                    </a:graphicData>
                  </a:graphic>
                </wp:inline>
              </w:drawing>
            </w:r>
          </w:p>
        </w:tc>
      </w:tr>
      <w:tr w:rsidR="00490255" w:rsidRPr="00071E28" w14:paraId="481F1D4C" w14:textId="77777777" w:rsidTr="000E4D54">
        <w:tblPrEx>
          <w:tblCellMar>
            <w:left w:w="70" w:type="dxa"/>
            <w:right w:w="70" w:type="dxa"/>
          </w:tblCellMar>
        </w:tblPrEx>
        <w:trPr>
          <w:trHeight w:val="112"/>
        </w:trPr>
        <w:tc>
          <w:tcPr>
            <w:tcW w:w="8985" w:type="dxa"/>
            <w:tcBorders>
              <w:top w:val="single" w:sz="8" w:space="0" w:color="auto"/>
              <w:left w:val="nil"/>
              <w:right w:val="nil"/>
            </w:tcBorders>
            <w:shd w:val="clear" w:color="auto" w:fill="auto"/>
            <w:noWrap/>
            <w:vAlign w:val="center"/>
          </w:tcPr>
          <w:p w14:paraId="1286600A" w14:textId="77777777" w:rsidR="00490255" w:rsidRPr="00071E28" w:rsidRDefault="00490255" w:rsidP="000E4D54">
            <w:pPr>
              <w:spacing w:before="40"/>
              <w:rPr>
                <w:i/>
                <w:sz w:val="16"/>
                <w:szCs w:val="16"/>
                <w:lang w:eastAsia="en-US"/>
              </w:rPr>
            </w:pPr>
            <w:r>
              <w:rPr>
                <w:i/>
                <w:sz w:val="16"/>
                <w:szCs w:val="16"/>
                <w:lang w:eastAsia="en-US"/>
              </w:rPr>
              <w:t>V ostatných sú započítané aj vplyvy sankcií, vplyv daňových kreditov a 2% na výdavky</w:t>
            </w:r>
            <w:r w:rsidRPr="00071E28">
              <w:rPr>
                <w:i/>
                <w:sz w:val="16"/>
                <w:szCs w:val="16"/>
                <w:lang w:eastAsia="en-US"/>
              </w:rPr>
              <w:t xml:space="preserve">                                                           </w:t>
            </w:r>
            <w:r>
              <w:rPr>
                <w:i/>
                <w:sz w:val="16"/>
                <w:szCs w:val="16"/>
                <w:lang w:eastAsia="en-US"/>
              </w:rPr>
              <w:t xml:space="preserve">                       Zdroj:  </w:t>
            </w:r>
            <w:r w:rsidRPr="00071E28">
              <w:rPr>
                <w:i/>
                <w:sz w:val="16"/>
                <w:szCs w:val="16"/>
                <w:lang w:eastAsia="en-US"/>
              </w:rPr>
              <w:t>MF SR</w:t>
            </w:r>
          </w:p>
        </w:tc>
      </w:tr>
      <w:tr w:rsidR="00490255" w:rsidRPr="00BF3A4E" w14:paraId="4AA27AFD" w14:textId="77777777" w:rsidTr="000E4D54">
        <w:tblPrEx>
          <w:tblCellMar>
            <w:left w:w="70" w:type="dxa"/>
            <w:right w:w="70" w:type="dxa"/>
          </w:tblCellMar>
        </w:tblPrEx>
        <w:trPr>
          <w:trHeight w:val="112"/>
        </w:trPr>
        <w:tc>
          <w:tcPr>
            <w:tcW w:w="8985" w:type="dxa"/>
            <w:tcBorders>
              <w:left w:val="nil"/>
              <w:right w:val="nil"/>
            </w:tcBorders>
            <w:shd w:val="clear" w:color="auto" w:fill="auto"/>
            <w:noWrap/>
            <w:vAlign w:val="center"/>
          </w:tcPr>
          <w:p w14:paraId="6CB3D941" w14:textId="77777777" w:rsidR="00490255" w:rsidRPr="00BF3A4E" w:rsidRDefault="00490255" w:rsidP="000E4D54">
            <w:pPr>
              <w:rPr>
                <w:i/>
                <w:sz w:val="16"/>
                <w:szCs w:val="16"/>
                <w:highlight w:val="yellow"/>
                <w:lang w:eastAsia="en-US"/>
              </w:rPr>
            </w:pPr>
          </w:p>
        </w:tc>
      </w:tr>
    </w:tbl>
    <w:p w14:paraId="565516CC" w14:textId="77777777" w:rsidR="00490255" w:rsidRDefault="00490255" w:rsidP="00490255">
      <w:pPr>
        <w:spacing w:after="160" w:line="259" w:lineRule="auto"/>
        <w:jc w:val="both"/>
        <w:rPr>
          <w:rFonts w:cs="Arial Narrow"/>
          <w:b/>
        </w:rPr>
      </w:pPr>
      <w:r w:rsidRPr="005F7A59">
        <w:rPr>
          <w:rFonts w:cs="Arial Narrow"/>
          <w:b/>
        </w:rPr>
        <w:t>Výdavky súvisiace s európskym rozpočtom rovnako znižujú očakávaný deficit oproti rozpočtu</w:t>
      </w:r>
      <w:r>
        <w:rPr>
          <w:rFonts w:cs="Arial Narrow"/>
          <w:b/>
        </w:rPr>
        <w:t xml:space="preserve"> o 0,2 % HDP</w:t>
      </w:r>
      <w:r w:rsidRPr="005F7A59">
        <w:rPr>
          <w:rFonts w:cs="Arial Narrow"/>
          <w:b/>
        </w:rPr>
        <w:t xml:space="preserve">. </w:t>
      </w:r>
      <w:r w:rsidRPr="005F7A59">
        <w:t>Vyššie očakávané čerpanie prostriedkov spolufinancovania európskych projektov prispieva negatívne o vyše 0,1 </w:t>
      </w:r>
      <w:r>
        <w:t>%</w:t>
      </w:r>
      <w:r w:rsidRPr="005F7A59">
        <w:t xml:space="preserve"> HDP. Naopak, očistené korekcie</w:t>
      </w:r>
      <w:r w:rsidRPr="005F7A59">
        <w:rPr>
          <w:rStyle w:val="Odkaznapoznmkupodiarou"/>
        </w:rPr>
        <w:footnoteReference w:id="20"/>
      </w:r>
      <w:r w:rsidRPr="005F7A59">
        <w:t xml:space="preserve"> z nezrovnalostí pri čerpaní EÚ fondov </w:t>
      </w:r>
      <w:r>
        <w:t>majú mierne pozitívny vplyv</w:t>
      </w:r>
      <w:r w:rsidRPr="005F7A59">
        <w:t xml:space="preserve">. Pozitívny vplyv </w:t>
      </w:r>
      <w:r>
        <w:t xml:space="preserve">na rozpočet tohto roku </w:t>
      </w:r>
      <w:r w:rsidRPr="005F7A59">
        <w:t xml:space="preserve">má aj </w:t>
      </w:r>
      <w:r>
        <w:t>vysporiadanie platby do EÚ rozpočtu v súvislosti s nezrovnalosťami pri preclievaní tovaru z tretích krajín (</w:t>
      </w:r>
      <w:r w:rsidRPr="005F7A59">
        <w:t>0,</w:t>
      </w:r>
      <w:r>
        <w:t>3</w:t>
      </w:r>
      <w:r w:rsidRPr="005F7A59">
        <w:t xml:space="preserve"> </w:t>
      </w:r>
      <w:r>
        <w:t>%</w:t>
      </w:r>
      <w:r w:rsidRPr="005F7A59">
        <w:t xml:space="preserve"> HDP</w:t>
      </w:r>
      <w:r>
        <w:t>).</w:t>
      </w:r>
      <w:r w:rsidRPr="005F7A59">
        <w:t xml:space="preserve"> V rozpočte sa na tento účel vytvorila rezerva v objeme 326 mil. eur</w:t>
      </w:r>
      <w:r>
        <w:t xml:space="preserve"> určená na zaplatenie istiny. Samotná i</w:t>
      </w:r>
      <w:r w:rsidRPr="005F7A59">
        <w:t xml:space="preserve">stina </w:t>
      </w:r>
      <w:r>
        <w:t xml:space="preserve">vo výške 277 mil. eur </w:t>
      </w:r>
      <w:r w:rsidRPr="005F7A59">
        <w:t xml:space="preserve">z podhodnoteného preclievania </w:t>
      </w:r>
      <w:r>
        <w:t xml:space="preserve">však </w:t>
      </w:r>
      <w:r w:rsidRPr="005F7A59">
        <w:t xml:space="preserve">bola  </w:t>
      </w:r>
      <w:r>
        <w:t xml:space="preserve"> </w:t>
      </w:r>
      <w:r w:rsidRPr="005F7A59">
        <w:t>zaplatená už na konci minulého roka</w:t>
      </w:r>
      <w:r>
        <w:t xml:space="preserve"> a Eurostat rozhodol, že aj</w:t>
      </w:r>
      <w:r w:rsidRPr="005F7A59">
        <w:t xml:space="preserve"> zaplatenie úrokov </w:t>
      </w:r>
      <w:r>
        <w:t xml:space="preserve">vo výške </w:t>
      </w:r>
      <w:r w:rsidRPr="005F7A59">
        <w:t>250 mil.</w:t>
      </w:r>
      <w:r>
        <w:t xml:space="preserve"> eur bude zaznamenané už v roku 2021.</w:t>
      </w:r>
    </w:p>
    <w:p w14:paraId="1958769D" w14:textId="03414439" w:rsidR="00490255" w:rsidRDefault="00597525" w:rsidP="00490255">
      <w:pPr>
        <w:jc w:val="both"/>
      </w:pPr>
      <w:r>
        <w:rPr>
          <w:b/>
        </w:rPr>
        <w:t>Rezerva</w:t>
      </w:r>
      <w:r w:rsidR="00490255" w:rsidRPr="00E52C9E">
        <w:rPr>
          <w:b/>
        </w:rPr>
        <w:t xml:space="preserve"> na opatrenia</w:t>
      </w:r>
      <w:r w:rsidR="00490255">
        <w:rPr>
          <w:b/>
        </w:rPr>
        <w:t xml:space="preserve"> </w:t>
      </w:r>
      <w:r w:rsidR="00490255" w:rsidRPr="005A4D55">
        <w:rPr>
          <w:b/>
        </w:rPr>
        <w:t>kompenzujúce</w:t>
      </w:r>
      <w:r>
        <w:rPr>
          <w:b/>
        </w:rPr>
        <w:t xml:space="preserve"> rastúcu</w:t>
      </w:r>
      <w:r w:rsidR="00490255" w:rsidRPr="005118CD">
        <w:rPr>
          <w:b/>
        </w:rPr>
        <w:t xml:space="preserve"> cenovú</w:t>
      </w:r>
      <w:r w:rsidR="00490255" w:rsidRPr="00E52C9E">
        <w:rPr>
          <w:b/>
        </w:rPr>
        <w:t xml:space="preserve"> </w:t>
      </w:r>
      <w:r w:rsidR="00490255" w:rsidRPr="005118CD">
        <w:rPr>
          <w:b/>
        </w:rPr>
        <w:t>hladinu</w:t>
      </w:r>
      <w:r w:rsidR="00490255" w:rsidRPr="00E52C9E">
        <w:rPr>
          <w:b/>
        </w:rPr>
        <w:t xml:space="preserve"> zvyšuje deficit oproti predpokladom rozpočtu o 0,3 % HDP</w:t>
      </w:r>
      <w:r w:rsidR="00490255">
        <w:t>. Výrazne rastúca inflácia si vyžaduje zavedenie opatrení, ktoré pomôžu najviac zasiahnu</w:t>
      </w:r>
      <w:r w:rsidR="00A35C55">
        <w:t>tým skupinám obyvateľstva. Boli už ohlásené jednorazová podpora</w:t>
      </w:r>
      <w:r w:rsidR="00490255">
        <w:t xml:space="preserve"> vo výške 100 eur pre rodiny s deťmi ako aj vybrané nízko príjmové skupiny</w:t>
      </w:r>
      <w:r w:rsidR="00490255">
        <w:rPr>
          <w:rStyle w:val="Odkaznapoznmkupodiarou"/>
        </w:rPr>
        <w:footnoteReference w:id="21"/>
      </w:r>
      <w:r w:rsidR="00490255">
        <w:t>. Trvalým opatrením bude zvýšenie prídavku na dieťa od júla na 30 eur a zvýšenie daňového bonusu na 70 eur pre deti do 15 rokov, resp. 40 eur pre deti nad 15 rokov</w:t>
      </w:r>
      <w:r>
        <w:t xml:space="preserve"> (</w:t>
      </w:r>
      <w:r w:rsidRPr="00597525">
        <w:rPr>
          <w:b/>
          <w:color w:val="2C9ADC" w:themeColor="accent1"/>
        </w:rPr>
        <w:t>B</w:t>
      </w:r>
      <w:r w:rsidR="001819B1">
        <w:rPr>
          <w:b/>
          <w:color w:val="2C9ADC" w:themeColor="accent1"/>
        </w:rPr>
        <w:t>OX</w:t>
      </w:r>
      <w:r w:rsidRPr="00597525">
        <w:rPr>
          <w:b/>
          <w:color w:val="2C9ADC" w:themeColor="accent1"/>
        </w:rPr>
        <w:t xml:space="preserve"> 7</w:t>
      </w:r>
      <w:r>
        <w:t>)</w:t>
      </w:r>
      <w:r w:rsidR="00490255">
        <w:t>. Rast cenovej hladiny vyvoláva zároveň tlak na rast miezd vo verejnej správe. Rozpočet totiž predpokladal nulový rast miezd v štátnom rozpočte a s rezervou na prípadnú vyššiu valorizáciu len v objeme 0</w:t>
      </w:r>
      <w:r w:rsidR="00484C8F">
        <w:t>,2 % HDP. O</w:t>
      </w:r>
      <w:r w:rsidR="00490255">
        <w:t>hlásené zvyšovanie tabuľkových miezd štátnym zamestnancom a zamestnancom vo výkone verejného záujmu o 3 %  od 1. júla</w:t>
      </w:r>
      <w:r w:rsidR="00484C8F">
        <w:t xml:space="preserve"> 2022 je už rozpísané v jednotlivých kapitolách rozpočtu</w:t>
      </w:r>
      <w:r w:rsidR="00490255">
        <w:t>.</w:t>
      </w:r>
    </w:p>
    <w:p w14:paraId="71CB2B17" w14:textId="77777777" w:rsidR="00490255" w:rsidRDefault="00490255" w:rsidP="00490255">
      <w:pPr>
        <w:jc w:val="both"/>
      </w:pPr>
    </w:p>
    <w:p w14:paraId="1A410B31" w14:textId="2AD349C2" w:rsidR="00490255" w:rsidRPr="002A5B0F" w:rsidRDefault="00490255" w:rsidP="00490255">
      <w:pPr>
        <w:jc w:val="both"/>
        <w:rPr>
          <w:rFonts w:cs="Arial Narrow"/>
        </w:rPr>
      </w:pPr>
      <w:r>
        <w:rPr>
          <w:rFonts w:cs="Arial Narrow"/>
          <w:b/>
        </w:rPr>
        <w:t>Deficit v porovnaní s predpokladmi rozpočtu zvyšujú aj vyššie výdavky zdravotníctva o </w:t>
      </w:r>
      <w:r w:rsidRPr="00A30BF0">
        <w:rPr>
          <w:rFonts w:cs="Arial Narrow"/>
          <w:b/>
        </w:rPr>
        <w:t>0,2</w:t>
      </w:r>
      <w:r>
        <w:rPr>
          <w:rFonts w:cs="Arial Narrow"/>
          <w:b/>
        </w:rPr>
        <w:t xml:space="preserve"> % HDP. </w:t>
      </w:r>
      <w:r>
        <w:rPr>
          <w:rFonts w:cs="Arial Narrow"/>
        </w:rPr>
        <w:t xml:space="preserve">Výdavky na zdravotníctvo sa zvyšujú až o 0,3 % HDP. Nižší vplyv na saldo je spôsobený najmä </w:t>
      </w:r>
      <w:r w:rsidR="00AC557A">
        <w:rPr>
          <w:rFonts w:cs="Arial Narrow"/>
        </w:rPr>
        <w:t>čiastočnou úsporou</w:t>
      </w:r>
      <w:r>
        <w:rPr>
          <w:rFonts w:cs="Arial Narrow"/>
          <w:b/>
        </w:rPr>
        <w:t xml:space="preserve"> </w:t>
      </w:r>
      <w:r w:rsidRPr="000C690E">
        <w:rPr>
          <w:rFonts w:cs="Arial Narrow"/>
        </w:rPr>
        <w:t>rezerv</w:t>
      </w:r>
      <w:r w:rsidR="00AC557A">
        <w:rPr>
          <w:rFonts w:cs="Arial Narrow"/>
        </w:rPr>
        <w:t>y</w:t>
      </w:r>
      <w:r w:rsidRPr="000C690E">
        <w:rPr>
          <w:rFonts w:cs="Arial Narrow"/>
        </w:rPr>
        <w:t xml:space="preserve"> na tento účel v</w:t>
      </w:r>
      <w:r>
        <w:rPr>
          <w:rFonts w:cs="Arial Narrow"/>
        </w:rPr>
        <w:t> </w:t>
      </w:r>
      <w:r w:rsidRPr="000C690E">
        <w:rPr>
          <w:rFonts w:cs="Arial Narrow"/>
        </w:rPr>
        <w:t>rozpočte</w:t>
      </w:r>
      <w:r>
        <w:rPr>
          <w:rStyle w:val="Odkaznapoznmkupodiarou"/>
        </w:rPr>
        <w:footnoteReference w:id="22"/>
      </w:r>
      <w:r w:rsidRPr="000C690E">
        <w:rPr>
          <w:rFonts w:cs="Arial Narrow"/>
        </w:rPr>
        <w:t>.</w:t>
      </w:r>
      <w:r>
        <w:rPr>
          <w:rFonts w:cs="Arial Narrow"/>
        </w:rPr>
        <w:t xml:space="preserve"> Zvýšené výdavky sa použijú na </w:t>
      </w:r>
      <w:r>
        <w:t>dofinancovanie verejného zdravotného poistenia</w:t>
      </w:r>
      <w:r>
        <w:rPr>
          <w:rFonts w:cs="Arial Narrow"/>
        </w:rPr>
        <w:t xml:space="preserve">. Ministerstvo zdravotníctva sa na oplátku zaviazalo </w:t>
      </w:r>
      <w:r>
        <w:rPr>
          <w:color w:val="000000"/>
        </w:rPr>
        <w:t xml:space="preserve">plniť 17 </w:t>
      </w:r>
      <w:r>
        <w:t>úsporných, systémových aj hodnotových opatrení, ktoré pomôžu výrazným spôsobom zlepšiť fungovanie zdravotníctva na Slovensku. Ide napríklad o elektronizáciu zdravotníctva (e-lab alebo e-objednávanie), transparentné pravidlá pre výnimky na lieky alebo efektívnejšie hospodárenie Všeobecnej zdravotnej poisťovne.</w:t>
      </w:r>
    </w:p>
    <w:p w14:paraId="4C5717C3" w14:textId="77777777" w:rsidR="00490255" w:rsidRDefault="00490255" w:rsidP="00490255">
      <w:pPr>
        <w:jc w:val="both"/>
        <w:rPr>
          <w:rFonts w:cs="Arial Narrow"/>
          <w:b/>
        </w:rPr>
      </w:pPr>
    </w:p>
    <w:p w14:paraId="44378030" w14:textId="77777777" w:rsidR="00490255" w:rsidRPr="00D9671E" w:rsidRDefault="00490255" w:rsidP="00490255">
      <w:pPr>
        <w:jc w:val="both"/>
        <w:rPr>
          <w:rFonts w:cs="Arial Narrow"/>
        </w:rPr>
      </w:pPr>
      <w:r w:rsidRPr="00D9671E">
        <w:rPr>
          <w:rFonts w:cs="Arial Narrow"/>
          <w:b/>
        </w:rPr>
        <w:t xml:space="preserve">Zvýšené výdavky spoločností pod ministerstvom dopravy sa podieľajú na vyššom než rozpočtovanom deficite o 0,1 </w:t>
      </w:r>
      <w:r>
        <w:rPr>
          <w:rFonts w:cs="Arial Narrow"/>
          <w:b/>
        </w:rPr>
        <w:t>%</w:t>
      </w:r>
      <w:r w:rsidRPr="00D9671E">
        <w:rPr>
          <w:rFonts w:cs="Arial Narrow"/>
          <w:b/>
        </w:rPr>
        <w:t xml:space="preserve"> HDP</w:t>
      </w:r>
      <w:r w:rsidRPr="00D9671E">
        <w:rPr>
          <w:rStyle w:val="Odkaznapoznmkupodiarou"/>
          <w:b/>
        </w:rPr>
        <w:footnoteReference w:id="23"/>
      </w:r>
      <w:r w:rsidRPr="00D9671E">
        <w:rPr>
          <w:rFonts w:cs="Arial Narrow"/>
          <w:b/>
        </w:rPr>
        <w:t>.</w:t>
      </w:r>
      <w:r w:rsidRPr="00D9671E">
        <w:t xml:space="preserve"> Nárast výdavkov Železničnej spoločnosti Slovensko a Železníc Slovenskej republiky je spôsobený najmä presunom </w:t>
      </w:r>
      <w:r>
        <w:t>neuskutočnených</w:t>
      </w:r>
      <w:r w:rsidRPr="00D9671E">
        <w:t xml:space="preserve"> kapitálových </w:t>
      </w:r>
      <w:r>
        <w:t>projektov</w:t>
      </w:r>
      <w:r w:rsidRPr="00D9671E">
        <w:t xml:space="preserve"> z minulých rokov. </w:t>
      </w:r>
      <w:r w:rsidRPr="00D9671E">
        <w:rPr>
          <w:rFonts w:cs="Arial Narrow"/>
        </w:rPr>
        <w:t xml:space="preserve">Národná diaľničná spoločnosť zvyšuje </w:t>
      </w:r>
      <w:r>
        <w:rPr>
          <w:rFonts w:cs="Arial Narrow"/>
        </w:rPr>
        <w:t xml:space="preserve">naopak </w:t>
      </w:r>
      <w:r w:rsidRPr="00D9671E">
        <w:rPr>
          <w:rFonts w:cs="Arial Narrow"/>
        </w:rPr>
        <w:t xml:space="preserve">svoje bežné výdavky. </w:t>
      </w:r>
    </w:p>
    <w:p w14:paraId="203D7DF1" w14:textId="77777777" w:rsidR="00490255" w:rsidRPr="00BF3A4E" w:rsidRDefault="00490255" w:rsidP="00490255">
      <w:pPr>
        <w:jc w:val="both"/>
        <w:rPr>
          <w:rFonts w:cs="Arial Narrow"/>
          <w:highlight w:val="yellow"/>
        </w:rPr>
      </w:pPr>
    </w:p>
    <w:p w14:paraId="72154B7B" w14:textId="08A25BFA" w:rsidR="00490255" w:rsidRDefault="00490255" w:rsidP="00490255">
      <w:pPr>
        <w:spacing w:after="240"/>
        <w:jc w:val="both"/>
      </w:pPr>
      <w:r w:rsidRPr="00424E35">
        <w:rPr>
          <w:b/>
        </w:rPr>
        <w:t>Vybrané nedaňové príjmy vplývajú tiež negatívne na deficit v porovnaní so schváleným rozpočtom o 0,1 % HDP</w:t>
      </w:r>
      <w:r>
        <w:rPr>
          <w:rStyle w:val="Odkaznapoznmkupodiarou"/>
          <w:b/>
        </w:rPr>
        <w:footnoteReference w:id="24"/>
      </w:r>
      <w:r>
        <w:t>. Pokles spôsobujú najmä nižšie dividendy Stredoslovenských a Východoslovenských elektrární na základe nepriaznivej situácií na trhu s komoditami a v regulačnom prostredí. Tržby NDS z predaja diaľničných známok sa očakávajú tiež nižšie z dôvodu pomalšieho návr</w:t>
      </w:r>
      <w:r w:rsidR="007530CB">
        <w:t>a</w:t>
      </w:r>
      <w:r>
        <w:t>tu k predkrízovej mobilite</w:t>
      </w:r>
      <w:r w:rsidR="007530CB">
        <w:t xml:space="preserve"> cestujúcich</w:t>
      </w:r>
      <w:r>
        <w:t>, ako boli pôvodne očakávania. Príjmy Environmentálneho fondu z emisných povoleniek sa očakávajú taktiež</w:t>
      </w:r>
      <w:r w:rsidR="007530CB">
        <w:t xml:space="preserve"> mierne</w:t>
      </w:r>
      <w:r>
        <w:t xml:space="preserve"> nižšie</w:t>
      </w:r>
      <w:r w:rsidR="007530CB">
        <w:t xml:space="preserve">, pričom </w:t>
      </w:r>
      <w:r>
        <w:t>výraznejší vplyv nárastu cien povoleniek sa prejaví až v nasledujúcich rokoch. Mierne nižšie príjmy z hazardných hier vyplývajúcich z </w:t>
      </w:r>
      <w:r w:rsidRPr="00E456F5">
        <w:t xml:space="preserve">poklesu </w:t>
      </w:r>
      <w:r>
        <w:t>počtu terminálov videohier a mierne horšej makroekonomického prostredia tiež pôsobia na deficit negatívne.</w:t>
      </w:r>
    </w:p>
    <w:p w14:paraId="35FDB215" w14:textId="77777777" w:rsidR="00490255" w:rsidRPr="00935126" w:rsidRDefault="00490255" w:rsidP="00490255">
      <w:pPr>
        <w:spacing w:after="240"/>
        <w:jc w:val="both"/>
        <w:rPr>
          <w:bCs/>
        </w:rPr>
      </w:pPr>
      <w:r>
        <w:rPr>
          <w:b/>
          <w:bCs/>
        </w:rPr>
        <w:t xml:space="preserve">Založenie strategického priemyselného parku Valaliky navyšuje deficit oproti predpokladom rozpočtu o 0,1 % HDP. </w:t>
      </w:r>
      <w:r>
        <w:rPr>
          <w:bCs/>
        </w:rPr>
        <w:t>Vláda rozhodla o založení spoločnosti Valaliky Industrial Park, s.r.o. v blízkosti Košíc. Jej vlastníkom je Ministerstvo hospodárstva SR.</w:t>
      </w:r>
      <w:r>
        <w:rPr>
          <w:b/>
          <w:bCs/>
        </w:rPr>
        <w:t xml:space="preserve"> </w:t>
      </w:r>
      <w:r w:rsidRPr="00EF2454">
        <w:rPr>
          <w:bCs/>
        </w:rPr>
        <w:t>V</w:t>
      </w:r>
      <w:r>
        <w:rPr>
          <w:bCs/>
        </w:rPr>
        <w:t xml:space="preserve">ýdavky sú určené </w:t>
      </w:r>
      <w:r w:rsidRPr="00EF2454">
        <w:rPr>
          <w:bCs/>
        </w:rPr>
        <w:t>na </w:t>
      </w:r>
      <w:r>
        <w:rPr>
          <w:bCs/>
        </w:rPr>
        <w:t xml:space="preserve">výkup </w:t>
      </w:r>
      <w:r w:rsidRPr="00EF2454">
        <w:rPr>
          <w:bCs/>
        </w:rPr>
        <w:t>pozemkov pod parkom, budovanie infraštruktúr</w:t>
      </w:r>
      <w:r>
        <w:rPr>
          <w:bCs/>
        </w:rPr>
        <w:t>y</w:t>
      </w:r>
      <w:r w:rsidRPr="00EF2454">
        <w:rPr>
          <w:bCs/>
        </w:rPr>
        <w:t xml:space="preserve"> a</w:t>
      </w:r>
      <w:r>
        <w:rPr>
          <w:bCs/>
        </w:rPr>
        <w:t> </w:t>
      </w:r>
      <w:r w:rsidRPr="00EF2454">
        <w:rPr>
          <w:bCs/>
        </w:rPr>
        <w:t>ostatn</w:t>
      </w:r>
      <w:r>
        <w:rPr>
          <w:bCs/>
        </w:rPr>
        <w:t>é</w:t>
      </w:r>
      <w:r w:rsidRPr="00EF2454">
        <w:rPr>
          <w:bCs/>
        </w:rPr>
        <w:t xml:space="preserve"> </w:t>
      </w:r>
      <w:r>
        <w:rPr>
          <w:bCs/>
        </w:rPr>
        <w:t>výdavky spojené</w:t>
      </w:r>
      <w:r w:rsidRPr="00EF2454">
        <w:rPr>
          <w:bCs/>
        </w:rPr>
        <w:t>so zabezpečením projektu.</w:t>
      </w:r>
    </w:p>
    <w:p w14:paraId="60A5A7F8" w14:textId="77777777" w:rsidR="00490255" w:rsidRPr="009A1403" w:rsidRDefault="00490255" w:rsidP="00490255">
      <w:pPr>
        <w:spacing w:after="240"/>
        <w:jc w:val="both"/>
        <w:rPr>
          <w:bCs/>
        </w:rPr>
      </w:pPr>
      <w:r>
        <w:rPr>
          <w:b/>
          <w:bCs/>
        </w:rPr>
        <w:t xml:space="preserve">Výdavky obcí navyšujú deficit oproti predpokladom rozpočtu o 0,1 % HDP. </w:t>
      </w:r>
      <w:r>
        <w:rPr>
          <w:bCs/>
        </w:rPr>
        <w:t xml:space="preserve">Aktuálny vyšší odhad vychádza zo skutočných výdavkoch roka 2021. Tie boli vyššie ako sa predpokladalo pri zostavovaní rozpočtu. </w:t>
      </w:r>
    </w:p>
    <w:p w14:paraId="4E29B4DA" w14:textId="77777777" w:rsidR="00490255" w:rsidRDefault="00490255" w:rsidP="00490255">
      <w:pPr>
        <w:spacing w:after="240"/>
        <w:jc w:val="both"/>
        <w:rPr>
          <w:bCs/>
        </w:rPr>
      </w:pPr>
      <w:r>
        <w:rPr>
          <w:b/>
          <w:bCs/>
        </w:rPr>
        <w:t xml:space="preserve">Ostatné výdavky zvyšujú deficit oproti predpokladom rozpočtu o ďalších 0,1 % HDP. </w:t>
      </w:r>
      <w:r>
        <w:rPr>
          <w:bCs/>
        </w:rPr>
        <w:t xml:space="preserve">Ministerstvu školstva vedy a výskumu sa navyšujú výdavky najmä kvôli vyšším cenám elektrickej energie, a vyššiemu počtu žiakov v regionálnom školstve. </w:t>
      </w:r>
      <w:r w:rsidRPr="00E41E6C">
        <w:rPr>
          <w:bCs/>
        </w:rPr>
        <w:t>Výdavky Sociálnej poisťovne sú oproti rozpočtu</w:t>
      </w:r>
      <w:r>
        <w:rPr>
          <w:bCs/>
        </w:rPr>
        <w:t xml:space="preserve"> tiež</w:t>
      </w:r>
      <w:r w:rsidRPr="00E41E6C">
        <w:rPr>
          <w:bCs/>
        </w:rPr>
        <w:t xml:space="preserve"> mierne vyššie</w:t>
      </w:r>
      <w:r>
        <w:rPr>
          <w:bCs/>
        </w:rPr>
        <w:t>, spôsobené</w:t>
      </w:r>
      <w:r w:rsidRPr="00A7463C">
        <w:rPr>
          <w:bCs/>
        </w:rPr>
        <w:t xml:space="preserve"> najmä</w:t>
      </w:r>
      <w:r>
        <w:rPr>
          <w:bCs/>
        </w:rPr>
        <w:t xml:space="preserve"> miernym navýšením</w:t>
      </w:r>
      <w:r w:rsidRPr="00A7463C">
        <w:rPr>
          <w:bCs/>
        </w:rPr>
        <w:t xml:space="preserve"> výdavk</w:t>
      </w:r>
      <w:r>
        <w:rPr>
          <w:bCs/>
        </w:rPr>
        <w:t>ov</w:t>
      </w:r>
      <w:r w:rsidRPr="00A7463C">
        <w:rPr>
          <w:bCs/>
        </w:rPr>
        <w:t xml:space="preserve"> na dôchodky</w:t>
      </w:r>
      <w:r>
        <w:rPr>
          <w:rStyle w:val="Odkaznapoznmkupodiarou"/>
          <w:bCs/>
        </w:rPr>
        <w:footnoteReference w:id="25"/>
      </w:r>
      <w:r w:rsidRPr="00A7463C">
        <w:rPr>
          <w:bCs/>
        </w:rPr>
        <w:t>.</w:t>
      </w:r>
      <w:r>
        <w:rPr>
          <w:bCs/>
        </w:rPr>
        <w:t xml:space="preserve"> Očakávaný deficit zahŕňa aj časť výdavkov spojených s prílivom utečencov z Ukrajiny. Ide o vojenskú a humanitárnu pomoc poskytnutú hneď po vypuknutí konfliktu.</w:t>
      </w:r>
    </w:p>
    <w:p w14:paraId="310BEE48" w14:textId="77777777" w:rsidR="00490255" w:rsidRPr="000C50FD" w:rsidRDefault="00490255" w:rsidP="00490255">
      <w:pPr>
        <w:spacing w:after="120"/>
        <w:jc w:val="both"/>
        <w:rPr>
          <w:b/>
          <w:color w:val="2C9ADC" w:themeColor="accent1"/>
        </w:rPr>
      </w:pPr>
      <w:r>
        <w:rPr>
          <w:b/>
          <w:color w:val="2C9ADC" w:themeColor="accent1"/>
        </w:rPr>
        <w:t>R</w:t>
      </w:r>
      <w:r w:rsidRPr="000C50FD">
        <w:rPr>
          <w:b/>
          <w:color w:val="2C9ADC" w:themeColor="accent1"/>
        </w:rPr>
        <w:t xml:space="preserve">iziká </w:t>
      </w:r>
      <w:r>
        <w:rPr>
          <w:b/>
          <w:color w:val="2C9ADC" w:themeColor="accent1"/>
        </w:rPr>
        <w:t>nezahrnuté v základnom odhade deficitu</w:t>
      </w:r>
    </w:p>
    <w:p w14:paraId="31C106E4" w14:textId="72ED20AE" w:rsidR="00490255" w:rsidRPr="000473C9" w:rsidRDefault="00490255" w:rsidP="00490255">
      <w:pPr>
        <w:spacing w:after="240"/>
        <w:jc w:val="both"/>
        <w:rPr>
          <w:rFonts w:ascii="Calibri" w:hAnsi="Calibri" w:cs="Times New Roman"/>
          <w:b/>
          <w:bCs/>
          <w:highlight w:val="yellow"/>
        </w:rPr>
      </w:pPr>
      <w:r w:rsidRPr="000C50FD">
        <w:rPr>
          <w:b/>
        </w:rPr>
        <w:t xml:space="preserve">Zvýšená neistota ohľadne vývoja ekonomiky sa prejavuje vo vyššej volatilite pri odhadoch nominálneho deficitu. </w:t>
      </w:r>
      <w:r>
        <w:t>Vojna na Ukrajine a ňou vyvolaná utečenecká vlnu môže verejné výdavky zasiahnuť do výšky 0,4 % HDP. Základný odhad deficitu uvažuje s ich preplatením z EÚ zdrojov, no tento predpoklad zatiaľ nie je definitívne potvrdený. Preto sú tieto výda</w:t>
      </w:r>
      <w:r w:rsidR="00AA6589">
        <w:t xml:space="preserve">vky negatívnym rizikom rozpočtu (podrobnejšie </w:t>
      </w:r>
      <w:r w:rsidR="00AA6589" w:rsidRPr="006F116F">
        <w:rPr>
          <w:b/>
          <w:color w:val="2C9ADC" w:themeColor="accent1"/>
        </w:rPr>
        <w:t>BOX</w:t>
      </w:r>
      <w:r w:rsidR="00AA6589">
        <w:rPr>
          <w:b/>
          <w:color w:val="2C9ADC" w:themeColor="accent1"/>
        </w:rPr>
        <w:t xml:space="preserve"> 4</w:t>
      </w:r>
      <w:r>
        <w:t xml:space="preserve">). Negatívnym vplyvom na daňové príjmy môže byť aj naplnenie rizikového scenára z makroekonomickej prognózy, kedy by došlo k zastaveniu exportov do Ruska spolu s vážnejšími výpadkami v dodávateľských reťazcoch (pozri podkapitolu 1.4).   Naopak k </w:t>
      </w:r>
      <w:r w:rsidRPr="000473C9">
        <w:t xml:space="preserve"> </w:t>
      </w:r>
      <w:r>
        <w:t xml:space="preserve">pozitívnejšiemu </w:t>
      </w:r>
      <w:r w:rsidRPr="000473C9">
        <w:t>vývoj</w:t>
      </w:r>
      <w:r>
        <w:t>u</w:t>
      </w:r>
      <w:r w:rsidRPr="000473C9">
        <w:t xml:space="preserve"> </w:t>
      </w:r>
      <w:r>
        <w:t>by došlo pri  rýchlejšom riešení vojenského konfliktu.</w:t>
      </w:r>
      <w:r w:rsidRPr="000473C9">
        <w:t xml:space="preserve"> Časť rizík môže byť zmiernená </w:t>
      </w:r>
      <w:r>
        <w:t xml:space="preserve">aj nevyužitím </w:t>
      </w:r>
      <w:r w:rsidR="001D45E8">
        <w:t xml:space="preserve">zatiaľ nealokovaných </w:t>
      </w:r>
      <w:r>
        <w:t>v</w:t>
      </w:r>
      <w:r w:rsidRPr="000473C9">
        <w:t>ýdavkov</w:t>
      </w:r>
      <w:r w:rsidR="001D45E8">
        <w:t xml:space="preserve"> určených na ekonomické priority v objeme </w:t>
      </w:r>
      <w:r w:rsidRPr="000473C9">
        <w:t xml:space="preserve"> pol</w:t>
      </w:r>
      <w:r w:rsidR="001D45E8">
        <w:t xml:space="preserve"> miliardy</w:t>
      </w:r>
      <w:r w:rsidRPr="000473C9">
        <w:t>.</w:t>
      </w:r>
      <w:r>
        <w:t xml:space="preserve"> </w:t>
      </w:r>
      <w:r w:rsidR="001D45E8">
        <w:t>Tieto nealokované prostriedky určené na ekonomické priority sú viazané</w:t>
      </w:r>
      <w:r>
        <w:t xml:space="preserve"> na dohodnuté tri ústavné reformy, ktoré sa majú prerokovať na júnovej schôdzi parlamentu. Avšak v</w:t>
      </w:r>
      <w:r w:rsidRPr="000473C9">
        <w:t xml:space="preserve"> prípade, že </w:t>
      </w:r>
      <w:r>
        <w:t xml:space="preserve">sa určené </w:t>
      </w:r>
      <w:r w:rsidRPr="000473C9">
        <w:t xml:space="preserve">ústavné reformy  neschvália, </w:t>
      </w:r>
      <w:r w:rsidR="001D45E8">
        <w:t xml:space="preserve">tieto </w:t>
      </w:r>
      <w:r w:rsidRPr="000473C9">
        <w:t xml:space="preserve">výdavky sa </w:t>
      </w:r>
      <w:r w:rsidR="0078069E">
        <w:t>môžu</w:t>
      </w:r>
      <w:r w:rsidRPr="000473C9">
        <w:t xml:space="preserve"> následne</w:t>
      </w:r>
      <w:r>
        <w:t xml:space="preserve"> proporčne</w:t>
      </w:r>
      <w:r>
        <w:rPr>
          <w:rStyle w:val="Odkaznapoznmkupodiarou"/>
        </w:rPr>
        <w:footnoteReference w:id="26"/>
      </w:r>
      <w:r w:rsidRPr="000473C9">
        <w:t xml:space="preserve"> krátiť.</w:t>
      </w:r>
    </w:p>
    <w:tbl>
      <w:tblPr>
        <w:tblW w:w="9075" w:type="dxa"/>
        <w:jc w:val="center"/>
        <w:shd w:val="clear" w:color="auto" w:fill="AAD3F2"/>
        <w:tblLayout w:type="fixed"/>
        <w:tblCellMar>
          <w:left w:w="70" w:type="dxa"/>
          <w:right w:w="70" w:type="dxa"/>
        </w:tblCellMar>
        <w:tblLook w:val="01E0" w:firstRow="1" w:lastRow="1" w:firstColumn="1" w:lastColumn="1" w:noHBand="0" w:noVBand="0"/>
      </w:tblPr>
      <w:tblGrid>
        <w:gridCol w:w="9075"/>
      </w:tblGrid>
      <w:tr w:rsidR="00490255" w:rsidRPr="00BF3A4E" w14:paraId="1AFC7EE0" w14:textId="77777777" w:rsidTr="000E4D54">
        <w:trPr>
          <w:trHeight w:val="576"/>
          <w:jc w:val="center"/>
        </w:trPr>
        <w:tc>
          <w:tcPr>
            <w:tcW w:w="9075" w:type="dxa"/>
            <w:shd w:val="clear" w:color="auto" w:fill="AAD3F2"/>
          </w:tcPr>
          <w:p w14:paraId="55321E49" w14:textId="32C3C090" w:rsidR="00490255" w:rsidRPr="00653D8B" w:rsidRDefault="00490255" w:rsidP="000E4D54">
            <w:pPr>
              <w:spacing w:after="120"/>
              <w:jc w:val="both"/>
              <w:rPr>
                <w:b/>
                <w:color w:val="2C9ADC" w:themeColor="accent1"/>
              </w:rPr>
            </w:pPr>
            <w:bookmarkStart w:id="96" w:name="_Toc101880475"/>
            <w:r w:rsidRPr="00653D8B">
              <w:rPr>
                <w:b/>
                <w:color w:val="2C9ADC" w:themeColor="accent1"/>
              </w:rPr>
              <w:t xml:space="preserve">BOX </w:t>
            </w:r>
            <w:r w:rsidR="00653D8B" w:rsidRPr="00653D8B">
              <w:rPr>
                <w:b/>
                <w:color w:val="2C9ADC" w:themeColor="accent1"/>
              </w:rPr>
              <w:fldChar w:fldCharType="begin"/>
            </w:r>
            <w:r w:rsidR="00653D8B" w:rsidRPr="00653D8B">
              <w:rPr>
                <w:b/>
                <w:color w:val="2C9ADC" w:themeColor="accent1"/>
              </w:rPr>
              <w:instrText xml:space="preserve"> SEQ BOX \* ARABIC </w:instrText>
            </w:r>
            <w:r w:rsidR="00653D8B" w:rsidRPr="00653D8B">
              <w:rPr>
                <w:b/>
                <w:color w:val="2C9ADC" w:themeColor="accent1"/>
              </w:rPr>
              <w:fldChar w:fldCharType="separate"/>
            </w:r>
            <w:r w:rsidR="005D3280">
              <w:rPr>
                <w:b/>
                <w:noProof/>
                <w:color w:val="2C9ADC" w:themeColor="accent1"/>
              </w:rPr>
              <w:t>4</w:t>
            </w:r>
            <w:r w:rsidR="00653D8B" w:rsidRPr="00653D8B">
              <w:rPr>
                <w:b/>
                <w:color w:val="2C9ADC" w:themeColor="accent1"/>
              </w:rPr>
              <w:fldChar w:fldCharType="end"/>
            </w:r>
            <w:r w:rsidRPr="00653D8B">
              <w:rPr>
                <w:b/>
                <w:color w:val="2C9ADC" w:themeColor="accent1"/>
              </w:rPr>
              <w:t xml:space="preserve"> – Výdavky vyvolané prílevom utečencov z Ukrajiny</w:t>
            </w:r>
            <w:bookmarkEnd w:id="96"/>
          </w:p>
          <w:p w14:paraId="7EC0BEF7" w14:textId="0769FEC2" w:rsidR="00490255" w:rsidRPr="00653366" w:rsidRDefault="00490255" w:rsidP="000E4D54">
            <w:pPr>
              <w:pStyle w:val="Obyajntext"/>
              <w:spacing w:after="120"/>
              <w:jc w:val="both"/>
            </w:pPr>
            <w:r>
              <w:rPr>
                <w:b/>
              </w:rPr>
              <w:t>N</w:t>
            </w:r>
            <w:r w:rsidRPr="00CD5B97">
              <w:rPr>
                <w:b/>
              </w:rPr>
              <w:t>áklady spojené s utečeneckou krízou sp</w:t>
            </w:r>
            <w:r>
              <w:rPr>
                <w:b/>
              </w:rPr>
              <w:t>ôsobenou vojnou na Ukrajine môžu</w:t>
            </w:r>
            <w:r w:rsidRPr="00CD5B97">
              <w:rPr>
                <w:b/>
              </w:rPr>
              <w:t xml:space="preserve"> v tomto roku</w:t>
            </w:r>
            <w:r w:rsidRPr="00653366">
              <w:rPr>
                <w:b/>
              </w:rPr>
              <w:t xml:space="preserve"> </w:t>
            </w:r>
            <w:r>
              <w:rPr>
                <w:b/>
              </w:rPr>
              <w:t xml:space="preserve">dosiahnuť </w:t>
            </w:r>
            <w:r w:rsidRPr="00653366">
              <w:rPr>
                <w:b/>
              </w:rPr>
              <w:t>0,4</w:t>
            </w:r>
            <w:r>
              <w:rPr>
                <w:b/>
              </w:rPr>
              <w:t> </w:t>
            </w:r>
            <w:r w:rsidRPr="00653366">
              <w:rPr>
                <w:b/>
              </w:rPr>
              <w:t>% HDP</w:t>
            </w:r>
            <w:r>
              <w:rPr>
                <w:b/>
              </w:rPr>
              <w:t xml:space="preserve"> nad rámec už vynaložených výdavkov</w:t>
            </w:r>
            <w:r w:rsidRPr="00653366">
              <w:t>. Kvantifikácia zahŕňa najmä</w:t>
            </w:r>
            <w:r w:rsidRPr="00CD5B97">
              <w:t xml:space="preserve"> výdavky</w:t>
            </w:r>
            <w:r w:rsidRPr="00653366">
              <w:t xml:space="preserve"> vyplývajúce z</w:t>
            </w:r>
            <w:r>
              <w:t> tzv.</w:t>
            </w:r>
            <w:r w:rsidRPr="00653366">
              <w:t> Lex Ukrajina a</w:t>
            </w:r>
            <w:r w:rsidR="006F116F">
              <w:t xml:space="preserve"> priamych</w:t>
            </w:r>
            <w:r w:rsidRPr="00653366">
              <w:t> nákladov spojených s bezprostredným kontaktom s utečencami.</w:t>
            </w:r>
            <w:r>
              <w:t xml:space="preserve"> Časť z týchto výdavkov bude pravdepodobne prefinancovaná z EÚ fondov.</w:t>
            </w:r>
            <w:r w:rsidRPr="00653366">
              <w:t xml:space="preserve"> </w:t>
            </w:r>
            <w:r w:rsidRPr="00CD5B97">
              <w:t xml:space="preserve">Odhad </w:t>
            </w:r>
            <w:r w:rsidRPr="00653366">
              <w:t>nezahŕňa náklady spojené s vojenskou a humanitárnou pomocou zaslanou priamo na Ukrajinu</w:t>
            </w:r>
            <w:r>
              <w:rPr>
                <w:rStyle w:val="Odkaznapoznmkupodiarou"/>
              </w:rPr>
              <w:footnoteReference w:id="27"/>
            </w:r>
            <w:r w:rsidRPr="00653366">
              <w:t>. Taktiež nezahŕňa náklady spojené so začleňov</w:t>
            </w:r>
            <w:r w:rsidRPr="00CD5B97">
              <w:t xml:space="preserve">aním Ukrajincov do spoločnosti </w:t>
            </w:r>
            <w:r>
              <w:t>–</w:t>
            </w:r>
            <w:r w:rsidRPr="00CD5B97">
              <w:t xml:space="preserve"> jazykové </w:t>
            </w:r>
            <w:r>
              <w:t>a</w:t>
            </w:r>
            <w:r w:rsidRPr="00CD5B97">
              <w:t xml:space="preserve"> rekvalifikačné kurzy</w:t>
            </w:r>
            <w:r>
              <w:rPr>
                <w:rStyle w:val="Odkaznapoznmkupodiarou"/>
              </w:rPr>
              <w:footnoteReference w:id="28"/>
            </w:r>
            <w:r w:rsidRPr="00653366">
              <w:t xml:space="preserve">. </w:t>
            </w:r>
          </w:p>
          <w:p w14:paraId="436B11E0" w14:textId="6F969166" w:rsidR="00490255" w:rsidRDefault="00490255" w:rsidP="000E4D54">
            <w:pPr>
              <w:pStyle w:val="Obyajntext"/>
              <w:spacing w:after="120"/>
              <w:jc w:val="both"/>
            </w:pPr>
            <w:r>
              <w:rPr>
                <w:b/>
              </w:rPr>
              <w:t>V</w:t>
            </w:r>
            <w:r w:rsidRPr="00653366">
              <w:rPr>
                <w:b/>
              </w:rPr>
              <w:t>äčšina výdavkov bude spojená s ľuďmi, ktorí na Slovensku požiadajú o dočasné útočisko</w:t>
            </w:r>
            <w:r>
              <w:rPr>
                <w:b/>
              </w:rPr>
              <w:t xml:space="preserve"> (približne 90 %)</w:t>
            </w:r>
            <w:r w:rsidRPr="00653366">
              <w:rPr>
                <w:b/>
              </w:rPr>
              <w:t>.</w:t>
            </w:r>
            <w:r w:rsidRPr="00653366">
              <w:t xml:space="preserve"> Väčšina opatrení</w:t>
            </w:r>
            <w:r>
              <w:t xml:space="preserve"> z Lex Ukrajina</w:t>
            </w:r>
            <w:r w:rsidRPr="00CD5B97">
              <w:t>, ktorý vytvára</w:t>
            </w:r>
            <w:r w:rsidRPr="00653366">
              <w:t xml:space="preserve"> </w:t>
            </w:r>
            <w:r w:rsidRPr="00991EA0">
              <w:t>utečencom zabezpečenie ich základných životných potrieb</w:t>
            </w:r>
            <w:r w:rsidRPr="00CD5B97">
              <w:t xml:space="preserve"> </w:t>
            </w:r>
            <w:r w:rsidRPr="00653366">
              <w:t>sa spája so statusom dočasného útočiska.</w:t>
            </w:r>
            <w:r>
              <w:t xml:space="preserve"> Očakávame, že do konca tohto roka požiada na Slovensku o dočasné útočisko 106 tisíc ľudí z Ukrajiny.</w:t>
            </w:r>
            <w:r w:rsidRPr="00653366">
              <w:t xml:space="preserve"> Na základe prijatej legislatívy</w:t>
            </w:r>
            <w:r w:rsidRPr="00CD5B97">
              <w:t xml:space="preserve"> </w:t>
            </w:r>
            <w:r w:rsidR="006F116F">
              <w:t>utečencom</w:t>
            </w:r>
            <w:r w:rsidRPr="00653366">
              <w:t xml:space="preserve"> vyplýva nárok predovšetkým na: neodkladnú zdravotnú starostlivosť, príspevok na ubytovanie, dávky v hmotnej núdzi (deťom aj príplatky na stravu), či možnosť navštevovať školské zariadenie</w:t>
            </w:r>
            <w:r>
              <w:t>.</w:t>
            </w:r>
          </w:p>
          <w:tbl>
            <w:tblPr>
              <w:tblW w:w="4911"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161"/>
              <w:gridCol w:w="236"/>
              <w:gridCol w:w="4379"/>
            </w:tblGrid>
            <w:tr w:rsidR="00490255" w:rsidRPr="004F7210" w14:paraId="32E02DAC" w14:textId="77777777" w:rsidTr="000E4D54">
              <w:trPr>
                <w:trHeight w:val="2909"/>
                <w:jc w:val="center"/>
              </w:trPr>
              <w:tc>
                <w:tcPr>
                  <w:tcW w:w="4161" w:type="dxa"/>
                  <w:tcBorders>
                    <w:top w:val="nil"/>
                    <w:left w:val="nil"/>
                    <w:bottom w:val="single" w:sz="4" w:space="0" w:color="auto"/>
                    <w:right w:val="nil"/>
                  </w:tcBorders>
                  <w:vAlign w:val="center"/>
                </w:tcPr>
                <w:p w14:paraId="7D9999DC" w14:textId="61CC66D9" w:rsidR="00490255" w:rsidRPr="004F7210" w:rsidRDefault="00490255" w:rsidP="000E4D54">
                  <w:pPr>
                    <w:pStyle w:val="Nadpis3"/>
                    <w:pBdr>
                      <w:bottom w:val="single" w:sz="4" w:space="1" w:color="auto"/>
                    </w:pBdr>
                    <w:jc w:val="both"/>
                    <w:rPr>
                      <w:rFonts w:eastAsiaTheme="minorHAnsi"/>
                      <w:color w:val="2C9ADC"/>
                      <w:lang w:eastAsia="en-US"/>
                    </w:rPr>
                  </w:pPr>
                  <w:bookmarkStart w:id="97" w:name="_Toc101881942"/>
                  <w:r w:rsidRPr="004F7210">
                    <w:rPr>
                      <w:rFonts w:eastAsiaTheme="minorHAnsi"/>
                      <w:color w:val="2C9ADC"/>
                      <w:szCs w:val="20"/>
                      <w:lang w:eastAsia="en-US"/>
                    </w:rPr>
                    <w:t xml:space="preserve">GRAF </w:t>
                  </w:r>
                  <w:r w:rsidRPr="004F7210">
                    <w:rPr>
                      <w:rFonts w:eastAsiaTheme="minorHAnsi"/>
                      <w:color w:val="2C9ADC"/>
                      <w:szCs w:val="20"/>
                      <w:lang w:eastAsia="en-US"/>
                    </w:rPr>
                    <w:fldChar w:fldCharType="begin"/>
                  </w:r>
                  <w:r w:rsidRPr="004F7210">
                    <w:rPr>
                      <w:rFonts w:eastAsiaTheme="minorHAnsi"/>
                      <w:color w:val="2C9ADC"/>
                      <w:szCs w:val="20"/>
                      <w:lang w:eastAsia="en-US"/>
                    </w:rPr>
                    <w:instrText xml:space="preserve"> SEQ GRAF \* ARABIC </w:instrText>
                  </w:r>
                  <w:r w:rsidRPr="004F7210">
                    <w:rPr>
                      <w:rFonts w:eastAsiaTheme="minorHAnsi"/>
                      <w:color w:val="2C9ADC"/>
                      <w:szCs w:val="20"/>
                      <w:lang w:eastAsia="en-US"/>
                    </w:rPr>
                    <w:fldChar w:fldCharType="separate"/>
                  </w:r>
                  <w:r w:rsidR="005D3280">
                    <w:rPr>
                      <w:rFonts w:eastAsiaTheme="minorHAnsi"/>
                      <w:noProof/>
                      <w:color w:val="2C9ADC"/>
                      <w:szCs w:val="20"/>
                      <w:lang w:eastAsia="en-US"/>
                    </w:rPr>
                    <w:t>18</w:t>
                  </w:r>
                  <w:r w:rsidRPr="004F7210">
                    <w:rPr>
                      <w:rFonts w:eastAsiaTheme="minorHAnsi"/>
                      <w:color w:val="2C9ADC"/>
                      <w:szCs w:val="20"/>
                      <w:lang w:eastAsia="en-US"/>
                    </w:rPr>
                    <w:fldChar w:fldCharType="end"/>
                  </w:r>
                  <w:r w:rsidRPr="004F7210">
                    <w:rPr>
                      <w:rFonts w:eastAsiaTheme="minorHAnsi"/>
                      <w:color w:val="2C9ADC"/>
                      <w:szCs w:val="20"/>
                      <w:lang w:eastAsia="en-US"/>
                    </w:rPr>
                    <w:t xml:space="preserve"> </w:t>
                  </w:r>
                  <w:r w:rsidRPr="004F7210">
                    <w:rPr>
                      <w:rFonts w:eastAsiaTheme="minorHAnsi"/>
                      <w:color w:val="2C9ADC"/>
                      <w:lang w:eastAsia="en-US"/>
                    </w:rPr>
                    <w:t>– Pr</w:t>
                  </w:r>
                  <w:r>
                    <w:rPr>
                      <w:rFonts w:eastAsiaTheme="minorHAnsi"/>
                      <w:color w:val="2C9ADC"/>
                      <w:lang w:eastAsia="en-US"/>
                    </w:rPr>
                    <w:t>ognóza počtu žiadateľov o dočasné útočisko v tisícoch</w:t>
                  </w:r>
                  <w:bookmarkEnd w:id="97"/>
                </w:p>
                <w:p w14:paraId="08B084D0" w14:textId="77777777" w:rsidR="00490255" w:rsidRPr="004F7210" w:rsidRDefault="00490255" w:rsidP="000E4D54">
                  <w:pPr>
                    <w:spacing w:before="40" w:after="40"/>
                    <w:jc w:val="center"/>
                    <w:rPr>
                      <w:rFonts w:cs="Arial"/>
                      <w:b/>
                      <w:sz w:val="20"/>
                      <w:szCs w:val="20"/>
                    </w:rPr>
                  </w:pPr>
                  <w:r>
                    <w:rPr>
                      <w:noProof/>
                    </w:rPr>
                    <w:drawing>
                      <wp:inline distT="0" distB="0" distL="0" distR="0" wp14:anchorId="0059633A" wp14:editId="16255904">
                        <wp:extent cx="2553335" cy="1689100"/>
                        <wp:effectExtent l="0" t="0" r="0" b="0"/>
                        <wp:docPr id="302" name="Graf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236" w:type="dxa"/>
                  <w:tcBorders>
                    <w:top w:val="nil"/>
                    <w:left w:val="nil"/>
                    <w:bottom w:val="nil"/>
                    <w:right w:val="nil"/>
                  </w:tcBorders>
                  <w:vAlign w:val="center"/>
                </w:tcPr>
                <w:p w14:paraId="76E3C4A6" w14:textId="77777777" w:rsidR="00490255" w:rsidRPr="004F7210" w:rsidRDefault="00490255" w:rsidP="000E4D54">
                  <w:pPr>
                    <w:spacing w:before="40" w:after="40"/>
                    <w:jc w:val="center"/>
                    <w:rPr>
                      <w:rFonts w:cs="Arial"/>
                      <w:b/>
                      <w:sz w:val="20"/>
                      <w:szCs w:val="20"/>
                    </w:rPr>
                  </w:pPr>
                </w:p>
              </w:tc>
              <w:tc>
                <w:tcPr>
                  <w:tcW w:w="4379" w:type="dxa"/>
                  <w:tcBorders>
                    <w:top w:val="nil"/>
                    <w:left w:val="nil"/>
                    <w:bottom w:val="single" w:sz="4" w:space="0" w:color="auto"/>
                    <w:right w:val="nil"/>
                  </w:tcBorders>
                  <w:vAlign w:val="center"/>
                </w:tcPr>
                <w:p w14:paraId="1AFC1123" w14:textId="3B8D674D" w:rsidR="00490255" w:rsidRPr="004F7210" w:rsidRDefault="00953AB3" w:rsidP="000E4D54">
                  <w:pPr>
                    <w:pStyle w:val="Nadpis3"/>
                    <w:pBdr>
                      <w:bottom w:val="single" w:sz="4" w:space="1" w:color="auto"/>
                    </w:pBdr>
                    <w:jc w:val="both"/>
                    <w:rPr>
                      <w:rFonts w:eastAsiaTheme="minorHAnsi"/>
                      <w:color w:val="2C9ADC"/>
                      <w:lang w:eastAsia="en-US"/>
                    </w:rPr>
                  </w:pPr>
                  <w:bookmarkStart w:id="98" w:name="_Toc101880687"/>
                  <w:r>
                    <w:rPr>
                      <w:rFonts w:eastAsiaTheme="minorHAnsi"/>
                      <w:color w:val="2C9ADC"/>
                      <w:szCs w:val="20"/>
                      <w:lang w:eastAsia="en-US"/>
                    </w:rPr>
                    <w:t>TABUĽKA</w:t>
                  </w:r>
                  <w:r w:rsidR="00490255" w:rsidRPr="004F7210">
                    <w:rPr>
                      <w:rFonts w:eastAsiaTheme="minorHAnsi"/>
                      <w:color w:val="2C9ADC"/>
                      <w:szCs w:val="20"/>
                      <w:lang w:eastAsia="en-US"/>
                    </w:rPr>
                    <w:t xml:space="preserve"> </w:t>
                  </w:r>
                  <w:r w:rsidR="00544E4E" w:rsidRPr="00A63575">
                    <w:rPr>
                      <w:rFonts w:eastAsiaTheme="minorHAnsi"/>
                      <w:color w:val="2C9ADC" w:themeColor="accent1"/>
                      <w:szCs w:val="20"/>
                      <w:lang w:eastAsia="en-US"/>
                    </w:rPr>
                    <w:fldChar w:fldCharType="begin"/>
                  </w:r>
                  <w:r w:rsidR="00544E4E" w:rsidRPr="00A63575">
                    <w:rPr>
                      <w:rFonts w:eastAsiaTheme="minorHAnsi"/>
                      <w:color w:val="2C9ADC" w:themeColor="accent1"/>
                      <w:szCs w:val="20"/>
                      <w:lang w:eastAsia="en-US"/>
                    </w:rPr>
                    <w:instrText xml:space="preserve"> SEQ TABUĽKA \* ARABIC </w:instrText>
                  </w:r>
                  <w:r w:rsidR="00544E4E" w:rsidRPr="00A63575">
                    <w:rPr>
                      <w:rFonts w:eastAsiaTheme="minorHAnsi"/>
                      <w:color w:val="2C9ADC" w:themeColor="accent1"/>
                      <w:szCs w:val="20"/>
                      <w:lang w:eastAsia="en-US"/>
                    </w:rPr>
                    <w:fldChar w:fldCharType="separate"/>
                  </w:r>
                  <w:r w:rsidR="005D3280">
                    <w:rPr>
                      <w:rFonts w:eastAsiaTheme="minorHAnsi"/>
                      <w:noProof/>
                      <w:color w:val="2C9ADC" w:themeColor="accent1"/>
                      <w:szCs w:val="20"/>
                      <w:lang w:eastAsia="en-US"/>
                    </w:rPr>
                    <w:t>8</w:t>
                  </w:r>
                  <w:r w:rsidR="00544E4E" w:rsidRPr="00A63575">
                    <w:rPr>
                      <w:rFonts w:eastAsiaTheme="minorHAnsi"/>
                      <w:color w:val="2C9ADC" w:themeColor="accent1"/>
                      <w:szCs w:val="20"/>
                      <w:lang w:eastAsia="en-US"/>
                    </w:rPr>
                    <w:fldChar w:fldCharType="end"/>
                  </w:r>
                  <w:r w:rsidR="00490255" w:rsidRPr="004F7210">
                    <w:rPr>
                      <w:rFonts w:eastAsiaTheme="minorHAnsi"/>
                      <w:color w:val="2C9ADC"/>
                      <w:szCs w:val="20"/>
                      <w:lang w:eastAsia="en-US"/>
                    </w:rPr>
                    <w:t xml:space="preserve"> </w:t>
                  </w:r>
                  <w:r w:rsidR="00490255" w:rsidRPr="004F7210">
                    <w:rPr>
                      <w:rFonts w:eastAsiaTheme="minorHAnsi"/>
                      <w:color w:val="2C9ADC"/>
                      <w:lang w:eastAsia="en-US"/>
                    </w:rPr>
                    <w:t xml:space="preserve">– </w:t>
                  </w:r>
                  <w:r w:rsidR="00490255">
                    <w:rPr>
                      <w:rFonts w:eastAsiaTheme="minorHAnsi"/>
                      <w:color w:val="2C9ADC"/>
                      <w:lang w:eastAsia="en-US"/>
                    </w:rPr>
                    <w:t>Odhadované výdavky v tomto roku vyvolané prílevom utečencov z Ukrajiny v mil. eur</w:t>
                  </w:r>
                  <w:bookmarkEnd w:id="98"/>
                </w:p>
                <w:tbl>
                  <w:tblPr>
                    <w:tblW w:w="4475" w:type="dxa"/>
                    <w:tblLayout w:type="fixed"/>
                    <w:tblCellMar>
                      <w:left w:w="70" w:type="dxa"/>
                      <w:right w:w="70" w:type="dxa"/>
                    </w:tblCellMar>
                    <w:tblLook w:val="04A0" w:firstRow="1" w:lastRow="0" w:firstColumn="1" w:lastColumn="0" w:noHBand="0" w:noVBand="1"/>
                  </w:tblPr>
                  <w:tblGrid>
                    <w:gridCol w:w="3686"/>
                    <w:gridCol w:w="789"/>
                  </w:tblGrid>
                  <w:tr w:rsidR="00490255" w:rsidRPr="00D339C1" w14:paraId="1467ECCD" w14:textId="77777777" w:rsidTr="000E4D54">
                    <w:trPr>
                      <w:trHeight w:val="296"/>
                    </w:trPr>
                    <w:tc>
                      <w:tcPr>
                        <w:tcW w:w="3686" w:type="dxa"/>
                        <w:tcBorders>
                          <w:top w:val="nil"/>
                          <w:left w:val="nil"/>
                          <w:bottom w:val="single" w:sz="4" w:space="0" w:color="auto"/>
                          <w:right w:val="nil"/>
                        </w:tcBorders>
                        <w:shd w:val="clear" w:color="auto" w:fill="auto"/>
                        <w:noWrap/>
                        <w:vAlign w:val="bottom"/>
                        <w:hideMark/>
                      </w:tcPr>
                      <w:p w14:paraId="532A36DE" w14:textId="77777777" w:rsidR="00490255" w:rsidRPr="00653366" w:rsidRDefault="00490255" w:rsidP="000E4D54">
                        <w:pPr>
                          <w:rPr>
                            <w:rFonts w:cs="Calibri"/>
                            <w:b/>
                            <w:bCs/>
                            <w:color w:val="000000"/>
                            <w:sz w:val="18"/>
                          </w:rPr>
                        </w:pPr>
                        <w:r w:rsidRPr="00653366">
                          <w:rPr>
                            <w:rFonts w:cs="Calibri"/>
                            <w:b/>
                            <w:bCs/>
                            <w:color w:val="000000"/>
                            <w:sz w:val="18"/>
                          </w:rPr>
                          <w:t>Oblasť výdavkov</w:t>
                        </w:r>
                      </w:p>
                    </w:tc>
                    <w:tc>
                      <w:tcPr>
                        <w:tcW w:w="789" w:type="dxa"/>
                        <w:tcBorders>
                          <w:top w:val="nil"/>
                          <w:left w:val="nil"/>
                          <w:bottom w:val="single" w:sz="4" w:space="0" w:color="auto"/>
                          <w:right w:val="nil"/>
                        </w:tcBorders>
                        <w:shd w:val="clear" w:color="auto" w:fill="auto"/>
                        <w:noWrap/>
                        <w:vAlign w:val="bottom"/>
                        <w:hideMark/>
                      </w:tcPr>
                      <w:p w14:paraId="1587C39C" w14:textId="77777777" w:rsidR="00490255" w:rsidRPr="00653366" w:rsidRDefault="00490255" w:rsidP="000E4D54">
                        <w:pPr>
                          <w:rPr>
                            <w:rFonts w:cs="Calibri"/>
                            <w:b/>
                            <w:bCs/>
                            <w:color w:val="000000"/>
                            <w:sz w:val="18"/>
                          </w:rPr>
                        </w:pPr>
                      </w:p>
                    </w:tc>
                  </w:tr>
                  <w:tr w:rsidR="00490255" w:rsidRPr="00D339C1" w14:paraId="4CCB67E1" w14:textId="77777777" w:rsidTr="00764130">
                    <w:trPr>
                      <w:trHeight w:val="340"/>
                    </w:trPr>
                    <w:tc>
                      <w:tcPr>
                        <w:tcW w:w="3686" w:type="dxa"/>
                        <w:tcBorders>
                          <w:top w:val="nil"/>
                          <w:left w:val="nil"/>
                          <w:bottom w:val="nil"/>
                          <w:right w:val="nil"/>
                        </w:tcBorders>
                        <w:shd w:val="clear" w:color="auto" w:fill="auto"/>
                        <w:noWrap/>
                        <w:vAlign w:val="bottom"/>
                        <w:hideMark/>
                      </w:tcPr>
                      <w:p w14:paraId="71F41FA1" w14:textId="77777777" w:rsidR="00490255" w:rsidRPr="00653366" w:rsidRDefault="00490255" w:rsidP="000E4D54">
                        <w:pPr>
                          <w:rPr>
                            <w:rFonts w:cs="Calibri"/>
                            <w:color w:val="000000"/>
                            <w:sz w:val="18"/>
                          </w:rPr>
                        </w:pPr>
                        <w:r w:rsidRPr="00653366">
                          <w:rPr>
                            <w:rFonts w:cs="Calibri"/>
                            <w:color w:val="000000"/>
                            <w:sz w:val="18"/>
                          </w:rPr>
                          <w:t>Zdravotná starostlivosť</w:t>
                        </w:r>
                      </w:p>
                    </w:tc>
                    <w:tc>
                      <w:tcPr>
                        <w:tcW w:w="789" w:type="dxa"/>
                        <w:tcBorders>
                          <w:top w:val="nil"/>
                          <w:left w:val="nil"/>
                          <w:bottom w:val="nil"/>
                          <w:right w:val="nil"/>
                        </w:tcBorders>
                        <w:shd w:val="clear" w:color="auto" w:fill="auto"/>
                        <w:noWrap/>
                        <w:vAlign w:val="bottom"/>
                        <w:hideMark/>
                      </w:tcPr>
                      <w:p w14:paraId="3D6E554E" w14:textId="77777777" w:rsidR="00490255" w:rsidRPr="003408CD" w:rsidRDefault="00490255" w:rsidP="000E4D54">
                        <w:pPr>
                          <w:jc w:val="center"/>
                          <w:rPr>
                            <w:rFonts w:cs="Calibri"/>
                            <w:color w:val="000000"/>
                            <w:sz w:val="20"/>
                          </w:rPr>
                        </w:pPr>
                        <w:r w:rsidRPr="003408CD">
                          <w:rPr>
                            <w:rFonts w:cs="Calibri"/>
                            <w:bCs/>
                            <w:color w:val="000000"/>
                            <w:sz w:val="20"/>
                          </w:rPr>
                          <w:t>89</w:t>
                        </w:r>
                      </w:p>
                    </w:tc>
                  </w:tr>
                  <w:tr w:rsidR="00490255" w:rsidRPr="00D339C1" w14:paraId="22DAB28F" w14:textId="77777777" w:rsidTr="00764130">
                    <w:trPr>
                      <w:trHeight w:val="340"/>
                    </w:trPr>
                    <w:tc>
                      <w:tcPr>
                        <w:tcW w:w="3686" w:type="dxa"/>
                        <w:tcBorders>
                          <w:top w:val="nil"/>
                          <w:left w:val="nil"/>
                          <w:bottom w:val="nil"/>
                          <w:right w:val="nil"/>
                        </w:tcBorders>
                        <w:shd w:val="clear" w:color="auto" w:fill="auto"/>
                        <w:noWrap/>
                        <w:vAlign w:val="bottom"/>
                        <w:hideMark/>
                      </w:tcPr>
                      <w:p w14:paraId="325CF4B6" w14:textId="77777777" w:rsidR="00490255" w:rsidRPr="00653366" w:rsidRDefault="00490255" w:rsidP="000E4D54">
                        <w:pPr>
                          <w:rPr>
                            <w:rFonts w:cs="Calibri"/>
                            <w:color w:val="000000"/>
                            <w:sz w:val="18"/>
                          </w:rPr>
                        </w:pPr>
                        <w:r w:rsidRPr="00653366">
                          <w:rPr>
                            <w:rFonts w:cs="Calibri"/>
                            <w:color w:val="000000"/>
                            <w:sz w:val="18"/>
                          </w:rPr>
                          <w:t>Príspevok na ubytovanie</w:t>
                        </w:r>
                      </w:p>
                    </w:tc>
                    <w:tc>
                      <w:tcPr>
                        <w:tcW w:w="789" w:type="dxa"/>
                        <w:tcBorders>
                          <w:top w:val="nil"/>
                          <w:left w:val="nil"/>
                          <w:bottom w:val="nil"/>
                          <w:right w:val="nil"/>
                        </w:tcBorders>
                        <w:shd w:val="clear" w:color="auto" w:fill="auto"/>
                        <w:noWrap/>
                        <w:vAlign w:val="bottom"/>
                        <w:hideMark/>
                      </w:tcPr>
                      <w:p w14:paraId="3324B905" w14:textId="77777777" w:rsidR="00490255" w:rsidRPr="003408CD" w:rsidRDefault="00490255" w:rsidP="000E4D54">
                        <w:pPr>
                          <w:jc w:val="center"/>
                          <w:rPr>
                            <w:rFonts w:cs="Calibri"/>
                            <w:color w:val="000000"/>
                            <w:sz w:val="20"/>
                          </w:rPr>
                        </w:pPr>
                        <w:r w:rsidRPr="003408CD">
                          <w:rPr>
                            <w:rFonts w:cs="Calibri"/>
                            <w:bCs/>
                            <w:color w:val="000000"/>
                            <w:sz w:val="20"/>
                          </w:rPr>
                          <w:t>132</w:t>
                        </w:r>
                      </w:p>
                    </w:tc>
                  </w:tr>
                  <w:tr w:rsidR="00490255" w:rsidRPr="00D339C1" w14:paraId="559508D8" w14:textId="77777777" w:rsidTr="00764130">
                    <w:trPr>
                      <w:trHeight w:val="340"/>
                    </w:trPr>
                    <w:tc>
                      <w:tcPr>
                        <w:tcW w:w="3686" w:type="dxa"/>
                        <w:tcBorders>
                          <w:top w:val="nil"/>
                          <w:left w:val="nil"/>
                          <w:bottom w:val="nil"/>
                          <w:right w:val="nil"/>
                        </w:tcBorders>
                        <w:shd w:val="clear" w:color="auto" w:fill="auto"/>
                        <w:noWrap/>
                        <w:vAlign w:val="bottom"/>
                        <w:hideMark/>
                      </w:tcPr>
                      <w:p w14:paraId="3B00E533" w14:textId="77777777" w:rsidR="00490255" w:rsidRPr="00653366" w:rsidRDefault="00490255" w:rsidP="000E4D54">
                        <w:pPr>
                          <w:rPr>
                            <w:rFonts w:cs="Calibri"/>
                            <w:color w:val="000000"/>
                            <w:sz w:val="18"/>
                          </w:rPr>
                        </w:pPr>
                        <w:r w:rsidRPr="00653366">
                          <w:rPr>
                            <w:rFonts w:cs="Calibri"/>
                            <w:color w:val="000000"/>
                            <w:sz w:val="18"/>
                          </w:rPr>
                          <w:t>Dávky v hmotnej núdzi</w:t>
                        </w:r>
                      </w:p>
                    </w:tc>
                    <w:tc>
                      <w:tcPr>
                        <w:tcW w:w="789" w:type="dxa"/>
                        <w:tcBorders>
                          <w:top w:val="nil"/>
                          <w:left w:val="nil"/>
                          <w:bottom w:val="nil"/>
                          <w:right w:val="nil"/>
                        </w:tcBorders>
                        <w:shd w:val="clear" w:color="auto" w:fill="auto"/>
                        <w:noWrap/>
                        <w:vAlign w:val="bottom"/>
                        <w:hideMark/>
                      </w:tcPr>
                      <w:p w14:paraId="2C65B9C8" w14:textId="77777777" w:rsidR="00490255" w:rsidRPr="003408CD" w:rsidRDefault="00490255" w:rsidP="000E4D54">
                        <w:pPr>
                          <w:jc w:val="center"/>
                          <w:rPr>
                            <w:rFonts w:cs="Calibri"/>
                            <w:color w:val="000000"/>
                            <w:sz w:val="20"/>
                          </w:rPr>
                        </w:pPr>
                        <w:r w:rsidRPr="003408CD">
                          <w:rPr>
                            <w:rFonts w:cs="Calibri"/>
                            <w:bCs/>
                            <w:color w:val="000000"/>
                            <w:sz w:val="20"/>
                          </w:rPr>
                          <w:t>63</w:t>
                        </w:r>
                      </w:p>
                    </w:tc>
                  </w:tr>
                  <w:tr w:rsidR="00490255" w:rsidRPr="00D339C1" w14:paraId="4CFC3CBB" w14:textId="77777777" w:rsidTr="00764130">
                    <w:trPr>
                      <w:trHeight w:val="340"/>
                    </w:trPr>
                    <w:tc>
                      <w:tcPr>
                        <w:tcW w:w="3686" w:type="dxa"/>
                        <w:tcBorders>
                          <w:top w:val="nil"/>
                          <w:left w:val="nil"/>
                          <w:bottom w:val="nil"/>
                          <w:right w:val="nil"/>
                        </w:tcBorders>
                        <w:shd w:val="clear" w:color="auto" w:fill="auto"/>
                        <w:noWrap/>
                        <w:vAlign w:val="bottom"/>
                        <w:hideMark/>
                      </w:tcPr>
                      <w:p w14:paraId="5181227B" w14:textId="77777777" w:rsidR="00490255" w:rsidRPr="00653366" w:rsidRDefault="00490255" w:rsidP="000E4D54">
                        <w:pPr>
                          <w:rPr>
                            <w:rFonts w:cs="Calibri"/>
                            <w:color w:val="000000"/>
                            <w:sz w:val="18"/>
                          </w:rPr>
                        </w:pPr>
                        <w:r w:rsidRPr="00653366">
                          <w:rPr>
                            <w:rFonts w:cs="Calibri"/>
                            <w:color w:val="000000"/>
                            <w:sz w:val="18"/>
                          </w:rPr>
                          <w:t>Dotácia na stravu</w:t>
                        </w:r>
                      </w:p>
                    </w:tc>
                    <w:tc>
                      <w:tcPr>
                        <w:tcW w:w="789" w:type="dxa"/>
                        <w:tcBorders>
                          <w:top w:val="nil"/>
                          <w:left w:val="nil"/>
                          <w:bottom w:val="nil"/>
                          <w:right w:val="nil"/>
                        </w:tcBorders>
                        <w:shd w:val="clear" w:color="auto" w:fill="auto"/>
                        <w:noWrap/>
                        <w:vAlign w:val="bottom"/>
                        <w:hideMark/>
                      </w:tcPr>
                      <w:p w14:paraId="6214A49E" w14:textId="77777777" w:rsidR="00490255" w:rsidRPr="003408CD" w:rsidRDefault="00490255" w:rsidP="000E4D54">
                        <w:pPr>
                          <w:jc w:val="center"/>
                          <w:rPr>
                            <w:rFonts w:cs="Calibri"/>
                            <w:color w:val="000000"/>
                            <w:sz w:val="20"/>
                          </w:rPr>
                        </w:pPr>
                        <w:r w:rsidRPr="003408CD">
                          <w:rPr>
                            <w:rFonts w:cs="Calibri"/>
                            <w:bCs/>
                            <w:color w:val="000000"/>
                            <w:sz w:val="20"/>
                          </w:rPr>
                          <w:t>6</w:t>
                        </w:r>
                      </w:p>
                    </w:tc>
                  </w:tr>
                  <w:tr w:rsidR="00490255" w:rsidRPr="00D339C1" w14:paraId="5DE8766D" w14:textId="77777777" w:rsidTr="00764130">
                    <w:trPr>
                      <w:trHeight w:val="340"/>
                    </w:trPr>
                    <w:tc>
                      <w:tcPr>
                        <w:tcW w:w="3686" w:type="dxa"/>
                        <w:tcBorders>
                          <w:top w:val="nil"/>
                          <w:left w:val="nil"/>
                          <w:bottom w:val="nil"/>
                          <w:right w:val="nil"/>
                        </w:tcBorders>
                        <w:shd w:val="clear" w:color="auto" w:fill="auto"/>
                        <w:noWrap/>
                        <w:vAlign w:val="bottom"/>
                        <w:hideMark/>
                      </w:tcPr>
                      <w:p w14:paraId="03B2AB07" w14:textId="77777777" w:rsidR="00490255" w:rsidRPr="00653366" w:rsidRDefault="00490255" w:rsidP="000E4D54">
                        <w:pPr>
                          <w:rPr>
                            <w:rFonts w:cs="Calibri"/>
                            <w:color w:val="000000"/>
                            <w:sz w:val="18"/>
                          </w:rPr>
                        </w:pPr>
                        <w:r w:rsidRPr="00653366">
                          <w:rPr>
                            <w:rFonts w:cs="Calibri"/>
                            <w:color w:val="000000"/>
                            <w:sz w:val="18"/>
                          </w:rPr>
                          <w:t>Žiaci v regionálnom školstve</w:t>
                        </w:r>
                      </w:p>
                    </w:tc>
                    <w:tc>
                      <w:tcPr>
                        <w:tcW w:w="789" w:type="dxa"/>
                        <w:tcBorders>
                          <w:top w:val="nil"/>
                          <w:left w:val="nil"/>
                          <w:bottom w:val="nil"/>
                          <w:right w:val="nil"/>
                        </w:tcBorders>
                        <w:shd w:val="clear" w:color="auto" w:fill="auto"/>
                        <w:noWrap/>
                        <w:vAlign w:val="bottom"/>
                        <w:hideMark/>
                      </w:tcPr>
                      <w:p w14:paraId="7857DDE4" w14:textId="77777777" w:rsidR="00490255" w:rsidRPr="003408CD" w:rsidRDefault="00490255" w:rsidP="000E4D54">
                        <w:pPr>
                          <w:jc w:val="center"/>
                          <w:rPr>
                            <w:rFonts w:cs="Calibri"/>
                            <w:color w:val="000000"/>
                            <w:sz w:val="20"/>
                          </w:rPr>
                        </w:pPr>
                        <w:r w:rsidRPr="003408CD">
                          <w:rPr>
                            <w:rFonts w:cs="Calibri"/>
                            <w:bCs/>
                            <w:color w:val="000000"/>
                            <w:sz w:val="20"/>
                          </w:rPr>
                          <w:t>43</w:t>
                        </w:r>
                      </w:p>
                    </w:tc>
                  </w:tr>
                  <w:tr w:rsidR="00490255" w:rsidRPr="00D339C1" w14:paraId="20C63023" w14:textId="77777777" w:rsidTr="00764130">
                    <w:trPr>
                      <w:trHeight w:val="340"/>
                    </w:trPr>
                    <w:tc>
                      <w:tcPr>
                        <w:tcW w:w="3686" w:type="dxa"/>
                        <w:tcBorders>
                          <w:top w:val="nil"/>
                          <w:left w:val="nil"/>
                          <w:bottom w:val="single" w:sz="4" w:space="0" w:color="auto"/>
                          <w:right w:val="nil"/>
                        </w:tcBorders>
                        <w:shd w:val="clear" w:color="auto" w:fill="auto"/>
                        <w:noWrap/>
                        <w:vAlign w:val="bottom"/>
                        <w:hideMark/>
                      </w:tcPr>
                      <w:p w14:paraId="3A142484" w14:textId="77777777" w:rsidR="00490255" w:rsidRPr="00653366" w:rsidRDefault="00490255" w:rsidP="000E4D54">
                        <w:pPr>
                          <w:rPr>
                            <w:rFonts w:cs="Calibri"/>
                            <w:color w:val="000000"/>
                            <w:sz w:val="18"/>
                          </w:rPr>
                        </w:pPr>
                        <w:r w:rsidRPr="00653366">
                          <w:rPr>
                            <w:rFonts w:cs="Calibri"/>
                            <w:color w:val="000000"/>
                            <w:sz w:val="18"/>
                          </w:rPr>
                          <w:t>Ostatné (hygiena, strava, elektrina....) mimo Lex Ukrajina</w:t>
                        </w:r>
                      </w:p>
                    </w:tc>
                    <w:tc>
                      <w:tcPr>
                        <w:tcW w:w="789" w:type="dxa"/>
                        <w:tcBorders>
                          <w:top w:val="nil"/>
                          <w:left w:val="nil"/>
                          <w:bottom w:val="single" w:sz="4" w:space="0" w:color="auto"/>
                          <w:right w:val="nil"/>
                        </w:tcBorders>
                        <w:shd w:val="clear" w:color="auto" w:fill="auto"/>
                        <w:noWrap/>
                        <w:vAlign w:val="bottom"/>
                        <w:hideMark/>
                      </w:tcPr>
                      <w:p w14:paraId="31C9AB87" w14:textId="77777777" w:rsidR="00490255" w:rsidRPr="003408CD" w:rsidRDefault="00490255" w:rsidP="000E4D54">
                        <w:pPr>
                          <w:jc w:val="center"/>
                          <w:rPr>
                            <w:rFonts w:cs="Calibri"/>
                            <w:color w:val="000000"/>
                            <w:sz w:val="20"/>
                          </w:rPr>
                        </w:pPr>
                        <w:r w:rsidRPr="003408CD">
                          <w:rPr>
                            <w:rFonts w:cs="Calibri"/>
                            <w:bCs/>
                            <w:color w:val="000000"/>
                            <w:sz w:val="20"/>
                          </w:rPr>
                          <w:t>46</w:t>
                        </w:r>
                      </w:p>
                    </w:tc>
                  </w:tr>
                  <w:tr w:rsidR="00490255" w:rsidRPr="00D339C1" w14:paraId="08F324F4" w14:textId="77777777" w:rsidTr="000E4D54">
                    <w:trPr>
                      <w:trHeight w:val="296"/>
                    </w:trPr>
                    <w:tc>
                      <w:tcPr>
                        <w:tcW w:w="3686" w:type="dxa"/>
                        <w:tcBorders>
                          <w:top w:val="nil"/>
                          <w:left w:val="nil"/>
                          <w:bottom w:val="nil"/>
                          <w:right w:val="nil"/>
                        </w:tcBorders>
                        <w:shd w:val="clear" w:color="auto" w:fill="auto"/>
                        <w:noWrap/>
                        <w:vAlign w:val="bottom"/>
                        <w:hideMark/>
                      </w:tcPr>
                      <w:p w14:paraId="6E317D3D" w14:textId="77777777" w:rsidR="00490255" w:rsidRPr="00653366" w:rsidRDefault="00490255" w:rsidP="000E4D54">
                        <w:pPr>
                          <w:rPr>
                            <w:rFonts w:cs="Calibri"/>
                            <w:b/>
                            <w:bCs/>
                            <w:color w:val="000000"/>
                            <w:sz w:val="18"/>
                          </w:rPr>
                        </w:pPr>
                        <w:r w:rsidRPr="00653366">
                          <w:rPr>
                            <w:rFonts w:cs="Calibri"/>
                            <w:b/>
                            <w:bCs/>
                            <w:color w:val="000000"/>
                            <w:sz w:val="18"/>
                          </w:rPr>
                          <w:t>Spolu</w:t>
                        </w:r>
                      </w:p>
                    </w:tc>
                    <w:tc>
                      <w:tcPr>
                        <w:tcW w:w="789" w:type="dxa"/>
                        <w:tcBorders>
                          <w:top w:val="nil"/>
                          <w:left w:val="nil"/>
                          <w:bottom w:val="nil"/>
                          <w:right w:val="nil"/>
                        </w:tcBorders>
                        <w:shd w:val="clear" w:color="auto" w:fill="auto"/>
                        <w:noWrap/>
                        <w:vAlign w:val="bottom"/>
                        <w:hideMark/>
                      </w:tcPr>
                      <w:p w14:paraId="7B9E74C8" w14:textId="77777777" w:rsidR="00490255" w:rsidRPr="003408CD" w:rsidRDefault="00490255" w:rsidP="000E4D54">
                        <w:pPr>
                          <w:jc w:val="center"/>
                          <w:rPr>
                            <w:rFonts w:cs="Calibri"/>
                            <w:b/>
                            <w:bCs/>
                            <w:color w:val="000000"/>
                            <w:sz w:val="20"/>
                          </w:rPr>
                        </w:pPr>
                        <w:r w:rsidRPr="003408CD">
                          <w:rPr>
                            <w:rFonts w:cs="Calibri"/>
                            <w:b/>
                            <w:bCs/>
                            <w:color w:val="000000"/>
                            <w:sz w:val="20"/>
                          </w:rPr>
                          <w:t>379</w:t>
                        </w:r>
                      </w:p>
                    </w:tc>
                  </w:tr>
                </w:tbl>
                <w:p w14:paraId="72DD67B3" w14:textId="77777777" w:rsidR="00490255" w:rsidRPr="004F7210" w:rsidRDefault="00490255" w:rsidP="000E4D54">
                  <w:pPr>
                    <w:spacing w:before="40" w:after="40"/>
                    <w:jc w:val="center"/>
                    <w:rPr>
                      <w:rFonts w:cs="Arial"/>
                      <w:b/>
                      <w:sz w:val="20"/>
                      <w:szCs w:val="20"/>
                    </w:rPr>
                  </w:pPr>
                </w:p>
              </w:tc>
            </w:tr>
            <w:tr w:rsidR="00490255" w:rsidRPr="000F7810" w14:paraId="1D0F8DBA" w14:textId="77777777" w:rsidTr="000E4D54">
              <w:trPr>
                <w:trHeight w:val="121"/>
                <w:jc w:val="center"/>
              </w:trPr>
              <w:tc>
                <w:tcPr>
                  <w:tcW w:w="4161" w:type="dxa"/>
                  <w:tcBorders>
                    <w:top w:val="single" w:sz="4" w:space="0" w:color="auto"/>
                    <w:left w:val="nil"/>
                    <w:bottom w:val="nil"/>
                    <w:right w:val="nil"/>
                  </w:tcBorders>
                  <w:vAlign w:val="center"/>
                </w:tcPr>
                <w:p w14:paraId="5D44EBD6" w14:textId="77777777" w:rsidR="00490255" w:rsidRPr="004F7210" w:rsidRDefault="00490255" w:rsidP="000E4D54">
                  <w:pPr>
                    <w:pStyle w:val="poznmka"/>
                  </w:pPr>
                  <w:r>
                    <w:t>Zdroj: cudzinecká polícia</w:t>
                  </w:r>
                  <w:r w:rsidRPr="004F7210">
                    <w:t>, MF SR</w:t>
                  </w:r>
                </w:p>
              </w:tc>
              <w:tc>
                <w:tcPr>
                  <w:tcW w:w="236" w:type="dxa"/>
                  <w:tcBorders>
                    <w:top w:val="nil"/>
                    <w:left w:val="nil"/>
                    <w:bottom w:val="nil"/>
                    <w:right w:val="nil"/>
                  </w:tcBorders>
                  <w:vAlign w:val="center"/>
                </w:tcPr>
                <w:p w14:paraId="38184E1B" w14:textId="77777777" w:rsidR="00490255" w:rsidRPr="004F7210" w:rsidRDefault="00490255" w:rsidP="000E4D54">
                  <w:pPr>
                    <w:pStyle w:val="poznmka"/>
                  </w:pPr>
                </w:p>
              </w:tc>
              <w:tc>
                <w:tcPr>
                  <w:tcW w:w="4379" w:type="dxa"/>
                  <w:tcBorders>
                    <w:top w:val="single" w:sz="4" w:space="0" w:color="auto"/>
                    <w:left w:val="nil"/>
                    <w:bottom w:val="nil"/>
                    <w:right w:val="nil"/>
                  </w:tcBorders>
                  <w:vAlign w:val="center"/>
                </w:tcPr>
                <w:p w14:paraId="177921BA" w14:textId="77777777" w:rsidR="00490255" w:rsidRPr="004F7210" w:rsidRDefault="00490255" w:rsidP="000E4D54">
                  <w:pPr>
                    <w:pStyle w:val="poznmka"/>
                  </w:pPr>
                  <w:r>
                    <w:t>Zdroj:</w:t>
                  </w:r>
                  <w:r w:rsidRPr="004F7210">
                    <w:t xml:space="preserve"> MF SR</w:t>
                  </w:r>
                </w:p>
              </w:tc>
            </w:tr>
          </w:tbl>
          <w:p w14:paraId="78BCD20A" w14:textId="77777777" w:rsidR="00490255" w:rsidRDefault="00490255" w:rsidP="000E4D54">
            <w:pPr>
              <w:pStyle w:val="Obyajntext"/>
              <w:spacing w:after="120"/>
              <w:jc w:val="both"/>
            </w:pPr>
          </w:p>
          <w:p w14:paraId="7ED2AFAF" w14:textId="77777777" w:rsidR="00490255" w:rsidRDefault="00490255" w:rsidP="000E4D54">
            <w:pPr>
              <w:pStyle w:val="Obyajntext"/>
              <w:spacing w:after="120"/>
              <w:rPr>
                <w:b/>
              </w:rPr>
            </w:pPr>
            <w:r>
              <w:rPr>
                <w:b/>
              </w:rPr>
              <w:t>Predpoklady kvantifikácie:</w:t>
            </w:r>
          </w:p>
          <w:p w14:paraId="73AAB5B2" w14:textId="601D3FF1" w:rsidR="00490255" w:rsidRPr="00235D0C" w:rsidRDefault="00490255" w:rsidP="000E4D54">
            <w:pPr>
              <w:pStyle w:val="Obyajntext"/>
              <w:spacing w:after="120"/>
              <w:jc w:val="both"/>
              <w:rPr>
                <w:b/>
              </w:rPr>
            </w:pPr>
            <w:r>
              <w:rPr>
                <w:b/>
              </w:rPr>
              <w:t>Ľudia,</w:t>
            </w:r>
            <w:r w:rsidRPr="00653366">
              <w:rPr>
                <w:b/>
              </w:rPr>
              <w:t xml:space="preserve"> ktorí nepožiadajú o dočasné útočisko nezostanú dlhšiu dobu na území Slovenska</w:t>
            </w:r>
            <w:r>
              <w:t>. Tí čo nepožiadajú o tento status</w:t>
            </w:r>
            <w:r w:rsidR="006F116F">
              <w:t>,</w:t>
            </w:r>
            <w:r>
              <w:t xml:space="preserve"> </w:t>
            </w:r>
            <w:r w:rsidR="006F116F">
              <w:t>sa presunú</w:t>
            </w:r>
            <w:r>
              <w:t xml:space="preserve"> do iných krajín, prípadne sa vrátia na Ukrajinu).</w:t>
            </w:r>
            <w:r>
              <w:rPr>
                <w:b/>
              </w:rPr>
              <w:t xml:space="preserve"> </w:t>
            </w:r>
            <w:r>
              <w:t>K polovici apríla požiadalo o dočasné útočisko takmer 70 tisíc ľudí, z toho 42 % detí do 18 rokov. Predikcia očakáva</w:t>
            </w:r>
            <w:r w:rsidR="00A0306D">
              <w:t>, že do konca roka bude žiadostí</w:t>
            </w:r>
            <w:r>
              <w:t xml:space="preserve"> o tento status postupne ubúdať</w:t>
            </w:r>
            <w:r>
              <w:rPr>
                <w:rStyle w:val="Odkaznapoznmkupodiarou"/>
              </w:rPr>
              <w:footnoteReference w:id="29"/>
            </w:r>
            <w:r>
              <w:t xml:space="preserve">. </w:t>
            </w:r>
          </w:p>
          <w:p w14:paraId="770967DE" w14:textId="7507F1A6" w:rsidR="00490255" w:rsidRPr="00132466" w:rsidRDefault="00490255" w:rsidP="000E4D54">
            <w:pPr>
              <w:pStyle w:val="Obyajntext"/>
              <w:spacing w:after="120"/>
              <w:jc w:val="both"/>
              <w:rPr>
                <w:b/>
              </w:rPr>
            </w:pPr>
            <w:r>
              <w:rPr>
                <w:b/>
              </w:rPr>
              <w:t xml:space="preserve">Lex Ukrajina upravuje najmä podmienky poskytovania zdravotnej starostlivosti, výšku príspevkov na bývanie ako aj nároky na dávku v hmotnej núdzi. </w:t>
            </w:r>
            <w:r w:rsidRPr="00653366">
              <w:t xml:space="preserve">Na neodkladnú zdravotnú starostlivosť má nárok utečenec po dobu 30 dní. Po žiadosti o dočasné útočisko </w:t>
            </w:r>
            <w:r w:rsidR="00A0306D">
              <w:t xml:space="preserve">vzniká nárok </w:t>
            </w:r>
            <w:r w:rsidRPr="00653366">
              <w:t>aj po uplynutí tejto 30 dňovej lehoty.</w:t>
            </w:r>
            <w:r>
              <w:rPr>
                <w:b/>
              </w:rPr>
              <w:t xml:space="preserve"> </w:t>
            </w:r>
            <w:r w:rsidRPr="00653366">
              <w:t>Príspevok na ubytovanie sa vypláca vo výške 7 eur denne pre osobu nad 15 rokov, resp</w:t>
            </w:r>
            <w:r>
              <w:t>.</w:t>
            </w:r>
            <w:r w:rsidRPr="00653366">
              <w:t> polovica – 3,5 eura na dieťa do 15 rokov</w:t>
            </w:r>
            <w:r>
              <w:rPr>
                <w:rStyle w:val="Odkaznapoznmkupodiarou"/>
              </w:rPr>
              <w:footnoteReference w:id="30"/>
            </w:r>
            <w:r w:rsidRPr="00653366">
              <w:t xml:space="preserve">. Dávka v hmotnej núdzi sa vypláca v štandardnej výške </w:t>
            </w:r>
            <w:r>
              <w:t>ako pri iných žiadateľoch o túto dávku</w:t>
            </w:r>
            <w:r w:rsidRPr="00653366">
              <w:t>. Príplatok na stravu sa vyplatí každému dieťaťu, ktoré navštevuje školské zariadenie vo výške 1,3 eur na deň, keď n</w:t>
            </w:r>
            <w:r w:rsidRPr="00CD5B97">
              <w:t>avštevuje školu</w:t>
            </w:r>
            <w:r w:rsidRPr="00653366">
              <w:t>. Zároveň</w:t>
            </w:r>
            <w:r>
              <w:t xml:space="preserve"> však</w:t>
            </w:r>
            <w:r w:rsidRPr="00653366">
              <w:t xml:space="preserve"> jeho rodičia sú v hmotnej núdzi.</w:t>
            </w:r>
            <w:r>
              <w:rPr>
                <w:b/>
              </w:rPr>
              <w:t xml:space="preserve"> </w:t>
            </w:r>
          </w:p>
          <w:p w14:paraId="3EE2B9BE" w14:textId="7ADD1147" w:rsidR="00490255" w:rsidRPr="00653366" w:rsidRDefault="00490255" w:rsidP="004F6FE2">
            <w:pPr>
              <w:pStyle w:val="Obyajntext"/>
              <w:spacing w:after="120"/>
              <w:jc w:val="both"/>
              <w:rPr>
                <w:b/>
              </w:rPr>
            </w:pPr>
            <w:r>
              <w:rPr>
                <w:b/>
              </w:rPr>
              <w:t>Náklady v re</w:t>
            </w:r>
            <w:r w:rsidR="00A0306D">
              <w:rPr>
                <w:b/>
              </w:rPr>
              <w:t>gionálnom školstve</w:t>
            </w:r>
            <w:r>
              <w:rPr>
                <w:b/>
              </w:rPr>
              <w:t xml:space="preserve"> sa navýšia o normatívy až v budúcom školskom roku. </w:t>
            </w:r>
            <w:r w:rsidRPr="00653366">
              <w:t xml:space="preserve">V tomto školskom roku </w:t>
            </w:r>
            <w:r>
              <w:t xml:space="preserve">sa </w:t>
            </w:r>
            <w:r w:rsidRPr="00653366">
              <w:t>očakáva jednorazový výdavkov na žiaka vo výške 200 eur.</w:t>
            </w:r>
            <w:r w:rsidRPr="00CD5B97">
              <w:t xml:space="preserve"> V novom školskom roku</w:t>
            </w:r>
            <w:r>
              <w:t xml:space="preserve"> predikcia predpokladá</w:t>
            </w:r>
            <w:r w:rsidRPr="00653366">
              <w:t xml:space="preserve"> výdavky v štandardnej výške normatívu na žiaka na základných a stredných školách.</w:t>
            </w:r>
            <w:r>
              <w:rPr>
                <w:b/>
              </w:rPr>
              <w:t xml:space="preserve"> </w:t>
            </w:r>
            <w:r>
              <w:t xml:space="preserve">V materských školách sa </w:t>
            </w:r>
            <w:r w:rsidR="004F6FE2">
              <w:t>odhadujú mesačne nižšie náklady</w:t>
            </w:r>
            <w:r>
              <w:t xml:space="preserve">. </w:t>
            </w:r>
          </w:p>
        </w:tc>
      </w:tr>
    </w:tbl>
    <w:p w14:paraId="744ABF83" w14:textId="7D4C3D73" w:rsidR="00490255" w:rsidRDefault="00490255" w:rsidP="00490255">
      <w:pPr>
        <w:jc w:val="both"/>
      </w:pPr>
    </w:p>
    <w:p w14:paraId="611C92F1" w14:textId="271D1D81" w:rsidR="00F00012" w:rsidRPr="001D0870" w:rsidRDefault="00F00012" w:rsidP="00F00012">
      <w:pPr>
        <w:pStyle w:val="Nadpis2"/>
        <w:keepLines/>
        <w:numPr>
          <w:ilvl w:val="1"/>
          <w:numId w:val="2"/>
        </w:numPr>
        <w:spacing w:before="240" w:after="120"/>
        <w:rPr>
          <w:b/>
          <w:color w:val="2C9ADC"/>
          <w:szCs w:val="24"/>
        </w:rPr>
      </w:pPr>
      <w:bookmarkStart w:id="99" w:name="_Toc216573750"/>
      <w:bookmarkStart w:id="100" w:name="_Toc385764209"/>
      <w:bookmarkStart w:id="101" w:name="_Toc449429149"/>
      <w:bookmarkStart w:id="102" w:name="_Toc449430158"/>
      <w:bookmarkStart w:id="103" w:name="_Toc70700331"/>
      <w:bookmarkStart w:id="104" w:name="_Toc101880664"/>
      <w:r w:rsidRPr="001D0870">
        <w:rPr>
          <w:b/>
          <w:color w:val="2C9ADC"/>
          <w:szCs w:val="24"/>
        </w:rPr>
        <w:t>Štrukturálne saldo</w:t>
      </w:r>
      <w:bookmarkEnd w:id="99"/>
      <w:bookmarkEnd w:id="100"/>
      <w:bookmarkEnd w:id="101"/>
      <w:bookmarkEnd w:id="102"/>
      <w:r w:rsidRPr="001D0870">
        <w:rPr>
          <w:b/>
          <w:color w:val="2C9ADC"/>
          <w:szCs w:val="24"/>
        </w:rPr>
        <w:t xml:space="preserve"> v rokoch 2021 a 202</w:t>
      </w:r>
      <w:bookmarkEnd w:id="103"/>
      <w:r w:rsidRPr="001D0870">
        <w:rPr>
          <w:b/>
          <w:color w:val="2C9ADC"/>
          <w:szCs w:val="24"/>
        </w:rPr>
        <w:t>2</w:t>
      </w:r>
      <w:bookmarkEnd w:id="104"/>
    </w:p>
    <w:p w14:paraId="203E0391" w14:textId="1BE1214A" w:rsidR="00F00012" w:rsidRPr="004B2F8B" w:rsidRDefault="00F00012" w:rsidP="00F00012">
      <w:pPr>
        <w:jc w:val="both"/>
      </w:pPr>
      <w:r w:rsidRPr="00C545F3">
        <w:rPr>
          <w:b/>
        </w:rPr>
        <w:t>Štrukturálny deficit sa v roku 2021 mierne znížil na úroveň 2,</w:t>
      </w:r>
      <w:r>
        <w:rPr>
          <w:b/>
        </w:rPr>
        <w:t>1</w:t>
      </w:r>
      <w:r w:rsidRPr="00C545F3">
        <w:rPr>
          <w:b/>
        </w:rPr>
        <w:t> % HDP z úrovne 2,4 % HDP v 2020.</w:t>
      </w:r>
      <w:r w:rsidRPr="00C545F3">
        <w:t xml:space="preserve"> Výdavkové opatrenia zamerané na boj proti koronavírusu majú jednorazový charakter a preto nemajú vplyv na štrukturálne saldo (</w:t>
      </w:r>
      <w:r w:rsidRPr="00C545F3">
        <w:rPr>
          <w:color w:val="2C9ADC" w:themeColor="accent1"/>
        </w:rPr>
        <w:t>viac v časti 2.2</w:t>
      </w:r>
      <w:r w:rsidRPr="00C545F3">
        <w:t>), rovnako tak aj výdavky spojené s</w:t>
      </w:r>
      <w:r>
        <w:t xml:space="preserve">o zaplatením ušlého zisku Európskej komisii z podhodnoteného </w:t>
      </w:r>
      <w:r w:rsidRPr="00C545F3">
        <w:t>preclievaní</w:t>
      </w:r>
      <w:r>
        <w:t>a</w:t>
      </w:r>
      <w:r w:rsidRPr="00C545F3">
        <w:t xml:space="preserve"> tovaru z tretích krajín. K miernemu poklesu štrukturálneho defic</w:t>
      </w:r>
      <w:r w:rsidR="00643334">
        <w:t xml:space="preserve">itu prispievajú viaceré faktory, pričom </w:t>
      </w:r>
      <w:r w:rsidRPr="00C545F3">
        <w:t xml:space="preserve">najvýznamnejším je </w:t>
      </w:r>
      <w:r>
        <w:t xml:space="preserve">medziročný </w:t>
      </w:r>
      <w:r w:rsidRPr="00C545F3">
        <w:t>pokles investícií z národných zdrojov štátneho rozpočtu. Tento pokles môže byť spôsobený zmenou prístupu k investíciám cez tzv. zero based budgeting</w:t>
      </w:r>
      <w:r w:rsidR="00D176E0">
        <w:t>, keďže jednotlivé rezorty nemajú priravených dostatok návratných projektov</w:t>
      </w:r>
      <w:r w:rsidRPr="00C545F3">
        <w:t xml:space="preserve"> (</w:t>
      </w:r>
      <w:r>
        <w:rPr>
          <w:color w:val="2C9ADC" w:themeColor="accent1"/>
        </w:rPr>
        <w:t xml:space="preserve">viac v časti </w:t>
      </w:r>
      <w:r w:rsidR="004048AC" w:rsidRPr="004048AC">
        <w:rPr>
          <w:color w:val="2C9ADC" w:themeColor="accent1"/>
        </w:rPr>
        <w:t>5.3</w:t>
      </w:r>
      <w:r w:rsidRPr="00C545F3">
        <w:t>)</w:t>
      </w:r>
      <w:r>
        <w:t>.</w:t>
      </w:r>
      <w:r w:rsidR="00F01A1F">
        <w:t xml:space="preserve"> </w:t>
      </w:r>
    </w:p>
    <w:p w14:paraId="061B8741" w14:textId="77777777" w:rsidR="00F00012" w:rsidRPr="008006E2" w:rsidRDefault="00F00012" w:rsidP="00F00012">
      <w:pPr>
        <w:jc w:val="both"/>
        <w:rPr>
          <w:b/>
          <w:highlight w:val="yellow"/>
        </w:rPr>
      </w:pPr>
    </w:p>
    <w:p w14:paraId="69207737" w14:textId="2C3909E4" w:rsidR="00F00012" w:rsidRPr="00D051A5" w:rsidRDefault="00F00012" w:rsidP="00F00012">
      <w:pPr>
        <w:jc w:val="both"/>
      </w:pPr>
      <w:r w:rsidRPr="00307227">
        <w:rPr>
          <w:b/>
        </w:rPr>
        <w:t xml:space="preserve">V roku </w:t>
      </w:r>
      <w:r>
        <w:rPr>
          <w:b/>
        </w:rPr>
        <w:t>2022</w:t>
      </w:r>
      <w:r w:rsidRPr="00307227">
        <w:rPr>
          <w:b/>
        </w:rPr>
        <w:t xml:space="preserve"> štrukturálny deficit v</w:t>
      </w:r>
      <w:r w:rsidR="00155C32">
        <w:rPr>
          <w:b/>
        </w:rPr>
        <w:t>ýrazne narástol</w:t>
      </w:r>
      <w:r w:rsidRPr="00307227">
        <w:rPr>
          <w:b/>
        </w:rPr>
        <w:t xml:space="preserve"> o 1,7 p. b. na úroveň 3,8 % HDP. </w:t>
      </w:r>
      <w:r w:rsidRPr="00307227">
        <w:t>Štrukturálny deficit v tomto roku rastie predovšetkým v dôsledku rozpočtovaných rezerv</w:t>
      </w:r>
      <w:r w:rsidR="00C21250">
        <w:t xml:space="preserve"> a zatiaľ nealokovaných financií určených na podporu ekonomiky</w:t>
      </w:r>
      <w:r w:rsidRPr="00307227">
        <w:t>.</w:t>
      </w:r>
      <w:r w:rsidR="00C21250">
        <w:t xml:space="preserve"> Zatiaľ nealokované výdavky určené na podporu ekonomiky sú</w:t>
      </w:r>
      <w:r>
        <w:t xml:space="preserve"> v objeme 0,5 % HDP. Rezerva určená na opatrenia kompenzujúce výrazný rast cenovej hladiny je v objeme 0,3 % HDP. K nárastu štrukturálneho salda prispeli aj investície z národných zdrojov štátneho rozpočtu, ktoré medziročne výrazne rastú aj z dôvodu nízkeho čerpania kapitálov</w:t>
      </w:r>
      <w:r w:rsidR="002C0AE9">
        <w:t>ých výdavkov</w:t>
      </w:r>
      <w:r>
        <w:t xml:space="preserve"> v minulom roku. Ostatnými faktormi zvyšujúce expanziu sú zvýšené spolufinancovanie EÚ projektov, ktoré rastie najmä z dôvodu koncu možnosti čerpania zdrojov z II. programového </w:t>
      </w:r>
      <w:r w:rsidR="00643334">
        <w:t xml:space="preserve">obdobia. Dôležitým faktorom sú aj výdavky </w:t>
      </w:r>
      <w:r>
        <w:t>štátn</w:t>
      </w:r>
      <w:r w:rsidR="00643334">
        <w:t>ych</w:t>
      </w:r>
      <w:r>
        <w:t xml:space="preserve"> podnik</w:t>
      </w:r>
      <w:r w:rsidR="00643334">
        <w:t>ov</w:t>
      </w:r>
      <w:r>
        <w:t xml:space="preserve"> pod Ministerstvom dopravy SR</w:t>
      </w:r>
      <w:r w:rsidR="00643334">
        <w:t>, kde sa veľká časť výdavkov presúva z minulého roku do aktuálneho</w:t>
      </w:r>
      <w:r>
        <w:t>.</w:t>
      </w:r>
      <w:r w:rsidR="00F01A1F">
        <w:t xml:space="preserve"> K nárastu štrukturálneho deficitu priespieva aj dofinancovanie zdravotníctva, ktorý sa prejavuje v silnom medziročnom raste takmer 10 %.</w:t>
      </w:r>
    </w:p>
    <w:p w14:paraId="7DC8C06F" w14:textId="5FD748A9" w:rsidR="003B2A65" w:rsidRDefault="003B2A65"/>
    <w:p w14:paraId="610B6604" w14:textId="576479DE" w:rsidR="00490255" w:rsidRDefault="00490255"/>
    <w:p w14:paraId="44A4197B" w14:textId="5A40EDE0" w:rsidR="000C6444" w:rsidRDefault="000C6444">
      <w:r>
        <w:br w:type="page"/>
      </w:r>
    </w:p>
    <w:p w14:paraId="625AAC8D" w14:textId="77777777" w:rsidR="00070E82" w:rsidRDefault="00070E82" w:rsidP="00AD7C0A">
      <w:pPr>
        <w:pStyle w:val="Nadpis1"/>
        <w:keepNext w:val="0"/>
        <w:numPr>
          <w:ilvl w:val="0"/>
          <w:numId w:val="2"/>
        </w:numPr>
        <w:spacing w:before="240" w:after="240" w:line="276" w:lineRule="auto"/>
        <w:sectPr w:rsidR="00070E82" w:rsidSect="00B26A29">
          <w:headerReference w:type="default" r:id="rId35"/>
          <w:footerReference w:type="default" r:id="rId36"/>
          <w:headerReference w:type="first" r:id="rId37"/>
          <w:type w:val="continuous"/>
          <w:pgSz w:w="11906" w:h="16838" w:code="9"/>
          <w:pgMar w:top="1276" w:right="1418" w:bottom="1418" w:left="1418" w:header="0" w:footer="680" w:gutter="0"/>
          <w:cols w:space="708"/>
          <w:titlePg/>
          <w:docGrid w:linePitch="360"/>
        </w:sectPr>
      </w:pPr>
    </w:p>
    <w:p w14:paraId="6870499C" w14:textId="598F1D0F" w:rsidR="003B2A65" w:rsidRDefault="000C6444" w:rsidP="00B849DC">
      <w:pPr>
        <w:pStyle w:val="Nadpis1"/>
        <w:keepLines/>
        <w:widowControl w:val="0"/>
        <w:numPr>
          <w:ilvl w:val="0"/>
          <w:numId w:val="2"/>
        </w:numPr>
        <w:spacing w:before="240" w:after="240" w:line="276" w:lineRule="auto"/>
      </w:pPr>
      <w:bookmarkStart w:id="105" w:name="_Toc101880665"/>
      <w:r>
        <w:t>CIELE ROZPOČTU</w:t>
      </w:r>
      <w:bookmarkEnd w:id="105"/>
    </w:p>
    <w:p w14:paraId="51D04DBB" w14:textId="77777777" w:rsidR="000C6444" w:rsidRPr="00BC7AD2" w:rsidRDefault="000C6444" w:rsidP="00B849DC">
      <w:pPr>
        <w:pStyle w:val="Nadpis2"/>
        <w:keepNext/>
        <w:keepLines/>
        <w:widowControl w:val="0"/>
        <w:numPr>
          <w:ilvl w:val="1"/>
          <w:numId w:val="2"/>
        </w:numPr>
        <w:spacing w:before="240" w:after="120" w:line="276" w:lineRule="auto"/>
        <w:rPr>
          <w:b/>
          <w:color w:val="2C9ADC"/>
          <w:szCs w:val="24"/>
        </w:rPr>
      </w:pPr>
      <w:bookmarkStart w:id="106" w:name="_Toc449429141"/>
      <w:bookmarkStart w:id="107" w:name="_Toc449430144"/>
      <w:bookmarkStart w:id="108" w:name="_Toc101880666"/>
      <w:bookmarkStart w:id="109" w:name="_Toc70700330"/>
      <w:r w:rsidRPr="00BC7AD2">
        <w:rPr>
          <w:b/>
          <w:color w:val="2C9ADC"/>
          <w:szCs w:val="24"/>
        </w:rPr>
        <w:t>Strednodobý rozpočtový výhľad na roky 2023 až 20</w:t>
      </w:r>
      <w:bookmarkEnd w:id="106"/>
      <w:bookmarkEnd w:id="107"/>
      <w:r w:rsidRPr="00BC7AD2">
        <w:rPr>
          <w:b/>
          <w:color w:val="2C9ADC"/>
          <w:szCs w:val="24"/>
        </w:rPr>
        <w:t>25</w:t>
      </w:r>
      <w:bookmarkEnd w:id="108"/>
      <w:r w:rsidRPr="00BC7AD2">
        <w:rPr>
          <w:b/>
          <w:color w:val="2C9ADC"/>
          <w:szCs w:val="24"/>
        </w:rPr>
        <w:t xml:space="preserve"> </w:t>
      </w:r>
      <w:bookmarkEnd w:id="109"/>
    </w:p>
    <w:tbl>
      <w:tblPr>
        <w:tblW w:w="9073" w:type="dxa"/>
        <w:tblInd w:w="-115" w:type="dxa"/>
        <w:tblBorders>
          <w:top w:val="single" w:sz="4" w:space="0" w:color="000000"/>
          <w:left w:val="nil"/>
          <w:bottom w:val="single" w:sz="4" w:space="0" w:color="000000"/>
          <w:right w:val="nil"/>
          <w:insideH w:val="nil"/>
          <w:insideV w:val="nil"/>
        </w:tblBorders>
        <w:tblLayout w:type="fixed"/>
        <w:tblCellMar>
          <w:left w:w="115" w:type="dxa"/>
          <w:right w:w="115" w:type="dxa"/>
        </w:tblCellMar>
        <w:tblLook w:val="0400" w:firstRow="0" w:lastRow="0" w:firstColumn="0" w:lastColumn="0" w:noHBand="0" w:noVBand="1"/>
      </w:tblPr>
      <w:tblGrid>
        <w:gridCol w:w="9073"/>
      </w:tblGrid>
      <w:tr w:rsidR="000C6444" w:rsidRPr="00BA54C0" w14:paraId="0606AD20" w14:textId="77777777" w:rsidTr="00A36664">
        <w:tc>
          <w:tcPr>
            <w:tcW w:w="9073" w:type="dxa"/>
            <w:shd w:val="clear" w:color="auto" w:fill="auto"/>
          </w:tcPr>
          <w:p w14:paraId="3F42F03A" w14:textId="5D2E143B" w:rsidR="000C6444" w:rsidRPr="0028363F" w:rsidRDefault="00012335" w:rsidP="00091C32">
            <w:pPr>
              <w:keepNext/>
              <w:keepLines/>
              <w:widowControl w:val="0"/>
              <w:spacing w:before="120" w:after="120"/>
              <w:jc w:val="both"/>
              <w:rPr>
                <w:i/>
                <w:iCs/>
                <w:color w:val="000000"/>
              </w:rPr>
            </w:pPr>
            <w:r w:rsidRPr="0018427F">
              <w:rPr>
                <w:i/>
                <w:iCs/>
                <w:color w:val="000000"/>
              </w:rPr>
              <w:t>Predbežným plánom vlády je už od roku 2023 znížiť celkový schodok hospodárenia o vyše polovicu, čo mierne prevyšuje aj požiadavky Európskej komisie. Cielené schodky hospodárenia budú ešte aktualizované približne v júli, na základe výpočtu výdavkového limitu zo strany Rady pre rozpočtovú zodpovednosť (RRZ), ktorý už bude plne záväzný a zohľadní aj prípadnú materializáciu viacerých negatívnych rizík. Ciele uvedené v Programe stability od roku 2023 rešpektujú zatiaľ indikatívne určené výdavkové limity vypočítané zo strany RRZ k polovici apríla. Výdavkové limity si v nasledujúcich rokoch každoročne vyžiadajú dodatočné konsolidačné opatrenia v objeme 0,5 % HDP. Na roky 2023 aj 2024 to predbežne zodpovedá poklesu nomin</w:t>
            </w:r>
            <w:r w:rsidR="00543C89">
              <w:rPr>
                <w:i/>
                <w:iCs/>
                <w:color w:val="000000"/>
              </w:rPr>
              <w:t>álneho deficitu až na úroveň 2,4</w:t>
            </w:r>
            <w:r w:rsidRPr="0018427F">
              <w:rPr>
                <w:i/>
                <w:iCs/>
                <w:color w:val="000000"/>
              </w:rPr>
              <w:t xml:space="preserve"> % HDP,</w:t>
            </w:r>
            <w:r w:rsidR="00543C89">
              <w:rPr>
                <w:i/>
                <w:iCs/>
                <w:color w:val="000000"/>
              </w:rPr>
              <w:t xml:space="preserve"> resp. 2,3 % HDP,</w:t>
            </w:r>
            <w:r w:rsidRPr="0018427F">
              <w:rPr>
                <w:i/>
                <w:iCs/>
                <w:color w:val="000000"/>
              </w:rPr>
              <w:t xml:space="preserve"> k čomu okrem plánovanej konsolidácie prispieva aj stiahnutie doterajších výdavkov určených na riešenie pandémie. Predbežný návrh rozpočtu je nateraz pripravený s vyššími scho</w:t>
            </w:r>
            <w:r w:rsidR="006E1F99">
              <w:rPr>
                <w:i/>
                <w:iCs/>
                <w:color w:val="000000"/>
              </w:rPr>
              <w:t>dkami, na úrovni 3,3 % HDP a 3,2</w:t>
            </w:r>
            <w:r w:rsidRPr="0018427F">
              <w:rPr>
                <w:i/>
                <w:iCs/>
                <w:color w:val="000000"/>
              </w:rPr>
              <w:t xml:space="preserve"> % HDP pre roky 2023 a 2024.  V ňom sa zatiaľ očakáva  tlmenie rastu výdavkov najmä na prevádzkových nákladoch, pričom konkrétne opatrenia zatiaľ nie sú špecifikované. Konsolidačný plán vlády je viac než v súlade s EÚ požiadavkami, keďže aktuálne usmernenie EK požaduje na budúci rok len neutrálnu fiškálnu politiku</w:t>
            </w:r>
            <w:r w:rsidR="000C6444">
              <w:rPr>
                <w:i/>
                <w:iCs/>
                <w:color w:val="000000"/>
              </w:rPr>
              <w:t xml:space="preserve">. </w:t>
            </w:r>
          </w:p>
        </w:tc>
      </w:tr>
    </w:tbl>
    <w:p w14:paraId="492C661D" w14:textId="77777777" w:rsidR="000C6444" w:rsidRPr="00176FAB" w:rsidRDefault="000C6444" w:rsidP="00B849DC">
      <w:pPr>
        <w:keepNext/>
        <w:keepLines/>
        <w:widowControl w:val="0"/>
        <w:jc w:val="both"/>
      </w:pPr>
    </w:p>
    <w:p w14:paraId="0CACD0AA" w14:textId="5FA923A8" w:rsidR="00B26A29" w:rsidRPr="005861F4" w:rsidRDefault="000C6444" w:rsidP="00B849DC">
      <w:pPr>
        <w:pStyle w:val="NormalList"/>
        <w:keepNext/>
        <w:keepLines/>
        <w:widowControl w:val="0"/>
        <w:spacing w:after="240"/>
      </w:pPr>
      <w:r w:rsidRPr="00176FAB">
        <w:rPr>
          <w:b/>
        </w:rPr>
        <w:t>V budúcom roku sa</w:t>
      </w:r>
      <w:r>
        <w:rPr>
          <w:b/>
        </w:rPr>
        <w:t xml:space="preserve"> po odznení pandémie</w:t>
      </w:r>
      <w:r w:rsidRPr="00176FAB">
        <w:rPr>
          <w:b/>
        </w:rPr>
        <w:t xml:space="preserve"> naštartuje konsolidácia verejných financií vyplývajúca novoprijatej národnej legislatívy</w:t>
      </w:r>
      <w:r>
        <w:rPr>
          <w:b/>
        </w:rPr>
        <w:t>, čo povedenie k poklesu schodku o približne polovicu</w:t>
      </w:r>
      <w:r w:rsidRPr="00176FAB">
        <w:rPr>
          <w:b/>
        </w:rPr>
        <w:t>.</w:t>
      </w:r>
      <w:r>
        <w:rPr>
          <w:b/>
        </w:rPr>
        <w:t xml:space="preserve"> </w:t>
      </w:r>
      <w:r>
        <w:t>Legislatívne ustanovenie výdavkových limitov do zákona o rozpočtových pravidlách znamená, že sa v budúcom roku začne postupná konsolidácia aj napriek ekonomicky turbulentným časom. Výdavkové limity naviazané na požadovanú zmenu štrukturálneho salda (viac v kapitole 7) si v budúcom roku vyžiadajú štruktu</w:t>
      </w:r>
      <w:r w:rsidR="00127B39">
        <w:t>rálnu konsolidáciu na úrovni 0,8</w:t>
      </w:r>
      <w:r>
        <w:t xml:space="preserve"> % HDP, čo zodpovedá nominálnemu</w:t>
      </w:r>
      <w:r w:rsidR="00185F1F">
        <w:t xml:space="preserve"> schodku 2,4</w:t>
      </w:r>
      <w:r>
        <w:t xml:space="preserve"> % HDP. Predbežne zostavený rozpočet (tzv. fiškálny rámec) však zatiaľ očakáva nominál</w:t>
      </w:r>
      <w:r w:rsidR="00B75648">
        <w:t xml:space="preserve">ny schodok na úrovni 3,3 % </w:t>
      </w:r>
      <w:r w:rsidR="00B75648" w:rsidRPr="004B6E59">
        <w:t xml:space="preserve">HDP </w:t>
      </w:r>
      <w:r w:rsidRPr="00636109">
        <w:t>(</w:t>
      </w:r>
      <w:r w:rsidRPr="00636109">
        <w:rPr>
          <w:rFonts w:eastAsiaTheme="minorHAnsi" w:cs="Arial"/>
          <w:b/>
          <w:bCs/>
          <w:color w:val="2C9ADC"/>
          <w:szCs w:val="26"/>
        </w:rPr>
        <w:t>TABUĽKA 9</w:t>
      </w:r>
      <w:r w:rsidRPr="00636109">
        <w:t>)</w:t>
      </w:r>
      <w:r w:rsidRPr="004B6E59">
        <w:t>.</w:t>
      </w:r>
      <w:r>
        <w:t xml:space="preserve"> Opatrenia ktorými sa dosiahne </w:t>
      </w:r>
      <w:r>
        <w:rPr>
          <w:lang w:eastAsia="sk-SK"/>
        </w:rPr>
        <w:t>potrebná výška konsolidácie budú predstavené do jesene, tak aby zostavený rozpočet na budúci rok plne spĺňal</w:t>
      </w:r>
      <w:r w:rsidR="00F33C1E">
        <w:rPr>
          <w:lang w:eastAsia="sk-SK"/>
        </w:rPr>
        <w:t xml:space="preserve"> </w:t>
      </w:r>
      <w:r w:rsidR="00B26A29">
        <w:rPr>
          <w:lang w:eastAsia="sk-SK"/>
        </w:rPr>
        <w:t>p</w:t>
      </w:r>
      <w:r>
        <w:rPr>
          <w:lang w:eastAsia="sk-SK"/>
        </w:rPr>
        <w:t>ožiadavky cieľov vychádzajúcich z limitov verejných výdavkov</w:t>
      </w:r>
      <w:r w:rsidRPr="001E545E">
        <w:rPr>
          <w:vertAlign w:val="superscript"/>
          <w:lang w:eastAsia="sk-SK"/>
        </w:rPr>
        <w:footnoteReference w:id="31"/>
      </w:r>
      <w:r>
        <w:rPr>
          <w:lang w:eastAsia="sk-SK"/>
        </w:rPr>
        <w:t xml:space="preserve">. Negatívny vplyv vyžadovanej konsolidácie v budúcom roku bude vo výraznej miere kompenzovať nábeh prostriedkov z Fondu obnovy a odolnosti EÚ, ako aj rekordné očakávané čerpanie štandardných EÚ fondov, čo potvrdzuje výrazne pozitívny fiškálny impulz na úrovni </w:t>
      </w:r>
      <w:r w:rsidRPr="00B26A29">
        <w:rPr>
          <w:lang w:eastAsia="sk-SK"/>
        </w:rPr>
        <w:t>1,9 % HDP</w:t>
      </w:r>
      <w:r w:rsidR="00B75648">
        <w:rPr>
          <w:lang w:eastAsia="sk-SK"/>
        </w:rPr>
        <w:t xml:space="preserve"> (viac v podkapitole 3.2)</w:t>
      </w:r>
      <w:r>
        <w:rPr>
          <w:lang w:eastAsia="sk-SK"/>
        </w:rPr>
        <w:t>.</w:t>
      </w:r>
    </w:p>
    <w:tbl>
      <w:tblPr>
        <w:tblpPr w:leftFromText="141" w:rightFromText="141" w:bottomFromText="160" w:vertAnchor="text" w:tblpXSpec="center" w:tblpY="1"/>
        <w:tblOverlap w:val="never"/>
        <w:tblW w:w="9328" w:type="dxa"/>
        <w:shd w:val="clear" w:color="auto" w:fill="AAD3F2"/>
        <w:tblCellMar>
          <w:left w:w="70" w:type="dxa"/>
          <w:right w:w="70" w:type="dxa"/>
        </w:tblCellMar>
        <w:tblLook w:val="01E0" w:firstRow="1" w:lastRow="1" w:firstColumn="1" w:lastColumn="1" w:noHBand="0" w:noVBand="0"/>
      </w:tblPr>
      <w:tblGrid>
        <w:gridCol w:w="9328"/>
      </w:tblGrid>
      <w:tr w:rsidR="000C6444" w:rsidRPr="008006E2" w14:paraId="7029F8F8" w14:textId="77777777" w:rsidTr="003765AA">
        <w:trPr>
          <w:cantSplit/>
          <w:trHeight w:val="282"/>
        </w:trPr>
        <w:tc>
          <w:tcPr>
            <w:tcW w:w="9328" w:type="dxa"/>
            <w:shd w:val="clear" w:color="auto" w:fill="AAD3F2"/>
          </w:tcPr>
          <w:p w14:paraId="518644D7" w14:textId="52579B05" w:rsidR="000C6444" w:rsidRPr="00653D8B" w:rsidRDefault="000C6444" w:rsidP="00070E82">
            <w:pPr>
              <w:widowControl w:val="0"/>
              <w:spacing w:before="120"/>
              <w:jc w:val="both"/>
              <w:rPr>
                <w:rFonts w:cs="Arial Narrow"/>
                <w:b/>
                <w:color w:val="2C9ADC" w:themeColor="accent1"/>
                <w:szCs w:val="20"/>
              </w:rPr>
            </w:pPr>
            <w:bookmarkStart w:id="110" w:name="_Toc101880476"/>
            <w:r w:rsidRPr="00653D8B">
              <w:rPr>
                <w:b/>
                <w:color w:val="2C9ADC" w:themeColor="accent1"/>
                <w:szCs w:val="20"/>
              </w:rPr>
              <w:t xml:space="preserve">BOX </w:t>
            </w:r>
            <w:r w:rsidRPr="00653D8B">
              <w:rPr>
                <w:b/>
                <w:color w:val="2C9ADC" w:themeColor="accent1"/>
                <w:szCs w:val="20"/>
              </w:rPr>
              <w:fldChar w:fldCharType="begin"/>
            </w:r>
            <w:r w:rsidRPr="00653D8B">
              <w:rPr>
                <w:b/>
                <w:color w:val="2C9ADC" w:themeColor="accent1"/>
                <w:szCs w:val="20"/>
              </w:rPr>
              <w:instrText xml:space="preserve"> SEQ BOX \* ARABIC </w:instrText>
            </w:r>
            <w:r w:rsidRPr="00653D8B">
              <w:rPr>
                <w:b/>
                <w:color w:val="2C9ADC" w:themeColor="accent1"/>
                <w:szCs w:val="20"/>
              </w:rPr>
              <w:fldChar w:fldCharType="separate"/>
            </w:r>
            <w:r w:rsidR="005D3280">
              <w:rPr>
                <w:b/>
                <w:noProof/>
                <w:color w:val="2C9ADC" w:themeColor="accent1"/>
                <w:szCs w:val="20"/>
              </w:rPr>
              <w:t>5</w:t>
            </w:r>
            <w:r w:rsidRPr="00653D8B">
              <w:rPr>
                <w:b/>
                <w:color w:val="2C9ADC" w:themeColor="accent1"/>
                <w:szCs w:val="20"/>
              </w:rPr>
              <w:fldChar w:fldCharType="end"/>
            </w:r>
            <w:r w:rsidRPr="00653D8B">
              <w:rPr>
                <w:rFonts w:cs="Arial Narrow"/>
                <w:b/>
                <w:color w:val="2C9ADC" w:themeColor="accent1"/>
                <w:szCs w:val="20"/>
              </w:rPr>
              <w:t xml:space="preserve"> – Fiškálne pravidlá v národnom a európskom kontexte</w:t>
            </w:r>
            <w:bookmarkEnd w:id="110"/>
          </w:p>
          <w:p w14:paraId="270BDA07" w14:textId="77777777" w:rsidR="000C6444" w:rsidRPr="008006E2" w:rsidRDefault="000C6444" w:rsidP="00070E82">
            <w:pPr>
              <w:widowControl w:val="0"/>
              <w:jc w:val="both"/>
              <w:rPr>
                <w:rFonts w:cs="Arial Narrow"/>
                <w:b/>
                <w:sz w:val="14"/>
                <w:highlight w:val="yellow"/>
              </w:rPr>
            </w:pPr>
          </w:p>
          <w:p w14:paraId="0CB803EE" w14:textId="59393F83" w:rsidR="000C6444" w:rsidRDefault="000C6444" w:rsidP="00070E82">
            <w:pPr>
              <w:widowControl w:val="0"/>
              <w:jc w:val="both"/>
            </w:pPr>
            <w:r>
              <w:rPr>
                <w:b/>
              </w:rPr>
              <w:t xml:space="preserve">Strednodobé rozpočtové ciele sú v Programe stability určené na základe novoprijatých výdavkových limitov. </w:t>
            </w:r>
            <w:r>
              <w:t>Národná rada SR v marci tohto roka schválila</w:t>
            </w:r>
            <w:r w:rsidR="009A2539">
              <w:t xml:space="preserve"> zákon o rozpočtových pravidlách, ktorý zavádza</w:t>
            </w:r>
            <w:r>
              <w:t xml:space="preserve"> výdavkové limity s účinnosťou od 1. apríla 2022. To umožňuje aplikovať výdavkové limity do celého procesu prípravy rozpočtu na roky 2023 až 2025, ktorý sa začína stanovením cieľov v Programe stability. Rozpočtové ciele v podobe nominálnych deficitov na roky 2023 a 2024 sú určené tak, aby boli splnené limity verejných výdavkov, ktoré vypočítala Rada pre rozpočtovú zodpovednosť (Rada). Pre rok 2025 nebol Radou výdavkový limit pre Program stability</w:t>
            </w:r>
            <w:r w:rsidR="001D257A">
              <w:t xml:space="preserve"> vypočítaný, keďže Ministerstvo financií v čase počítania limitu nedisponovalo potrebnými údajmi na tento rok</w:t>
            </w:r>
            <w:r>
              <w:t xml:space="preserve">. </w:t>
            </w:r>
            <w:r w:rsidR="005F0750">
              <w:t>Limit na rok 2025</w:t>
            </w:r>
            <w:r>
              <w:t xml:space="preserve"> bude vypočítaný v júli a bude indikatívny, tak ako to upravuje zákon spolu aj s aktualizovanými limitmi pre roky 2023 a 2024. Aktualizované limity pre rok 2023 a 2024 sa</w:t>
            </w:r>
            <w:r w:rsidR="008A60E7">
              <w:t xml:space="preserve"> po schválení Národnou radnou SR</w:t>
            </w:r>
            <w:r>
              <w:t xml:space="preserve"> stanú záväznými, až do konca volebného obdobia súčasnej vlády. Jesenný návrh rozpočtu už bude zostavený tak, aby plne rešpektoval záväzne vypočítaný výdavkový limit zo strany Rady</w:t>
            </w:r>
            <w:r w:rsidR="00533E8B">
              <w:t>, ktorý schváli Národná rada SR</w:t>
            </w:r>
            <w:r>
              <w:t>. Dovtedy by mala byť jasná aj podoba sankcií dlhovej brzdy, ktoré musia výdavkové limity rovnako zohľadniť (pozri kapitolu 8).</w:t>
            </w:r>
          </w:p>
          <w:p w14:paraId="0A7B7C95" w14:textId="77777777" w:rsidR="000C6444" w:rsidRDefault="000C6444" w:rsidP="00070E82">
            <w:pPr>
              <w:widowControl w:val="0"/>
              <w:jc w:val="both"/>
            </w:pPr>
          </w:p>
          <w:p w14:paraId="1536BE29" w14:textId="2358C33B" w:rsidR="000C6444" w:rsidRPr="00B849DC" w:rsidRDefault="000C6444" w:rsidP="00B849DC">
            <w:pPr>
              <w:widowControl w:val="0"/>
              <w:jc w:val="both"/>
            </w:pPr>
            <w:r w:rsidRPr="004F5B30">
              <w:rPr>
                <w:b/>
              </w:rPr>
              <w:t>Európske fiškálne pravidlá sú po pandémii menej prísne</w:t>
            </w:r>
            <w:r>
              <w:rPr>
                <w:b/>
              </w:rPr>
              <w:t xml:space="preserve"> ako národné</w:t>
            </w:r>
            <w:r w:rsidRPr="004F5B30">
              <w:rPr>
                <w:b/>
              </w:rPr>
              <w:t>, preto sa rozpočtové ciele určujú na základe národných pravidiel</w:t>
            </w:r>
            <w:r w:rsidR="007B0A4D">
              <w:rPr>
                <w:b/>
              </w:rPr>
              <w:t xml:space="preserve"> (viď </w:t>
            </w:r>
            <w:r w:rsidR="007B0A4D" w:rsidRPr="00091C32">
              <w:rPr>
                <w:rFonts w:eastAsia="Calibri" w:cs="Arial"/>
                <w:b/>
                <w:bCs/>
                <w:color w:val="2C9ADC"/>
                <w:sz w:val="20"/>
                <w:szCs w:val="26"/>
                <w:lang w:eastAsia="en-US"/>
              </w:rPr>
              <w:t>GRAF 19</w:t>
            </w:r>
            <w:r>
              <w:rPr>
                <w:b/>
              </w:rPr>
              <w:t>)</w:t>
            </w:r>
            <w:r>
              <w:t xml:space="preserve">. </w:t>
            </w:r>
            <w:r w:rsidRPr="004F5B30">
              <w:t>Pandémia COVID-19 a aktivovanie všeobecnej únikovej klauzuly z fiškálnych pravidiel EÚ znamenali zmenu merania fiškálnej pozície členských krajín.</w:t>
            </w:r>
            <w:r>
              <w:t xml:space="preserve"> Európska komisia sa v roku 2021 v reakcii na pandémiu COVID-19 a vytvorenie Fondu obnovy a odolnosti (RRF) odklonila od štandardných hodnotiacich ukazovateľov výdavkového pravidla a štrukturálneho salda. V súčasnosti využíva upravený indikátor fiškálnej pozície</w:t>
            </w:r>
            <w:r>
              <w:rPr>
                <w:rStyle w:val="Odkaznapoznmkupodiarou"/>
              </w:rPr>
              <w:footnoteReference w:id="32"/>
            </w:r>
            <w:r>
              <w:t>. Komisia na základe fiškálnej pozície hodnotí, či je fiškálna politika členských štátov v súlade s jej odporúčaniami. Európske pravidlá sú v súčasnosti menej prísne ako tie národné.</w:t>
            </w:r>
          </w:p>
        </w:tc>
      </w:tr>
    </w:tbl>
    <w:p w14:paraId="15412647" w14:textId="77777777" w:rsidR="000C6444" w:rsidRPr="008006E2" w:rsidRDefault="000C6444" w:rsidP="00070E82">
      <w:pPr>
        <w:pStyle w:val="NormalList"/>
        <w:widowControl w:val="0"/>
        <w:rPr>
          <w:highlight w:val="yellow"/>
        </w:rPr>
      </w:pPr>
    </w:p>
    <w:tbl>
      <w:tblPr>
        <w:tblW w:w="9072" w:type="dxa"/>
        <w:jc w:val="center"/>
        <w:tblLayout w:type="fixed"/>
        <w:tblCellMar>
          <w:left w:w="70" w:type="dxa"/>
          <w:right w:w="70" w:type="dxa"/>
        </w:tblCellMar>
        <w:tblLook w:val="04A0" w:firstRow="1" w:lastRow="0" w:firstColumn="1" w:lastColumn="0" w:noHBand="0" w:noVBand="1"/>
      </w:tblPr>
      <w:tblGrid>
        <w:gridCol w:w="3261"/>
        <w:gridCol w:w="728"/>
        <w:gridCol w:w="1014"/>
        <w:gridCol w:w="1015"/>
        <w:gridCol w:w="1014"/>
        <w:gridCol w:w="1015"/>
        <w:gridCol w:w="1025"/>
      </w:tblGrid>
      <w:tr w:rsidR="000C6444" w:rsidRPr="008006E2" w14:paraId="0BDBE350" w14:textId="77777777" w:rsidTr="00A36664">
        <w:trPr>
          <w:trHeight w:val="131"/>
          <w:jc w:val="center"/>
        </w:trPr>
        <w:tc>
          <w:tcPr>
            <w:tcW w:w="9072" w:type="dxa"/>
            <w:gridSpan w:val="7"/>
            <w:tcBorders>
              <w:top w:val="nil"/>
              <w:left w:val="nil"/>
              <w:bottom w:val="single" w:sz="8" w:space="0" w:color="auto"/>
              <w:right w:val="nil"/>
            </w:tcBorders>
          </w:tcPr>
          <w:p w14:paraId="7F661FB8" w14:textId="52E461C9" w:rsidR="000C6444" w:rsidRPr="00AF4123" w:rsidRDefault="000C6444" w:rsidP="00070E82">
            <w:pPr>
              <w:pStyle w:val="Popis"/>
              <w:widowControl w:val="0"/>
              <w:spacing w:after="0"/>
              <w:jc w:val="both"/>
              <w:rPr>
                <w:rFonts w:eastAsiaTheme="minorHAnsi" w:cs="Arial"/>
                <w:color w:val="2C9ADC"/>
                <w:sz w:val="20"/>
                <w:szCs w:val="26"/>
                <w:lang w:eastAsia="en-US"/>
              </w:rPr>
            </w:pPr>
            <w:bookmarkStart w:id="111" w:name="_Toc101880688"/>
            <w:r w:rsidRPr="00AF4123">
              <w:rPr>
                <w:rFonts w:eastAsiaTheme="minorHAnsi" w:cs="Arial"/>
                <w:sz w:val="20"/>
                <w:szCs w:val="26"/>
                <w:lang w:eastAsia="en-US"/>
              </w:rPr>
              <w:t xml:space="preserve">TABUĽKA </w:t>
            </w:r>
            <w:r w:rsidRPr="00AF4123">
              <w:rPr>
                <w:rFonts w:eastAsiaTheme="minorHAnsi" w:cs="Arial"/>
                <w:sz w:val="20"/>
                <w:szCs w:val="26"/>
                <w:lang w:eastAsia="en-US"/>
              </w:rPr>
              <w:fldChar w:fldCharType="begin"/>
            </w:r>
            <w:r w:rsidRPr="00AF4123">
              <w:rPr>
                <w:rFonts w:eastAsiaTheme="minorHAnsi" w:cs="Arial"/>
                <w:sz w:val="20"/>
                <w:szCs w:val="26"/>
                <w:lang w:eastAsia="en-US"/>
              </w:rPr>
              <w:instrText xml:space="preserve"> SEQ TABUĽKA \* ARABIC </w:instrText>
            </w:r>
            <w:r w:rsidRPr="00AF4123">
              <w:rPr>
                <w:rFonts w:eastAsiaTheme="minorHAnsi" w:cs="Arial"/>
                <w:sz w:val="20"/>
                <w:szCs w:val="26"/>
                <w:lang w:eastAsia="en-US"/>
              </w:rPr>
              <w:fldChar w:fldCharType="separate"/>
            </w:r>
            <w:r w:rsidR="005D3280">
              <w:rPr>
                <w:rFonts w:eastAsiaTheme="minorHAnsi" w:cs="Arial"/>
                <w:noProof/>
                <w:sz w:val="20"/>
                <w:szCs w:val="26"/>
                <w:lang w:eastAsia="en-US"/>
              </w:rPr>
              <w:t>9</w:t>
            </w:r>
            <w:r w:rsidRPr="00AF4123">
              <w:rPr>
                <w:rFonts w:eastAsiaTheme="minorHAnsi" w:cs="Arial"/>
                <w:sz w:val="20"/>
                <w:szCs w:val="26"/>
                <w:lang w:eastAsia="en-US"/>
              </w:rPr>
              <w:fldChar w:fldCharType="end"/>
            </w:r>
            <w:r w:rsidRPr="00AF4123">
              <w:rPr>
                <w:rFonts w:eastAsiaTheme="minorHAnsi" w:cs="Arial"/>
                <w:color w:val="2C9ADC"/>
                <w:sz w:val="20"/>
                <w:szCs w:val="26"/>
                <w:lang w:eastAsia="en-US"/>
              </w:rPr>
              <w:t xml:space="preserve"> – Konsolidačné úsilie (ESA 2010, % HDP)</w:t>
            </w:r>
            <w:bookmarkEnd w:id="111"/>
          </w:p>
        </w:tc>
      </w:tr>
      <w:tr w:rsidR="000C6444" w:rsidRPr="008006E2" w14:paraId="164D6431" w14:textId="77777777" w:rsidTr="00A36664">
        <w:trPr>
          <w:trHeight w:val="141"/>
          <w:jc w:val="center"/>
        </w:trPr>
        <w:tc>
          <w:tcPr>
            <w:tcW w:w="3261" w:type="dxa"/>
            <w:tcBorders>
              <w:top w:val="nil"/>
              <w:left w:val="nil"/>
              <w:bottom w:val="single" w:sz="8" w:space="0" w:color="auto"/>
              <w:right w:val="single" w:sz="4" w:space="0" w:color="auto"/>
            </w:tcBorders>
            <w:shd w:val="clear" w:color="auto" w:fill="auto"/>
            <w:noWrap/>
            <w:vAlign w:val="center"/>
          </w:tcPr>
          <w:p w14:paraId="0DAC2525" w14:textId="77777777" w:rsidR="000C6444" w:rsidRPr="00AF4123" w:rsidRDefault="000C6444" w:rsidP="00070E82">
            <w:pPr>
              <w:widowControl w:val="0"/>
              <w:jc w:val="center"/>
              <w:rPr>
                <w:rFonts w:cs="Times New Roman"/>
                <w:color w:val="000000"/>
                <w:sz w:val="20"/>
                <w:szCs w:val="20"/>
              </w:rPr>
            </w:pPr>
          </w:p>
        </w:tc>
        <w:tc>
          <w:tcPr>
            <w:tcW w:w="728" w:type="dxa"/>
            <w:tcBorders>
              <w:top w:val="nil"/>
              <w:left w:val="single" w:sz="4" w:space="0" w:color="auto"/>
              <w:bottom w:val="single" w:sz="4" w:space="0" w:color="auto"/>
              <w:right w:val="nil"/>
            </w:tcBorders>
            <w:shd w:val="clear" w:color="auto" w:fill="auto"/>
            <w:vAlign w:val="center"/>
          </w:tcPr>
          <w:p w14:paraId="2019AEF2" w14:textId="77777777" w:rsidR="000C6444" w:rsidRPr="00AF4123" w:rsidRDefault="000C6444" w:rsidP="00070E82">
            <w:pPr>
              <w:widowControl w:val="0"/>
              <w:jc w:val="center"/>
              <w:rPr>
                <w:rFonts w:cs="Times New Roman"/>
                <w:b/>
                <w:bCs/>
                <w:color w:val="000000"/>
                <w:sz w:val="18"/>
                <w:szCs w:val="18"/>
              </w:rPr>
            </w:pPr>
            <w:r w:rsidRPr="00AF4123">
              <w:rPr>
                <w:b/>
                <w:bCs/>
                <w:color w:val="000000"/>
                <w:sz w:val="18"/>
                <w:szCs w:val="18"/>
              </w:rPr>
              <w:t>2020 S</w:t>
            </w:r>
          </w:p>
        </w:tc>
        <w:tc>
          <w:tcPr>
            <w:tcW w:w="1014" w:type="dxa"/>
            <w:tcBorders>
              <w:top w:val="nil"/>
              <w:left w:val="nil"/>
              <w:bottom w:val="single" w:sz="4" w:space="0" w:color="auto"/>
              <w:right w:val="nil"/>
            </w:tcBorders>
            <w:shd w:val="clear" w:color="auto" w:fill="auto"/>
            <w:vAlign w:val="center"/>
          </w:tcPr>
          <w:p w14:paraId="14593DBA" w14:textId="77777777" w:rsidR="000C6444" w:rsidRPr="00AF4123" w:rsidRDefault="000C6444" w:rsidP="00070E82">
            <w:pPr>
              <w:widowControl w:val="0"/>
              <w:jc w:val="center"/>
              <w:rPr>
                <w:rFonts w:cs="Times New Roman"/>
                <w:b/>
                <w:bCs/>
                <w:color w:val="000000"/>
                <w:sz w:val="18"/>
                <w:szCs w:val="18"/>
              </w:rPr>
            </w:pPr>
            <w:r w:rsidRPr="00AF4123">
              <w:rPr>
                <w:b/>
                <w:bCs/>
                <w:color w:val="000000"/>
                <w:sz w:val="18"/>
                <w:szCs w:val="18"/>
              </w:rPr>
              <w:t>2021 S</w:t>
            </w:r>
          </w:p>
        </w:tc>
        <w:tc>
          <w:tcPr>
            <w:tcW w:w="1015" w:type="dxa"/>
            <w:tcBorders>
              <w:top w:val="nil"/>
              <w:left w:val="nil"/>
              <w:bottom w:val="single" w:sz="4" w:space="0" w:color="auto"/>
              <w:right w:val="nil"/>
            </w:tcBorders>
            <w:shd w:val="clear" w:color="auto" w:fill="auto"/>
            <w:vAlign w:val="center"/>
          </w:tcPr>
          <w:p w14:paraId="3EA1CACF" w14:textId="77777777" w:rsidR="000C6444" w:rsidRPr="00AF4123" w:rsidRDefault="000C6444" w:rsidP="00070E82">
            <w:pPr>
              <w:widowControl w:val="0"/>
              <w:jc w:val="center"/>
              <w:rPr>
                <w:rFonts w:cs="Times New Roman"/>
                <w:b/>
                <w:bCs/>
                <w:color w:val="000000"/>
                <w:sz w:val="18"/>
                <w:szCs w:val="18"/>
              </w:rPr>
            </w:pPr>
            <w:r w:rsidRPr="00AF4123">
              <w:rPr>
                <w:b/>
                <w:bCs/>
                <w:color w:val="000000"/>
                <w:sz w:val="18"/>
                <w:szCs w:val="18"/>
              </w:rPr>
              <w:t>2022 OS</w:t>
            </w:r>
          </w:p>
        </w:tc>
        <w:tc>
          <w:tcPr>
            <w:tcW w:w="1014" w:type="dxa"/>
            <w:tcBorders>
              <w:top w:val="nil"/>
              <w:left w:val="nil"/>
              <w:bottom w:val="single" w:sz="4" w:space="0" w:color="auto"/>
              <w:right w:val="nil"/>
            </w:tcBorders>
            <w:shd w:val="clear" w:color="auto" w:fill="auto"/>
            <w:vAlign w:val="center"/>
          </w:tcPr>
          <w:p w14:paraId="5FEE308D" w14:textId="77777777" w:rsidR="000C6444" w:rsidRPr="00AF4123" w:rsidRDefault="000C6444" w:rsidP="00070E82">
            <w:pPr>
              <w:widowControl w:val="0"/>
              <w:jc w:val="center"/>
              <w:rPr>
                <w:rFonts w:cs="Times New Roman"/>
                <w:b/>
                <w:bCs/>
                <w:color w:val="000000"/>
                <w:sz w:val="18"/>
                <w:szCs w:val="18"/>
              </w:rPr>
            </w:pPr>
            <w:r w:rsidRPr="00AF4123">
              <w:rPr>
                <w:b/>
                <w:bCs/>
                <w:color w:val="000000"/>
                <w:sz w:val="18"/>
                <w:szCs w:val="18"/>
              </w:rPr>
              <w:t>2023 PS</w:t>
            </w:r>
          </w:p>
        </w:tc>
        <w:tc>
          <w:tcPr>
            <w:tcW w:w="1015" w:type="dxa"/>
            <w:tcBorders>
              <w:top w:val="single" w:sz="4" w:space="0" w:color="auto"/>
              <w:left w:val="nil"/>
              <w:bottom w:val="single" w:sz="4" w:space="0" w:color="auto"/>
              <w:right w:val="nil"/>
            </w:tcBorders>
            <w:shd w:val="clear" w:color="auto" w:fill="auto"/>
            <w:vAlign w:val="center"/>
          </w:tcPr>
          <w:p w14:paraId="4FC98AC1" w14:textId="77777777" w:rsidR="000C6444" w:rsidRPr="00AF4123" w:rsidRDefault="000C6444" w:rsidP="00070E82">
            <w:pPr>
              <w:widowControl w:val="0"/>
              <w:jc w:val="center"/>
              <w:rPr>
                <w:rFonts w:cs="Times New Roman"/>
                <w:b/>
                <w:bCs/>
                <w:color w:val="000000"/>
                <w:sz w:val="18"/>
                <w:szCs w:val="18"/>
              </w:rPr>
            </w:pPr>
            <w:r w:rsidRPr="00AF4123">
              <w:rPr>
                <w:b/>
                <w:bCs/>
                <w:color w:val="000000"/>
                <w:sz w:val="18"/>
                <w:szCs w:val="18"/>
              </w:rPr>
              <w:t>2024 PS</w:t>
            </w:r>
          </w:p>
        </w:tc>
        <w:tc>
          <w:tcPr>
            <w:tcW w:w="1025" w:type="dxa"/>
            <w:tcBorders>
              <w:top w:val="single" w:sz="4" w:space="0" w:color="auto"/>
              <w:left w:val="nil"/>
              <w:bottom w:val="single" w:sz="4" w:space="0" w:color="auto"/>
              <w:right w:val="nil"/>
            </w:tcBorders>
            <w:shd w:val="clear" w:color="auto" w:fill="auto"/>
            <w:vAlign w:val="center"/>
          </w:tcPr>
          <w:p w14:paraId="01DCFFC9" w14:textId="77777777" w:rsidR="000C6444" w:rsidRPr="00AF4123" w:rsidRDefault="000C6444" w:rsidP="00070E82">
            <w:pPr>
              <w:widowControl w:val="0"/>
              <w:jc w:val="center"/>
              <w:rPr>
                <w:rFonts w:cs="Times New Roman"/>
                <w:b/>
                <w:bCs/>
                <w:color w:val="000000"/>
                <w:sz w:val="18"/>
                <w:szCs w:val="18"/>
              </w:rPr>
            </w:pPr>
            <w:r w:rsidRPr="00AF4123">
              <w:rPr>
                <w:b/>
                <w:bCs/>
                <w:color w:val="000000"/>
                <w:sz w:val="18"/>
                <w:szCs w:val="18"/>
              </w:rPr>
              <w:t>2025 PS</w:t>
            </w:r>
          </w:p>
        </w:tc>
      </w:tr>
      <w:tr w:rsidR="000C6444" w:rsidRPr="008006E2" w14:paraId="281AE56B" w14:textId="77777777" w:rsidTr="00A36664">
        <w:trPr>
          <w:trHeight w:val="141"/>
          <w:jc w:val="center"/>
        </w:trPr>
        <w:tc>
          <w:tcPr>
            <w:tcW w:w="3261" w:type="dxa"/>
            <w:tcBorders>
              <w:top w:val="nil"/>
              <w:left w:val="nil"/>
              <w:bottom w:val="nil"/>
              <w:right w:val="single" w:sz="4" w:space="0" w:color="auto"/>
            </w:tcBorders>
            <w:shd w:val="clear" w:color="auto" w:fill="auto"/>
            <w:vAlign w:val="center"/>
            <w:hideMark/>
          </w:tcPr>
          <w:p w14:paraId="320958B0" w14:textId="046FE329" w:rsidR="000C6444" w:rsidRPr="00AF4123" w:rsidRDefault="000C6444" w:rsidP="00BE48C8">
            <w:pPr>
              <w:widowControl w:val="0"/>
              <w:rPr>
                <w:rFonts w:cs="Times New Roman"/>
                <w:b/>
                <w:bCs/>
                <w:color w:val="000000"/>
                <w:sz w:val="18"/>
                <w:szCs w:val="18"/>
              </w:rPr>
            </w:pPr>
            <w:r w:rsidRPr="00AF4123">
              <w:rPr>
                <w:rFonts w:cs="Times New Roman"/>
                <w:b/>
                <w:bCs/>
                <w:color w:val="000000"/>
                <w:sz w:val="18"/>
                <w:szCs w:val="18"/>
              </w:rPr>
              <w:t>1. Saldo verejnej správy</w:t>
            </w:r>
            <w:r w:rsidR="00196D96">
              <w:rPr>
                <w:rFonts w:cs="Times New Roman"/>
                <w:b/>
                <w:bCs/>
                <w:color w:val="000000"/>
                <w:sz w:val="18"/>
                <w:szCs w:val="18"/>
              </w:rPr>
              <w:t xml:space="preserve"> </w:t>
            </w:r>
            <w:r w:rsidR="00BE48C8">
              <w:rPr>
                <w:rFonts w:cs="Times New Roman"/>
                <w:b/>
                <w:bCs/>
                <w:color w:val="000000"/>
                <w:sz w:val="18"/>
                <w:szCs w:val="18"/>
              </w:rPr>
              <w:t>/</w:t>
            </w:r>
            <w:r w:rsidR="00196D96">
              <w:rPr>
                <w:rFonts w:cs="Times New Roman"/>
                <w:b/>
                <w:bCs/>
                <w:color w:val="000000"/>
                <w:sz w:val="18"/>
                <w:szCs w:val="18"/>
              </w:rPr>
              <w:t xml:space="preserve"> </w:t>
            </w:r>
            <w:r w:rsidR="00BE48C8">
              <w:rPr>
                <w:rFonts w:cs="Times New Roman"/>
                <w:b/>
                <w:bCs/>
                <w:color w:val="000000"/>
                <w:sz w:val="18"/>
                <w:szCs w:val="18"/>
              </w:rPr>
              <w:t>rozpočtové ciele</w:t>
            </w:r>
          </w:p>
        </w:tc>
        <w:tc>
          <w:tcPr>
            <w:tcW w:w="728" w:type="dxa"/>
            <w:tcBorders>
              <w:top w:val="single" w:sz="4" w:space="0" w:color="auto"/>
              <w:left w:val="single" w:sz="4" w:space="0" w:color="auto"/>
              <w:bottom w:val="nil"/>
            </w:tcBorders>
            <w:shd w:val="clear" w:color="auto" w:fill="auto"/>
            <w:vAlign w:val="bottom"/>
          </w:tcPr>
          <w:p w14:paraId="2B9C1ADA" w14:textId="77777777" w:rsidR="000C6444" w:rsidRPr="00376310" w:rsidRDefault="000C6444" w:rsidP="00070E82">
            <w:pPr>
              <w:widowControl w:val="0"/>
              <w:jc w:val="center"/>
              <w:rPr>
                <w:rFonts w:cs="Times New Roman"/>
                <w:b/>
                <w:bCs/>
                <w:color w:val="000000"/>
                <w:sz w:val="20"/>
                <w:szCs w:val="20"/>
              </w:rPr>
            </w:pPr>
            <w:r w:rsidRPr="00376310">
              <w:rPr>
                <w:rFonts w:cs="Calibri"/>
                <w:b/>
                <w:bCs/>
                <w:color w:val="595959"/>
                <w:sz w:val="20"/>
              </w:rPr>
              <w:t>-5,5</w:t>
            </w:r>
          </w:p>
        </w:tc>
        <w:tc>
          <w:tcPr>
            <w:tcW w:w="1014" w:type="dxa"/>
            <w:tcBorders>
              <w:top w:val="single" w:sz="4" w:space="0" w:color="auto"/>
              <w:bottom w:val="nil"/>
            </w:tcBorders>
            <w:shd w:val="clear" w:color="auto" w:fill="auto"/>
            <w:noWrap/>
            <w:vAlign w:val="bottom"/>
            <w:hideMark/>
          </w:tcPr>
          <w:p w14:paraId="1EBED88A" w14:textId="77777777" w:rsidR="000C6444" w:rsidRPr="00376310" w:rsidRDefault="000C6444" w:rsidP="00070E82">
            <w:pPr>
              <w:widowControl w:val="0"/>
              <w:jc w:val="center"/>
              <w:rPr>
                <w:rFonts w:cs="Times New Roman"/>
                <w:b/>
                <w:bCs/>
                <w:color w:val="000000"/>
                <w:sz w:val="20"/>
                <w:szCs w:val="20"/>
              </w:rPr>
            </w:pPr>
            <w:r w:rsidRPr="00376310">
              <w:rPr>
                <w:rFonts w:cs="Calibri"/>
                <w:b/>
                <w:bCs/>
                <w:color w:val="595959"/>
                <w:sz w:val="20"/>
              </w:rPr>
              <w:t>-6,2</w:t>
            </w:r>
          </w:p>
        </w:tc>
        <w:tc>
          <w:tcPr>
            <w:tcW w:w="1015" w:type="dxa"/>
            <w:tcBorders>
              <w:top w:val="single" w:sz="4" w:space="0" w:color="auto"/>
              <w:bottom w:val="nil"/>
            </w:tcBorders>
            <w:shd w:val="clear" w:color="auto" w:fill="auto"/>
            <w:noWrap/>
            <w:vAlign w:val="bottom"/>
            <w:hideMark/>
          </w:tcPr>
          <w:p w14:paraId="1A85FA94" w14:textId="77777777" w:rsidR="000C6444" w:rsidRPr="00376310" w:rsidRDefault="000C6444" w:rsidP="00070E82">
            <w:pPr>
              <w:widowControl w:val="0"/>
              <w:jc w:val="center"/>
              <w:rPr>
                <w:rFonts w:cs="Times New Roman"/>
                <w:b/>
                <w:bCs/>
                <w:color w:val="000000"/>
                <w:sz w:val="20"/>
                <w:szCs w:val="20"/>
              </w:rPr>
            </w:pPr>
            <w:r w:rsidRPr="00376310">
              <w:rPr>
                <w:rFonts w:cs="Calibri"/>
                <w:b/>
                <w:bCs/>
                <w:color w:val="000000"/>
                <w:sz w:val="20"/>
              </w:rPr>
              <w:t>-5,1</w:t>
            </w:r>
          </w:p>
        </w:tc>
        <w:tc>
          <w:tcPr>
            <w:tcW w:w="1014" w:type="dxa"/>
            <w:tcBorders>
              <w:top w:val="single" w:sz="4" w:space="0" w:color="auto"/>
              <w:bottom w:val="nil"/>
            </w:tcBorders>
            <w:shd w:val="clear" w:color="auto" w:fill="auto"/>
            <w:noWrap/>
            <w:vAlign w:val="bottom"/>
            <w:hideMark/>
          </w:tcPr>
          <w:p w14:paraId="20EACE71" w14:textId="7C3CE397" w:rsidR="000C6444" w:rsidRPr="00BF318A" w:rsidRDefault="00185F1F" w:rsidP="00070E82">
            <w:pPr>
              <w:widowControl w:val="0"/>
              <w:jc w:val="center"/>
              <w:rPr>
                <w:rFonts w:cs="Times New Roman"/>
                <w:b/>
                <w:bCs/>
                <w:color w:val="000000"/>
                <w:sz w:val="20"/>
                <w:szCs w:val="20"/>
                <w:highlight w:val="yellow"/>
              </w:rPr>
            </w:pPr>
            <w:r>
              <w:rPr>
                <w:rFonts w:cs="Calibri"/>
                <w:b/>
                <w:bCs/>
                <w:color w:val="000000"/>
                <w:sz w:val="20"/>
              </w:rPr>
              <w:t>-2,4</w:t>
            </w:r>
            <w:r w:rsidR="00DF0901">
              <w:rPr>
                <w:rFonts w:cs="Calibri"/>
                <w:b/>
                <w:bCs/>
                <w:color w:val="000000"/>
                <w:sz w:val="20"/>
              </w:rPr>
              <w:t>*</w:t>
            </w:r>
          </w:p>
        </w:tc>
        <w:tc>
          <w:tcPr>
            <w:tcW w:w="1015" w:type="dxa"/>
            <w:tcBorders>
              <w:top w:val="single" w:sz="4" w:space="0" w:color="auto"/>
              <w:bottom w:val="nil"/>
            </w:tcBorders>
            <w:shd w:val="clear" w:color="auto" w:fill="auto"/>
            <w:noWrap/>
            <w:vAlign w:val="bottom"/>
            <w:hideMark/>
          </w:tcPr>
          <w:p w14:paraId="6AFE943F" w14:textId="2E406D1F" w:rsidR="000C6444" w:rsidRPr="00BF318A" w:rsidRDefault="00185F1F" w:rsidP="00070E82">
            <w:pPr>
              <w:widowControl w:val="0"/>
              <w:jc w:val="center"/>
              <w:rPr>
                <w:rFonts w:cs="Times New Roman"/>
                <w:b/>
                <w:bCs/>
                <w:color w:val="000000"/>
                <w:sz w:val="20"/>
                <w:szCs w:val="20"/>
                <w:highlight w:val="yellow"/>
              </w:rPr>
            </w:pPr>
            <w:r>
              <w:rPr>
                <w:rFonts w:cs="Calibri"/>
                <w:b/>
                <w:bCs/>
                <w:color w:val="000000"/>
                <w:sz w:val="20"/>
              </w:rPr>
              <w:t>-2,3</w:t>
            </w:r>
            <w:r w:rsidR="00DF0901">
              <w:rPr>
                <w:rFonts w:cs="Calibri"/>
                <w:b/>
                <w:bCs/>
                <w:color w:val="000000"/>
                <w:sz w:val="20"/>
              </w:rPr>
              <w:t>*</w:t>
            </w:r>
          </w:p>
        </w:tc>
        <w:tc>
          <w:tcPr>
            <w:tcW w:w="1025" w:type="dxa"/>
            <w:tcBorders>
              <w:top w:val="single" w:sz="4" w:space="0" w:color="auto"/>
              <w:bottom w:val="nil"/>
              <w:right w:val="nil"/>
            </w:tcBorders>
            <w:shd w:val="clear" w:color="auto" w:fill="auto"/>
            <w:noWrap/>
            <w:vAlign w:val="bottom"/>
            <w:hideMark/>
          </w:tcPr>
          <w:p w14:paraId="438A34DD" w14:textId="2B99E59D" w:rsidR="000C6444" w:rsidRPr="00BF318A" w:rsidRDefault="00185F1F" w:rsidP="00070E82">
            <w:pPr>
              <w:widowControl w:val="0"/>
              <w:jc w:val="center"/>
              <w:rPr>
                <w:rFonts w:cs="Times New Roman"/>
                <w:b/>
                <w:bCs/>
                <w:color w:val="000000"/>
                <w:sz w:val="20"/>
                <w:szCs w:val="20"/>
                <w:highlight w:val="yellow"/>
              </w:rPr>
            </w:pPr>
            <w:r>
              <w:rPr>
                <w:rFonts w:cs="Calibri"/>
                <w:b/>
                <w:bCs/>
                <w:color w:val="000000"/>
                <w:sz w:val="20"/>
              </w:rPr>
              <w:t>-2,1</w:t>
            </w:r>
            <w:r w:rsidR="00DF0901">
              <w:rPr>
                <w:rFonts w:cs="Calibri"/>
                <w:b/>
                <w:bCs/>
                <w:color w:val="000000"/>
                <w:sz w:val="20"/>
              </w:rPr>
              <w:t>*</w:t>
            </w:r>
          </w:p>
        </w:tc>
      </w:tr>
      <w:tr w:rsidR="000C6444" w:rsidRPr="008006E2" w14:paraId="61565742" w14:textId="77777777" w:rsidTr="00A36664">
        <w:trPr>
          <w:trHeight w:val="141"/>
          <w:jc w:val="center"/>
        </w:trPr>
        <w:tc>
          <w:tcPr>
            <w:tcW w:w="3261" w:type="dxa"/>
            <w:tcBorders>
              <w:top w:val="nil"/>
              <w:left w:val="nil"/>
              <w:bottom w:val="nil"/>
              <w:right w:val="single" w:sz="4" w:space="0" w:color="auto"/>
            </w:tcBorders>
            <w:shd w:val="clear" w:color="auto" w:fill="auto"/>
            <w:vAlign w:val="center"/>
            <w:hideMark/>
          </w:tcPr>
          <w:p w14:paraId="2ADFF943" w14:textId="77777777" w:rsidR="000C6444" w:rsidRPr="00AF4123" w:rsidRDefault="000C6444" w:rsidP="00070E82">
            <w:pPr>
              <w:widowControl w:val="0"/>
              <w:rPr>
                <w:rFonts w:cs="Times New Roman"/>
                <w:color w:val="000000"/>
                <w:sz w:val="18"/>
                <w:szCs w:val="18"/>
              </w:rPr>
            </w:pPr>
            <w:r w:rsidRPr="00AF4123">
              <w:rPr>
                <w:rFonts w:cs="Times New Roman"/>
                <w:color w:val="000000"/>
                <w:sz w:val="18"/>
                <w:szCs w:val="18"/>
              </w:rPr>
              <w:t>2. Cyklická zložka</w:t>
            </w:r>
          </w:p>
        </w:tc>
        <w:tc>
          <w:tcPr>
            <w:tcW w:w="728" w:type="dxa"/>
            <w:tcBorders>
              <w:top w:val="nil"/>
              <w:left w:val="single" w:sz="4" w:space="0" w:color="auto"/>
              <w:bottom w:val="nil"/>
            </w:tcBorders>
            <w:shd w:val="clear" w:color="auto" w:fill="auto"/>
            <w:vAlign w:val="bottom"/>
          </w:tcPr>
          <w:p w14:paraId="6D6A4C70" w14:textId="77777777" w:rsidR="000C6444" w:rsidRPr="00376310" w:rsidRDefault="000C6444" w:rsidP="00070E82">
            <w:pPr>
              <w:widowControl w:val="0"/>
              <w:jc w:val="center"/>
              <w:rPr>
                <w:rFonts w:cs="Times New Roman"/>
                <w:color w:val="000000"/>
                <w:sz w:val="20"/>
                <w:szCs w:val="20"/>
              </w:rPr>
            </w:pPr>
            <w:r w:rsidRPr="00376310">
              <w:rPr>
                <w:rFonts w:cs="Calibri"/>
                <w:color w:val="595959"/>
                <w:sz w:val="20"/>
              </w:rPr>
              <w:t>-1,2</w:t>
            </w:r>
          </w:p>
        </w:tc>
        <w:tc>
          <w:tcPr>
            <w:tcW w:w="1014" w:type="dxa"/>
            <w:tcBorders>
              <w:top w:val="nil"/>
              <w:bottom w:val="nil"/>
            </w:tcBorders>
            <w:shd w:val="clear" w:color="auto" w:fill="auto"/>
            <w:noWrap/>
            <w:vAlign w:val="bottom"/>
            <w:hideMark/>
          </w:tcPr>
          <w:p w14:paraId="2203615F" w14:textId="77777777" w:rsidR="000C6444" w:rsidRPr="00376310" w:rsidRDefault="000C6444" w:rsidP="00070E82">
            <w:pPr>
              <w:widowControl w:val="0"/>
              <w:jc w:val="center"/>
              <w:rPr>
                <w:rFonts w:cs="Times New Roman"/>
                <w:color w:val="000000"/>
                <w:sz w:val="20"/>
                <w:szCs w:val="20"/>
              </w:rPr>
            </w:pPr>
            <w:r w:rsidRPr="00376310">
              <w:rPr>
                <w:rFonts w:cs="Calibri"/>
                <w:sz w:val="20"/>
              </w:rPr>
              <w:t>-0,6</w:t>
            </w:r>
          </w:p>
        </w:tc>
        <w:tc>
          <w:tcPr>
            <w:tcW w:w="1015" w:type="dxa"/>
            <w:tcBorders>
              <w:top w:val="nil"/>
              <w:bottom w:val="nil"/>
            </w:tcBorders>
            <w:shd w:val="clear" w:color="auto" w:fill="auto"/>
            <w:noWrap/>
            <w:vAlign w:val="bottom"/>
            <w:hideMark/>
          </w:tcPr>
          <w:p w14:paraId="76BB3693" w14:textId="77777777" w:rsidR="000C6444" w:rsidRPr="00376310" w:rsidRDefault="000C6444" w:rsidP="00070E82">
            <w:pPr>
              <w:widowControl w:val="0"/>
              <w:jc w:val="center"/>
              <w:rPr>
                <w:rFonts w:cs="Times New Roman"/>
                <w:color w:val="000000"/>
                <w:sz w:val="20"/>
                <w:szCs w:val="20"/>
              </w:rPr>
            </w:pPr>
            <w:r w:rsidRPr="00376310">
              <w:rPr>
                <w:rFonts w:cs="Calibri"/>
                <w:sz w:val="20"/>
              </w:rPr>
              <w:t>-0,3</w:t>
            </w:r>
          </w:p>
        </w:tc>
        <w:tc>
          <w:tcPr>
            <w:tcW w:w="1014" w:type="dxa"/>
            <w:tcBorders>
              <w:top w:val="nil"/>
              <w:bottom w:val="nil"/>
            </w:tcBorders>
            <w:shd w:val="clear" w:color="auto" w:fill="auto"/>
            <w:noWrap/>
            <w:vAlign w:val="bottom"/>
            <w:hideMark/>
          </w:tcPr>
          <w:p w14:paraId="0729A708" w14:textId="77777777" w:rsidR="000C6444" w:rsidRPr="00376310" w:rsidRDefault="000C6444" w:rsidP="00070E82">
            <w:pPr>
              <w:widowControl w:val="0"/>
              <w:jc w:val="center"/>
              <w:rPr>
                <w:rFonts w:cs="Times New Roman"/>
                <w:color w:val="000000"/>
                <w:sz w:val="20"/>
                <w:szCs w:val="20"/>
              </w:rPr>
            </w:pPr>
            <w:r w:rsidRPr="00376310">
              <w:rPr>
                <w:rFonts w:cs="Calibri"/>
                <w:color w:val="000000"/>
                <w:sz w:val="20"/>
              </w:rPr>
              <w:t>0,6</w:t>
            </w:r>
          </w:p>
        </w:tc>
        <w:tc>
          <w:tcPr>
            <w:tcW w:w="1015" w:type="dxa"/>
            <w:tcBorders>
              <w:top w:val="nil"/>
              <w:bottom w:val="nil"/>
            </w:tcBorders>
            <w:shd w:val="clear" w:color="auto" w:fill="auto"/>
            <w:noWrap/>
            <w:vAlign w:val="bottom"/>
            <w:hideMark/>
          </w:tcPr>
          <w:p w14:paraId="63F99AAC" w14:textId="77777777" w:rsidR="000C6444" w:rsidRPr="00376310" w:rsidRDefault="000C6444" w:rsidP="00070E82">
            <w:pPr>
              <w:widowControl w:val="0"/>
              <w:jc w:val="center"/>
              <w:rPr>
                <w:rFonts w:cs="Times New Roman"/>
                <w:color w:val="000000"/>
                <w:sz w:val="20"/>
                <w:szCs w:val="20"/>
              </w:rPr>
            </w:pPr>
            <w:r w:rsidRPr="00376310">
              <w:rPr>
                <w:rFonts w:cs="Calibri"/>
                <w:color w:val="000000"/>
                <w:sz w:val="20"/>
              </w:rPr>
              <w:t>0,2</w:t>
            </w:r>
          </w:p>
        </w:tc>
        <w:tc>
          <w:tcPr>
            <w:tcW w:w="1025" w:type="dxa"/>
            <w:tcBorders>
              <w:top w:val="nil"/>
              <w:bottom w:val="nil"/>
              <w:right w:val="nil"/>
            </w:tcBorders>
            <w:shd w:val="clear" w:color="auto" w:fill="auto"/>
            <w:noWrap/>
            <w:vAlign w:val="bottom"/>
            <w:hideMark/>
          </w:tcPr>
          <w:p w14:paraId="79AF9E3C" w14:textId="77777777" w:rsidR="000C6444" w:rsidRPr="00376310" w:rsidRDefault="000C6444" w:rsidP="00070E82">
            <w:pPr>
              <w:widowControl w:val="0"/>
              <w:jc w:val="center"/>
              <w:rPr>
                <w:rFonts w:cs="Times New Roman"/>
                <w:color w:val="000000"/>
                <w:sz w:val="20"/>
                <w:szCs w:val="20"/>
              </w:rPr>
            </w:pPr>
            <w:r w:rsidRPr="00376310">
              <w:rPr>
                <w:rFonts w:cs="Calibri"/>
                <w:color w:val="000000"/>
                <w:sz w:val="20"/>
              </w:rPr>
              <w:t>0,0</w:t>
            </w:r>
          </w:p>
        </w:tc>
      </w:tr>
      <w:tr w:rsidR="000C6444" w:rsidRPr="008006E2" w14:paraId="4E4C66DE" w14:textId="77777777" w:rsidTr="00A36664">
        <w:trPr>
          <w:trHeight w:val="141"/>
          <w:jc w:val="center"/>
        </w:trPr>
        <w:tc>
          <w:tcPr>
            <w:tcW w:w="3261" w:type="dxa"/>
            <w:tcBorders>
              <w:top w:val="nil"/>
              <w:left w:val="nil"/>
              <w:bottom w:val="nil"/>
              <w:right w:val="single" w:sz="4" w:space="0" w:color="auto"/>
            </w:tcBorders>
            <w:shd w:val="clear" w:color="auto" w:fill="auto"/>
            <w:vAlign w:val="center"/>
            <w:hideMark/>
          </w:tcPr>
          <w:p w14:paraId="485E7BBB" w14:textId="77777777" w:rsidR="000C6444" w:rsidRPr="00AF4123" w:rsidRDefault="000C6444" w:rsidP="00070E82">
            <w:pPr>
              <w:widowControl w:val="0"/>
              <w:rPr>
                <w:rFonts w:cs="Times New Roman"/>
                <w:color w:val="000000"/>
                <w:sz w:val="18"/>
                <w:szCs w:val="18"/>
              </w:rPr>
            </w:pPr>
            <w:r w:rsidRPr="00AF4123">
              <w:rPr>
                <w:rFonts w:cs="Times New Roman"/>
                <w:color w:val="000000"/>
                <w:sz w:val="18"/>
                <w:szCs w:val="18"/>
              </w:rPr>
              <w:t>3. Jednorazové efekty</w:t>
            </w:r>
            <w:r w:rsidRPr="00AF4123">
              <w:rPr>
                <w:rStyle w:val="Odkaznapoznmkupodiarou"/>
                <w:color w:val="000000"/>
                <w:sz w:val="18"/>
                <w:szCs w:val="18"/>
              </w:rPr>
              <w:footnoteReference w:id="33"/>
            </w:r>
          </w:p>
        </w:tc>
        <w:tc>
          <w:tcPr>
            <w:tcW w:w="728" w:type="dxa"/>
            <w:tcBorders>
              <w:top w:val="nil"/>
              <w:left w:val="single" w:sz="4" w:space="0" w:color="auto"/>
            </w:tcBorders>
            <w:shd w:val="clear" w:color="auto" w:fill="auto"/>
            <w:vAlign w:val="bottom"/>
          </w:tcPr>
          <w:p w14:paraId="6BBD9F54" w14:textId="77777777" w:rsidR="000C6444" w:rsidRPr="00376310" w:rsidRDefault="000C6444" w:rsidP="00070E82">
            <w:pPr>
              <w:widowControl w:val="0"/>
              <w:jc w:val="center"/>
              <w:rPr>
                <w:rFonts w:cs="Times New Roman"/>
                <w:color w:val="000000"/>
                <w:sz w:val="20"/>
                <w:szCs w:val="20"/>
              </w:rPr>
            </w:pPr>
            <w:r w:rsidRPr="00376310">
              <w:rPr>
                <w:rFonts w:cs="Calibri"/>
                <w:sz w:val="20"/>
              </w:rPr>
              <w:t>-1,8</w:t>
            </w:r>
          </w:p>
        </w:tc>
        <w:tc>
          <w:tcPr>
            <w:tcW w:w="1014" w:type="dxa"/>
            <w:tcBorders>
              <w:top w:val="nil"/>
            </w:tcBorders>
            <w:shd w:val="clear" w:color="auto" w:fill="auto"/>
            <w:noWrap/>
            <w:vAlign w:val="bottom"/>
            <w:hideMark/>
          </w:tcPr>
          <w:p w14:paraId="64965705" w14:textId="77777777" w:rsidR="000C6444" w:rsidRPr="00376310" w:rsidRDefault="000C6444" w:rsidP="00070E82">
            <w:pPr>
              <w:widowControl w:val="0"/>
              <w:jc w:val="center"/>
              <w:rPr>
                <w:rFonts w:cs="Times New Roman"/>
                <w:color w:val="000000"/>
                <w:sz w:val="20"/>
                <w:szCs w:val="20"/>
              </w:rPr>
            </w:pPr>
            <w:r w:rsidRPr="00376310">
              <w:rPr>
                <w:rFonts w:cs="Calibri"/>
                <w:sz w:val="20"/>
              </w:rPr>
              <w:t>-3,5</w:t>
            </w:r>
          </w:p>
        </w:tc>
        <w:tc>
          <w:tcPr>
            <w:tcW w:w="1015" w:type="dxa"/>
            <w:tcBorders>
              <w:top w:val="nil"/>
            </w:tcBorders>
            <w:shd w:val="clear" w:color="auto" w:fill="auto"/>
            <w:noWrap/>
            <w:vAlign w:val="bottom"/>
            <w:hideMark/>
          </w:tcPr>
          <w:p w14:paraId="76953E3E" w14:textId="77777777" w:rsidR="000C6444" w:rsidRPr="00376310" w:rsidRDefault="000C6444" w:rsidP="00070E82">
            <w:pPr>
              <w:widowControl w:val="0"/>
              <w:jc w:val="center"/>
              <w:rPr>
                <w:rFonts w:cs="Times New Roman"/>
                <w:color w:val="000000"/>
                <w:sz w:val="20"/>
                <w:szCs w:val="20"/>
              </w:rPr>
            </w:pPr>
            <w:r w:rsidRPr="00376310">
              <w:rPr>
                <w:rFonts w:cs="Calibri"/>
                <w:sz w:val="20"/>
              </w:rPr>
              <w:t>-1,0</w:t>
            </w:r>
          </w:p>
        </w:tc>
        <w:tc>
          <w:tcPr>
            <w:tcW w:w="1014" w:type="dxa"/>
            <w:tcBorders>
              <w:top w:val="nil"/>
            </w:tcBorders>
            <w:shd w:val="clear" w:color="auto" w:fill="auto"/>
            <w:noWrap/>
            <w:vAlign w:val="bottom"/>
            <w:hideMark/>
          </w:tcPr>
          <w:p w14:paraId="5681D226" w14:textId="77777777" w:rsidR="000C6444" w:rsidRPr="00376310" w:rsidRDefault="000C6444" w:rsidP="00070E82">
            <w:pPr>
              <w:widowControl w:val="0"/>
              <w:jc w:val="center"/>
              <w:rPr>
                <w:rFonts w:cs="Times New Roman"/>
                <w:color w:val="000000"/>
                <w:sz w:val="20"/>
                <w:szCs w:val="20"/>
              </w:rPr>
            </w:pPr>
            <w:r w:rsidRPr="00376310">
              <w:rPr>
                <w:rFonts w:cs="Calibri"/>
                <w:color w:val="000000"/>
                <w:sz w:val="20"/>
              </w:rPr>
              <w:t>0,0</w:t>
            </w:r>
          </w:p>
        </w:tc>
        <w:tc>
          <w:tcPr>
            <w:tcW w:w="1015" w:type="dxa"/>
            <w:tcBorders>
              <w:top w:val="nil"/>
            </w:tcBorders>
            <w:shd w:val="clear" w:color="auto" w:fill="auto"/>
            <w:noWrap/>
            <w:vAlign w:val="bottom"/>
            <w:hideMark/>
          </w:tcPr>
          <w:p w14:paraId="4D67DEEF" w14:textId="77777777" w:rsidR="000C6444" w:rsidRPr="00376310" w:rsidRDefault="000C6444" w:rsidP="00070E82">
            <w:pPr>
              <w:widowControl w:val="0"/>
              <w:jc w:val="center"/>
              <w:rPr>
                <w:rFonts w:cs="Times New Roman"/>
                <w:color w:val="000000"/>
                <w:sz w:val="20"/>
                <w:szCs w:val="20"/>
              </w:rPr>
            </w:pPr>
            <w:r w:rsidRPr="00376310">
              <w:rPr>
                <w:rFonts w:cs="Calibri"/>
                <w:color w:val="000000"/>
                <w:sz w:val="20"/>
              </w:rPr>
              <w:t>0,0</w:t>
            </w:r>
          </w:p>
        </w:tc>
        <w:tc>
          <w:tcPr>
            <w:tcW w:w="1025" w:type="dxa"/>
            <w:tcBorders>
              <w:top w:val="nil"/>
              <w:right w:val="nil"/>
            </w:tcBorders>
            <w:shd w:val="clear" w:color="auto" w:fill="auto"/>
            <w:noWrap/>
            <w:vAlign w:val="bottom"/>
            <w:hideMark/>
          </w:tcPr>
          <w:p w14:paraId="24E05C94" w14:textId="77777777" w:rsidR="000C6444" w:rsidRPr="00376310" w:rsidRDefault="000C6444" w:rsidP="00070E82">
            <w:pPr>
              <w:widowControl w:val="0"/>
              <w:jc w:val="center"/>
              <w:rPr>
                <w:rFonts w:cs="Times New Roman"/>
                <w:color w:val="000000"/>
                <w:sz w:val="20"/>
                <w:szCs w:val="20"/>
              </w:rPr>
            </w:pPr>
            <w:r w:rsidRPr="00376310">
              <w:rPr>
                <w:rFonts w:cs="Calibri"/>
                <w:color w:val="000000"/>
                <w:sz w:val="20"/>
              </w:rPr>
              <w:t>0,0</w:t>
            </w:r>
          </w:p>
        </w:tc>
      </w:tr>
      <w:tr w:rsidR="00140724" w:rsidRPr="008006E2" w14:paraId="7928F779" w14:textId="77777777" w:rsidTr="00A36664">
        <w:trPr>
          <w:trHeight w:val="141"/>
          <w:jc w:val="center"/>
        </w:trPr>
        <w:tc>
          <w:tcPr>
            <w:tcW w:w="3261" w:type="dxa"/>
            <w:tcBorders>
              <w:top w:val="nil"/>
              <w:left w:val="nil"/>
              <w:bottom w:val="nil"/>
              <w:right w:val="single" w:sz="4" w:space="0" w:color="auto"/>
            </w:tcBorders>
            <w:shd w:val="clear" w:color="auto" w:fill="auto"/>
            <w:noWrap/>
            <w:vAlign w:val="center"/>
            <w:hideMark/>
          </w:tcPr>
          <w:p w14:paraId="641328F7" w14:textId="77777777" w:rsidR="00140724" w:rsidRPr="00AF4123" w:rsidRDefault="00140724" w:rsidP="00140724">
            <w:pPr>
              <w:widowControl w:val="0"/>
              <w:rPr>
                <w:rFonts w:cs="Times New Roman"/>
                <w:b/>
                <w:bCs/>
                <w:color w:val="000000"/>
                <w:sz w:val="18"/>
                <w:szCs w:val="18"/>
              </w:rPr>
            </w:pPr>
            <w:r w:rsidRPr="00AF4123">
              <w:rPr>
                <w:rFonts w:cs="Times New Roman"/>
                <w:b/>
                <w:bCs/>
                <w:color w:val="000000"/>
                <w:sz w:val="18"/>
                <w:szCs w:val="18"/>
              </w:rPr>
              <w:t>4. Štrukturálne saldo (1-2-3)</w:t>
            </w:r>
          </w:p>
        </w:tc>
        <w:tc>
          <w:tcPr>
            <w:tcW w:w="728" w:type="dxa"/>
            <w:tcBorders>
              <w:top w:val="nil"/>
              <w:left w:val="single" w:sz="4" w:space="0" w:color="auto"/>
              <w:bottom w:val="single" w:sz="4" w:space="0" w:color="auto"/>
            </w:tcBorders>
            <w:shd w:val="clear" w:color="auto" w:fill="auto"/>
            <w:vAlign w:val="bottom"/>
          </w:tcPr>
          <w:p w14:paraId="4E176F29" w14:textId="77777777" w:rsidR="00140724" w:rsidRPr="00C226A3" w:rsidRDefault="00140724" w:rsidP="00140724">
            <w:pPr>
              <w:widowControl w:val="0"/>
              <w:jc w:val="center"/>
              <w:rPr>
                <w:rFonts w:cs="Times New Roman"/>
                <w:b/>
                <w:bCs/>
                <w:color w:val="000000"/>
                <w:sz w:val="20"/>
                <w:szCs w:val="20"/>
              </w:rPr>
            </w:pPr>
            <w:r w:rsidRPr="00C226A3">
              <w:rPr>
                <w:rFonts w:cs="Calibri"/>
                <w:b/>
                <w:bCs/>
                <w:color w:val="595959"/>
                <w:sz w:val="20"/>
              </w:rPr>
              <w:t>-2,4</w:t>
            </w:r>
          </w:p>
        </w:tc>
        <w:tc>
          <w:tcPr>
            <w:tcW w:w="1014" w:type="dxa"/>
            <w:tcBorders>
              <w:top w:val="nil"/>
              <w:bottom w:val="single" w:sz="4" w:space="0" w:color="auto"/>
            </w:tcBorders>
            <w:shd w:val="clear" w:color="auto" w:fill="auto"/>
            <w:noWrap/>
            <w:vAlign w:val="bottom"/>
            <w:hideMark/>
          </w:tcPr>
          <w:p w14:paraId="74105328" w14:textId="77777777" w:rsidR="00140724" w:rsidRPr="00BF318A" w:rsidRDefault="00140724" w:rsidP="00140724">
            <w:pPr>
              <w:widowControl w:val="0"/>
              <w:jc w:val="center"/>
              <w:rPr>
                <w:rFonts w:cs="Times New Roman"/>
                <w:b/>
                <w:bCs/>
                <w:color w:val="000000"/>
                <w:sz w:val="20"/>
                <w:szCs w:val="20"/>
              </w:rPr>
            </w:pPr>
            <w:r w:rsidRPr="00E956D1">
              <w:rPr>
                <w:rFonts w:cs="Calibri"/>
                <w:b/>
                <w:bCs/>
                <w:color w:val="595959"/>
                <w:sz w:val="20"/>
              </w:rPr>
              <w:t>-2,1</w:t>
            </w:r>
          </w:p>
        </w:tc>
        <w:tc>
          <w:tcPr>
            <w:tcW w:w="1015" w:type="dxa"/>
            <w:tcBorders>
              <w:top w:val="nil"/>
              <w:bottom w:val="single" w:sz="4" w:space="0" w:color="auto"/>
            </w:tcBorders>
            <w:shd w:val="clear" w:color="auto" w:fill="auto"/>
            <w:noWrap/>
            <w:vAlign w:val="bottom"/>
            <w:hideMark/>
          </w:tcPr>
          <w:p w14:paraId="31530883" w14:textId="77777777" w:rsidR="00140724" w:rsidRPr="00BF318A" w:rsidRDefault="00140724" w:rsidP="00140724">
            <w:pPr>
              <w:widowControl w:val="0"/>
              <w:jc w:val="center"/>
              <w:rPr>
                <w:rFonts w:cs="Times New Roman"/>
                <w:b/>
                <w:bCs/>
                <w:color w:val="000000"/>
                <w:sz w:val="20"/>
                <w:szCs w:val="20"/>
              </w:rPr>
            </w:pPr>
            <w:r w:rsidRPr="00E956D1">
              <w:rPr>
                <w:rFonts w:cs="Calibri"/>
                <w:b/>
                <w:bCs/>
                <w:color w:val="000000"/>
                <w:sz w:val="20"/>
              </w:rPr>
              <w:t>-3,8</w:t>
            </w:r>
          </w:p>
        </w:tc>
        <w:tc>
          <w:tcPr>
            <w:tcW w:w="1014" w:type="dxa"/>
            <w:tcBorders>
              <w:top w:val="nil"/>
              <w:bottom w:val="single" w:sz="4" w:space="0" w:color="auto"/>
            </w:tcBorders>
            <w:shd w:val="clear" w:color="auto" w:fill="auto"/>
            <w:noWrap/>
            <w:vAlign w:val="bottom"/>
            <w:hideMark/>
          </w:tcPr>
          <w:p w14:paraId="597A617B" w14:textId="06160188" w:rsidR="00140724" w:rsidRPr="00140724" w:rsidRDefault="00140724" w:rsidP="00140724">
            <w:pPr>
              <w:widowControl w:val="0"/>
              <w:jc w:val="center"/>
              <w:rPr>
                <w:rFonts w:cs="Times New Roman"/>
                <w:b/>
                <w:bCs/>
                <w:color w:val="000000"/>
                <w:sz w:val="20"/>
                <w:szCs w:val="20"/>
              </w:rPr>
            </w:pPr>
            <w:r w:rsidRPr="00140724">
              <w:rPr>
                <w:rFonts w:cs="Calibri"/>
                <w:b/>
                <w:bCs/>
                <w:color w:val="000000"/>
                <w:sz w:val="20"/>
              </w:rPr>
              <w:t>-3,0</w:t>
            </w:r>
          </w:p>
        </w:tc>
        <w:tc>
          <w:tcPr>
            <w:tcW w:w="1015" w:type="dxa"/>
            <w:tcBorders>
              <w:top w:val="nil"/>
              <w:bottom w:val="single" w:sz="4" w:space="0" w:color="auto"/>
            </w:tcBorders>
            <w:shd w:val="clear" w:color="auto" w:fill="auto"/>
            <w:noWrap/>
            <w:vAlign w:val="bottom"/>
            <w:hideMark/>
          </w:tcPr>
          <w:p w14:paraId="46FA87FF" w14:textId="23122994" w:rsidR="00140724" w:rsidRPr="00140724" w:rsidRDefault="00140724" w:rsidP="00140724">
            <w:pPr>
              <w:widowControl w:val="0"/>
              <w:jc w:val="center"/>
              <w:rPr>
                <w:rFonts w:cs="Times New Roman"/>
                <w:b/>
                <w:bCs/>
                <w:color w:val="000000"/>
                <w:sz w:val="20"/>
                <w:szCs w:val="20"/>
              </w:rPr>
            </w:pPr>
            <w:r w:rsidRPr="00140724">
              <w:rPr>
                <w:rFonts w:cs="Calibri"/>
                <w:b/>
                <w:bCs/>
                <w:color w:val="000000"/>
                <w:sz w:val="20"/>
              </w:rPr>
              <w:t>-2,5</w:t>
            </w:r>
          </w:p>
        </w:tc>
        <w:tc>
          <w:tcPr>
            <w:tcW w:w="1025" w:type="dxa"/>
            <w:tcBorders>
              <w:top w:val="nil"/>
              <w:bottom w:val="single" w:sz="4" w:space="0" w:color="auto"/>
              <w:right w:val="nil"/>
            </w:tcBorders>
            <w:shd w:val="clear" w:color="auto" w:fill="auto"/>
            <w:noWrap/>
            <w:vAlign w:val="bottom"/>
            <w:hideMark/>
          </w:tcPr>
          <w:p w14:paraId="14401316" w14:textId="304400F1" w:rsidR="00140724" w:rsidRPr="00140724" w:rsidRDefault="00140724" w:rsidP="00140724">
            <w:pPr>
              <w:widowControl w:val="0"/>
              <w:jc w:val="center"/>
              <w:rPr>
                <w:rFonts w:cs="Times New Roman"/>
                <w:b/>
                <w:bCs/>
                <w:color w:val="000000"/>
                <w:sz w:val="20"/>
                <w:szCs w:val="20"/>
              </w:rPr>
            </w:pPr>
            <w:r w:rsidRPr="00140724">
              <w:rPr>
                <w:rFonts w:cs="Calibri"/>
                <w:b/>
                <w:bCs/>
                <w:color w:val="000000"/>
                <w:sz w:val="20"/>
              </w:rPr>
              <w:t>-2,0</w:t>
            </w:r>
          </w:p>
        </w:tc>
      </w:tr>
      <w:tr w:rsidR="00140724" w:rsidRPr="008006E2" w14:paraId="60657A27" w14:textId="77777777" w:rsidTr="00A36664">
        <w:trPr>
          <w:trHeight w:val="141"/>
          <w:jc w:val="center"/>
        </w:trPr>
        <w:tc>
          <w:tcPr>
            <w:tcW w:w="3261" w:type="dxa"/>
            <w:tcBorders>
              <w:top w:val="single" w:sz="8" w:space="0" w:color="auto"/>
              <w:left w:val="nil"/>
              <w:bottom w:val="single" w:sz="8" w:space="0" w:color="auto"/>
              <w:right w:val="single" w:sz="4" w:space="0" w:color="auto"/>
            </w:tcBorders>
            <w:shd w:val="clear" w:color="auto" w:fill="auto"/>
            <w:noWrap/>
            <w:vAlign w:val="center"/>
            <w:hideMark/>
          </w:tcPr>
          <w:p w14:paraId="33AADDE9" w14:textId="54622D5B" w:rsidR="00140724" w:rsidRPr="00AF4123" w:rsidRDefault="00140724" w:rsidP="00140724">
            <w:pPr>
              <w:widowControl w:val="0"/>
              <w:rPr>
                <w:rFonts w:cs="Times New Roman"/>
                <w:b/>
                <w:bCs/>
                <w:color w:val="000000"/>
                <w:sz w:val="18"/>
                <w:szCs w:val="18"/>
              </w:rPr>
            </w:pPr>
            <w:r w:rsidRPr="00AF4123">
              <w:rPr>
                <w:rFonts w:cs="Times New Roman"/>
                <w:b/>
                <w:bCs/>
                <w:color w:val="000000"/>
                <w:sz w:val="18"/>
                <w:szCs w:val="18"/>
              </w:rPr>
              <w:t xml:space="preserve">5. Konsolidačné úsilie </w:t>
            </w:r>
            <w:r>
              <w:rPr>
                <w:rFonts w:cs="Times New Roman"/>
                <w:b/>
                <w:bCs/>
                <w:color w:val="000000"/>
                <w:sz w:val="18"/>
                <w:szCs w:val="18"/>
              </w:rPr>
              <w:t>(medziročná zmena 4)</w:t>
            </w:r>
          </w:p>
        </w:tc>
        <w:tc>
          <w:tcPr>
            <w:tcW w:w="728" w:type="dxa"/>
            <w:tcBorders>
              <w:top w:val="single" w:sz="4" w:space="0" w:color="auto"/>
              <w:left w:val="single" w:sz="4" w:space="0" w:color="auto"/>
              <w:bottom w:val="single" w:sz="4" w:space="0" w:color="auto"/>
            </w:tcBorders>
            <w:shd w:val="clear" w:color="auto" w:fill="auto"/>
            <w:vAlign w:val="bottom"/>
          </w:tcPr>
          <w:p w14:paraId="3D0FFE59" w14:textId="77777777" w:rsidR="00140724" w:rsidRPr="00C226A3" w:rsidRDefault="00140724" w:rsidP="00140724">
            <w:pPr>
              <w:widowControl w:val="0"/>
              <w:jc w:val="center"/>
              <w:rPr>
                <w:rFonts w:cs="Times New Roman"/>
                <w:b/>
                <w:bCs/>
                <w:color w:val="000000"/>
                <w:sz w:val="20"/>
                <w:szCs w:val="20"/>
              </w:rPr>
            </w:pPr>
            <w:r w:rsidRPr="00C226A3">
              <w:rPr>
                <w:rFonts w:cs="Calibri"/>
                <w:b/>
                <w:bCs/>
                <w:color w:val="595959"/>
                <w:sz w:val="20"/>
              </w:rPr>
              <w:t>-0,4</w:t>
            </w:r>
          </w:p>
        </w:tc>
        <w:tc>
          <w:tcPr>
            <w:tcW w:w="1014" w:type="dxa"/>
            <w:tcBorders>
              <w:top w:val="single" w:sz="4" w:space="0" w:color="auto"/>
              <w:bottom w:val="single" w:sz="4" w:space="0" w:color="auto"/>
            </w:tcBorders>
            <w:shd w:val="clear" w:color="auto" w:fill="auto"/>
            <w:noWrap/>
            <w:vAlign w:val="bottom"/>
            <w:hideMark/>
          </w:tcPr>
          <w:p w14:paraId="299D79D8" w14:textId="77777777" w:rsidR="00140724" w:rsidRPr="00BF318A" w:rsidRDefault="00140724" w:rsidP="00140724">
            <w:pPr>
              <w:widowControl w:val="0"/>
              <w:jc w:val="center"/>
              <w:rPr>
                <w:rFonts w:cs="Times New Roman"/>
                <w:b/>
                <w:bCs/>
                <w:color w:val="000000"/>
                <w:sz w:val="20"/>
                <w:szCs w:val="20"/>
              </w:rPr>
            </w:pPr>
            <w:r w:rsidRPr="00E956D1">
              <w:rPr>
                <w:rFonts w:cs="Calibri"/>
                <w:b/>
                <w:bCs/>
                <w:color w:val="595959"/>
                <w:sz w:val="20"/>
              </w:rPr>
              <w:t>0,4</w:t>
            </w:r>
          </w:p>
        </w:tc>
        <w:tc>
          <w:tcPr>
            <w:tcW w:w="1015" w:type="dxa"/>
            <w:tcBorders>
              <w:top w:val="single" w:sz="4" w:space="0" w:color="auto"/>
              <w:bottom w:val="single" w:sz="4" w:space="0" w:color="auto"/>
            </w:tcBorders>
            <w:shd w:val="clear" w:color="auto" w:fill="auto"/>
            <w:noWrap/>
            <w:vAlign w:val="bottom"/>
            <w:hideMark/>
          </w:tcPr>
          <w:p w14:paraId="19582152" w14:textId="77777777" w:rsidR="00140724" w:rsidRPr="00BF318A" w:rsidRDefault="00140724" w:rsidP="00140724">
            <w:pPr>
              <w:widowControl w:val="0"/>
              <w:jc w:val="center"/>
              <w:rPr>
                <w:rFonts w:cs="Times New Roman"/>
                <w:b/>
                <w:bCs/>
                <w:color w:val="000000"/>
                <w:sz w:val="20"/>
                <w:szCs w:val="20"/>
              </w:rPr>
            </w:pPr>
            <w:r w:rsidRPr="00E956D1">
              <w:rPr>
                <w:rFonts w:cs="Calibri"/>
                <w:b/>
                <w:bCs/>
                <w:color w:val="000000"/>
                <w:sz w:val="20"/>
              </w:rPr>
              <w:t>-1,7</w:t>
            </w:r>
          </w:p>
        </w:tc>
        <w:tc>
          <w:tcPr>
            <w:tcW w:w="1014" w:type="dxa"/>
            <w:tcBorders>
              <w:top w:val="single" w:sz="4" w:space="0" w:color="auto"/>
              <w:bottom w:val="single" w:sz="4" w:space="0" w:color="auto"/>
            </w:tcBorders>
            <w:shd w:val="clear" w:color="auto" w:fill="auto"/>
            <w:noWrap/>
            <w:vAlign w:val="bottom"/>
            <w:hideMark/>
          </w:tcPr>
          <w:p w14:paraId="65031610" w14:textId="58587B7E" w:rsidR="00140724" w:rsidRPr="00140724" w:rsidRDefault="00140724" w:rsidP="00140724">
            <w:pPr>
              <w:widowControl w:val="0"/>
              <w:jc w:val="center"/>
              <w:rPr>
                <w:rFonts w:cs="Times New Roman"/>
                <w:b/>
                <w:bCs/>
                <w:color w:val="000000"/>
                <w:sz w:val="20"/>
                <w:szCs w:val="20"/>
              </w:rPr>
            </w:pPr>
            <w:r w:rsidRPr="00140724">
              <w:rPr>
                <w:rFonts w:cs="Calibri"/>
                <w:b/>
                <w:bCs/>
                <w:color w:val="000000"/>
                <w:sz w:val="20"/>
              </w:rPr>
              <w:t>0,8</w:t>
            </w:r>
          </w:p>
        </w:tc>
        <w:tc>
          <w:tcPr>
            <w:tcW w:w="1015" w:type="dxa"/>
            <w:tcBorders>
              <w:top w:val="single" w:sz="4" w:space="0" w:color="auto"/>
              <w:bottom w:val="single" w:sz="4" w:space="0" w:color="auto"/>
            </w:tcBorders>
            <w:shd w:val="clear" w:color="auto" w:fill="auto"/>
            <w:noWrap/>
            <w:vAlign w:val="bottom"/>
            <w:hideMark/>
          </w:tcPr>
          <w:p w14:paraId="42724465" w14:textId="22B7638F" w:rsidR="00140724" w:rsidRPr="00140724" w:rsidRDefault="00140724" w:rsidP="00140724">
            <w:pPr>
              <w:widowControl w:val="0"/>
              <w:jc w:val="center"/>
              <w:rPr>
                <w:rFonts w:cs="Times New Roman"/>
                <w:b/>
                <w:bCs/>
                <w:color w:val="000000"/>
                <w:sz w:val="20"/>
                <w:szCs w:val="20"/>
              </w:rPr>
            </w:pPr>
            <w:r w:rsidRPr="00140724">
              <w:rPr>
                <w:rFonts w:cs="Calibri"/>
                <w:b/>
                <w:bCs/>
                <w:color w:val="000000"/>
                <w:sz w:val="20"/>
              </w:rPr>
              <w:t>0,5</w:t>
            </w:r>
          </w:p>
        </w:tc>
        <w:tc>
          <w:tcPr>
            <w:tcW w:w="1025" w:type="dxa"/>
            <w:tcBorders>
              <w:top w:val="single" w:sz="4" w:space="0" w:color="auto"/>
              <w:bottom w:val="single" w:sz="4" w:space="0" w:color="auto"/>
              <w:right w:val="nil"/>
            </w:tcBorders>
            <w:shd w:val="clear" w:color="auto" w:fill="auto"/>
            <w:noWrap/>
            <w:vAlign w:val="bottom"/>
            <w:hideMark/>
          </w:tcPr>
          <w:p w14:paraId="34B6B5B4" w14:textId="0EDB0CF7" w:rsidR="00140724" w:rsidRPr="00140724" w:rsidRDefault="00140724" w:rsidP="00140724">
            <w:pPr>
              <w:widowControl w:val="0"/>
              <w:jc w:val="center"/>
              <w:rPr>
                <w:rFonts w:cs="Times New Roman"/>
                <w:b/>
                <w:bCs/>
                <w:color w:val="000000"/>
                <w:sz w:val="20"/>
                <w:szCs w:val="20"/>
              </w:rPr>
            </w:pPr>
            <w:r w:rsidRPr="00140724">
              <w:rPr>
                <w:rFonts w:cs="Calibri"/>
                <w:b/>
                <w:bCs/>
                <w:color w:val="000000"/>
                <w:sz w:val="20"/>
              </w:rPr>
              <w:t>0,5</w:t>
            </w:r>
          </w:p>
        </w:tc>
      </w:tr>
      <w:tr w:rsidR="000C6444" w:rsidRPr="008006E2" w14:paraId="523963E2" w14:textId="77777777" w:rsidTr="00A36664">
        <w:trPr>
          <w:trHeight w:val="141"/>
          <w:jc w:val="center"/>
        </w:trPr>
        <w:tc>
          <w:tcPr>
            <w:tcW w:w="3261" w:type="dxa"/>
            <w:tcBorders>
              <w:top w:val="nil"/>
              <w:left w:val="nil"/>
              <w:bottom w:val="single" w:sz="8" w:space="0" w:color="auto"/>
              <w:right w:val="single" w:sz="4" w:space="0" w:color="auto"/>
            </w:tcBorders>
            <w:shd w:val="clear" w:color="auto" w:fill="auto"/>
            <w:noWrap/>
            <w:vAlign w:val="center"/>
          </w:tcPr>
          <w:p w14:paraId="300C1A1D" w14:textId="77777777" w:rsidR="000C6444" w:rsidRPr="00AF4123" w:rsidRDefault="000C6444" w:rsidP="00070E82">
            <w:pPr>
              <w:widowControl w:val="0"/>
              <w:rPr>
                <w:rFonts w:cs="Times New Roman"/>
                <w:i/>
                <w:iCs/>
                <w:color w:val="000000"/>
                <w:sz w:val="18"/>
                <w:szCs w:val="18"/>
              </w:rPr>
            </w:pPr>
            <w:r w:rsidRPr="00AF4123">
              <w:rPr>
                <w:rFonts w:cs="Times New Roman"/>
                <w:bCs/>
                <w:i/>
                <w:color w:val="000000"/>
                <w:sz w:val="18"/>
                <w:szCs w:val="18"/>
              </w:rPr>
              <w:t xml:space="preserve">p.m. Saldo verejnej správy </w:t>
            </w:r>
            <w:r>
              <w:rPr>
                <w:rFonts w:cs="Times New Roman"/>
                <w:bCs/>
                <w:i/>
                <w:color w:val="000000"/>
                <w:sz w:val="18"/>
                <w:szCs w:val="18"/>
              </w:rPr>
              <w:t>z predbežne zostaveného návrhu rozpočtu (fiškálny rámec - FRRVS)</w:t>
            </w:r>
          </w:p>
        </w:tc>
        <w:tc>
          <w:tcPr>
            <w:tcW w:w="728" w:type="dxa"/>
            <w:tcBorders>
              <w:top w:val="nil"/>
              <w:left w:val="single" w:sz="4" w:space="0" w:color="auto"/>
              <w:bottom w:val="single" w:sz="8" w:space="0" w:color="auto"/>
              <w:right w:val="nil"/>
            </w:tcBorders>
            <w:shd w:val="clear" w:color="auto" w:fill="auto"/>
          </w:tcPr>
          <w:p w14:paraId="5B528C3F" w14:textId="77777777" w:rsidR="000C6444" w:rsidRPr="00AF4123" w:rsidRDefault="000C6444" w:rsidP="00070E82">
            <w:pPr>
              <w:widowControl w:val="0"/>
              <w:jc w:val="center"/>
              <w:rPr>
                <w:rFonts w:cs="Times New Roman"/>
                <w:i/>
                <w:iCs/>
                <w:color w:val="000000"/>
                <w:sz w:val="18"/>
                <w:szCs w:val="18"/>
              </w:rPr>
            </w:pPr>
          </w:p>
        </w:tc>
        <w:tc>
          <w:tcPr>
            <w:tcW w:w="1014" w:type="dxa"/>
            <w:tcBorders>
              <w:top w:val="nil"/>
              <w:left w:val="nil"/>
              <w:bottom w:val="single" w:sz="8" w:space="0" w:color="auto"/>
              <w:right w:val="nil"/>
            </w:tcBorders>
            <w:shd w:val="clear" w:color="auto" w:fill="auto"/>
            <w:noWrap/>
          </w:tcPr>
          <w:p w14:paraId="08DB3232" w14:textId="77777777" w:rsidR="000C6444" w:rsidRPr="00AF4123" w:rsidRDefault="000C6444" w:rsidP="00070E82">
            <w:pPr>
              <w:widowControl w:val="0"/>
              <w:jc w:val="center"/>
              <w:rPr>
                <w:rFonts w:cs="Times New Roman"/>
                <w:i/>
                <w:iCs/>
                <w:color w:val="000000"/>
                <w:sz w:val="18"/>
                <w:szCs w:val="18"/>
              </w:rPr>
            </w:pPr>
          </w:p>
        </w:tc>
        <w:tc>
          <w:tcPr>
            <w:tcW w:w="1015" w:type="dxa"/>
            <w:tcBorders>
              <w:top w:val="nil"/>
              <w:left w:val="nil"/>
              <w:bottom w:val="single" w:sz="8" w:space="0" w:color="auto"/>
              <w:right w:val="nil"/>
            </w:tcBorders>
            <w:shd w:val="clear" w:color="auto" w:fill="auto"/>
            <w:noWrap/>
            <w:vAlign w:val="center"/>
          </w:tcPr>
          <w:p w14:paraId="5C214B74" w14:textId="77777777" w:rsidR="000C6444" w:rsidRPr="00AF4123" w:rsidRDefault="000C6444" w:rsidP="00070E82">
            <w:pPr>
              <w:widowControl w:val="0"/>
              <w:jc w:val="center"/>
              <w:rPr>
                <w:rFonts w:cs="Times New Roman"/>
                <w:i/>
                <w:iCs/>
                <w:color w:val="000000"/>
                <w:sz w:val="18"/>
                <w:szCs w:val="18"/>
              </w:rPr>
            </w:pPr>
          </w:p>
        </w:tc>
        <w:tc>
          <w:tcPr>
            <w:tcW w:w="1014" w:type="dxa"/>
            <w:tcBorders>
              <w:top w:val="nil"/>
              <w:left w:val="nil"/>
              <w:bottom w:val="single" w:sz="8" w:space="0" w:color="auto"/>
              <w:right w:val="nil"/>
            </w:tcBorders>
            <w:shd w:val="clear" w:color="auto" w:fill="auto"/>
            <w:noWrap/>
            <w:vAlign w:val="bottom"/>
          </w:tcPr>
          <w:p w14:paraId="04589030" w14:textId="77777777" w:rsidR="000C6444" w:rsidRPr="002A21C5" w:rsidRDefault="000C6444" w:rsidP="00070E82">
            <w:pPr>
              <w:widowControl w:val="0"/>
              <w:jc w:val="center"/>
              <w:rPr>
                <w:rFonts w:cs="Times New Roman"/>
                <w:i/>
                <w:iCs/>
                <w:color w:val="000000"/>
                <w:sz w:val="18"/>
                <w:szCs w:val="18"/>
                <w:highlight w:val="yellow"/>
              </w:rPr>
            </w:pPr>
            <w:r>
              <w:rPr>
                <w:b/>
                <w:bCs/>
                <w:color w:val="000000"/>
                <w:sz w:val="21"/>
                <w:szCs w:val="21"/>
              </w:rPr>
              <w:t>-3,3</w:t>
            </w:r>
          </w:p>
        </w:tc>
        <w:tc>
          <w:tcPr>
            <w:tcW w:w="1015" w:type="dxa"/>
            <w:tcBorders>
              <w:top w:val="nil"/>
              <w:left w:val="nil"/>
              <w:bottom w:val="single" w:sz="8" w:space="0" w:color="auto"/>
              <w:right w:val="nil"/>
            </w:tcBorders>
            <w:shd w:val="clear" w:color="auto" w:fill="auto"/>
            <w:noWrap/>
            <w:vAlign w:val="bottom"/>
          </w:tcPr>
          <w:p w14:paraId="54A03C41" w14:textId="77777777" w:rsidR="000C6444" w:rsidRPr="002A21C5" w:rsidRDefault="000C6444" w:rsidP="00070E82">
            <w:pPr>
              <w:widowControl w:val="0"/>
              <w:jc w:val="center"/>
              <w:rPr>
                <w:rFonts w:cs="Times New Roman"/>
                <w:i/>
                <w:iCs/>
                <w:color w:val="000000"/>
                <w:sz w:val="18"/>
                <w:szCs w:val="18"/>
                <w:highlight w:val="yellow"/>
              </w:rPr>
            </w:pPr>
            <w:r>
              <w:rPr>
                <w:b/>
                <w:bCs/>
                <w:color w:val="000000"/>
                <w:sz w:val="21"/>
                <w:szCs w:val="21"/>
              </w:rPr>
              <w:t>-3,2</w:t>
            </w:r>
          </w:p>
        </w:tc>
        <w:tc>
          <w:tcPr>
            <w:tcW w:w="1025" w:type="dxa"/>
            <w:tcBorders>
              <w:top w:val="nil"/>
              <w:left w:val="nil"/>
              <w:bottom w:val="single" w:sz="8" w:space="0" w:color="auto"/>
              <w:right w:val="nil"/>
            </w:tcBorders>
            <w:shd w:val="clear" w:color="auto" w:fill="auto"/>
            <w:noWrap/>
            <w:vAlign w:val="bottom"/>
          </w:tcPr>
          <w:p w14:paraId="22347A02" w14:textId="77777777" w:rsidR="000C6444" w:rsidRPr="00AF4123" w:rsidRDefault="000C6444" w:rsidP="00070E82">
            <w:pPr>
              <w:widowControl w:val="0"/>
              <w:jc w:val="center"/>
              <w:rPr>
                <w:rFonts w:cs="Times New Roman"/>
                <w:i/>
                <w:iCs/>
                <w:color w:val="000000"/>
                <w:sz w:val="18"/>
                <w:szCs w:val="18"/>
              </w:rPr>
            </w:pPr>
            <w:r>
              <w:rPr>
                <w:b/>
                <w:bCs/>
                <w:color w:val="000000"/>
                <w:sz w:val="21"/>
                <w:szCs w:val="21"/>
              </w:rPr>
              <w:t>-3,5</w:t>
            </w:r>
          </w:p>
        </w:tc>
      </w:tr>
      <w:tr w:rsidR="00140724" w:rsidRPr="008006E2" w14:paraId="1F917253" w14:textId="77777777" w:rsidTr="00A36664">
        <w:trPr>
          <w:trHeight w:val="141"/>
          <w:jc w:val="center"/>
        </w:trPr>
        <w:tc>
          <w:tcPr>
            <w:tcW w:w="3261" w:type="dxa"/>
            <w:tcBorders>
              <w:top w:val="nil"/>
              <w:left w:val="nil"/>
              <w:bottom w:val="single" w:sz="8" w:space="0" w:color="auto"/>
              <w:right w:val="single" w:sz="4" w:space="0" w:color="auto"/>
            </w:tcBorders>
            <w:shd w:val="clear" w:color="auto" w:fill="auto"/>
            <w:noWrap/>
            <w:vAlign w:val="center"/>
          </w:tcPr>
          <w:p w14:paraId="7EB9C80A" w14:textId="77777777" w:rsidR="00140724" w:rsidRDefault="00140724" w:rsidP="00140724">
            <w:pPr>
              <w:widowControl w:val="0"/>
              <w:rPr>
                <w:rFonts w:cs="Times New Roman"/>
                <w:bCs/>
                <w:i/>
                <w:color w:val="000000"/>
                <w:sz w:val="18"/>
                <w:szCs w:val="18"/>
              </w:rPr>
            </w:pPr>
            <w:r>
              <w:rPr>
                <w:rFonts w:cs="Times New Roman"/>
                <w:bCs/>
                <w:i/>
                <w:color w:val="000000"/>
                <w:sz w:val="18"/>
                <w:szCs w:val="18"/>
              </w:rPr>
              <w:t>p.m. Opatrenia potrebné na dosiahnutie rozpočtových cieľov v mil. eur oproti FRRVS</w:t>
            </w:r>
          </w:p>
        </w:tc>
        <w:tc>
          <w:tcPr>
            <w:tcW w:w="728" w:type="dxa"/>
            <w:tcBorders>
              <w:top w:val="nil"/>
              <w:left w:val="single" w:sz="4" w:space="0" w:color="auto"/>
              <w:bottom w:val="single" w:sz="8" w:space="0" w:color="auto"/>
              <w:right w:val="nil"/>
            </w:tcBorders>
            <w:shd w:val="clear" w:color="auto" w:fill="auto"/>
          </w:tcPr>
          <w:p w14:paraId="383C19E6" w14:textId="77777777" w:rsidR="00140724" w:rsidRPr="00AF4123" w:rsidRDefault="00140724" w:rsidP="00140724">
            <w:pPr>
              <w:widowControl w:val="0"/>
              <w:jc w:val="center"/>
              <w:rPr>
                <w:rFonts w:cs="Times New Roman"/>
                <w:i/>
                <w:iCs/>
                <w:color w:val="000000"/>
                <w:sz w:val="18"/>
                <w:szCs w:val="18"/>
              </w:rPr>
            </w:pPr>
          </w:p>
        </w:tc>
        <w:tc>
          <w:tcPr>
            <w:tcW w:w="1014" w:type="dxa"/>
            <w:tcBorders>
              <w:top w:val="nil"/>
              <w:left w:val="nil"/>
              <w:bottom w:val="single" w:sz="8" w:space="0" w:color="auto"/>
              <w:right w:val="nil"/>
            </w:tcBorders>
            <w:shd w:val="clear" w:color="auto" w:fill="auto"/>
            <w:noWrap/>
          </w:tcPr>
          <w:p w14:paraId="74BA668A" w14:textId="77777777" w:rsidR="00140724" w:rsidRPr="00AF4123" w:rsidRDefault="00140724" w:rsidP="00140724">
            <w:pPr>
              <w:widowControl w:val="0"/>
              <w:jc w:val="center"/>
              <w:rPr>
                <w:rFonts w:cs="Times New Roman"/>
                <w:i/>
                <w:iCs/>
                <w:color w:val="000000"/>
                <w:sz w:val="18"/>
                <w:szCs w:val="18"/>
              </w:rPr>
            </w:pPr>
          </w:p>
        </w:tc>
        <w:tc>
          <w:tcPr>
            <w:tcW w:w="1015" w:type="dxa"/>
            <w:tcBorders>
              <w:top w:val="nil"/>
              <w:left w:val="nil"/>
              <w:bottom w:val="single" w:sz="8" w:space="0" w:color="auto"/>
              <w:right w:val="nil"/>
            </w:tcBorders>
            <w:shd w:val="clear" w:color="auto" w:fill="auto"/>
            <w:noWrap/>
            <w:vAlign w:val="center"/>
          </w:tcPr>
          <w:p w14:paraId="2DFCC21B" w14:textId="77777777" w:rsidR="00140724" w:rsidRPr="00AF4123" w:rsidRDefault="00140724" w:rsidP="00140724">
            <w:pPr>
              <w:widowControl w:val="0"/>
              <w:jc w:val="center"/>
              <w:rPr>
                <w:rFonts w:cs="Times New Roman"/>
                <w:i/>
                <w:iCs/>
                <w:color w:val="000000"/>
                <w:sz w:val="18"/>
                <w:szCs w:val="18"/>
              </w:rPr>
            </w:pPr>
          </w:p>
        </w:tc>
        <w:tc>
          <w:tcPr>
            <w:tcW w:w="1014" w:type="dxa"/>
            <w:tcBorders>
              <w:top w:val="nil"/>
              <w:left w:val="nil"/>
              <w:bottom w:val="single" w:sz="8" w:space="0" w:color="auto"/>
              <w:right w:val="nil"/>
            </w:tcBorders>
            <w:shd w:val="clear" w:color="auto" w:fill="auto"/>
            <w:noWrap/>
            <w:vAlign w:val="bottom"/>
          </w:tcPr>
          <w:p w14:paraId="54AF56F4" w14:textId="55418D50" w:rsidR="00140724" w:rsidRPr="00140724" w:rsidRDefault="00140724" w:rsidP="00140724">
            <w:pPr>
              <w:widowControl w:val="0"/>
              <w:jc w:val="center"/>
              <w:rPr>
                <w:rFonts w:cs="Times New Roman"/>
                <w:i/>
                <w:iCs/>
                <w:color w:val="000000"/>
                <w:sz w:val="20"/>
                <w:szCs w:val="18"/>
                <w:highlight w:val="yellow"/>
              </w:rPr>
            </w:pPr>
            <w:r w:rsidRPr="00140724">
              <w:rPr>
                <w:rFonts w:cs="Calibri"/>
                <w:b/>
                <w:bCs/>
                <w:color w:val="000000"/>
                <w:sz w:val="20"/>
              </w:rPr>
              <w:t>1037</w:t>
            </w:r>
          </w:p>
        </w:tc>
        <w:tc>
          <w:tcPr>
            <w:tcW w:w="1015" w:type="dxa"/>
            <w:tcBorders>
              <w:top w:val="nil"/>
              <w:left w:val="nil"/>
              <w:bottom w:val="single" w:sz="8" w:space="0" w:color="auto"/>
              <w:right w:val="nil"/>
            </w:tcBorders>
            <w:shd w:val="clear" w:color="auto" w:fill="auto"/>
            <w:noWrap/>
            <w:vAlign w:val="bottom"/>
          </w:tcPr>
          <w:p w14:paraId="65A7C3FA" w14:textId="2F9D5F1C" w:rsidR="00140724" w:rsidRPr="00140724" w:rsidRDefault="00140724" w:rsidP="00140724">
            <w:pPr>
              <w:widowControl w:val="0"/>
              <w:jc w:val="center"/>
              <w:rPr>
                <w:rFonts w:cs="Times New Roman"/>
                <w:i/>
                <w:iCs/>
                <w:color w:val="000000"/>
                <w:sz w:val="20"/>
                <w:szCs w:val="18"/>
                <w:highlight w:val="yellow"/>
              </w:rPr>
            </w:pPr>
            <w:r w:rsidRPr="00140724">
              <w:rPr>
                <w:rFonts w:cs="Calibri"/>
                <w:b/>
                <w:bCs/>
                <w:color w:val="000000"/>
                <w:sz w:val="20"/>
              </w:rPr>
              <w:t>1114</w:t>
            </w:r>
          </w:p>
        </w:tc>
        <w:tc>
          <w:tcPr>
            <w:tcW w:w="1025" w:type="dxa"/>
            <w:tcBorders>
              <w:top w:val="nil"/>
              <w:left w:val="nil"/>
              <w:bottom w:val="single" w:sz="8" w:space="0" w:color="auto"/>
              <w:right w:val="nil"/>
            </w:tcBorders>
            <w:shd w:val="clear" w:color="auto" w:fill="auto"/>
            <w:noWrap/>
            <w:vAlign w:val="bottom"/>
          </w:tcPr>
          <w:p w14:paraId="701638E4" w14:textId="697D05FC" w:rsidR="00140724" w:rsidRPr="00140724" w:rsidRDefault="00140724" w:rsidP="00140724">
            <w:pPr>
              <w:widowControl w:val="0"/>
              <w:jc w:val="center"/>
              <w:rPr>
                <w:rFonts w:cs="Times New Roman"/>
                <w:i/>
                <w:iCs/>
                <w:color w:val="000000"/>
                <w:sz w:val="20"/>
                <w:szCs w:val="18"/>
              </w:rPr>
            </w:pPr>
            <w:r w:rsidRPr="00140724">
              <w:rPr>
                <w:rFonts w:cs="Calibri"/>
                <w:b/>
                <w:bCs/>
                <w:color w:val="000000"/>
                <w:sz w:val="20"/>
              </w:rPr>
              <w:t>1850</w:t>
            </w:r>
          </w:p>
        </w:tc>
      </w:tr>
      <w:tr w:rsidR="000C6444" w:rsidRPr="008006E2" w14:paraId="22812D8B" w14:textId="77777777" w:rsidTr="00A36664">
        <w:trPr>
          <w:trHeight w:val="188"/>
          <w:jc w:val="center"/>
        </w:trPr>
        <w:tc>
          <w:tcPr>
            <w:tcW w:w="9072" w:type="dxa"/>
            <w:gridSpan w:val="7"/>
            <w:tcBorders>
              <w:top w:val="nil"/>
              <w:left w:val="nil"/>
              <w:bottom w:val="nil"/>
              <w:right w:val="nil"/>
            </w:tcBorders>
          </w:tcPr>
          <w:p w14:paraId="29DB986B" w14:textId="6AC7928A" w:rsidR="000C6444" w:rsidRPr="00AF4123" w:rsidRDefault="000C6444" w:rsidP="00CE4652">
            <w:pPr>
              <w:widowControl w:val="0"/>
              <w:jc w:val="both"/>
              <w:rPr>
                <w:i/>
                <w:sz w:val="16"/>
                <w:szCs w:val="16"/>
              </w:rPr>
            </w:pPr>
            <w:r w:rsidRPr="00AF4123">
              <w:rPr>
                <w:i/>
                <w:sz w:val="16"/>
                <w:szCs w:val="16"/>
              </w:rPr>
              <w:t xml:space="preserve">* </w:t>
            </w:r>
            <w:r w:rsidR="00376B3F">
              <w:rPr>
                <w:i/>
                <w:sz w:val="16"/>
                <w:szCs w:val="16"/>
              </w:rPr>
              <w:t>Rozpočtové ciele budú spresnené v júli 2022 podľa júnových prognóz Výboru pre makroekonomické prognózy a Výboru pre daňové prognózy</w:t>
            </w:r>
            <w:r w:rsidR="00BE48C8">
              <w:rPr>
                <w:i/>
                <w:sz w:val="16"/>
                <w:szCs w:val="16"/>
              </w:rPr>
              <w:t xml:space="preserve"> a aktuálneho vývoja def</w:t>
            </w:r>
            <w:r w:rsidR="00C80AEE">
              <w:rPr>
                <w:i/>
                <w:sz w:val="16"/>
                <w:szCs w:val="16"/>
              </w:rPr>
              <w:t>i</w:t>
            </w:r>
            <w:r w:rsidR="00BE48C8">
              <w:rPr>
                <w:i/>
                <w:sz w:val="16"/>
                <w:szCs w:val="16"/>
              </w:rPr>
              <w:t>citu v roku 2022</w:t>
            </w:r>
            <w:r w:rsidR="00CE4652">
              <w:rPr>
                <w:i/>
                <w:sz w:val="16"/>
                <w:szCs w:val="16"/>
              </w:rPr>
              <w:t>,</w:t>
            </w:r>
            <w:r w:rsidR="00572E30">
              <w:rPr>
                <w:i/>
                <w:sz w:val="16"/>
                <w:szCs w:val="16"/>
              </w:rPr>
              <w:t xml:space="preserve"> a</w:t>
            </w:r>
            <w:r w:rsidR="00CE4652">
              <w:rPr>
                <w:i/>
                <w:sz w:val="16"/>
                <w:szCs w:val="16"/>
              </w:rPr>
              <w:t xml:space="preserve"> taktiež aktualizovaných limitov verejných výdavkov vypočítaných RRZ</w:t>
            </w:r>
            <w:r w:rsidR="00376B3F">
              <w:rPr>
                <w:i/>
                <w:sz w:val="16"/>
                <w:szCs w:val="16"/>
              </w:rPr>
              <w:t>. V týchto spresnených cieľoch bud</w:t>
            </w:r>
            <w:r w:rsidR="00BE48C8">
              <w:rPr>
                <w:i/>
                <w:sz w:val="16"/>
                <w:szCs w:val="16"/>
              </w:rPr>
              <w:t>e</w:t>
            </w:r>
            <w:r w:rsidR="00376B3F">
              <w:rPr>
                <w:i/>
                <w:sz w:val="16"/>
                <w:szCs w:val="16"/>
              </w:rPr>
              <w:t xml:space="preserve"> </w:t>
            </w:r>
            <w:r w:rsidR="00BE48C8">
              <w:rPr>
                <w:i/>
                <w:sz w:val="16"/>
                <w:szCs w:val="16"/>
              </w:rPr>
              <w:t>zohľadnen</w:t>
            </w:r>
            <w:r w:rsidR="00196D96">
              <w:rPr>
                <w:i/>
                <w:sz w:val="16"/>
                <w:szCs w:val="16"/>
              </w:rPr>
              <w:t xml:space="preserve">á </w:t>
            </w:r>
            <w:r w:rsidR="00BE48C8">
              <w:rPr>
                <w:i/>
                <w:sz w:val="16"/>
                <w:szCs w:val="16"/>
              </w:rPr>
              <w:t>aj</w:t>
            </w:r>
            <w:r w:rsidR="00196D96">
              <w:rPr>
                <w:i/>
                <w:sz w:val="16"/>
                <w:szCs w:val="16"/>
              </w:rPr>
              <w:t xml:space="preserve"> prípadná materializácia viacerých negatívnych rizík</w:t>
            </w:r>
            <w:r w:rsidR="00376B3F">
              <w:rPr>
                <w:i/>
                <w:sz w:val="16"/>
                <w:szCs w:val="16"/>
              </w:rPr>
              <w:t xml:space="preserve"> </w:t>
            </w:r>
            <w:r w:rsidR="00196D96">
              <w:rPr>
                <w:i/>
                <w:sz w:val="16"/>
                <w:szCs w:val="16"/>
              </w:rPr>
              <w:t>ako aj</w:t>
            </w:r>
            <w:r w:rsidR="00376B3F">
              <w:rPr>
                <w:i/>
                <w:sz w:val="16"/>
                <w:szCs w:val="16"/>
              </w:rPr>
              <w:t xml:space="preserve"> </w:t>
            </w:r>
            <w:r w:rsidR="00BE48C8">
              <w:rPr>
                <w:i/>
                <w:sz w:val="16"/>
                <w:szCs w:val="16"/>
              </w:rPr>
              <w:t xml:space="preserve"> prípadné</w:t>
            </w:r>
            <w:r w:rsidR="00376B3F">
              <w:rPr>
                <w:i/>
                <w:sz w:val="16"/>
                <w:szCs w:val="16"/>
              </w:rPr>
              <w:t xml:space="preserve"> nové opatrenia vlády</w:t>
            </w:r>
            <w:r w:rsidR="00BE48C8">
              <w:rPr>
                <w:i/>
                <w:sz w:val="16"/>
                <w:szCs w:val="16"/>
              </w:rPr>
              <w:t>.</w:t>
            </w:r>
            <w:r w:rsidRPr="00AF4123">
              <w:rPr>
                <w:rFonts w:cs="Times New Roman"/>
                <w:i/>
                <w:iCs/>
                <w:color w:val="000000"/>
                <w:sz w:val="16"/>
                <w:szCs w:val="16"/>
              </w:rPr>
              <w:t xml:space="preserve">                                          </w:t>
            </w:r>
          </w:p>
          <w:p w14:paraId="68731889" w14:textId="19B0D4EF" w:rsidR="000C6444" w:rsidRPr="00AF4123" w:rsidRDefault="000C6444" w:rsidP="00070E82">
            <w:pPr>
              <w:widowControl w:val="0"/>
              <w:spacing w:before="40"/>
              <w:rPr>
                <w:rFonts w:cs="Times New Roman"/>
                <w:i/>
                <w:iCs/>
                <w:color w:val="000000"/>
                <w:sz w:val="16"/>
                <w:szCs w:val="16"/>
              </w:rPr>
            </w:pPr>
            <w:r w:rsidRPr="00AF4123">
              <w:rPr>
                <w:rFonts w:cs="Times New Roman"/>
                <w:i/>
                <w:iCs/>
                <w:color w:val="000000"/>
                <w:sz w:val="16"/>
                <w:szCs w:val="16"/>
              </w:rPr>
              <w:t>** Niektoré sumy sa môžu líšiť od súčtu jednotlivých komponentov z dôvodu zaokrúhľovania.</w:t>
            </w:r>
            <w:r w:rsidRPr="00AF4123" w:rsidDel="00E97613">
              <w:rPr>
                <w:rFonts w:cs="Times New Roman"/>
                <w:i/>
                <w:iCs/>
                <w:color w:val="000000"/>
                <w:sz w:val="16"/>
                <w:szCs w:val="16"/>
              </w:rPr>
              <w:t xml:space="preserve"> </w:t>
            </w:r>
            <w:r w:rsidR="00376B3F">
              <w:rPr>
                <w:rFonts w:cs="Times New Roman"/>
                <w:i/>
                <w:iCs/>
                <w:color w:val="000000"/>
                <w:sz w:val="16"/>
                <w:szCs w:val="16"/>
              </w:rPr>
              <w:t xml:space="preserve">                                                                           </w:t>
            </w:r>
            <w:r w:rsidR="00376B3F" w:rsidRPr="00AF4123">
              <w:rPr>
                <w:rFonts w:cs="Times New Roman"/>
                <w:i/>
                <w:iCs/>
                <w:color w:val="000000"/>
                <w:sz w:val="16"/>
                <w:szCs w:val="16"/>
              </w:rPr>
              <w:t>Zdroj: MF SR</w:t>
            </w:r>
          </w:p>
        </w:tc>
      </w:tr>
    </w:tbl>
    <w:p w14:paraId="50BCE4F1" w14:textId="77777777" w:rsidR="000C6444" w:rsidRPr="008006E2" w:rsidRDefault="000C6444" w:rsidP="00070E82">
      <w:pPr>
        <w:pStyle w:val="NormalList"/>
        <w:widowControl w:val="0"/>
        <w:rPr>
          <w:b/>
          <w:highlight w:val="yellow"/>
        </w:rPr>
      </w:pPr>
    </w:p>
    <w:p w14:paraId="79A7DB45" w14:textId="3F09D2AC" w:rsidR="000C6444" w:rsidRDefault="000C6444" w:rsidP="00070E82">
      <w:pPr>
        <w:pStyle w:val="NormalList"/>
        <w:widowControl w:val="0"/>
      </w:pPr>
      <w:r>
        <w:rPr>
          <w:b/>
        </w:rPr>
        <w:t>Aj v</w:t>
      </w:r>
      <w:r w:rsidRPr="00BE2EB9">
        <w:rPr>
          <w:b/>
        </w:rPr>
        <w:t> nasledujúcich rokoch bude konsolidácia pokračovať v súlade s požiadavkami limitov</w:t>
      </w:r>
      <w:r>
        <w:rPr>
          <w:b/>
        </w:rPr>
        <w:t xml:space="preserve"> </w:t>
      </w:r>
      <w:r w:rsidRPr="00BE2EB9">
        <w:rPr>
          <w:b/>
        </w:rPr>
        <w:t xml:space="preserve">verejných výdavkov až k dosiahnutiu </w:t>
      </w:r>
      <w:r>
        <w:rPr>
          <w:b/>
        </w:rPr>
        <w:t>stavu dlhodobej udržateľnosti</w:t>
      </w:r>
      <w:r w:rsidRPr="00BE2EB9">
        <w:rPr>
          <w:b/>
        </w:rPr>
        <w:t xml:space="preserve">. </w:t>
      </w:r>
      <w:r>
        <w:rPr>
          <w:lang w:val="es-ES"/>
        </w:rPr>
        <w:t>Fiškálny rámec</w:t>
      </w:r>
      <w:r w:rsidRPr="00BE2EB9">
        <w:t xml:space="preserve"> </w:t>
      </w:r>
      <w:r>
        <w:t>v</w:t>
      </w:r>
      <w:r w:rsidRPr="00BE2EB9">
        <w:t xml:space="preserve"> rok</w:t>
      </w:r>
      <w:r>
        <w:t>och</w:t>
      </w:r>
      <w:r w:rsidRPr="00BE2EB9">
        <w:t xml:space="preserve"> 2024</w:t>
      </w:r>
      <w:r>
        <w:t xml:space="preserve"> a </w:t>
      </w:r>
      <w:r w:rsidRPr="00BE2EB9">
        <w:t>2025</w:t>
      </w:r>
      <w:r>
        <w:t xml:space="preserve"> stanovuje deficitné hospodárenie</w:t>
      </w:r>
      <w:r w:rsidRPr="00BE2EB9">
        <w:t xml:space="preserve"> </w:t>
      </w:r>
      <w:r>
        <w:t>aktuálne vo výške 3,2</w:t>
      </w:r>
      <w:r w:rsidRPr="00BE2EB9">
        <w:t xml:space="preserve"> % HDP v 2024 a </w:t>
      </w:r>
      <w:r>
        <w:t>3,5</w:t>
      </w:r>
      <w:r w:rsidRPr="00BE2EB9">
        <w:t xml:space="preserve"> % HDP v 2025.</w:t>
      </w:r>
      <w:r>
        <w:t xml:space="preserve"> Tieto schodky</w:t>
      </w:r>
      <w:r w:rsidRPr="00BE2EB9">
        <w:t xml:space="preserve"> na rok 2024 však rovnako ako v roku </w:t>
      </w:r>
      <w:r>
        <w:t>2023 nezodpovedajú rozpočtovým cieľom, ktoré vychádzajú z</w:t>
      </w:r>
      <w:r w:rsidRPr="00BE2EB9">
        <w:t xml:space="preserve"> </w:t>
      </w:r>
      <w:r>
        <w:t>požiadaviek</w:t>
      </w:r>
      <w:r w:rsidRPr="00BE2EB9">
        <w:t xml:space="preserve"> vyplývajúcich z limitov verejných výdavkov</w:t>
      </w:r>
      <w:r w:rsidRPr="00BE2EB9">
        <w:rPr>
          <w:rStyle w:val="Odkaznapoznmkupodiarou"/>
        </w:rPr>
        <w:footnoteReference w:id="34"/>
      </w:r>
      <w:r w:rsidRPr="00BE2EB9">
        <w:t>.</w:t>
      </w:r>
      <w:r>
        <w:t xml:space="preserve"> </w:t>
      </w:r>
      <w:r w:rsidR="00D62650">
        <w:rPr>
          <w:iCs/>
          <w:color w:val="000000"/>
        </w:rPr>
        <w:t>P</w:t>
      </w:r>
      <w:r w:rsidR="00D62650" w:rsidRPr="004F5B30">
        <w:rPr>
          <w:iCs/>
          <w:color w:val="000000"/>
        </w:rPr>
        <w:t xml:space="preserve">re rok 2025 </w:t>
      </w:r>
      <w:r w:rsidRPr="004F5B30">
        <w:rPr>
          <w:iCs/>
          <w:color w:val="000000"/>
        </w:rPr>
        <w:t>Program stability zatiaľ v rámci technického predpokladu uvažuje s dodatočným znížením štrukturálneho salda o 0,5 % HDP</w:t>
      </w:r>
      <w:r w:rsidR="00D62650">
        <w:rPr>
          <w:iCs/>
          <w:color w:val="000000"/>
        </w:rPr>
        <w:t>, čo znamená nominálny deficit 2,1 % HDP</w:t>
      </w:r>
      <w:r w:rsidR="00D62650">
        <w:rPr>
          <w:rStyle w:val="Odkaznapoznmkupodiarou"/>
          <w:iCs/>
          <w:color w:val="000000"/>
        </w:rPr>
        <w:footnoteReference w:id="35"/>
      </w:r>
      <w:r w:rsidRPr="004F5B30">
        <w:rPr>
          <w:iCs/>
          <w:color w:val="000000"/>
        </w:rPr>
        <w:t>.</w:t>
      </w:r>
      <w:r>
        <w:t xml:space="preserve"> Konsolidácia verejných financií bude pokračovať aj po roku 2025 v súlade s požiadavkami limitov verejných výdavkov, až kým nebude dosiahnutý štrukturálny prebytok 0,5 % HDP</w:t>
      </w:r>
      <w:r>
        <w:rPr>
          <w:rStyle w:val="Odkaznapoznmkupodiarou"/>
        </w:rPr>
        <w:footnoteReference w:id="36"/>
      </w:r>
      <w:r>
        <w:t xml:space="preserve">. Táto hodnota pre účely Programu stability predstavuje aj aktuálne platný strednodobý rozpočtový cieľ (tzv. MTO – </w:t>
      </w:r>
      <w:r w:rsidRPr="005861F4">
        <w:rPr>
          <w:i/>
        </w:rPr>
        <w:t>Medium term objective</w:t>
      </w:r>
      <w:r>
        <w:t>), ktor</w:t>
      </w:r>
      <w:r w:rsidR="00C7511F">
        <w:t>ý by bol dosiahnutý do roku 2030</w:t>
      </w:r>
      <w:r>
        <w:t>.</w:t>
      </w:r>
      <w:r w:rsidRPr="00BE2EB9">
        <w:t xml:space="preserve"> </w:t>
      </w:r>
      <w:r w:rsidR="00D62650">
        <w:t>Na dosiahnutie cieľov je oproti predpokladom fiškálneho rámca potrebné špecifikovať opatrenia v rozmedzí 1 až 2 % HDP.</w:t>
      </w:r>
    </w:p>
    <w:p w14:paraId="3793F195" w14:textId="77777777" w:rsidR="000C6444" w:rsidRDefault="000C6444" w:rsidP="00070E82">
      <w:pPr>
        <w:pStyle w:val="NormalList"/>
        <w:widowControl w:val="0"/>
      </w:pPr>
    </w:p>
    <w:p w14:paraId="41A7C35C" w14:textId="337269E3" w:rsidR="000C6444" w:rsidRPr="00C90EFA" w:rsidRDefault="000C6444" w:rsidP="00070E82">
      <w:pPr>
        <w:pStyle w:val="NormalList"/>
        <w:widowControl w:val="0"/>
        <w:rPr>
          <w:sz w:val="20"/>
        </w:rPr>
      </w:pPr>
      <w:bookmarkStart w:id="112" w:name="_Toc101881943"/>
      <w:r w:rsidRPr="00C90EFA">
        <w:rPr>
          <w:rFonts w:eastAsiaTheme="minorHAnsi"/>
          <w:b/>
          <w:color w:val="2C9ADC"/>
          <w:sz w:val="20"/>
        </w:rPr>
        <w:t xml:space="preserve">GRAF </w:t>
      </w:r>
      <w:r w:rsidR="00984BC3" w:rsidRPr="00C90EFA">
        <w:rPr>
          <w:rFonts w:eastAsiaTheme="minorHAnsi"/>
          <w:b/>
          <w:color w:val="2C9ADC"/>
          <w:sz w:val="20"/>
        </w:rPr>
        <w:fldChar w:fldCharType="begin"/>
      </w:r>
      <w:r w:rsidR="00984BC3" w:rsidRPr="00C90EFA">
        <w:rPr>
          <w:rFonts w:eastAsiaTheme="minorHAnsi"/>
          <w:b/>
          <w:color w:val="2C9ADC"/>
          <w:sz w:val="20"/>
        </w:rPr>
        <w:instrText xml:space="preserve"> SEQ GRAF \* ARABIC </w:instrText>
      </w:r>
      <w:r w:rsidR="00984BC3" w:rsidRPr="00C90EFA">
        <w:rPr>
          <w:rFonts w:eastAsiaTheme="minorHAnsi"/>
          <w:b/>
          <w:color w:val="2C9ADC"/>
          <w:sz w:val="20"/>
        </w:rPr>
        <w:fldChar w:fldCharType="separate"/>
      </w:r>
      <w:r w:rsidR="005D3280">
        <w:rPr>
          <w:rFonts w:eastAsiaTheme="minorHAnsi"/>
          <w:b/>
          <w:noProof/>
          <w:color w:val="2C9ADC"/>
          <w:sz w:val="20"/>
        </w:rPr>
        <w:t>19</w:t>
      </w:r>
      <w:r w:rsidR="00984BC3" w:rsidRPr="00C90EFA">
        <w:rPr>
          <w:rFonts w:eastAsiaTheme="minorHAnsi"/>
          <w:b/>
          <w:color w:val="2C9ADC"/>
          <w:sz w:val="20"/>
        </w:rPr>
        <w:fldChar w:fldCharType="end"/>
      </w:r>
      <w:r w:rsidRPr="00C90EFA">
        <w:rPr>
          <w:rFonts w:eastAsiaTheme="minorHAnsi"/>
          <w:b/>
          <w:color w:val="2C9ADC"/>
          <w:sz w:val="20"/>
        </w:rPr>
        <w:t xml:space="preserve"> –</w:t>
      </w:r>
      <w:r w:rsidRPr="00C90EFA">
        <w:rPr>
          <w:rFonts w:eastAsia="NeueHaasGroteskText W02" w:cs="Arial"/>
          <w:b/>
          <w:bCs/>
          <w:color w:val="2C9ADC"/>
          <w:sz w:val="20"/>
          <w:u w:color="2C9ADC"/>
        </w:rPr>
        <w:t> Plánovaný vývoj štrukturálneho salda smerom k MTO (bez reforiem s vplyvom na dlhodobú udržateľnosť)</w:t>
      </w:r>
      <w:bookmarkEnd w:id="112"/>
    </w:p>
    <w:p w14:paraId="5BFE7F48" w14:textId="477ED736" w:rsidR="000C6444" w:rsidRDefault="00C7511F" w:rsidP="009E196D">
      <w:pPr>
        <w:widowControl w:val="0"/>
        <w:spacing w:before="40" w:after="40"/>
        <w:jc w:val="center"/>
        <w:rPr>
          <w:rFonts w:cs="Arial"/>
          <w:i/>
          <w:sz w:val="14"/>
          <w:szCs w:val="14"/>
        </w:rPr>
      </w:pPr>
      <w:r>
        <w:rPr>
          <w:noProof/>
        </w:rPr>
        <w:drawing>
          <wp:inline distT="0" distB="0" distL="0" distR="0" wp14:anchorId="681310A6" wp14:editId="291E724D">
            <wp:extent cx="5035061" cy="1500554"/>
            <wp:effectExtent l="0" t="0" r="0" b="444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CA6CF31" w14:textId="2AF71BBF" w:rsidR="009E196D" w:rsidRPr="005861F4" w:rsidRDefault="009E196D" w:rsidP="00F31325">
      <w:pPr>
        <w:widowControl w:val="0"/>
        <w:spacing w:before="40" w:after="40"/>
        <w:ind w:left="6372"/>
        <w:jc w:val="right"/>
        <w:rPr>
          <w:rFonts w:cs="Arial"/>
          <w:i/>
          <w:sz w:val="14"/>
          <w:szCs w:val="14"/>
        </w:rPr>
      </w:pPr>
      <w:r>
        <w:rPr>
          <w:rFonts w:cs="Arial"/>
          <w:i/>
          <w:sz w:val="14"/>
          <w:szCs w:val="14"/>
        </w:rPr>
        <w:t xml:space="preserve">         </w:t>
      </w:r>
      <w:r w:rsidRPr="009E196D">
        <w:rPr>
          <w:rFonts w:cs="Arial"/>
          <w:i/>
          <w:sz w:val="16"/>
          <w:szCs w:val="14"/>
        </w:rPr>
        <w:t>Zdroj: RRZ, MF SR</w:t>
      </w:r>
    </w:p>
    <w:p w14:paraId="4D65C559" w14:textId="77777777" w:rsidR="000C6444" w:rsidRPr="000C50FD" w:rsidRDefault="000C6444" w:rsidP="00070E82">
      <w:pPr>
        <w:pStyle w:val="Nadpis2"/>
        <w:widowControl w:val="0"/>
        <w:numPr>
          <w:ilvl w:val="1"/>
          <w:numId w:val="2"/>
        </w:numPr>
        <w:spacing w:before="240" w:after="120"/>
        <w:rPr>
          <w:b/>
        </w:rPr>
      </w:pPr>
      <w:bookmarkStart w:id="113" w:name="_Toc322707654"/>
      <w:bookmarkStart w:id="114" w:name="_Toc322708278"/>
      <w:bookmarkStart w:id="115" w:name="_Toc323117588"/>
      <w:bookmarkStart w:id="116" w:name="_Toc353466998"/>
      <w:bookmarkStart w:id="117" w:name="_Toc353468541"/>
      <w:bookmarkStart w:id="118" w:name="_Toc353804720"/>
      <w:bookmarkStart w:id="119" w:name="_Toc354476880"/>
      <w:bookmarkStart w:id="120" w:name="_Toc354476994"/>
      <w:bookmarkStart w:id="121" w:name="_Toc354477176"/>
      <w:bookmarkStart w:id="122" w:name="_Toc101880667"/>
      <w:bookmarkEnd w:id="113"/>
      <w:bookmarkEnd w:id="114"/>
      <w:bookmarkEnd w:id="115"/>
      <w:bookmarkEnd w:id="116"/>
      <w:bookmarkEnd w:id="117"/>
      <w:bookmarkEnd w:id="118"/>
      <w:bookmarkEnd w:id="119"/>
      <w:bookmarkEnd w:id="120"/>
      <w:bookmarkEnd w:id="121"/>
      <w:r>
        <w:rPr>
          <w:b/>
          <w:color w:val="2C9ADC"/>
          <w:szCs w:val="24"/>
        </w:rPr>
        <w:t>Celková f</w:t>
      </w:r>
      <w:r w:rsidRPr="0066769C">
        <w:rPr>
          <w:b/>
          <w:color w:val="2C9ADC"/>
          <w:szCs w:val="24"/>
        </w:rPr>
        <w:t>iškálna</w:t>
      </w:r>
      <w:r>
        <w:rPr>
          <w:b/>
        </w:rPr>
        <w:t xml:space="preserve"> pozícia (po zahrnutí impulzu z prostriedkov EÚ)</w:t>
      </w:r>
      <w:bookmarkEnd w:id="122"/>
    </w:p>
    <w:p w14:paraId="5450B927" w14:textId="7022B03E" w:rsidR="000C6444" w:rsidRDefault="000C6444" w:rsidP="00070E82">
      <w:pPr>
        <w:widowControl w:val="0"/>
        <w:jc w:val="both"/>
      </w:pPr>
      <w:r w:rsidRPr="00271220">
        <w:rPr>
          <w:b/>
        </w:rPr>
        <w:t xml:space="preserve">Slovensko ako nízko až stredne zadlžená ekonomika </w:t>
      </w:r>
      <w:r w:rsidR="003701E1">
        <w:rPr>
          <w:b/>
        </w:rPr>
        <w:t>má</w:t>
      </w:r>
      <w:r w:rsidRPr="00271220">
        <w:rPr>
          <w:b/>
        </w:rPr>
        <w:t xml:space="preserve"> podľa odporúčaní E</w:t>
      </w:r>
      <w:r>
        <w:rPr>
          <w:b/>
        </w:rPr>
        <w:t xml:space="preserve">urópskej komisie (EK) </w:t>
      </w:r>
      <w:r w:rsidRPr="00271220">
        <w:rPr>
          <w:b/>
        </w:rPr>
        <w:t xml:space="preserve">v roku 2023 zachovať neutrálnu fiškálnu pozíciu </w:t>
      </w:r>
      <w:r w:rsidR="003701E1">
        <w:rPr>
          <w:b/>
        </w:rPr>
        <w:t>v oblasti</w:t>
      </w:r>
      <w:r w:rsidRPr="00271220">
        <w:rPr>
          <w:b/>
        </w:rPr>
        <w:t xml:space="preserve"> </w:t>
      </w:r>
      <w:r>
        <w:rPr>
          <w:b/>
        </w:rPr>
        <w:t xml:space="preserve">národných investícií aj bežných výdavkov </w:t>
      </w:r>
      <w:r w:rsidRPr="00271220">
        <w:rPr>
          <w:b/>
        </w:rPr>
        <w:t>verejnej správy.</w:t>
      </w:r>
      <w:r>
        <w:t xml:space="preserve"> V rámci vnútornej štruktúry výdavkov Komisia v prvom rade odporúča, aby investičné výdavky financované z národných zdrojov</w:t>
      </w:r>
      <w:r w:rsidR="00B75648">
        <w:t xml:space="preserve"> neboli nahrádzané EÚ fondami</w:t>
      </w:r>
      <w:r>
        <w:t>. Investície očistené o zdroje z fondov EÚ a Plánu obnovy sa tak ma</w:t>
      </w:r>
      <w:r w:rsidR="000C6542">
        <w:t>jú</w:t>
      </w:r>
      <w:r>
        <w:t xml:space="preserve"> medziročne zvýšiť</w:t>
      </w:r>
      <w:r w:rsidR="00B75648">
        <w:t xml:space="preserve"> aspoň</w:t>
      </w:r>
      <w:r>
        <w:t xml:space="preserve"> o</w:t>
      </w:r>
      <w:r w:rsidR="00B75648">
        <w:t xml:space="preserve"> tempo dlhodobejšieho reálneho rastu HDP</w:t>
      </w:r>
      <w:r w:rsidR="003701E1">
        <w:t>. Ten</w:t>
      </w:r>
      <w:r w:rsidR="00B75648">
        <w:t xml:space="preserve"> je podľa EK v prípade Slovenska tesne nad 2%, pričom toto tempo sa ešte navyšuje o rast cien</w:t>
      </w:r>
      <w:r w:rsidR="00B75648">
        <w:rPr>
          <w:rStyle w:val="Odkaznapoznmkupodiarou"/>
        </w:rPr>
        <w:footnoteReference w:id="37"/>
      </w:r>
      <w:r w:rsidR="00B75648">
        <w:t>.</w:t>
      </w:r>
      <w:r>
        <w:t xml:space="preserve"> </w:t>
      </w:r>
      <w:r w:rsidR="001C07CC">
        <w:t xml:space="preserve">Rovnako neutrálny </w:t>
      </w:r>
      <w:r w:rsidR="003701E1">
        <w:t>má byť podľa odporúčaní EK aj</w:t>
      </w:r>
      <w:r w:rsidR="001C07CC">
        <w:t xml:space="preserve"> vývoj</w:t>
      </w:r>
      <w:r>
        <w:t xml:space="preserve"> upravených bežných výdavkoch bez zdrojov z</w:t>
      </w:r>
      <w:r w:rsidR="001C07CC">
        <w:t> </w:t>
      </w:r>
      <w:r>
        <w:t>EÚ</w:t>
      </w:r>
      <w:r w:rsidR="001C07CC">
        <w:t>, po očistení o nové príjmové opatrenia a po odčítaní dočasných vplyvov</w:t>
      </w:r>
      <w:r>
        <w:t>.</w:t>
      </w:r>
      <w:r w:rsidRPr="00DD063D">
        <w:t xml:space="preserve"> </w:t>
      </w:r>
      <w:r>
        <w:t xml:space="preserve">Komisia na základe </w:t>
      </w:r>
      <w:r w:rsidR="001C07CC">
        <w:t>tohto postupu</w:t>
      </w:r>
      <w:r>
        <w:t xml:space="preserve"> hodnotí, či je fiškálna politika členských štátov v súlade s jej odporúčaniami</w:t>
      </w:r>
      <w:r>
        <w:rPr>
          <w:rStyle w:val="Odkaznapoznmkupodiarou"/>
        </w:rPr>
        <w:footnoteReference w:id="38"/>
      </w:r>
      <w:r>
        <w:t>.</w:t>
      </w:r>
    </w:p>
    <w:p w14:paraId="37DBF47F" w14:textId="77777777" w:rsidR="000C6444" w:rsidRDefault="000C6444" w:rsidP="00070E82">
      <w:pPr>
        <w:widowControl w:val="0"/>
        <w:jc w:val="both"/>
      </w:pPr>
    </w:p>
    <w:p w14:paraId="0C3F7220" w14:textId="1F2EC530" w:rsidR="000C6444" w:rsidRPr="00641B0B" w:rsidRDefault="008E4BA0" w:rsidP="00070E82">
      <w:pPr>
        <w:widowControl w:val="0"/>
        <w:jc w:val="both"/>
      </w:pPr>
      <w:r w:rsidRPr="00E2396D">
        <w:rPr>
          <w:b/>
        </w:rPr>
        <w:t xml:space="preserve">Investičné výdavky z národných zdrojov porastú v roku 2023 pomalšie ako odporúča Európska komisia,  bežné výdavky </w:t>
      </w:r>
      <w:r>
        <w:rPr>
          <w:b/>
        </w:rPr>
        <w:t>majú naopak mierne expanzívny príspevok k fiškálnej pozícii v 2023</w:t>
      </w:r>
      <w:r w:rsidRPr="00E2396D">
        <w:rPr>
          <w:b/>
        </w:rPr>
        <w:t xml:space="preserve">. </w:t>
      </w:r>
      <w:r w:rsidRPr="00E2396D">
        <w:t>Predbežne zostavený rozpočet na roky 2023 až 2025 plánuje pomalší rast výdavkov určených na investície v porovnaní s tým, čo pre rok 2023 odporúča EK (</w:t>
      </w:r>
      <w:r w:rsidRPr="00E2396D">
        <w:rPr>
          <w:rFonts w:eastAsia="Calibri" w:cs="Arial"/>
          <w:b/>
          <w:bCs/>
          <w:color w:val="2C9ADC"/>
          <w:lang w:eastAsia="en-US"/>
        </w:rPr>
        <w:t>GRAF 20</w:t>
      </w:r>
      <w:r w:rsidRPr="00E2396D">
        <w:t xml:space="preserve">). Ministerstvo financií predpokladá, že odporúčania Komisie v rámci medziročného rastu investícií z domácich zdrojov by mali zodpovedať tempu </w:t>
      </w:r>
      <w:r>
        <w:t>7,4</w:t>
      </w:r>
      <w:r w:rsidRPr="00E2396D">
        <w:t xml:space="preserve"> %. V pripravenom rozpočte investície z domácich zdrojov medziročne klesajú o necelé 1 %. Tento mierny pokles je spôsobený aj neštandardne vysokou východiskovou úrovňou investícii v aktuálnom roku. Naopak upravené bežné výdavky bez EÚ zdrojov rastú mierne rýchlejšie (8 %) než by mali podľa nominálneho strednodobého rastu potenciálu </w:t>
      </w:r>
      <w:r>
        <w:t>(7,4</w:t>
      </w:r>
      <w:r w:rsidR="005E57FA">
        <w:t xml:space="preserve"> %)</w:t>
      </w:r>
      <w:r w:rsidRPr="00E2396D">
        <w:t xml:space="preserve">. Odporúčanie EK by približne zodpovedalo dosiahnutiu celkového </w:t>
      </w:r>
      <w:r>
        <w:t>deficitu 3,4</w:t>
      </w:r>
      <w:r w:rsidRPr="00E2396D">
        <w:t xml:space="preserve"> % HDP, čo</w:t>
      </w:r>
      <w:r>
        <w:t xml:space="preserve"> je voľnejší cieľ ako si budú vyžadovať výdavkové limity </w:t>
      </w:r>
      <w:r w:rsidRPr="00E2396D">
        <w:t>(</w:t>
      </w:r>
      <w:r w:rsidRPr="00E2396D">
        <w:rPr>
          <w:rFonts w:eastAsia="Calibri" w:cs="Arial"/>
          <w:b/>
          <w:bCs/>
          <w:color w:val="2C9ADC"/>
          <w:lang w:eastAsia="en-US"/>
        </w:rPr>
        <w:t>GRAF 21</w:t>
      </w:r>
      <w:r w:rsidRPr="00E2396D">
        <w:rPr>
          <w:rFonts w:eastAsia="Calibri" w:cs="Arial"/>
          <w:bCs/>
          <w:color w:val="000000" w:themeColor="text1"/>
          <w:lang w:eastAsia="en-US"/>
        </w:rPr>
        <w:t>)</w:t>
      </w:r>
      <w:r w:rsidRPr="00E2396D">
        <w:t>.</w:t>
      </w:r>
    </w:p>
    <w:p w14:paraId="7909DBC3" w14:textId="77777777" w:rsidR="000C6444" w:rsidRDefault="000C6444" w:rsidP="00070E82">
      <w:pPr>
        <w:widowControl w:val="0"/>
        <w:jc w:val="both"/>
      </w:pPr>
    </w:p>
    <w:tbl>
      <w:tblPr>
        <w:tblpPr w:leftFromText="141" w:rightFromText="141" w:vertAnchor="text" w:horzAnchor="margin" w:tblpY="61"/>
        <w:tblOverlap w:val="neve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696"/>
        <w:gridCol w:w="146"/>
        <w:gridCol w:w="4228"/>
      </w:tblGrid>
      <w:tr w:rsidR="000C6444" w:rsidRPr="008006E2" w14:paraId="729F5364" w14:textId="77777777" w:rsidTr="00FA02B1">
        <w:trPr>
          <w:trHeight w:val="339"/>
        </w:trPr>
        <w:tc>
          <w:tcPr>
            <w:tcW w:w="2589" w:type="pct"/>
            <w:tcBorders>
              <w:top w:val="nil"/>
              <w:left w:val="nil"/>
              <w:bottom w:val="single" w:sz="4" w:space="0" w:color="auto"/>
              <w:right w:val="nil"/>
            </w:tcBorders>
            <w:shd w:val="clear" w:color="auto" w:fill="auto"/>
          </w:tcPr>
          <w:p w14:paraId="0A40B324" w14:textId="11673DBC" w:rsidR="000C6444" w:rsidRPr="00070E82" w:rsidRDefault="000C6444" w:rsidP="00CD5AA9">
            <w:pPr>
              <w:widowControl w:val="0"/>
              <w:spacing w:before="40" w:after="40"/>
              <w:jc w:val="both"/>
              <w:rPr>
                <w:rFonts w:eastAsia="NeueHaasGroteskText W02" w:cs="Arial"/>
                <w:b/>
                <w:bCs/>
                <w:color w:val="2C9ADC"/>
                <w:sz w:val="20"/>
                <w:szCs w:val="20"/>
                <w:u w:color="2C9ADC"/>
              </w:rPr>
            </w:pPr>
            <w:bookmarkStart w:id="123" w:name="_Toc101881944"/>
            <w:r w:rsidRPr="00070E82">
              <w:rPr>
                <w:rFonts w:eastAsiaTheme="minorHAnsi" w:cs="Arial Narrow"/>
                <w:b/>
                <w:bCs/>
                <w:color w:val="2C9ADC"/>
                <w:sz w:val="20"/>
                <w:szCs w:val="20"/>
                <w:lang w:eastAsia="en-US"/>
              </w:rPr>
              <w:t xml:space="preserve">GRAF </w:t>
            </w:r>
            <w:r w:rsidR="00070E82" w:rsidRPr="00070E82">
              <w:rPr>
                <w:rFonts w:eastAsiaTheme="minorHAnsi"/>
                <w:b/>
                <w:color w:val="2C9ADC"/>
                <w:sz w:val="20"/>
                <w:szCs w:val="20"/>
                <w:lang w:eastAsia="en-US"/>
              </w:rPr>
              <w:fldChar w:fldCharType="begin"/>
            </w:r>
            <w:r w:rsidR="00070E82" w:rsidRPr="00070E82">
              <w:rPr>
                <w:rFonts w:eastAsiaTheme="minorHAnsi"/>
                <w:b/>
                <w:color w:val="2C9ADC"/>
                <w:sz w:val="20"/>
                <w:szCs w:val="20"/>
                <w:lang w:eastAsia="en-US"/>
              </w:rPr>
              <w:instrText xml:space="preserve"> SEQ GRAF \* ARABIC </w:instrText>
            </w:r>
            <w:r w:rsidR="00070E82" w:rsidRPr="00070E82">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20</w:t>
            </w:r>
            <w:r w:rsidR="00070E82" w:rsidRPr="00070E82">
              <w:rPr>
                <w:rFonts w:eastAsiaTheme="minorHAnsi"/>
                <w:b/>
                <w:color w:val="2C9ADC"/>
                <w:sz w:val="20"/>
                <w:szCs w:val="20"/>
                <w:lang w:eastAsia="en-US"/>
              </w:rPr>
              <w:fldChar w:fldCharType="end"/>
            </w:r>
            <w:r w:rsidRPr="00070E82">
              <w:rPr>
                <w:rFonts w:eastAsiaTheme="minorHAnsi"/>
                <w:b/>
                <w:color w:val="2C9ADC"/>
                <w:sz w:val="20"/>
                <w:szCs w:val="20"/>
                <w:lang w:eastAsia="en-US"/>
              </w:rPr>
              <w:t xml:space="preserve"> –</w:t>
            </w:r>
            <w:r w:rsidRPr="00070E82">
              <w:rPr>
                <w:rFonts w:eastAsia="NeueHaasGroteskText W02" w:cs="Arial"/>
                <w:b/>
                <w:bCs/>
                <w:color w:val="2C9ADC"/>
                <w:sz w:val="20"/>
                <w:szCs w:val="20"/>
                <w:u w:color="2C9ADC"/>
              </w:rPr>
              <w:t>  Vývoj národne financovaných investícií</w:t>
            </w:r>
            <w:r w:rsidR="00CD5AA9">
              <w:rPr>
                <w:rFonts w:eastAsia="NeueHaasGroteskText W02" w:cs="Arial"/>
                <w:b/>
                <w:bCs/>
                <w:color w:val="2C9ADC"/>
                <w:sz w:val="20"/>
                <w:szCs w:val="20"/>
                <w:u w:color="2C9ADC"/>
              </w:rPr>
              <w:t xml:space="preserve"> a </w:t>
            </w:r>
            <w:r w:rsidR="00CD5AA9" w:rsidRPr="00070E82">
              <w:rPr>
                <w:rFonts w:eastAsia="NeueHaasGroteskText W02" w:cs="Arial"/>
                <w:b/>
                <w:bCs/>
                <w:color w:val="2C9ADC"/>
                <w:sz w:val="20"/>
                <w:szCs w:val="20"/>
                <w:u w:color="2C9ADC"/>
              </w:rPr>
              <w:t xml:space="preserve"> upravených bežných výdavkov (bez EÚ)</w:t>
            </w:r>
            <w:r w:rsidRPr="00070E82">
              <w:rPr>
                <w:rFonts w:eastAsia="NeueHaasGroteskText W02" w:cs="Arial"/>
                <w:b/>
                <w:bCs/>
                <w:color w:val="2C9ADC"/>
                <w:sz w:val="20"/>
                <w:szCs w:val="20"/>
                <w:u w:color="2C9ADC"/>
              </w:rPr>
              <w:t xml:space="preserve"> v rozpočtovom rámci a odporúčania EK (% HDP)</w:t>
            </w:r>
            <w:bookmarkEnd w:id="123"/>
          </w:p>
        </w:tc>
        <w:tc>
          <w:tcPr>
            <w:tcW w:w="80" w:type="pct"/>
            <w:tcBorders>
              <w:top w:val="nil"/>
              <w:left w:val="nil"/>
              <w:bottom w:val="nil"/>
              <w:right w:val="nil"/>
            </w:tcBorders>
            <w:shd w:val="clear" w:color="auto" w:fill="auto"/>
          </w:tcPr>
          <w:p w14:paraId="6F2523BF" w14:textId="77777777" w:rsidR="000C6444" w:rsidRPr="00465A74" w:rsidRDefault="000C6444" w:rsidP="00070E82">
            <w:pPr>
              <w:widowControl w:val="0"/>
              <w:spacing w:before="60" w:after="60"/>
              <w:rPr>
                <w:rFonts w:cs="Arial"/>
                <w:b/>
                <w:color w:val="2C9ADC"/>
                <w:sz w:val="20"/>
                <w:szCs w:val="20"/>
              </w:rPr>
            </w:pPr>
          </w:p>
        </w:tc>
        <w:tc>
          <w:tcPr>
            <w:tcW w:w="2330" w:type="pct"/>
            <w:tcBorders>
              <w:top w:val="nil"/>
              <w:left w:val="nil"/>
              <w:bottom w:val="single" w:sz="4" w:space="0" w:color="auto"/>
              <w:right w:val="nil"/>
            </w:tcBorders>
            <w:shd w:val="clear" w:color="auto" w:fill="auto"/>
          </w:tcPr>
          <w:p w14:paraId="7ED95503" w14:textId="7BD22E3C" w:rsidR="000C6444" w:rsidRPr="00070E82" w:rsidRDefault="000C6444" w:rsidP="00070E82">
            <w:pPr>
              <w:widowControl w:val="0"/>
              <w:spacing w:before="40" w:after="40"/>
              <w:jc w:val="both"/>
              <w:rPr>
                <w:rFonts w:eastAsiaTheme="minorHAnsi"/>
                <w:b/>
                <w:color w:val="2C9ADC"/>
                <w:sz w:val="20"/>
                <w:szCs w:val="20"/>
                <w:lang w:eastAsia="en-US"/>
              </w:rPr>
            </w:pPr>
            <w:bookmarkStart w:id="124" w:name="_Toc101881945"/>
            <w:r w:rsidRPr="00070E82">
              <w:rPr>
                <w:rFonts w:eastAsiaTheme="minorHAnsi"/>
                <w:b/>
                <w:color w:val="2C9ADC"/>
                <w:sz w:val="20"/>
                <w:szCs w:val="20"/>
                <w:lang w:eastAsia="en-US"/>
              </w:rPr>
              <w:t xml:space="preserve">GRAF </w:t>
            </w:r>
            <w:r w:rsidR="00070E82" w:rsidRPr="00070E82">
              <w:rPr>
                <w:rFonts w:eastAsiaTheme="minorHAnsi"/>
                <w:b/>
                <w:color w:val="2C9ADC"/>
                <w:sz w:val="20"/>
                <w:szCs w:val="20"/>
                <w:lang w:eastAsia="en-US"/>
              </w:rPr>
              <w:fldChar w:fldCharType="begin"/>
            </w:r>
            <w:r w:rsidR="00070E82" w:rsidRPr="00070E82">
              <w:rPr>
                <w:rFonts w:eastAsiaTheme="minorHAnsi"/>
                <w:b/>
                <w:color w:val="2C9ADC"/>
                <w:sz w:val="20"/>
                <w:szCs w:val="20"/>
                <w:lang w:eastAsia="en-US"/>
              </w:rPr>
              <w:instrText xml:space="preserve"> SEQ GRAF \* ARABIC </w:instrText>
            </w:r>
            <w:r w:rsidR="00070E82" w:rsidRPr="00070E82">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21</w:t>
            </w:r>
            <w:r w:rsidR="00070E82" w:rsidRPr="00070E82">
              <w:rPr>
                <w:rFonts w:eastAsiaTheme="minorHAnsi"/>
                <w:b/>
                <w:color w:val="2C9ADC"/>
                <w:sz w:val="20"/>
                <w:szCs w:val="20"/>
                <w:lang w:eastAsia="en-US"/>
              </w:rPr>
              <w:fldChar w:fldCharType="end"/>
            </w:r>
            <w:r w:rsidRPr="00070E82">
              <w:rPr>
                <w:rFonts w:eastAsiaTheme="minorHAnsi"/>
                <w:b/>
                <w:color w:val="2C9ADC"/>
                <w:sz w:val="20"/>
                <w:szCs w:val="20"/>
                <w:lang w:eastAsia="en-US"/>
              </w:rPr>
              <w:t xml:space="preserve"> – </w:t>
            </w:r>
            <w:r w:rsidRPr="00070E82">
              <w:rPr>
                <w:rFonts w:eastAsia="NeueHaasGroteskText W02" w:cs="Arial"/>
                <w:b/>
                <w:bCs/>
                <w:color w:val="2C9ADC"/>
                <w:sz w:val="20"/>
                <w:szCs w:val="20"/>
                <w:u w:color="2C9ADC"/>
              </w:rPr>
              <w:t>Deficit VS v rozpočtovom rámci bez opatrení, ciele a deficit zodpovedajúci odporúčaniam EK* pre 2023 (% HDP)</w:t>
            </w:r>
            <w:bookmarkEnd w:id="124"/>
          </w:p>
        </w:tc>
      </w:tr>
      <w:tr w:rsidR="000C6444" w:rsidRPr="008006E2" w14:paraId="283AEE98" w14:textId="77777777" w:rsidTr="00FA02B1">
        <w:trPr>
          <w:trHeight w:val="866"/>
        </w:trPr>
        <w:tc>
          <w:tcPr>
            <w:tcW w:w="2589" w:type="pct"/>
            <w:tcBorders>
              <w:top w:val="single" w:sz="4" w:space="0" w:color="auto"/>
              <w:left w:val="nil"/>
              <w:bottom w:val="single" w:sz="4" w:space="0" w:color="auto"/>
              <w:right w:val="nil"/>
            </w:tcBorders>
            <w:vAlign w:val="center"/>
          </w:tcPr>
          <w:p w14:paraId="654F148B" w14:textId="77777777" w:rsidR="000C6444" w:rsidRPr="007409CC" w:rsidRDefault="000C6444" w:rsidP="00070E82">
            <w:pPr>
              <w:widowControl w:val="0"/>
              <w:spacing w:before="40" w:after="40"/>
              <w:jc w:val="center"/>
              <w:rPr>
                <w:rFonts w:cs="Arial"/>
                <w:sz w:val="20"/>
                <w:szCs w:val="20"/>
              </w:rPr>
            </w:pPr>
            <w:r>
              <w:rPr>
                <w:noProof/>
              </w:rPr>
              <w:drawing>
                <wp:inline distT="0" distB="0" distL="0" distR="0" wp14:anchorId="6F3D5803" wp14:editId="761115A9">
                  <wp:extent cx="2860963" cy="2660072"/>
                  <wp:effectExtent l="0" t="0" r="0" b="698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80" w:type="pct"/>
            <w:tcBorders>
              <w:top w:val="nil"/>
              <w:left w:val="nil"/>
              <w:bottom w:val="nil"/>
              <w:right w:val="nil"/>
            </w:tcBorders>
            <w:vAlign w:val="center"/>
          </w:tcPr>
          <w:p w14:paraId="25D40405" w14:textId="77777777" w:rsidR="000C6444" w:rsidRPr="008006E2" w:rsidRDefault="000C6444" w:rsidP="00070E82">
            <w:pPr>
              <w:widowControl w:val="0"/>
              <w:spacing w:before="40" w:after="40"/>
              <w:jc w:val="center"/>
              <w:rPr>
                <w:rFonts w:cs="Arial"/>
                <w:b/>
                <w:sz w:val="20"/>
                <w:szCs w:val="20"/>
                <w:highlight w:val="yellow"/>
              </w:rPr>
            </w:pPr>
          </w:p>
        </w:tc>
        <w:tc>
          <w:tcPr>
            <w:tcW w:w="2330" w:type="pct"/>
            <w:tcBorders>
              <w:top w:val="single" w:sz="4" w:space="0" w:color="auto"/>
              <w:left w:val="nil"/>
              <w:bottom w:val="single" w:sz="4" w:space="0" w:color="auto"/>
              <w:right w:val="nil"/>
            </w:tcBorders>
            <w:vAlign w:val="bottom"/>
          </w:tcPr>
          <w:p w14:paraId="51AB0064" w14:textId="007824CD" w:rsidR="000C6444" w:rsidRPr="008B459D" w:rsidRDefault="00FA02B1" w:rsidP="00070E82">
            <w:pPr>
              <w:widowControl w:val="0"/>
              <w:spacing w:before="40" w:after="40"/>
              <w:jc w:val="center"/>
              <w:rPr>
                <w:rFonts w:cs="Arial"/>
                <w:sz w:val="20"/>
                <w:szCs w:val="20"/>
              </w:rPr>
            </w:pPr>
            <w:r>
              <w:rPr>
                <w:noProof/>
              </w:rPr>
              <w:t xml:space="preserve"> </w:t>
            </w:r>
            <w:r>
              <w:rPr>
                <w:noProof/>
              </w:rPr>
              <w:drawing>
                <wp:inline distT="0" distB="0" distL="0" distR="0" wp14:anchorId="581FF163" wp14:editId="3D7C2565">
                  <wp:extent cx="2515623" cy="2627194"/>
                  <wp:effectExtent l="0" t="0" r="0" b="190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C6444" w:rsidRPr="008006E2" w14:paraId="1DEB4F0B" w14:textId="77777777" w:rsidTr="00A36664">
        <w:trPr>
          <w:trHeight w:val="108"/>
        </w:trPr>
        <w:tc>
          <w:tcPr>
            <w:tcW w:w="5000" w:type="pct"/>
            <w:gridSpan w:val="3"/>
            <w:tcBorders>
              <w:top w:val="single" w:sz="4" w:space="0" w:color="auto"/>
              <w:left w:val="nil"/>
              <w:bottom w:val="nil"/>
              <w:right w:val="nil"/>
            </w:tcBorders>
          </w:tcPr>
          <w:p w14:paraId="45A4CF21" w14:textId="57BC7B2A" w:rsidR="007F41DD" w:rsidRPr="007F41DD" w:rsidRDefault="000C6444" w:rsidP="007F41DD">
            <w:pPr>
              <w:widowControl w:val="0"/>
              <w:spacing w:before="40" w:after="40"/>
              <w:jc w:val="both"/>
              <w:rPr>
                <w:rFonts w:cs="Arial"/>
                <w:i/>
                <w:sz w:val="16"/>
                <w:szCs w:val="14"/>
              </w:rPr>
            </w:pPr>
            <w:r w:rsidRPr="007F41DD">
              <w:rPr>
                <w:rFonts w:cs="Arial"/>
                <w:i/>
                <w:sz w:val="16"/>
                <w:szCs w:val="14"/>
              </w:rPr>
              <w:t xml:space="preserve">Pozn.: Deficit podľa odporúčania EK vychádza z prepočtu ministerstva financií založenom na celkovom objeme výdavkov, ktoré zodpovedajú požiadavke na neutrálny príspevok národných investícií a upravených bežných výdavkov k fiškálnej pozícii.       </w:t>
            </w:r>
            <w:r w:rsidR="007F41DD">
              <w:rPr>
                <w:rFonts w:cs="Arial"/>
                <w:i/>
                <w:sz w:val="16"/>
                <w:szCs w:val="14"/>
              </w:rPr>
              <w:t xml:space="preserve">                                                         </w:t>
            </w:r>
            <w:r w:rsidRPr="007F41DD">
              <w:rPr>
                <w:rFonts w:cs="Arial"/>
                <w:i/>
                <w:sz w:val="16"/>
                <w:szCs w:val="14"/>
              </w:rPr>
              <w:t xml:space="preserve"> </w:t>
            </w:r>
            <w:r w:rsidR="007F41DD" w:rsidRPr="007F41DD">
              <w:rPr>
                <w:rFonts w:cs="Arial"/>
                <w:i/>
                <w:sz w:val="16"/>
                <w:szCs w:val="14"/>
              </w:rPr>
              <w:t xml:space="preserve"> Zdroj: MF SR, EK</w:t>
            </w:r>
          </w:p>
          <w:p w14:paraId="77E01721" w14:textId="7C858B30" w:rsidR="000C6444" w:rsidRPr="007F41DD" w:rsidRDefault="000C6444" w:rsidP="007F41DD">
            <w:pPr>
              <w:widowControl w:val="0"/>
              <w:spacing w:before="40" w:after="40"/>
              <w:rPr>
                <w:rFonts w:cs="Arial"/>
                <w:i/>
                <w:sz w:val="16"/>
                <w:szCs w:val="14"/>
              </w:rPr>
            </w:pPr>
            <w:r w:rsidRPr="007F41DD">
              <w:rPr>
                <w:rFonts w:cs="Arial"/>
                <w:i/>
                <w:sz w:val="16"/>
                <w:szCs w:val="14"/>
              </w:rPr>
              <w:t xml:space="preserve">                                                                                                                                                                                                                                   </w:t>
            </w:r>
          </w:p>
          <w:p w14:paraId="783D970A" w14:textId="71BB437E" w:rsidR="000C6444" w:rsidRDefault="008E4BA0" w:rsidP="00070E82">
            <w:pPr>
              <w:widowControl w:val="0"/>
              <w:spacing w:before="40" w:after="40"/>
              <w:jc w:val="both"/>
              <w:rPr>
                <w:rFonts w:cs="Arial"/>
                <w:i/>
                <w:sz w:val="14"/>
                <w:szCs w:val="14"/>
              </w:rPr>
            </w:pPr>
            <w:r w:rsidRPr="00E2396D">
              <w:rPr>
                <w:b/>
                <w:iCs/>
                <w:color w:val="000000"/>
              </w:rPr>
              <w:t xml:space="preserve">Napriek plánovanej konsolidácii bude celková fiškálna pozícia SR, vrátane impulzu z prostriedkov EÚ, v roku 2023 expanzívna. </w:t>
            </w:r>
            <w:r w:rsidRPr="00E2396D">
              <w:rPr>
                <w:iCs/>
                <w:color w:val="000000"/>
              </w:rPr>
              <w:t xml:space="preserve">Po zahrnutí impulzu z prostriedkov </w:t>
            </w:r>
            <w:r>
              <w:rPr>
                <w:iCs/>
                <w:color w:val="000000"/>
              </w:rPr>
              <w:t xml:space="preserve">EÚ </w:t>
            </w:r>
            <w:r w:rsidRPr="00E2396D">
              <w:rPr>
                <w:iCs/>
                <w:color w:val="000000"/>
              </w:rPr>
              <w:t xml:space="preserve">budú verejné financie pôsobiť na ekonomiku stimulujúco, pod čo sa podpisuje vrcholiace III. programové obdobie EÚ fondov a silný nábeh čerpania prostriedkov z Plánu obnovy a odolnosti, ktoré sa spolu medziročne zvýšia až o 2 mld. eur. Ich príspevok tak viac než vykompenzuje plánované tlmenie rastu výdavkov z národných zdrojov. Rast výdavkov z národných zdrojov sa ešte zníži po došpecifikovaní konsolidačných opatrení. Podľa údajov fiškálneho rámca je fiškálna pozícia </w:t>
            </w:r>
            <w:r>
              <w:rPr>
                <w:iCs/>
                <w:color w:val="000000"/>
              </w:rPr>
              <w:t xml:space="preserve">v 2023 </w:t>
            </w:r>
            <w:r w:rsidRPr="00E2396D">
              <w:rPr>
                <w:iCs/>
                <w:color w:val="000000"/>
              </w:rPr>
              <w:t xml:space="preserve">expanzívna </w:t>
            </w:r>
            <w:r>
              <w:rPr>
                <w:iCs/>
                <w:color w:val="000000"/>
              </w:rPr>
              <w:t>a stimuluje ekonomiku o vyše 1</w:t>
            </w:r>
            <w:r w:rsidRPr="00E2396D">
              <w:rPr>
                <w:iCs/>
                <w:color w:val="000000"/>
              </w:rPr>
              <w:t xml:space="preserve"> % HDP. Tieto výsledky sa zásadne nemenia, ani ak sa použije metodika impulzu MF SR, v ktorej je započítaná aj reštrikcia zo stiahnutia pandemických opatrení (viac </w:t>
            </w:r>
            <w:r w:rsidRPr="00E2396D">
              <w:rPr>
                <w:b/>
                <w:color w:val="2C9ADC" w:themeColor="accent1"/>
              </w:rPr>
              <w:t xml:space="preserve"> BOX 6</w:t>
            </w:r>
            <w:r w:rsidRPr="00E2396D">
              <w:rPr>
                <w:iCs/>
                <w:color w:val="000000"/>
              </w:rPr>
              <w:t>).</w:t>
            </w:r>
          </w:p>
          <w:p w14:paraId="6DD84C12" w14:textId="77777777" w:rsidR="000C6444" w:rsidRPr="00F0552B" w:rsidRDefault="000C6444" w:rsidP="00070E82">
            <w:pPr>
              <w:widowControl w:val="0"/>
              <w:spacing w:before="40" w:after="40"/>
              <w:jc w:val="both"/>
              <w:rPr>
                <w:rFonts w:cs="Arial"/>
                <w:i/>
                <w:sz w:val="14"/>
                <w:szCs w:val="14"/>
              </w:rPr>
            </w:pPr>
          </w:p>
        </w:tc>
      </w:tr>
    </w:tbl>
    <w:p w14:paraId="67442040" w14:textId="0B8CAE84" w:rsidR="000C6444" w:rsidRPr="007A6E5B" w:rsidRDefault="000C6444" w:rsidP="00070E82">
      <w:pPr>
        <w:pStyle w:val="Graf"/>
        <w:widowControl w:val="0"/>
        <w:pBdr>
          <w:bottom w:val="single" w:sz="4" w:space="1" w:color="auto"/>
        </w:pBdr>
        <w:spacing w:before="120" w:after="0"/>
        <w:jc w:val="both"/>
      </w:pPr>
      <w:bookmarkStart w:id="125" w:name="_Toc101881946"/>
      <w:r w:rsidRPr="007A6E5B">
        <w:rPr>
          <w:rFonts w:eastAsiaTheme="minorHAnsi"/>
          <w:color w:val="2C9ADC"/>
        </w:rPr>
        <w:t xml:space="preserve">GRAF </w:t>
      </w:r>
      <w:r w:rsidR="00070E82" w:rsidRPr="00070E82">
        <w:rPr>
          <w:rFonts w:eastAsiaTheme="minorHAnsi"/>
          <w:color w:val="2C9ADC"/>
        </w:rPr>
        <w:fldChar w:fldCharType="begin"/>
      </w:r>
      <w:r w:rsidR="00070E82" w:rsidRPr="00070E82">
        <w:rPr>
          <w:rFonts w:eastAsiaTheme="minorHAnsi"/>
          <w:color w:val="2C9ADC"/>
        </w:rPr>
        <w:instrText xml:space="preserve"> SEQ GRAF \* ARABIC </w:instrText>
      </w:r>
      <w:r w:rsidR="00070E82" w:rsidRPr="00070E82">
        <w:rPr>
          <w:rFonts w:eastAsiaTheme="minorHAnsi"/>
          <w:color w:val="2C9ADC"/>
        </w:rPr>
        <w:fldChar w:fldCharType="separate"/>
      </w:r>
      <w:r w:rsidR="005D3280">
        <w:rPr>
          <w:rFonts w:eastAsiaTheme="minorHAnsi"/>
          <w:noProof/>
          <w:color w:val="2C9ADC"/>
        </w:rPr>
        <w:t>22</w:t>
      </w:r>
      <w:r w:rsidR="00070E82" w:rsidRPr="00070E82">
        <w:rPr>
          <w:rFonts w:eastAsiaTheme="minorHAnsi"/>
          <w:color w:val="2C9ADC"/>
        </w:rPr>
        <w:fldChar w:fldCharType="end"/>
      </w:r>
      <w:r w:rsidRPr="007A6E5B">
        <w:rPr>
          <w:szCs w:val="20"/>
        </w:rPr>
        <w:t xml:space="preserve"> – </w:t>
      </w:r>
      <w:r>
        <w:t>Príspevky k fiškálnej pozícii SR meranej metodikou EK (% HDP)</w:t>
      </w:r>
      <w:bookmarkEnd w:id="125"/>
    </w:p>
    <w:p w14:paraId="3B962D7D" w14:textId="797A2BB8" w:rsidR="000C6444" w:rsidRPr="00223046" w:rsidRDefault="00B47B64" w:rsidP="00070E82">
      <w:pPr>
        <w:pStyle w:val="Graf"/>
        <w:widowControl w:val="0"/>
        <w:spacing w:after="0"/>
        <w:jc w:val="center"/>
      </w:pPr>
      <w:r w:rsidRPr="00B47B64">
        <w:rPr>
          <w:noProof/>
        </w:rPr>
        <w:t xml:space="preserve"> </w:t>
      </w:r>
      <w:r>
        <w:rPr>
          <w:noProof/>
          <w:lang w:eastAsia="sk-SK"/>
        </w:rPr>
        <w:drawing>
          <wp:inline distT="0" distB="0" distL="0" distR="0" wp14:anchorId="231B2809" wp14:editId="5EB36EA8">
            <wp:extent cx="5154579" cy="3433445"/>
            <wp:effectExtent l="0" t="0" r="8255" b="0"/>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B5BE004" w14:textId="5DEC840A" w:rsidR="000C6444" w:rsidRPr="00223046" w:rsidRDefault="000C6444" w:rsidP="008160C8">
      <w:pPr>
        <w:pStyle w:val="Graf"/>
        <w:widowControl w:val="0"/>
        <w:pBdr>
          <w:top w:val="single" w:sz="4" w:space="1" w:color="auto"/>
        </w:pBdr>
        <w:jc w:val="both"/>
        <w:rPr>
          <w:rFonts w:cs="Times New Roman"/>
          <w:b w:val="0"/>
          <w:i/>
          <w:iCs/>
          <w:color w:val="000000"/>
          <w:sz w:val="16"/>
          <w:szCs w:val="18"/>
        </w:rPr>
      </w:pPr>
      <w:r>
        <w:rPr>
          <w:rFonts w:cs="Times New Roman"/>
          <w:b w:val="0"/>
          <w:i/>
          <w:iCs/>
          <w:color w:val="000000"/>
          <w:sz w:val="16"/>
          <w:szCs w:val="18"/>
        </w:rPr>
        <w:t>Pozn.: Fiškálna pozícia indikuje expanzívnu fiškálnu politiku (-), resp. reštriktívnu fiškálnu politiku (+).</w:t>
      </w:r>
      <w:r w:rsidR="008160C8">
        <w:rPr>
          <w:rFonts w:cs="Times New Roman"/>
          <w:b w:val="0"/>
          <w:i/>
          <w:iCs/>
          <w:color w:val="000000"/>
          <w:sz w:val="16"/>
          <w:szCs w:val="18"/>
        </w:rPr>
        <w:t xml:space="preserve"> Makroekonomické predpoklady strednodobého priemerného nominálneho rastu potenciálneho produktu sú prevzaté z databázy Európskej komisie.</w:t>
      </w:r>
      <w:r>
        <w:rPr>
          <w:rFonts w:cs="Times New Roman"/>
          <w:b w:val="0"/>
          <w:i/>
          <w:iCs/>
          <w:color w:val="000000"/>
          <w:sz w:val="16"/>
          <w:szCs w:val="18"/>
        </w:rPr>
        <w:t xml:space="preserve">                                                                   </w:t>
      </w:r>
      <w:r w:rsidRPr="00223046">
        <w:rPr>
          <w:rFonts w:cs="Times New Roman"/>
          <w:b w:val="0"/>
          <w:i/>
          <w:iCs/>
          <w:color w:val="000000"/>
          <w:sz w:val="16"/>
          <w:szCs w:val="18"/>
        </w:rPr>
        <w:t>Zdroj: MF S</w:t>
      </w:r>
      <w:r>
        <w:rPr>
          <w:rFonts w:cs="Times New Roman"/>
          <w:b w:val="0"/>
          <w:i/>
          <w:iCs/>
          <w:color w:val="000000"/>
          <w:sz w:val="16"/>
          <w:szCs w:val="18"/>
        </w:rPr>
        <w:t>R</w:t>
      </w:r>
      <w:r>
        <w:rPr>
          <w:rFonts w:cs="Times New Roman"/>
          <w:b w:val="0"/>
          <w:i/>
          <w:iCs/>
          <w:color w:val="000000"/>
          <w:sz w:val="16"/>
          <w:szCs w:val="18"/>
        </w:rPr>
        <w:br/>
        <w:t>* Národne financované bežné výdavky očistené o</w:t>
      </w:r>
      <w:r w:rsidR="008160C8">
        <w:rPr>
          <w:rFonts w:cs="Times New Roman"/>
          <w:b w:val="0"/>
          <w:i/>
          <w:iCs/>
          <w:color w:val="000000"/>
          <w:sz w:val="16"/>
          <w:szCs w:val="18"/>
        </w:rPr>
        <w:t xml:space="preserve"> úrokové náklady, </w:t>
      </w:r>
      <w:r>
        <w:rPr>
          <w:rFonts w:cs="Times New Roman"/>
          <w:b w:val="0"/>
          <w:i/>
          <w:iCs/>
          <w:color w:val="000000"/>
          <w:sz w:val="16"/>
          <w:szCs w:val="18"/>
        </w:rPr>
        <w:t>opatrenia súvisiace s COVID-19, jednorazové výdavky a príjmové diskrečné opatrenia.</w:t>
      </w:r>
    </w:p>
    <w:tbl>
      <w:tblPr>
        <w:tblpPr w:leftFromText="141" w:rightFromText="141" w:bottomFromText="160" w:vertAnchor="text" w:tblpXSpec="center" w:tblpY="1"/>
        <w:tblOverlap w:val="never"/>
        <w:tblW w:w="9328" w:type="dxa"/>
        <w:shd w:val="clear" w:color="auto" w:fill="AAD3F2"/>
        <w:tblCellMar>
          <w:left w:w="70" w:type="dxa"/>
          <w:right w:w="70" w:type="dxa"/>
        </w:tblCellMar>
        <w:tblLook w:val="01E0" w:firstRow="1" w:lastRow="1" w:firstColumn="1" w:lastColumn="1" w:noHBand="0" w:noVBand="0"/>
      </w:tblPr>
      <w:tblGrid>
        <w:gridCol w:w="9328"/>
      </w:tblGrid>
      <w:tr w:rsidR="000C6444" w:rsidRPr="008006E2" w14:paraId="004F0129" w14:textId="77777777" w:rsidTr="00A36664">
        <w:trPr>
          <w:cantSplit/>
          <w:trHeight w:val="1134"/>
        </w:trPr>
        <w:tc>
          <w:tcPr>
            <w:tcW w:w="9328" w:type="dxa"/>
            <w:shd w:val="clear" w:color="auto" w:fill="AAD3F2"/>
          </w:tcPr>
          <w:p w14:paraId="5EADB77E" w14:textId="0955BE76" w:rsidR="000C6444" w:rsidRPr="004F5B30" w:rsidRDefault="000C6444" w:rsidP="00070E82">
            <w:pPr>
              <w:widowControl w:val="0"/>
              <w:jc w:val="both"/>
              <w:rPr>
                <w:rFonts w:cs="Arial Narrow"/>
                <w:b/>
                <w:color w:val="2C9ADC" w:themeColor="accent1"/>
                <w:sz w:val="20"/>
                <w:szCs w:val="20"/>
              </w:rPr>
            </w:pPr>
            <w:bookmarkStart w:id="126" w:name="_Toc101880477"/>
            <w:r w:rsidRPr="00CC7DCB">
              <w:rPr>
                <w:b/>
                <w:color w:val="2C9ADC" w:themeColor="accent1"/>
                <w:szCs w:val="20"/>
              </w:rPr>
              <w:t xml:space="preserve">BOX </w:t>
            </w:r>
            <w:r w:rsidRPr="00CC7DCB">
              <w:rPr>
                <w:b/>
                <w:color w:val="2C9ADC" w:themeColor="accent1"/>
                <w:szCs w:val="20"/>
              </w:rPr>
              <w:fldChar w:fldCharType="begin"/>
            </w:r>
            <w:r w:rsidRPr="00CC7DCB">
              <w:rPr>
                <w:b/>
                <w:color w:val="2C9ADC" w:themeColor="accent1"/>
                <w:szCs w:val="20"/>
              </w:rPr>
              <w:instrText xml:space="preserve"> SEQ BOX \* ARABIC </w:instrText>
            </w:r>
            <w:r w:rsidRPr="00CC7DCB">
              <w:rPr>
                <w:b/>
                <w:color w:val="2C9ADC" w:themeColor="accent1"/>
                <w:szCs w:val="20"/>
              </w:rPr>
              <w:fldChar w:fldCharType="separate"/>
            </w:r>
            <w:r w:rsidR="005D3280">
              <w:rPr>
                <w:b/>
                <w:noProof/>
                <w:color w:val="2C9ADC" w:themeColor="accent1"/>
                <w:szCs w:val="20"/>
              </w:rPr>
              <w:t>6</w:t>
            </w:r>
            <w:r w:rsidRPr="00CC7DCB">
              <w:rPr>
                <w:b/>
                <w:color w:val="2C9ADC" w:themeColor="accent1"/>
                <w:szCs w:val="20"/>
              </w:rPr>
              <w:fldChar w:fldCharType="end"/>
            </w:r>
            <w:r w:rsidRPr="00CC7DCB">
              <w:rPr>
                <w:rFonts w:cs="Arial Narrow"/>
                <w:b/>
                <w:color w:val="2C9ADC" w:themeColor="accent1"/>
                <w:szCs w:val="20"/>
              </w:rPr>
              <w:t xml:space="preserve"> – </w:t>
            </w:r>
            <w:r>
              <w:rPr>
                <w:rFonts w:cs="Arial Narrow"/>
                <w:b/>
                <w:color w:val="2C9ADC" w:themeColor="accent1"/>
                <w:szCs w:val="20"/>
              </w:rPr>
              <w:t>Fiškálna pozícia v metodike MF SR vs. EK</w:t>
            </w:r>
            <w:bookmarkEnd w:id="126"/>
          </w:p>
          <w:p w14:paraId="496545E6" w14:textId="77777777" w:rsidR="000C6444" w:rsidRPr="008006E2" w:rsidRDefault="000C6444" w:rsidP="00070E82">
            <w:pPr>
              <w:widowControl w:val="0"/>
              <w:jc w:val="both"/>
              <w:rPr>
                <w:rFonts w:cs="Arial Narrow"/>
                <w:b/>
                <w:sz w:val="14"/>
                <w:highlight w:val="yellow"/>
              </w:rPr>
            </w:pPr>
          </w:p>
          <w:p w14:paraId="4D375C53" w14:textId="2761B5DD" w:rsidR="000C6444" w:rsidRPr="004B6E59" w:rsidRDefault="008E4BA0" w:rsidP="00070E82">
            <w:pPr>
              <w:widowControl w:val="0"/>
              <w:jc w:val="both"/>
            </w:pPr>
            <w:r w:rsidRPr="00F2699A">
              <w:rPr>
                <w:b/>
              </w:rPr>
              <w:t>Aj fiškálny impulz meraný metodikou MF SR indikuje pre rok 2023 expanziu.</w:t>
            </w:r>
            <w:r w:rsidRPr="00F2699A">
              <w:t xml:space="preserve"> Nad rámec upraveného impulzu podľa EK metodiky MF SR počíta s efektom plynúcim z opatrení súvisiacich s COVID-19 v rokoch 2020 až 2022 a z ich následného stiahnutia. Po odznení pandemických opatrení by v roku 2023 došlo k fiškálnej reštrikcii približne na úrovni 0,6 % HDP, stimulom pre ekonomiku však budú EÚ zdroje z končiaceho programového obdobia a prostriedky </w:t>
            </w:r>
            <w:r>
              <w:t xml:space="preserve">z </w:t>
            </w:r>
            <w:r w:rsidRPr="00F2699A">
              <w:t>Plánu obnovy. Fiškálny impulz meraný metodikou MF SR preto očakáva pre rok 2023, rovnako ako v prípade EK, expanziu</w:t>
            </w:r>
            <w:r>
              <w:t xml:space="preserve">. Je však nižšia – </w:t>
            </w:r>
            <w:r w:rsidRPr="00F2699A">
              <w:t>na úrovni 0,8 % HDP</w:t>
            </w:r>
            <w:r w:rsidR="007A6D5E">
              <w:t xml:space="preserve"> </w:t>
            </w:r>
            <w:r w:rsidRPr="00F2699A">
              <w:t>(</w:t>
            </w:r>
            <w:r w:rsidRPr="00F2699A">
              <w:rPr>
                <w:rFonts w:cs="Times New Roman"/>
                <w:b/>
                <w:color w:val="2C9ADC" w:themeColor="accent1"/>
              </w:rPr>
              <w:t>TABUĽKA 10</w:t>
            </w:r>
            <w:r w:rsidRPr="00F2699A">
              <w:t>).</w:t>
            </w:r>
          </w:p>
          <w:p w14:paraId="5FDDB8D6" w14:textId="77777777" w:rsidR="000C6444" w:rsidRDefault="000C6444" w:rsidP="00070E82">
            <w:pPr>
              <w:widowControl w:val="0"/>
              <w:jc w:val="both"/>
            </w:pPr>
          </w:p>
          <w:tbl>
            <w:tblPr>
              <w:tblW w:w="7160" w:type="dxa"/>
              <w:jc w:val="center"/>
              <w:tblCellMar>
                <w:left w:w="70" w:type="dxa"/>
                <w:right w:w="70" w:type="dxa"/>
              </w:tblCellMar>
              <w:tblLook w:val="04A0" w:firstRow="1" w:lastRow="0" w:firstColumn="1" w:lastColumn="0" w:noHBand="0" w:noVBand="1"/>
            </w:tblPr>
            <w:tblGrid>
              <w:gridCol w:w="3256"/>
              <w:gridCol w:w="976"/>
              <w:gridCol w:w="976"/>
              <w:gridCol w:w="976"/>
              <w:gridCol w:w="976"/>
            </w:tblGrid>
            <w:tr w:rsidR="000C6444" w:rsidRPr="006A3210" w14:paraId="673AAF26" w14:textId="77777777" w:rsidTr="00A36664">
              <w:trPr>
                <w:trHeight w:val="255"/>
                <w:jc w:val="center"/>
              </w:trPr>
              <w:tc>
                <w:tcPr>
                  <w:tcW w:w="7160" w:type="dxa"/>
                  <w:gridSpan w:val="5"/>
                  <w:tcBorders>
                    <w:top w:val="nil"/>
                    <w:left w:val="nil"/>
                    <w:bottom w:val="nil"/>
                    <w:right w:val="nil"/>
                  </w:tcBorders>
                  <w:shd w:val="clear" w:color="auto" w:fill="auto"/>
                  <w:noWrap/>
                </w:tcPr>
                <w:p w14:paraId="5808DE08" w14:textId="76D5EAEE" w:rsidR="000C6444" w:rsidRPr="006A3210" w:rsidRDefault="000C6444" w:rsidP="0033368C">
                  <w:pPr>
                    <w:framePr w:hSpace="141" w:wrap="around" w:vAnchor="text" w:hAnchor="text" w:xAlign="center" w:y="1"/>
                    <w:widowControl w:val="0"/>
                    <w:suppressOverlap/>
                    <w:rPr>
                      <w:rFonts w:cs="Arial"/>
                      <w:b/>
                      <w:bCs/>
                      <w:sz w:val="20"/>
                      <w:szCs w:val="20"/>
                    </w:rPr>
                  </w:pPr>
                  <w:bookmarkStart w:id="127" w:name="_Toc101880689"/>
                  <w:r w:rsidRPr="00CC7DCB">
                    <w:rPr>
                      <w:rFonts w:eastAsiaTheme="minorHAnsi" w:cs="Arial"/>
                      <w:b/>
                      <w:color w:val="2C9ADC"/>
                      <w:sz w:val="20"/>
                      <w:szCs w:val="26"/>
                      <w:lang w:eastAsia="en-US"/>
                    </w:rPr>
                    <w:t xml:space="preserve">TABUĽKA </w:t>
                  </w:r>
                  <w:r w:rsidRPr="00CC7DCB">
                    <w:rPr>
                      <w:rFonts w:eastAsiaTheme="minorHAnsi" w:cs="Arial"/>
                      <w:b/>
                      <w:color w:val="2C9ADC"/>
                      <w:sz w:val="20"/>
                      <w:szCs w:val="26"/>
                      <w:lang w:eastAsia="en-US"/>
                    </w:rPr>
                    <w:fldChar w:fldCharType="begin"/>
                  </w:r>
                  <w:r w:rsidRPr="00CC7DCB">
                    <w:rPr>
                      <w:rFonts w:eastAsiaTheme="minorHAnsi" w:cs="Arial"/>
                      <w:b/>
                      <w:color w:val="2C9ADC"/>
                      <w:sz w:val="20"/>
                      <w:szCs w:val="26"/>
                      <w:lang w:eastAsia="en-US"/>
                    </w:rPr>
                    <w:instrText xml:space="preserve"> SEQ TABUĽKA \* ARABIC </w:instrText>
                  </w:r>
                  <w:r w:rsidRPr="00CC7DCB">
                    <w:rPr>
                      <w:rFonts w:eastAsiaTheme="minorHAnsi" w:cs="Arial"/>
                      <w:b/>
                      <w:color w:val="2C9ADC"/>
                      <w:sz w:val="20"/>
                      <w:szCs w:val="26"/>
                      <w:lang w:eastAsia="en-US"/>
                    </w:rPr>
                    <w:fldChar w:fldCharType="separate"/>
                  </w:r>
                  <w:r w:rsidR="005D3280">
                    <w:rPr>
                      <w:rFonts w:eastAsiaTheme="minorHAnsi" w:cs="Arial"/>
                      <w:b/>
                      <w:noProof/>
                      <w:color w:val="2C9ADC"/>
                      <w:sz w:val="20"/>
                      <w:szCs w:val="26"/>
                      <w:lang w:eastAsia="en-US"/>
                    </w:rPr>
                    <w:t>10</w:t>
                  </w:r>
                  <w:r w:rsidRPr="00CC7DCB">
                    <w:rPr>
                      <w:rFonts w:eastAsiaTheme="minorHAnsi" w:cs="Arial"/>
                      <w:b/>
                      <w:color w:val="2C9ADC"/>
                      <w:sz w:val="20"/>
                      <w:szCs w:val="26"/>
                      <w:lang w:eastAsia="en-US"/>
                    </w:rPr>
                    <w:fldChar w:fldCharType="end"/>
                  </w:r>
                  <w:r w:rsidRPr="00CC7DCB">
                    <w:rPr>
                      <w:rFonts w:eastAsiaTheme="minorHAnsi" w:cs="Arial"/>
                      <w:b/>
                      <w:color w:val="2C9ADC"/>
                      <w:sz w:val="20"/>
                      <w:szCs w:val="26"/>
                      <w:lang w:eastAsia="en-US"/>
                    </w:rPr>
                    <w:t xml:space="preserve"> – </w:t>
                  </w:r>
                  <w:r>
                    <w:rPr>
                      <w:rFonts w:eastAsiaTheme="minorHAnsi" w:cs="Arial"/>
                      <w:b/>
                      <w:color w:val="2C9ADC"/>
                      <w:sz w:val="20"/>
                      <w:szCs w:val="26"/>
                      <w:lang w:eastAsia="en-US"/>
                    </w:rPr>
                    <w:t>Fiškálny impulz meraný metodikou MF SR (</w:t>
                  </w:r>
                  <w:r w:rsidRPr="00CC7DCB">
                    <w:rPr>
                      <w:rFonts w:eastAsiaTheme="minorHAnsi" w:cs="Arial"/>
                      <w:b/>
                      <w:color w:val="2C9ADC"/>
                      <w:sz w:val="20"/>
                      <w:szCs w:val="26"/>
                      <w:lang w:eastAsia="en-US"/>
                    </w:rPr>
                    <w:t>% HDP)</w:t>
                  </w:r>
                  <w:bookmarkEnd w:id="127"/>
                </w:p>
              </w:tc>
            </w:tr>
            <w:tr w:rsidR="000C6444" w:rsidRPr="006A3210" w14:paraId="6F20A57B" w14:textId="77777777" w:rsidTr="00A36664">
              <w:trPr>
                <w:trHeight w:val="255"/>
                <w:jc w:val="center"/>
              </w:trPr>
              <w:tc>
                <w:tcPr>
                  <w:tcW w:w="3256" w:type="dxa"/>
                  <w:tcBorders>
                    <w:top w:val="nil"/>
                    <w:left w:val="nil"/>
                    <w:bottom w:val="nil"/>
                    <w:right w:val="nil"/>
                  </w:tcBorders>
                  <w:shd w:val="clear" w:color="auto" w:fill="auto"/>
                  <w:noWrap/>
                  <w:vAlign w:val="bottom"/>
                  <w:hideMark/>
                </w:tcPr>
                <w:p w14:paraId="515E2144" w14:textId="77777777" w:rsidR="000C6444" w:rsidRPr="006A3210" w:rsidRDefault="000C6444" w:rsidP="0033368C">
                  <w:pPr>
                    <w:framePr w:hSpace="141" w:wrap="around" w:vAnchor="text" w:hAnchor="text" w:xAlign="center" w:y="1"/>
                    <w:widowControl w:val="0"/>
                    <w:suppressOverlap/>
                    <w:rPr>
                      <w:rFonts w:ascii="Times New Roman" w:hAnsi="Times New Roman" w:cs="Times New Roman"/>
                      <w:sz w:val="24"/>
                      <w:szCs w:val="24"/>
                    </w:rPr>
                  </w:pPr>
                </w:p>
              </w:tc>
              <w:tc>
                <w:tcPr>
                  <w:tcW w:w="976" w:type="dxa"/>
                  <w:tcBorders>
                    <w:top w:val="nil"/>
                    <w:left w:val="nil"/>
                    <w:bottom w:val="nil"/>
                    <w:right w:val="nil"/>
                  </w:tcBorders>
                  <w:shd w:val="clear" w:color="auto" w:fill="auto"/>
                  <w:noWrap/>
                  <w:vAlign w:val="bottom"/>
                  <w:hideMark/>
                </w:tcPr>
                <w:p w14:paraId="232F0D17" w14:textId="77777777" w:rsidR="000C6444" w:rsidRPr="00CC7DCB" w:rsidRDefault="000C6444" w:rsidP="0033368C">
                  <w:pPr>
                    <w:framePr w:hSpace="141" w:wrap="around" w:vAnchor="text" w:hAnchor="text" w:xAlign="center" w:y="1"/>
                    <w:widowControl w:val="0"/>
                    <w:suppressOverlap/>
                    <w:jc w:val="right"/>
                    <w:rPr>
                      <w:rFonts w:cs="Arial"/>
                      <w:b/>
                      <w:bCs/>
                      <w:sz w:val="18"/>
                      <w:szCs w:val="20"/>
                    </w:rPr>
                  </w:pPr>
                  <w:r w:rsidRPr="00CC7DCB">
                    <w:rPr>
                      <w:rFonts w:cs="Arial"/>
                      <w:b/>
                      <w:bCs/>
                      <w:sz w:val="18"/>
                      <w:szCs w:val="20"/>
                    </w:rPr>
                    <w:t>2020</w:t>
                  </w:r>
                </w:p>
              </w:tc>
              <w:tc>
                <w:tcPr>
                  <w:tcW w:w="976" w:type="dxa"/>
                  <w:tcBorders>
                    <w:top w:val="nil"/>
                    <w:left w:val="nil"/>
                    <w:bottom w:val="nil"/>
                    <w:right w:val="nil"/>
                  </w:tcBorders>
                  <w:shd w:val="clear" w:color="auto" w:fill="auto"/>
                  <w:noWrap/>
                  <w:vAlign w:val="bottom"/>
                  <w:hideMark/>
                </w:tcPr>
                <w:p w14:paraId="5F15E799" w14:textId="77777777" w:rsidR="000C6444" w:rsidRPr="00CC7DCB" w:rsidRDefault="000C6444" w:rsidP="0033368C">
                  <w:pPr>
                    <w:framePr w:hSpace="141" w:wrap="around" w:vAnchor="text" w:hAnchor="text" w:xAlign="center" w:y="1"/>
                    <w:widowControl w:val="0"/>
                    <w:suppressOverlap/>
                    <w:jc w:val="right"/>
                    <w:rPr>
                      <w:rFonts w:cs="Arial"/>
                      <w:b/>
                      <w:bCs/>
                      <w:sz w:val="18"/>
                      <w:szCs w:val="20"/>
                    </w:rPr>
                  </w:pPr>
                  <w:r w:rsidRPr="00CC7DCB">
                    <w:rPr>
                      <w:rFonts w:cs="Arial"/>
                      <w:b/>
                      <w:bCs/>
                      <w:sz w:val="18"/>
                      <w:szCs w:val="20"/>
                    </w:rPr>
                    <w:t>2021</w:t>
                  </w:r>
                </w:p>
              </w:tc>
              <w:tc>
                <w:tcPr>
                  <w:tcW w:w="976" w:type="dxa"/>
                  <w:tcBorders>
                    <w:top w:val="nil"/>
                    <w:left w:val="nil"/>
                    <w:bottom w:val="nil"/>
                    <w:right w:val="nil"/>
                  </w:tcBorders>
                  <w:shd w:val="clear" w:color="auto" w:fill="auto"/>
                  <w:noWrap/>
                  <w:vAlign w:val="bottom"/>
                  <w:hideMark/>
                </w:tcPr>
                <w:p w14:paraId="6662B3EB" w14:textId="77777777" w:rsidR="000C6444" w:rsidRPr="00CC7DCB" w:rsidRDefault="000C6444" w:rsidP="0033368C">
                  <w:pPr>
                    <w:framePr w:hSpace="141" w:wrap="around" w:vAnchor="text" w:hAnchor="text" w:xAlign="center" w:y="1"/>
                    <w:widowControl w:val="0"/>
                    <w:suppressOverlap/>
                    <w:jc w:val="right"/>
                    <w:rPr>
                      <w:rFonts w:cs="Arial"/>
                      <w:b/>
                      <w:bCs/>
                      <w:sz w:val="18"/>
                      <w:szCs w:val="20"/>
                    </w:rPr>
                  </w:pPr>
                  <w:r w:rsidRPr="00CC7DCB">
                    <w:rPr>
                      <w:rFonts w:cs="Arial"/>
                      <w:b/>
                      <w:bCs/>
                      <w:sz w:val="18"/>
                      <w:szCs w:val="20"/>
                    </w:rPr>
                    <w:t>2022</w:t>
                  </w:r>
                </w:p>
              </w:tc>
              <w:tc>
                <w:tcPr>
                  <w:tcW w:w="976" w:type="dxa"/>
                  <w:tcBorders>
                    <w:top w:val="nil"/>
                    <w:left w:val="nil"/>
                    <w:bottom w:val="nil"/>
                    <w:right w:val="nil"/>
                  </w:tcBorders>
                  <w:shd w:val="clear" w:color="auto" w:fill="auto"/>
                  <w:noWrap/>
                  <w:vAlign w:val="bottom"/>
                  <w:hideMark/>
                </w:tcPr>
                <w:p w14:paraId="739D2851" w14:textId="77777777" w:rsidR="000C6444" w:rsidRPr="00CC7DCB" w:rsidRDefault="000C6444" w:rsidP="0033368C">
                  <w:pPr>
                    <w:framePr w:hSpace="141" w:wrap="around" w:vAnchor="text" w:hAnchor="text" w:xAlign="center" w:y="1"/>
                    <w:widowControl w:val="0"/>
                    <w:suppressOverlap/>
                    <w:jc w:val="right"/>
                    <w:rPr>
                      <w:rFonts w:cs="Arial"/>
                      <w:b/>
                      <w:bCs/>
                      <w:sz w:val="18"/>
                      <w:szCs w:val="20"/>
                    </w:rPr>
                  </w:pPr>
                  <w:r w:rsidRPr="00CC7DCB">
                    <w:rPr>
                      <w:rFonts w:cs="Arial"/>
                      <w:b/>
                      <w:bCs/>
                      <w:sz w:val="18"/>
                      <w:szCs w:val="20"/>
                    </w:rPr>
                    <w:t>2023</w:t>
                  </w:r>
                </w:p>
              </w:tc>
            </w:tr>
            <w:tr w:rsidR="000C6444" w:rsidRPr="006A3210" w14:paraId="6A7D2893" w14:textId="77777777" w:rsidTr="00A36664">
              <w:trPr>
                <w:trHeight w:val="270"/>
                <w:jc w:val="center"/>
              </w:trPr>
              <w:tc>
                <w:tcPr>
                  <w:tcW w:w="3256" w:type="dxa"/>
                  <w:tcBorders>
                    <w:top w:val="nil"/>
                    <w:left w:val="nil"/>
                    <w:bottom w:val="nil"/>
                    <w:right w:val="nil"/>
                  </w:tcBorders>
                  <w:shd w:val="clear" w:color="auto" w:fill="auto"/>
                  <w:noWrap/>
                  <w:vAlign w:val="center"/>
                  <w:hideMark/>
                </w:tcPr>
                <w:p w14:paraId="52795BD7" w14:textId="77777777" w:rsidR="000C6444" w:rsidRPr="00BF318A" w:rsidRDefault="000C6444" w:rsidP="0033368C">
                  <w:pPr>
                    <w:framePr w:hSpace="141" w:wrap="around" w:vAnchor="text" w:hAnchor="text" w:xAlign="center" w:y="1"/>
                    <w:widowControl w:val="0"/>
                    <w:suppressOverlap/>
                    <w:rPr>
                      <w:rFonts w:cs="Arial"/>
                      <w:color w:val="000000"/>
                      <w:sz w:val="18"/>
                      <w:szCs w:val="20"/>
                    </w:rPr>
                  </w:pPr>
                  <w:r w:rsidRPr="00BF318A">
                    <w:rPr>
                      <w:rFonts w:cs="Arial"/>
                      <w:color w:val="000000"/>
                      <w:sz w:val="18"/>
                      <w:szCs w:val="20"/>
                    </w:rPr>
                    <w:t>1. Štrukturálne saldo</w:t>
                  </w:r>
                </w:p>
              </w:tc>
              <w:tc>
                <w:tcPr>
                  <w:tcW w:w="976" w:type="dxa"/>
                  <w:tcBorders>
                    <w:top w:val="nil"/>
                    <w:left w:val="nil"/>
                    <w:bottom w:val="nil"/>
                    <w:right w:val="nil"/>
                  </w:tcBorders>
                  <w:shd w:val="clear" w:color="auto" w:fill="auto"/>
                  <w:noWrap/>
                  <w:vAlign w:val="center"/>
                  <w:hideMark/>
                </w:tcPr>
                <w:p w14:paraId="14C52033"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-2,4</w:t>
                  </w:r>
                </w:p>
              </w:tc>
              <w:tc>
                <w:tcPr>
                  <w:tcW w:w="976" w:type="dxa"/>
                  <w:tcBorders>
                    <w:top w:val="nil"/>
                    <w:left w:val="nil"/>
                    <w:bottom w:val="nil"/>
                    <w:right w:val="nil"/>
                  </w:tcBorders>
                  <w:shd w:val="clear" w:color="auto" w:fill="auto"/>
                  <w:noWrap/>
                  <w:vAlign w:val="center"/>
                  <w:hideMark/>
                </w:tcPr>
                <w:p w14:paraId="6970F6E1"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-2,1</w:t>
                  </w:r>
                </w:p>
              </w:tc>
              <w:tc>
                <w:tcPr>
                  <w:tcW w:w="976" w:type="dxa"/>
                  <w:tcBorders>
                    <w:top w:val="nil"/>
                    <w:left w:val="nil"/>
                    <w:bottom w:val="nil"/>
                    <w:right w:val="nil"/>
                  </w:tcBorders>
                  <w:shd w:val="clear" w:color="auto" w:fill="auto"/>
                  <w:noWrap/>
                  <w:vAlign w:val="center"/>
                  <w:hideMark/>
                </w:tcPr>
                <w:p w14:paraId="2DBBF1FA"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-3,8</w:t>
                  </w:r>
                </w:p>
              </w:tc>
              <w:tc>
                <w:tcPr>
                  <w:tcW w:w="976" w:type="dxa"/>
                  <w:tcBorders>
                    <w:top w:val="nil"/>
                    <w:left w:val="nil"/>
                    <w:bottom w:val="nil"/>
                    <w:right w:val="nil"/>
                  </w:tcBorders>
                  <w:shd w:val="clear" w:color="auto" w:fill="auto"/>
                  <w:noWrap/>
                  <w:vAlign w:val="center"/>
                  <w:hideMark/>
                </w:tcPr>
                <w:p w14:paraId="1E3ECE4D"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-3,9</w:t>
                  </w:r>
                </w:p>
              </w:tc>
            </w:tr>
            <w:tr w:rsidR="000C6444" w:rsidRPr="006A3210" w14:paraId="05720A09" w14:textId="77777777" w:rsidTr="00A36664">
              <w:trPr>
                <w:trHeight w:val="270"/>
                <w:jc w:val="center"/>
              </w:trPr>
              <w:tc>
                <w:tcPr>
                  <w:tcW w:w="3256" w:type="dxa"/>
                  <w:tcBorders>
                    <w:top w:val="nil"/>
                    <w:left w:val="nil"/>
                    <w:bottom w:val="nil"/>
                    <w:right w:val="nil"/>
                  </w:tcBorders>
                  <w:shd w:val="clear" w:color="auto" w:fill="auto"/>
                  <w:noWrap/>
                  <w:vAlign w:val="center"/>
                  <w:hideMark/>
                </w:tcPr>
                <w:p w14:paraId="5E8A8FFA" w14:textId="77777777" w:rsidR="000C6444" w:rsidRPr="00BF318A" w:rsidRDefault="000C6444" w:rsidP="0033368C">
                  <w:pPr>
                    <w:framePr w:hSpace="141" w:wrap="around" w:vAnchor="text" w:hAnchor="text" w:xAlign="center" w:y="1"/>
                    <w:widowControl w:val="0"/>
                    <w:suppressOverlap/>
                    <w:rPr>
                      <w:rFonts w:cs="Arial"/>
                      <w:color w:val="000000"/>
                      <w:sz w:val="18"/>
                      <w:szCs w:val="20"/>
                    </w:rPr>
                  </w:pPr>
                  <w:r w:rsidRPr="00BF318A">
                    <w:rPr>
                      <w:rFonts w:cs="Arial"/>
                      <w:color w:val="000000"/>
                      <w:sz w:val="18"/>
                      <w:szCs w:val="20"/>
                    </w:rPr>
                    <w:t>2. Úrokové náklady</w:t>
                  </w:r>
                </w:p>
              </w:tc>
              <w:tc>
                <w:tcPr>
                  <w:tcW w:w="976" w:type="dxa"/>
                  <w:tcBorders>
                    <w:top w:val="nil"/>
                    <w:left w:val="nil"/>
                    <w:bottom w:val="nil"/>
                    <w:right w:val="nil"/>
                  </w:tcBorders>
                  <w:shd w:val="clear" w:color="auto" w:fill="auto"/>
                  <w:noWrap/>
                  <w:vAlign w:val="center"/>
                  <w:hideMark/>
                </w:tcPr>
                <w:p w14:paraId="04C25E56"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-1,2</w:t>
                  </w:r>
                </w:p>
              </w:tc>
              <w:tc>
                <w:tcPr>
                  <w:tcW w:w="976" w:type="dxa"/>
                  <w:tcBorders>
                    <w:top w:val="nil"/>
                    <w:left w:val="nil"/>
                    <w:bottom w:val="nil"/>
                    <w:right w:val="nil"/>
                  </w:tcBorders>
                  <w:shd w:val="clear" w:color="auto" w:fill="auto"/>
                  <w:noWrap/>
                  <w:vAlign w:val="center"/>
                  <w:hideMark/>
                </w:tcPr>
                <w:p w14:paraId="2FA9CE07"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-1,1</w:t>
                  </w:r>
                </w:p>
              </w:tc>
              <w:tc>
                <w:tcPr>
                  <w:tcW w:w="976" w:type="dxa"/>
                  <w:tcBorders>
                    <w:top w:val="nil"/>
                    <w:left w:val="nil"/>
                    <w:bottom w:val="nil"/>
                    <w:right w:val="nil"/>
                  </w:tcBorders>
                  <w:shd w:val="clear" w:color="auto" w:fill="auto"/>
                  <w:noWrap/>
                  <w:vAlign w:val="center"/>
                  <w:hideMark/>
                </w:tcPr>
                <w:p w14:paraId="2051B2A5"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-0,8</w:t>
                  </w:r>
                </w:p>
              </w:tc>
              <w:tc>
                <w:tcPr>
                  <w:tcW w:w="976" w:type="dxa"/>
                  <w:tcBorders>
                    <w:top w:val="nil"/>
                    <w:left w:val="nil"/>
                    <w:bottom w:val="nil"/>
                    <w:right w:val="nil"/>
                  </w:tcBorders>
                  <w:shd w:val="clear" w:color="auto" w:fill="auto"/>
                  <w:noWrap/>
                  <w:vAlign w:val="center"/>
                  <w:hideMark/>
                </w:tcPr>
                <w:p w14:paraId="793F1E15"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-0,8</w:t>
                  </w:r>
                </w:p>
              </w:tc>
            </w:tr>
            <w:tr w:rsidR="000C6444" w:rsidRPr="006A3210" w14:paraId="3C217BAE" w14:textId="77777777" w:rsidTr="00A36664">
              <w:trPr>
                <w:trHeight w:val="270"/>
                <w:jc w:val="center"/>
              </w:trPr>
              <w:tc>
                <w:tcPr>
                  <w:tcW w:w="3256" w:type="dxa"/>
                  <w:tcBorders>
                    <w:top w:val="nil"/>
                    <w:left w:val="nil"/>
                    <w:bottom w:val="nil"/>
                    <w:right w:val="nil"/>
                  </w:tcBorders>
                  <w:shd w:val="clear" w:color="auto" w:fill="auto"/>
                  <w:noWrap/>
                  <w:vAlign w:val="center"/>
                  <w:hideMark/>
                </w:tcPr>
                <w:p w14:paraId="02F7BF3C" w14:textId="77777777" w:rsidR="000C6444" w:rsidRPr="00BF318A" w:rsidRDefault="000C6444" w:rsidP="0033368C">
                  <w:pPr>
                    <w:framePr w:hSpace="141" w:wrap="around" w:vAnchor="text" w:hAnchor="text" w:xAlign="center" w:y="1"/>
                    <w:widowControl w:val="0"/>
                    <w:suppressOverlap/>
                    <w:rPr>
                      <w:rFonts w:cs="Arial"/>
                      <w:color w:val="000000"/>
                      <w:sz w:val="18"/>
                      <w:szCs w:val="20"/>
                    </w:rPr>
                  </w:pPr>
                  <w:r w:rsidRPr="00BF318A">
                    <w:rPr>
                      <w:rFonts w:cs="Arial"/>
                      <w:color w:val="000000"/>
                      <w:sz w:val="18"/>
                      <w:szCs w:val="20"/>
                    </w:rPr>
                    <w:t>3. COVID-19 opatrenia</w:t>
                  </w:r>
                </w:p>
              </w:tc>
              <w:tc>
                <w:tcPr>
                  <w:tcW w:w="976" w:type="dxa"/>
                  <w:tcBorders>
                    <w:top w:val="nil"/>
                    <w:left w:val="nil"/>
                    <w:bottom w:val="nil"/>
                    <w:right w:val="nil"/>
                  </w:tcBorders>
                  <w:shd w:val="clear" w:color="auto" w:fill="auto"/>
                  <w:noWrap/>
                  <w:vAlign w:val="center"/>
                  <w:hideMark/>
                </w:tcPr>
                <w:p w14:paraId="75700A9B"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1,9</w:t>
                  </w:r>
                </w:p>
              </w:tc>
              <w:tc>
                <w:tcPr>
                  <w:tcW w:w="976" w:type="dxa"/>
                  <w:tcBorders>
                    <w:top w:val="nil"/>
                    <w:left w:val="nil"/>
                    <w:bottom w:val="nil"/>
                    <w:right w:val="nil"/>
                  </w:tcBorders>
                  <w:shd w:val="clear" w:color="auto" w:fill="auto"/>
                  <w:noWrap/>
                  <w:vAlign w:val="center"/>
                  <w:hideMark/>
                </w:tcPr>
                <w:p w14:paraId="6653C3C9"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3,0</w:t>
                  </w:r>
                </w:p>
              </w:tc>
              <w:tc>
                <w:tcPr>
                  <w:tcW w:w="976" w:type="dxa"/>
                  <w:tcBorders>
                    <w:top w:val="nil"/>
                    <w:left w:val="nil"/>
                    <w:bottom w:val="nil"/>
                    <w:right w:val="nil"/>
                  </w:tcBorders>
                  <w:shd w:val="clear" w:color="auto" w:fill="auto"/>
                  <w:noWrap/>
                  <w:vAlign w:val="center"/>
                  <w:hideMark/>
                </w:tcPr>
                <w:p w14:paraId="368AE0F1"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1,0</w:t>
                  </w:r>
                </w:p>
              </w:tc>
              <w:tc>
                <w:tcPr>
                  <w:tcW w:w="976" w:type="dxa"/>
                  <w:tcBorders>
                    <w:top w:val="nil"/>
                    <w:left w:val="nil"/>
                    <w:bottom w:val="nil"/>
                    <w:right w:val="nil"/>
                  </w:tcBorders>
                  <w:shd w:val="clear" w:color="auto" w:fill="auto"/>
                  <w:noWrap/>
                  <w:vAlign w:val="center"/>
                  <w:hideMark/>
                </w:tcPr>
                <w:p w14:paraId="08E45F1C"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0,0</w:t>
                  </w:r>
                </w:p>
              </w:tc>
            </w:tr>
            <w:tr w:rsidR="000C6444" w:rsidRPr="006A3210" w14:paraId="668761A7" w14:textId="77777777" w:rsidTr="00A36664">
              <w:trPr>
                <w:trHeight w:val="270"/>
                <w:jc w:val="center"/>
              </w:trPr>
              <w:tc>
                <w:tcPr>
                  <w:tcW w:w="3256" w:type="dxa"/>
                  <w:tcBorders>
                    <w:top w:val="nil"/>
                    <w:left w:val="nil"/>
                    <w:bottom w:val="nil"/>
                    <w:right w:val="nil"/>
                  </w:tcBorders>
                  <w:shd w:val="clear" w:color="auto" w:fill="auto"/>
                  <w:noWrap/>
                  <w:vAlign w:val="center"/>
                  <w:hideMark/>
                </w:tcPr>
                <w:p w14:paraId="6B929920" w14:textId="77777777" w:rsidR="000C6444" w:rsidRPr="00BF318A" w:rsidRDefault="000C6444" w:rsidP="0033368C">
                  <w:pPr>
                    <w:framePr w:hSpace="141" w:wrap="around" w:vAnchor="text" w:hAnchor="text" w:xAlign="center" w:y="1"/>
                    <w:widowControl w:val="0"/>
                    <w:suppressOverlap/>
                    <w:rPr>
                      <w:rFonts w:cs="Arial"/>
                      <w:color w:val="000000"/>
                      <w:sz w:val="18"/>
                      <w:szCs w:val="20"/>
                    </w:rPr>
                  </w:pPr>
                  <w:r w:rsidRPr="00BF318A">
                    <w:rPr>
                      <w:rFonts w:cs="Arial"/>
                      <w:color w:val="000000"/>
                      <w:sz w:val="18"/>
                      <w:szCs w:val="20"/>
                    </w:rPr>
                    <w:t>4. Vplyvy vzťahov s EÚ (mimo RRP), z toho:</w:t>
                  </w:r>
                </w:p>
              </w:tc>
              <w:tc>
                <w:tcPr>
                  <w:tcW w:w="976" w:type="dxa"/>
                  <w:tcBorders>
                    <w:top w:val="nil"/>
                    <w:left w:val="nil"/>
                    <w:bottom w:val="nil"/>
                    <w:right w:val="nil"/>
                  </w:tcBorders>
                  <w:shd w:val="clear" w:color="auto" w:fill="auto"/>
                  <w:noWrap/>
                  <w:vAlign w:val="center"/>
                  <w:hideMark/>
                </w:tcPr>
                <w:p w14:paraId="7209556F"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0,1</w:t>
                  </w:r>
                </w:p>
              </w:tc>
              <w:tc>
                <w:tcPr>
                  <w:tcW w:w="976" w:type="dxa"/>
                  <w:tcBorders>
                    <w:top w:val="nil"/>
                    <w:left w:val="nil"/>
                    <w:bottom w:val="nil"/>
                    <w:right w:val="nil"/>
                  </w:tcBorders>
                  <w:shd w:val="clear" w:color="auto" w:fill="auto"/>
                  <w:noWrap/>
                  <w:vAlign w:val="center"/>
                  <w:hideMark/>
                </w:tcPr>
                <w:p w14:paraId="6B1F8A6B"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0,2</w:t>
                  </w:r>
                </w:p>
              </w:tc>
              <w:tc>
                <w:tcPr>
                  <w:tcW w:w="976" w:type="dxa"/>
                  <w:tcBorders>
                    <w:top w:val="nil"/>
                    <w:left w:val="nil"/>
                    <w:bottom w:val="nil"/>
                    <w:right w:val="nil"/>
                  </w:tcBorders>
                  <w:shd w:val="clear" w:color="auto" w:fill="auto"/>
                  <w:noWrap/>
                  <w:vAlign w:val="center"/>
                  <w:hideMark/>
                </w:tcPr>
                <w:p w14:paraId="340E17E5"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0,4</w:t>
                  </w:r>
                </w:p>
              </w:tc>
              <w:tc>
                <w:tcPr>
                  <w:tcW w:w="976" w:type="dxa"/>
                  <w:tcBorders>
                    <w:top w:val="nil"/>
                    <w:left w:val="nil"/>
                    <w:bottom w:val="nil"/>
                    <w:right w:val="nil"/>
                  </w:tcBorders>
                  <w:shd w:val="clear" w:color="auto" w:fill="auto"/>
                  <w:noWrap/>
                  <w:vAlign w:val="center"/>
                  <w:hideMark/>
                </w:tcPr>
                <w:p w14:paraId="1BB76AC2" w14:textId="77777777" w:rsidR="000C6444" w:rsidRPr="00BF318A" w:rsidRDefault="000C6444" w:rsidP="0033368C">
                  <w:pPr>
                    <w:framePr w:hSpace="141" w:wrap="around" w:vAnchor="text" w:hAnchor="text" w:xAlign="center" w:y="1"/>
                    <w:widowControl w:val="0"/>
                    <w:suppressOverlap/>
                    <w:jc w:val="right"/>
                    <w:rPr>
                      <w:rFonts w:cs="Arial"/>
                      <w:color w:val="000000"/>
                      <w:sz w:val="18"/>
                      <w:szCs w:val="20"/>
                    </w:rPr>
                  </w:pPr>
                  <w:r>
                    <w:rPr>
                      <w:rFonts w:cs="Arial"/>
                      <w:color w:val="000000"/>
                      <w:sz w:val="18"/>
                      <w:szCs w:val="18"/>
                    </w:rPr>
                    <w:t>1,9</w:t>
                  </w:r>
                </w:p>
              </w:tc>
            </w:tr>
            <w:tr w:rsidR="000C6444" w:rsidRPr="006A3210" w14:paraId="5410C420" w14:textId="77777777" w:rsidTr="00A36664">
              <w:trPr>
                <w:trHeight w:val="255"/>
                <w:jc w:val="center"/>
              </w:trPr>
              <w:tc>
                <w:tcPr>
                  <w:tcW w:w="3256" w:type="dxa"/>
                  <w:tcBorders>
                    <w:top w:val="nil"/>
                    <w:left w:val="nil"/>
                    <w:bottom w:val="nil"/>
                    <w:right w:val="nil"/>
                  </w:tcBorders>
                  <w:shd w:val="clear" w:color="auto" w:fill="auto"/>
                  <w:noWrap/>
                  <w:vAlign w:val="center"/>
                  <w:hideMark/>
                </w:tcPr>
                <w:p w14:paraId="72BA20F3" w14:textId="77777777" w:rsidR="000C6444" w:rsidRPr="00CC7DCB" w:rsidRDefault="000C6444" w:rsidP="0033368C">
                  <w:pPr>
                    <w:framePr w:hSpace="141" w:wrap="around" w:vAnchor="text" w:hAnchor="text" w:xAlign="center" w:y="1"/>
                    <w:widowControl w:val="0"/>
                    <w:suppressOverlap/>
                    <w:rPr>
                      <w:rFonts w:cs="Arial"/>
                      <w:i/>
                      <w:iCs/>
                      <w:sz w:val="18"/>
                      <w:szCs w:val="20"/>
                    </w:rPr>
                  </w:pPr>
                  <w:r w:rsidRPr="00CC7DCB">
                    <w:rPr>
                      <w:rFonts w:cs="Arial"/>
                      <w:i/>
                      <w:iCs/>
                      <w:sz w:val="18"/>
                      <w:szCs w:val="20"/>
                    </w:rPr>
                    <w:t>- príjmy z III. a IV. programového rozpočtu EÚ</w:t>
                  </w:r>
                </w:p>
              </w:tc>
              <w:tc>
                <w:tcPr>
                  <w:tcW w:w="976" w:type="dxa"/>
                  <w:tcBorders>
                    <w:top w:val="nil"/>
                    <w:left w:val="nil"/>
                    <w:bottom w:val="nil"/>
                    <w:right w:val="nil"/>
                  </w:tcBorders>
                  <w:shd w:val="clear" w:color="auto" w:fill="auto"/>
                  <w:noWrap/>
                  <w:vAlign w:val="center"/>
                  <w:hideMark/>
                </w:tcPr>
                <w:p w14:paraId="698F0FF2"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1,0</w:t>
                  </w:r>
                </w:p>
              </w:tc>
              <w:tc>
                <w:tcPr>
                  <w:tcW w:w="976" w:type="dxa"/>
                  <w:tcBorders>
                    <w:top w:val="nil"/>
                    <w:left w:val="nil"/>
                    <w:bottom w:val="nil"/>
                    <w:right w:val="nil"/>
                  </w:tcBorders>
                  <w:shd w:val="clear" w:color="auto" w:fill="auto"/>
                  <w:noWrap/>
                  <w:vAlign w:val="center"/>
                  <w:hideMark/>
                </w:tcPr>
                <w:p w14:paraId="3063B8EA"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1,3</w:t>
                  </w:r>
                </w:p>
              </w:tc>
              <w:tc>
                <w:tcPr>
                  <w:tcW w:w="976" w:type="dxa"/>
                  <w:tcBorders>
                    <w:top w:val="nil"/>
                    <w:left w:val="nil"/>
                    <w:bottom w:val="nil"/>
                    <w:right w:val="nil"/>
                  </w:tcBorders>
                  <w:shd w:val="clear" w:color="auto" w:fill="auto"/>
                  <w:noWrap/>
                  <w:vAlign w:val="center"/>
                  <w:hideMark/>
                </w:tcPr>
                <w:p w14:paraId="7CB9C877"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1,4</w:t>
                  </w:r>
                </w:p>
              </w:tc>
              <w:tc>
                <w:tcPr>
                  <w:tcW w:w="976" w:type="dxa"/>
                  <w:tcBorders>
                    <w:top w:val="nil"/>
                    <w:left w:val="nil"/>
                    <w:bottom w:val="nil"/>
                    <w:right w:val="nil"/>
                  </w:tcBorders>
                  <w:shd w:val="clear" w:color="auto" w:fill="auto"/>
                  <w:noWrap/>
                  <w:vAlign w:val="center"/>
                  <w:hideMark/>
                </w:tcPr>
                <w:p w14:paraId="7E4C66CD"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2,8</w:t>
                  </w:r>
                </w:p>
              </w:tc>
            </w:tr>
            <w:tr w:rsidR="000C6444" w:rsidRPr="006A3210" w14:paraId="066E7C8A" w14:textId="77777777" w:rsidTr="00A36664">
              <w:trPr>
                <w:trHeight w:val="255"/>
                <w:jc w:val="center"/>
              </w:trPr>
              <w:tc>
                <w:tcPr>
                  <w:tcW w:w="3256" w:type="dxa"/>
                  <w:tcBorders>
                    <w:top w:val="nil"/>
                    <w:left w:val="nil"/>
                    <w:bottom w:val="nil"/>
                    <w:right w:val="nil"/>
                  </w:tcBorders>
                  <w:shd w:val="clear" w:color="auto" w:fill="auto"/>
                  <w:noWrap/>
                  <w:vAlign w:val="center"/>
                  <w:hideMark/>
                </w:tcPr>
                <w:p w14:paraId="2240F0FE" w14:textId="77777777" w:rsidR="000C6444" w:rsidRPr="00CC7DCB" w:rsidRDefault="000C6444" w:rsidP="0033368C">
                  <w:pPr>
                    <w:framePr w:hSpace="141" w:wrap="around" w:vAnchor="text" w:hAnchor="text" w:xAlign="center" w:y="1"/>
                    <w:widowControl w:val="0"/>
                    <w:suppressOverlap/>
                    <w:rPr>
                      <w:rFonts w:cs="Arial"/>
                      <w:i/>
                      <w:iCs/>
                      <w:sz w:val="18"/>
                      <w:szCs w:val="20"/>
                    </w:rPr>
                  </w:pPr>
                  <w:r w:rsidRPr="00CC7DCB">
                    <w:rPr>
                      <w:rFonts w:cs="Arial"/>
                      <w:i/>
                      <w:iCs/>
                      <w:sz w:val="18"/>
                      <w:szCs w:val="20"/>
                    </w:rPr>
                    <w:t>- odvody do rozpočtu EÚ</w:t>
                  </w:r>
                </w:p>
              </w:tc>
              <w:tc>
                <w:tcPr>
                  <w:tcW w:w="976" w:type="dxa"/>
                  <w:tcBorders>
                    <w:top w:val="nil"/>
                    <w:left w:val="nil"/>
                    <w:bottom w:val="nil"/>
                    <w:right w:val="nil"/>
                  </w:tcBorders>
                  <w:shd w:val="clear" w:color="auto" w:fill="auto"/>
                  <w:noWrap/>
                  <w:vAlign w:val="center"/>
                  <w:hideMark/>
                </w:tcPr>
                <w:p w14:paraId="306A134C"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-1,0</w:t>
                  </w:r>
                </w:p>
              </w:tc>
              <w:tc>
                <w:tcPr>
                  <w:tcW w:w="976" w:type="dxa"/>
                  <w:tcBorders>
                    <w:top w:val="nil"/>
                    <w:left w:val="nil"/>
                    <w:bottom w:val="nil"/>
                    <w:right w:val="nil"/>
                  </w:tcBorders>
                  <w:shd w:val="clear" w:color="auto" w:fill="auto"/>
                  <w:noWrap/>
                  <w:vAlign w:val="center"/>
                  <w:hideMark/>
                </w:tcPr>
                <w:p w14:paraId="707307F9"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-1,1</w:t>
                  </w:r>
                </w:p>
              </w:tc>
              <w:tc>
                <w:tcPr>
                  <w:tcW w:w="976" w:type="dxa"/>
                  <w:tcBorders>
                    <w:top w:val="nil"/>
                    <w:left w:val="nil"/>
                    <w:bottom w:val="nil"/>
                    <w:right w:val="nil"/>
                  </w:tcBorders>
                  <w:shd w:val="clear" w:color="auto" w:fill="auto"/>
                  <w:noWrap/>
                  <w:vAlign w:val="center"/>
                  <w:hideMark/>
                </w:tcPr>
                <w:p w14:paraId="0805D299"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-1,0</w:t>
                  </w:r>
                </w:p>
              </w:tc>
              <w:tc>
                <w:tcPr>
                  <w:tcW w:w="976" w:type="dxa"/>
                  <w:tcBorders>
                    <w:top w:val="nil"/>
                    <w:left w:val="nil"/>
                    <w:bottom w:val="nil"/>
                    <w:right w:val="nil"/>
                  </w:tcBorders>
                  <w:shd w:val="clear" w:color="auto" w:fill="auto"/>
                  <w:noWrap/>
                  <w:vAlign w:val="center"/>
                  <w:hideMark/>
                </w:tcPr>
                <w:p w14:paraId="626CE3DD" w14:textId="77777777" w:rsidR="000C6444" w:rsidRPr="00CC7DCB" w:rsidRDefault="000C6444" w:rsidP="0033368C">
                  <w:pPr>
                    <w:framePr w:hSpace="141" w:wrap="around" w:vAnchor="text" w:hAnchor="text" w:xAlign="center" w:y="1"/>
                    <w:widowControl w:val="0"/>
                    <w:suppressOverlap/>
                    <w:jc w:val="right"/>
                    <w:rPr>
                      <w:rFonts w:cs="Arial"/>
                      <w:i/>
                      <w:iCs/>
                      <w:sz w:val="18"/>
                      <w:szCs w:val="20"/>
                    </w:rPr>
                  </w:pPr>
                  <w:r>
                    <w:rPr>
                      <w:rFonts w:cs="Arial"/>
                      <w:i/>
                      <w:iCs/>
                      <w:sz w:val="16"/>
                      <w:szCs w:val="16"/>
                    </w:rPr>
                    <w:t>-0,9</w:t>
                  </w:r>
                </w:p>
              </w:tc>
            </w:tr>
            <w:tr w:rsidR="000C6444" w:rsidRPr="006A3210" w14:paraId="52083E05" w14:textId="77777777" w:rsidTr="00A36664">
              <w:trPr>
                <w:trHeight w:val="285"/>
                <w:jc w:val="center"/>
              </w:trPr>
              <w:tc>
                <w:tcPr>
                  <w:tcW w:w="3256" w:type="dxa"/>
                  <w:tcBorders>
                    <w:top w:val="nil"/>
                    <w:left w:val="nil"/>
                    <w:bottom w:val="single" w:sz="8" w:space="0" w:color="auto"/>
                    <w:right w:val="nil"/>
                  </w:tcBorders>
                  <w:shd w:val="clear" w:color="auto" w:fill="auto"/>
                  <w:noWrap/>
                  <w:vAlign w:val="center"/>
                  <w:hideMark/>
                </w:tcPr>
                <w:p w14:paraId="57AC7925" w14:textId="77777777" w:rsidR="000C6444" w:rsidRPr="00BF318A" w:rsidRDefault="000C6444" w:rsidP="0033368C">
                  <w:pPr>
                    <w:framePr w:hSpace="141" w:wrap="around" w:vAnchor="text" w:hAnchor="text" w:xAlign="center" w:y="1"/>
                    <w:widowControl w:val="0"/>
                    <w:suppressOverlap/>
                    <w:rPr>
                      <w:rFonts w:cs="Arial"/>
                      <w:color w:val="000000"/>
                      <w:sz w:val="18"/>
                      <w:szCs w:val="20"/>
                    </w:rPr>
                  </w:pPr>
                  <w:r w:rsidRPr="00BF318A">
                    <w:rPr>
                      <w:rFonts w:cs="Arial"/>
                      <w:color w:val="000000"/>
                      <w:sz w:val="18"/>
                      <w:szCs w:val="20"/>
                    </w:rPr>
                    <w:t>5. Plán obnovy a odolnosti EÚ</w:t>
                  </w:r>
                </w:p>
              </w:tc>
              <w:tc>
                <w:tcPr>
                  <w:tcW w:w="976" w:type="dxa"/>
                  <w:tcBorders>
                    <w:top w:val="nil"/>
                    <w:left w:val="nil"/>
                    <w:bottom w:val="single" w:sz="8" w:space="0" w:color="auto"/>
                    <w:right w:val="nil"/>
                  </w:tcBorders>
                  <w:shd w:val="clear" w:color="auto" w:fill="auto"/>
                  <w:noWrap/>
                  <w:vAlign w:val="center"/>
                  <w:hideMark/>
                </w:tcPr>
                <w:p w14:paraId="0EB0776E"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 </w:t>
                  </w:r>
                </w:p>
              </w:tc>
              <w:tc>
                <w:tcPr>
                  <w:tcW w:w="976" w:type="dxa"/>
                  <w:tcBorders>
                    <w:top w:val="nil"/>
                    <w:left w:val="nil"/>
                    <w:bottom w:val="single" w:sz="8" w:space="0" w:color="auto"/>
                    <w:right w:val="nil"/>
                  </w:tcBorders>
                  <w:shd w:val="clear" w:color="auto" w:fill="auto"/>
                  <w:noWrap/>
                  <w:vAlign w:val="center"/>
                  <w:hideMark/>
                </w:tcPr>
                <w:p w14:paraId="22E27B86"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0,0</w:t>
                  </w:r>
                </w:p>
              </w:tc>
              <w:tc>
                <w:tcPr>
                  <w:tcW w:w="976" w:type="dxa"/>
                  <w:tcBorders>
                    <w:top w:val="nil"/>
                    <w:left w:val="nil"/>
                    <w:bottom w:val="single" w:sz="8" w:space="0" w:color="auto"/>
                    <w:right w:val="nil"/>
                  </w:tcBorders>
                  <w:shd w:val="clear" w:color="auto" w:fill="auto"/>
                  <w:noWrap/>
                  <w:vAlign w:val="center"/>
                  <w:hideMark/>
                </w:tcPr>
                <w:p w14:paraId="65A97EDF"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0,7</w:t>
                  </w:r>
                </w:p>
              </w:tc>
              <w:tc>
                <w:tcPr>
                  <w:tcW w:w="976" w:type="dxa"/>
                  <w:tcBorders>
                    <w:top w:val="nil"/>
                    <w:left w:val="nil"/>
                    <w:bottom w:val="single" w:sz="8" w:space="0" w:color="auto"/>
                    <w:right w:val="nil"/>
                  </w:tcBorders>
                  <w:shd w:val="clear" w:color="auto" w:fill="auto"/>
                  <w:noWrap/>
                  <w:vAlign w:val="center"/>
                  <w:hideMark/>
                </w:tcPr>
                <w:p w14:paraId="32751DE2"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0,8</w:t>
                  </w:r>
                </w:p>
              </w:tc>
            </w:tr>
            <w:tr w:rsidR="000C6444" w:rsidRPr="006A3210" w14:paraId="6C70E9C1" w14:textId="77777777" w:rsidTr="00A36664">
              <w:trPr>
                <w:trHeight w:val="285"/>
                <w:jc w:val="center"/>
              </w:trPr>
              <w:tc>
                <w:tcPr>
                  <w:tcW w:w="3256" w:type="dxa"/>
                  <w:tcBorders>
                    <w:top w:val="nil"/>
                    <w:left w:val="nil"/>
                    <w:bottom w:val="single" w:sz="8" w:space="0" w:color="auto"/>
                    <w:right w:val="nil"/>
                  </w:tcBorders>
                  <w:shd w:val="clear" w:color="auto" w:fill="auto"/>
                  <w:noWrap/>
                  <w:vAlign w:val="center"/>
                  <w:hideMark/>
                </w:tcPr>
                <w:p w14:paraId="21401445" w14:textId="77777777" w:rsidR="000C6444" w:rsidRPr="00BF318A" w:rsidRDefault="000C6444" w:rsidP="0033368C">
                  <w:pPr>
                    <w:framePr w:hSpace="141" w:wrap="around" w:vAnchor="text" w:hAnchor="text" w:xAlign="center" w:y="1"/>
                    <w:widowControl w:val="0"/>
                    <w:suppressOverlap/>
                    <w:rPr>
                      <w:rFonts w:cs="Arial"/>
                      <w:color w:val="000000"/>
                      <w:sz w:val="18"/>
                      <w:szCs w:val="20"/>
                    </w:rPr>
                  </w:pPr>
                  <w:r w:rsidRPr="00BF318A">
                    <w:rPr>
                      <w:rFonts w:cs="Arial"/>
                      <w:color w:val="000000"/>
                      <w:sz w:val="18"/>
                      <w:szCs w:val="20"/>
                    </w:rPr>
                    <w:t>6. Upravené štrukturálne saldo (1-2-3-4-5)</w:t>
                  </w:r>
                </w:p>
              </w:tc>
              <w:tc>
                <w:tcPr>
                  <w:tcW w:w="976" w:type="dxa"/>
                  <w:tcBorders>
                    <w:top w:val="nil"/>
                    <w:left w:val="nil"/>
                    <w:bottom w:val="single" w:sz="8" w:space="0" w:color="auto"/>
                    <w:right w:val="nil"/>
                  </w:tcBorders>
                  <w:shd w:val="clear" w:color="auto" w:fill="auto"/>
                  <w:noWrap/>
                  <w:vAlign w:val="center"/>
                  <w:hideMark/>
                </w:tcPr>
                <w:p w14:paraId="3256555D"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-3,2</w:t>
                  </w:r>
                </w:p>
              </w:tc>
              <w:tc>
                <w:tcPr>
                  <w:tcW w:w="976" w:type="dxa"/>
                  <w:tcBorders>
                    <w:top w:val="nil"/>
                    <w:left w:val="nil"/>
                    <w:bottom w:val="single" w:sz="8" w:space="0" w:color="auto"/>
                    <w:right w:val="nil"/>
                  </w:tcBorders>
                  <w:shd w:val="clear" w:color="auto" w:fill="auto"/>
                  <w:noWrap/>
                  <w:vAlign w:val="center"/>
                  <w:hideMark/>
                </w:tcPr>
                <w:p w14:paraId="35159066"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-4,3</w:t>
                  </w:r>
                </w:p>
              </w:tc>
              <w:tc>
                <w:tcPr>
                  <w:tcW w:w="976" w:type="dxa"/>
                  <w:tcBorders>
                    <w:top w:val="nil"/>
                    <w:left w:val="nil"/>
                    <w:bottom w:val="single" w:sz="8" w:space="0" w:color="auto"/>
                    <w:right w:val="nil"/>
                  </w:tcBorders>
                  <w:shd w:val="clear" w:color="auto" w:fill="auto"/>
                  <w:noWrap/>
                  <w:vAlign w:val="center"/>
                  <w:hideMark/>
                </w:tcPr>
                <w:p w14:paraId="17517B10"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-5,0</w:t>
                  </w:r>
                </w:p>
              </w:tc>
              <w:tc>
                <w:tcPr>
                  <w:tcW w:w="976" w:type="dxa"/>
                  <w:tcBorders>
                    <w:top w:val="nil"/>
                    <w:left w:val="nil"/>
                    <w:bottom w:val="single" w:sz="8" w:space="0" w:color="auto"/>
                    <w:right w:val="nil"/>
                  </w:tcBorders>
                  <w:shd w:val="clear" w:color="auto" w:fill="auto"/>
                  <w:noWrap/>
                  <w:vAlign w:val="center"/>
                  <w:hideMark/>
                </w:tcPr>
                <w:p w14:paraId="2BEADEC5" w14:textId="77777777" w:rsidR="000C6444" w:rsidRPr="00BF318A" w:rsidRDefault="000C6444" w:rsidP="0033368C">
                  <w:pPr>
                    <w:framePr w:hSpace="141" w:wrap="around" w:vAnchor="text" w:hAnchor="text" w:xAlign="center" w:y="1"/>
                    <w:widowControl w:val="0"/>
                    <w:suppressOverlap/>
                    <w:jc w:val="right"/>
                    <w:rPr>
                      <w:rFonts w:cs="Arial"/>
                      <w:sz w:val="18"/>
                      <w:szCs w:val="20"/>
                    </w:rPr>
                  </w:pPr>
                  <w:r>
                    <w:rPr>
                      <w:rFonts w:cs="Arial"/>
                      <w:sz w:val="18"/>
                      <w:szCs w:val="18"/>
                    </w:rPr>
                    <w:t>-5,8</w:t>
                  </w:r>
                </w:p>
              </w:tc>
            </w:tr>
            <w:tr w:rsidR="000C6444" w:rsidRPr="006A3210" w14:paraId="6400EDC6" w14:textId="77777777" w:rsidTr="00A36664">
              <w:trPr>
                <w:trHeight w:val="315"/>
                <w:jc w:val="center"/>
              </w:trPr>
              <w:tc>
                <w:tcPr>
                  <w:tcW w:w="3256" w:type="dxa"/>
                  <w:tcBorders>
                    <w:top w:val="nil"/>
                    <w:left w:val="nil"/>
                    <w:bottom w:val="single" w:sz="8" w:space="0" w:color="auto"/>
                    <w:right w:val="nil"/>
                  </w:tcBorders>
                  <w:shd w:val="clear" w:color="auto" w:fill="auto"/>
                  <w:noWrap/>
                  <w:vAlign w:val="center"/>
                  <w:hideMark/>
                </w:tcPr>
                <w:p w14:paraId="42C4882D" w14:textId="77777777" w:rsidR="000C6444" w:rsidRPr="0053433C" w:rsidRDefault="000C6444" w:rsidP="0033368C">
                  <w:pPr>
                    <w:framePr w:hSpace="141" w:wrap="around" w:vAnchor="text" w:hAnchor="text" w:xAlign="center" w:y="1"/>
                    <w:widowControl w:val="0"/>
                    <w:suppressOverlap/>
                    <w:rPr>
                      <w:rFonts w:cs="Arial"/>
                      <w:b/>
                      <w:bCs/>
                      <w:color w:val="000000"/>
                      <w:sz w:val="18"/>
                      <w:szCs w:val="20"/>
                    </w:rPr>
                  </w:pPr>
                  <w:r w:rsidRPr="00BF318A">
                    <w:rPr>
                      <w:rFonts w:cs="Arial"/>
                      <w:b/>
                      <w:bCs/>
                      <w:color w:val="000000"/>
                      <w:sz w:val="18"/>
                      <w:szCs w:val="20"/>
                    </w:rPr>
                    <w:t>7. Fiškálna pozícia (fiškálny impulz) (6</w:t>
                  </w:r>
                  <w:r w:rsidRPr="00BF318A">
                    <w:rPr>
                      <w:rFonts w:cs="Arial"/>
                      <w:b/>
                      <w:bCs/>
                      <w:color w:val="000000"/>
                      <w:sz w:val="18"/>
                      <w:szCs w:val="20"/>
                      <w:vertAlign w:val="subscript"/>
                    </w:rPr>
                    <w:t>t</w:t>
                  </w:r>
                  <w:r w:rsidRPr="0053433C">
                    <w:rPr>
                      <w:rFonts w:cs="Arial"/>
                      <w:b/>
                      <w:bCs/>
                      <w:color w:val="000000"/>
                      <w:sz w:val="18"/>
                      <w:szCs w:val="20"/>
                    </w:rPr>
                    <w:t xml:space="preserve"> – 6</w:t>
                  </w:r>
                  <w:r w:rsidRPr="0053433C">
                    <w:rPr>
                      <w:rFonts w:cs="Arial"/>
                      <w:b/>
                      <w:bCs/>
                      <w:color w:val="000000"/>
                      <w:sz w:val="18"/>
                      <w:szCs w:val="20"/>
                      <w:vertAlign w:val="subscript"/>
                    </w:rPr>
                    <w:t>t-1</w:t>
                  </w:r>
                  <w:r w:rsidRPr="0053433C">
                    <w:rPr>
                      <w:rFonts w:cs="Arial"/>
                      <w:b/>
                      <w:bCs/>
                      <w:color w:val="000000"/>
                      <w:sz w:val="18"/>
                      <w:szCs w:val="20"/>
                    </w:rPr>
                    <w:t>)</w:t>
                  </w:r>
                </w:p>
              </w:tc>
              <w:tc>
                <w:tcPr>
                  <w:tcW w:w="976" w:type="dxa"/>
                  <w:tcBorders>
                    <w:top w:val="nil"/>
                    <w:left w:val="nil"/>
                    <w:bottom w:val="single" w:sz="8" w:space="0" w:color="auto"/>
                    <w:right w:val="nil"/>
                  </w:tcBorders>
                  <w:shd w:val="clear" w:color="auto" w:fill="auto"/>
                  <w:noWrap/>
                  <w:vAlign w:val="center"/>
                  <w:hideMark/>
                </w:tcPr>
                <w:p w14:paraId="08A8F1F4" w14:textId="77777777" w:rsidR="000C6444" w:rsidRPr="00BF318A" w:rsidRDefault="000C6444" w:rsidP="0033368C">
                  <w:pPr>
                    <w:framePr w:hSpace="141" w:wrap="around" w:vAnchor="text" w:hAnchor="text" w:xAlign="center" w:y="1"/>
                    <w:widowControl w:val="0"/>
                    <w:suppressOverlap/>
                    <w:jc w:val="right"/>
                    <w:rPr>
                      <w:rFonts w:cs="Arial"/>
                      <w:b/>
                      <w:bCs/>
                      <w:color w:val="000000"/>
                      <w:sz w:val="18"/>
                      <w:szCs w:val="20"/>
                    </w:rPr>
                  </w:pPr>
                  <w:r>
                    <w:rPr>
                      <w:rFonts w:cs="Arial"/>
                      <w:b/>
                      <w:bCs/>
                      <w:color w:val="000000"/>
                      <w:sz w:val="18"/>
                      <w:szCs w:val="18"/>
                    </w:rPr>
                    <w:t> </w:t>
                  </w:r>
                </w:p>
              </w:tc>
              <w:tc>
                <w:tcPr>
                  <w:tcW w:w="976" w:type="dxa"/>
                  <w:tcBorders>
                    <w:top w:val="nil"/>
                    <w:left w:val="nil"/>
                    <w:bottom w:val="single" w:sz="8" w:space="0" w:color="auto"/>
                    <w:right w:val="nil"/>
                  </w:tcBorders>
                  <w:shd w:val="clear" w:color="auto" w:fill="auto"/>
                  <w:noWrap/>
                  <w:vAlign w:val="center"/>
                  <w:hideMark/>
                </w:tcPr>
                <w:p w14:paraId="5456DBAE" w14:textId="77777777" w:rsidR="000C6444" w:rsidRPr="00BF318A" w:rsidRDefault="000C6444" w:rsidP="0033368C">
                  <w:pPr>
                    <w:framePr w:hSpace="141" w:wrap="around" w:vAnchor="text" w:hAnchor="text" w:xAlign="center" w:y="1"/>
                    <w:widowControl w:val="0"/>
                    <w:suppressOverlap/>
                    <w:jc w:val="right"/>
                    <w:rPr>
                      <w:rFonts w:cs="Arial"/>
                      <w:b/>
                      <w:bCs/>
                      <w:color w:val="000000"/>
                      <w:sz w:val="18"/>
                      <w:szCs w:val="20"/>
                    </w:rPr>
                  </w:pPr>
                  <w:r>
                    <w:rPr>
                      <w:rFonts w:cs="Arial"/>
                      <w:b/>
                      <w:bCs/>
                      <w:color w:val="000000"/>
                      <w:sz w:val="18"/>
                      <w:szCs w:val="18"/>
                    </w:rPr>
                    <w:t>-1,1</w:t>
                  </w:r>
                </w:p>
              </w:tc>
              <w:tc>
                <w:tcPr>
                  <w:tcW w:w="976" w:type="dxa"/>
                  <w:tcBorders>
                    <w:top w:val="nil"/>
                    <w:left w:val="nil"/>
                    <w:bottom w:val="single" w:sz="8" w:space="0" w:color="auto"/>
                    <w:right w:val="nil"/>
                  </w:tcBorders>
                  <w:shd w:val="clear" w:color="auto" w:fill="auto"/>
                  <w:noWrap/>
                  <w:vAlign w:val="center"/>
                  <w:hideMark/>
                </w:tcPr>
                <w:p w14:paraId="23368B56" w14:textId="77777777" w:rsidR="000C6444" w:rsidRPr="00BF318A" w:rsidRDefault="000C6444" w:rsidP="0033368C">
                  <w:pPr>
                    <w:framePr w:hSpace="141" w:wrap="around" w:vAnchor="text" w:hAnchor="text" w:xAlign="center" w:y="1"/>
                    <w:widowControl w:val="0"/>
                    <w:suppressOverlap/>
                    <w:jc w:val="right"/>
                    <w:rPr>
                      <w:rFonts w:cs="Arial"/>
                      <w:b/>
                      <w:bCs/>
                      <w:color w:val="000000"/>
                      <w:sz w:val="18"/>
                      <w:szCs w:val="20"/>
                    </w:rPr>
                  </w:pPr>
                  <w:r>
                    <w:rPr>
                      <w:rFonts w:cs="Arial"/>
                      <w:b/>
                      <w:bCs/>
                      <w:color w:val="000000"/>
                      <w:sz w:val="18"/>
                      <w:szCs w:val="18"/>
                    </w:rPr>
                    <w:t>-0,8</w:t>
                  </w:r>
                </w:p>
              </w:tc>
              <w:tc>
                <w:tcPr>
                  <w:tcW w:w="976" w:type="dxa"/>
                  <w:tcBorders>
                    <w:top w:val="nil"/>
                    <w:left w:val="nil"/>
                    <w:bottom w:val="single" w:sz="8" w:space="0" w:color="auto"/>
                    <w:right w:val="nil"/>
                  </w:tcBorders>
                  <w:shd w:val="clear" w:color="auto" w:fill="auto"/>
                  <w:noWrap/>
                  <w:vAlign w:val="center"/>
                  <w:hideMark/>
                </w:tcPr>
                <w:p w14:paraId="7E8C3602" w14:textId="77777777" w:rsidR="000C6444" w:rsidRPr="00BF318A" w:rsidRDefault="000C6444" w:rsidP="0033368C">
                  <w:pPr>
                    <w:framePr w:hSpace="141" w:wrap="around" w:vAnchor="text" w:hAnchor="text" w:xAlign="center" w:y="1"/>
                    <w:widowControl w:val="0"/>
                    <w:suppressOverlap/>
                    <w:jc w:val="right"/>
                    <w:rPr>
                      <w:rFonts w:cs="Arial"/>
                      <w:b/>
                      <w:bCs/>
                      <w:color w:val="000000"/>
                      <w:sz w:val="18"/>
                      <w:szCs w:val="20"/>
                    </w:rPr>
                  </w:pPr>
                  <w:r>
                    <w:rPr>
                      <w:rFonts w:cs="Arial"/>
                      <w:b/>
                      <w:bCs/>
                      <w:color w:val="000000"/>
                      <w:sz w:val="18"/>
                      <w:szCs w:val="18"/>
                    </w:rPr>
                    <w:t>-0,8</w:t>
                  </w:r>
                </w:p>
              </w:tc>
            </w:tr>
          </w:tbl>
          <w:p w14:paraId="12AEB94C" w14:textId="6A8AA9B0" w:rsidR="000C6444" w:rsidRDefault="000C6444" w:rsidP="00070E82">
            <w:pPr>
              <w:widowControl w:val="0"/>
              <w:jc w:val="both"/>
              <w:rPr>
                <w:i/>
                <w:iCs/>
                <w:sz w:val="16"/>
                <w:szCs w:val="16"/>
              </w:rPr>
            </w:pPr>
            <w:r>
              <w:rPr>
                <w:i/>
                <w:iCs/>
                <w:sz w:val="16"/>
                <w:szCs w:val="16"/>
              </w:rPr>
              <w:t xml:space="preserve">                            Pozn.: Fiškálna pozícia so znamienkom mínus vyjadruje fiškálnu expanziu, so znamienkom plus vyjadruje fiškálnu reštrikciu. </w:t>
            </w:r>
          </w:p>
          <w:p w14:paraId="61FE93E1" w14:textId="77777777" w:rsidR="000C6444" w:rsidRDefault="000C6444" w:rsidP="00070E82">
            <w:pPr>
              <w:widowControl w:val="0"/>
              <w:jc w:val="both"/>
              <w:rPr>
                <w:i/>
                <w:iCs/>
                <w:sz w:val="16"/>
                <w:szCs w:val="16"/>
              </w:rPr>
            </w:pPr>
            <w:r>
              <w:rPr>
                <w:i/>
                <w:iCs/>
                <w:sz w:val="16"/>
                <w:szCs w:val="16"/>
              </w:rPr>
              <w:t xml:space="preserve">                                                                                                                                                                                          </w:t>
            </w:r>
            <w:r w:rsidR="001C07CC">
              <w:rPr>
                <w:i/>
                <w:iCs/>
                <w:sz w:val="16"/>
                <w:szCs w:val="16"/>
              </w:rPr>
              <w:t xml:space="preserve">                   Zdroj: MF SR</w:t>
            </w:r>
          </w:p>
          <w:p w14:paraId="4786253A" w14:textId="62EABA6B" w:rsidR="001609AD" w:rsidRPr="001C07CC" w:rsidRDefault="001609AD" w:rsidP="00070E82">
            <w:pPr>
              <w:widowControl w:val="0"/>
              <w:jc w:val="both"/>
              <w:rPr>
                <w:i/>
                <w:iCs/>
                <w:sz w:val="16"/>
                <w:szCs w:val="16"/>
              </w:rPr>
            </w:pPr>
          </w:p>
        </w:tc>
      </w:tr>
    </w:tbl>
    <w:p w14:paraId="71EC2243" w14:textId="77777777" w:rsidR="000C6444" w:rsidRPr="00091C32" w:rsidRDefault="000C6444" w:rsidP="00070E82">
      <w:pPr>
        <w:pStyle w:val="Nadpis2"/>
        <w:widowControl w:val="0"/>
        <w:numPr>
          <w:ilvl w:val="1"/>
          <w:numId w:val="2"/>
        </w:numPr>
        <w:spacing w:before="240" w:after="120"/>
        <w:rPr>
          <w:b/>
          <w:color w:val="2C9ADC"/>
          <w:szCs w:val="24"/>
        </w:rPr>
      </w:pPr>
      <w:bookmarkStart w:id="128" w:name="_Toc53422691"/>
      <w:bookmarkStart w:id="129" w:name="_Toc70700332"/>
      <w:bookmarkStart w:id="130" w:name="_Toc101880668"/>
      <w:r w:rsidRPr="00091C32">
        <w:rPr>
          <w:b/>
          <w:color w:val="2C9ADC"/>
          <w:szCs w:val="24"/>
        </w:rPr>
        <w:t>Vývoj jednotlivých rozpočtových položiek a opatrenia</w:t>
      </w:r>
      <w:bookmarkEnd w:id="128"/>
      <w:bookmarkEnd w:id="129"/>
      <w:r w:rsidRPr="00091C32">
        <w:rPr>
          <w:b/>
          <w:color w:val="2C9ADC"/>
          <w:szCs w:val="24"/>
        </w:rPr>
        <w:t xml:space="preserve"> od roku 2023</w:t>
      </w:r>
      <w:bookmarkEnd w:id="130"/>
    </w:p>
    <w:p w14:paraId="0AEB502B" w14:textId="3AC294C0" w:rsidR="000C6444" w:rsidRPr="004D5423" w:rsidRDefault="000C6444" w:rsidP="00070E82">
      <w:pPr>
        <w:widowControl w:val="0"/>
        <w:jc w:val="both"/>
        <w:rPr>
          <w:rFonts w:ascii="Calibri" w:hAnsi="Calibri" w:cs="Calibri"/>
        </w:rPr>
      </w:pPr>
      <w:r>
        <w:rPr>
          <w:b/>
          <w:color w:val="000000" w:themeColor="text1"/>
        </w:rPr>
        <w:t xml:space="preserve">Na roky 2023 prijala vláda </w:t>
      </w:r>
      <w:r w:rsidRPr="00CC7DCB">
        <w:rPr>
          <w:b/>
          <w:color w:val="000000" w:themeColor="text1"/>
        </w:rPr>
        <w:t>opatrenia v daňovo-odvodových príjmoch</w:t>
      </w:r>
      <w:r w:rsidR="00330AD3">
        <w:rPr>
          <w:b/>
          <w:color w:val="000000" w:themeColor="text1"/>
        </w:rPr>
        <w:t xml:space="preserve"> zatiaľ</w:t>
      </w:r>
      <w:r>
        <w:rPr>
          <w:b/>
          <w:color w:val="000000" w:themeColor="text1"/>
        </w:rPr>
        <w:t xml:space="preserve"> len s miernym rozpočtovým vplyvom</w:t>
      </w:r>
      <w:r w:rsidRPr="00CC7DCB">
        <w:rPr>
          <w:color w:val="000000" w:themeColor="text1"/>
        </w:rPr>
        <w:t>.</w:t>
      </w:r>
      <w:r w:rsidRPr="00651AFC">
        <w:rPr>
          <w:color w:val="000000" w:themeColor="text1"/>
        </w:rPr>
        <w:t xml:space="preserve"> </w:t>
      </w:r>
      <w:r w:rsidRPr="004D5423">
        <w:rPr>
          <w:bCs/>
        </w:rPr>
        <w:t>Od januára 2022 sa zaviedol superodpis na investície do priemyslu 4.0 a zároveň sa znižuje podpora vedy a výskumu.</w:t>
      </w:r>
      <w:r>
        <w:rPr>
          <w:b/>
          <w:bCs/>
        </w:rPr>
        <w:t xml:space="preserve"> </w:t>
      </w:r>
      <w:r>
        <w:t xml:space="preserve">V záujme o zvýšenie investičnej aktivity môžu vybrané subjekty odpísať investície nad rámec štandardnej daňovej legislatívy odpisov (zvýšené odpisy o 15 až 55%). Superodpisu podlieha majetok, ktorý je spojený s automatizáciou alebo digitalizáciou (Priemysel 4.0). Podmienkou čerpania je aby veľkosť investície v čase rástla, teda aby išlo o zvýšenie investičnej aktivity firiem (adicionalita). Zároveň dochádza k zníženiu predošlej podpory vedy a výskumu z 300% na 200%. V minulosti si takýto superodpočet uplatnilo takmer 500 subjektov. </w:t>
      </w:r>
      <w:r w:rsidRPr="00CC7DCB">
        <w:rPr>
          <w:color w:val="000000" w:themeColor="text1"/>
        </w:rPr>
        <w:t>V oblasti nedaňových príjmoch vláda neprijala žiadne opatrenia.</w:t>
      </w:r>
    </w:p>
    <w:p w14:paraId="006F2BCF" w14:textId="0544F21D" w:rsidR="000C6444" w:rsidRDefault="000C6444" w:rsidP="00070E82">
      <w:pPr>
        <w:widowControl w:val="0"/>
        <w:spacing w:before="120" w:after="120"/>
        <w:jc w:val="both"/>
      </w:pPr>
      <w:r w:rsidRPr="00EA12BE">
        <w:rPr>
          <w:b/>
        </w:rPr>
        <w:t xml:space="preserve">Na výdavkovej strane rozpočtu </w:t>
      </w:r>
      <w:r>
        <w:rPr>
          <w:b/>
        </w:rPr>
        <w:t>vláda pristúpila</w:t>
      </w:r>
      <w:r w:rsidR="001C07CC">
        <w:rPr>
          <w:b/>
        </w:rPr>
        <w:t xml:space="preserve"> k</w:t>
      </w:r>
      <w:r>
        <w:rPr>
          <w:b/>
        </w:rPr>
        <w:t xml:space="preserve"> opatreniam, z ktorých väčšina</w:t>
      </w:r>
      <w:r w:rsidRPr="00EA12BE">
        <w:rPr>
          <w:b/>
        </w:rPr>
        <w:t xml:space="preserve"> vychádza už</w:t>
      </w:r>
      <w:r>
        <w:rPr>
          <w:b/>
        </w:rPr>
        <w:t xml:space="preserve"> </w:t>
      </w:r>
      <w:r w:rsidRPr="00EA12BE">
        <w:rPr>
          <w:b/>
        </w:rPr>
        <w:t xml:space="preserve"> z aktuálneho roka</w:t>
      </w:r>
      <w:r w:rsidR="001D09C3">
        <w:rPr>
          <w:b/>
        </w:rPr>
        <w:t xml:space="preserve"> a sú zohľadnené len formou rozpočtových rezerv</w:t>
      </w:r>
      <w:r w:rsidRPr="00EA12BE">
        <w:t xml:space="preserve">. </w:t>
      </w:r>
      <w:r>
        <w:t>Opatrenia určené na kompenzáciu rapídneho zvyšovania cenovej hladiny zvyšujú výdavky o 0,3 % HDP (pozri kapitolu 2.2)</w:t>
      </w:r>
      <w:r w:rsidR="00285AD4">
        <w:rPr>
          <w:rStyle w:val="Odkaznapoznmkupodiarou"/>
        </w:rPr>
        <w:footnoteReference w:id="39"/>
      </w:r>
      <w:r>
        <w:t>. R</w:t>
      </w:r>
      <w:r w:rsidR="00B72601">
        <w:t>ozpočet rovnako obsahuje aj rezervu</w:t>
      </w:r>
      <w:r>
        <w:t xml:space="preserve"> na rast platov v objeme 0,2 %. Rezerva na legislatívne zmeny zvyšuje </w:t>
      </w:r>
      <w:r w:rsidR="0078069E">
        <w:t>výdavky o dodatočných 0,2 % HDP</w:t>
      </w:r>
      <w:r>
        <w:t>. Na výdavky spolufi</w:t>
      </w:r>
      <w:r w:rsidR="001C07CC">
        <w:t>nancovania spoločných programov</w:t>
      </w:r>
      <w:r>
        <w:t> EÚ je takisto vytvorená rezerva v objeme 0,2 % v roku 2023. V ostatných rokoch jej objem klesne na približne štvrtinu. Tento profil je spôsobený dočerpávaním peňazí z II. programového obdobia, ktoré vyvrcholí práve v roku 2023.</w:t>
      </w:r>
    </w:p>
    <w:tbl>
      <w:tblPr>
        <w:tblW w:w="9037" w:type="dxa"/>
        <w:tblCellMar>
          <w:left w:w="70" w:type="dxa"/>
          <w:right w:w="70" w:type="dxa"/>
        </w:tblCellMar>
        <w:tblLook w:val="04A0" w:firstRow="1" w:lastRow="0" w:firstColumn="1" w:lastColumn="0" w:noHBand="0" w:noVBand="1"/>
      </w:tblPr>
      <w:tblGrid>
        <w:gridCol w:w="5240"/>
        <w:gridCol w:w="351"/>
        <w:gridCol w:w="421"/>
        <w:gridCol w:w="756"/>
        <w:gridCol w:w="756"/>
        <w:gridCol w:w="556"/>
        <w:gridCol w:w="957"/>
      </w:tblGrid>
      <w:tr w:rsidR="000C6444" w:rsidRPr="004B5979" w14:paraId="77E4680F" w14:textId="77777777" w:rsidTr="00A36664">
        <w:trPr>
          <w:trHeight w:val="269"/>
        </w:trPr>
        <w:tc>
          <w:tcPr>
            <w:tcW w:w="9037" w:type="dxa"/>
            <w:gridSpan w:val="7"/>
            <w:tcBorders>
              <w:top w:val="nil"/>
              <w:left w:val="nil"/>
              <w:bottom w:val="nil"/>
              <w:right w:val="nil"/>
            </w:tcBorders>
            <w:shd w:val="clear" w:color="auto" w:fill="auto"/>
            <w:noWrap/>
            <w:vAlign w:val="bottom"/>
            <w:hideMark/>
          </w:tcPr>
          <w:p w14:paraId="43F061CA" w14:textId="15458260" w:rsidR="000C6444" w:rsidRPr="004D266C" w:rsidRDefault="000C6444" w:rsidP="001D09C3">
            <w:pPr>
              <w:widowControl w:val="0"/>
              <w:rPr>
                <w:rFonts w:cs="Calibri"/>
                <w:b/>
                <w:bCs/>
                <w:color w:val="2C9ADC"/>
                <w:sz w:val="20"/>
                <w:szCs w:val="20"/>
              </w:rPr>
            </w:pPr>
            <w:bookmarkStart w:id="131" w:name="_Toc101880690"/>
            <w:r w:rsidRPr="004D266C">
              <w:rPr>
                <w:rFonts w:cs="Calibri"/>
                <w:b/>
                <w:bCs/>
                <w:color w:val="2C9ADC"/>
                <w:sz w:val="20"/>
                <w:szCs w:val="20"/>
              </w:rPr>
              <w:t xml:space="preserve">TABUĽKA </w:t>
            </w:r>
            <w:r w:rsidR="004D266C" w:rsidRPr="004D266C">
              <w:rPr>
                <w:rFonts w:eastAsiaTheme="minorHAnsi"/>
                <w:b/>
                <w:color w:val="2C9ADC" w:themeColor="accent1"/>
                <w:sz w:val="20"/>
                <w:szCs w:val="20"/>
                <w:lang w:eastAsia="en-US"/>
              </w:rPr>
              <w:fldChar w:fldCharType="begin"/>
            </w:r>
            <w:r w:rsidR="004D266C" w:rsidRPr="004D266C">
              <w:rPr>
                <w:rFonts w:eastAsiaTheme="minorHAnsi"/>
                <w:b/>
                <w:color w:val="2C9ADC" w:themeColor="accent1"/>
                <w:sz w:val="20"/>
                <w:szCs w:val="20"/>
                <w:lang w:eastAsia="en-US"/>
              </w:rPr>
              <w:instrText xml:space="preserve"> SEQ TABUĽKA \* ARABIC </w:instrText>
            </w:r>
            <w:r w:rsidR="004D266C" w:rsidRPr="004D266C">
              <w:rPr>
                <w:rFonts w:eastAsiaTheme="minorHAnsi"/>
                <w:b/>
                <w:color w:val="2C9ADC" w:themeColor="accent1"/>
                <w:sz w:val="20"/>
                <w:szCs w:val="20"/>
                <w:lang w:eastAsia="en-US"/>
              </w:rPr>
              <w:fldChar w:fldCharType="separate"/>
            </w:r>
            <w:r w:rsidR="005D3280">
              <w:rPr>
                <w:rFonts w:eastAsiaTheme="minorHAnsi"/>
                <w:b/>
                <w:noProof/>
                <w:color w:val="2C9ADC" w:themeColor="accent1"/>
                <w:sz w:val="20"/>
                <w:szCs w:val="20"/>
                <w:lang w:eastAsia="en-US"/>
              </w:rPr>
              <w:t>11</w:t>
            </w:r>
            <w:r w:rsidR="004D266C" w:rsidRPr="004D266C">
              <w:rPr>
                <w:rFonts w:eastAsiaTheme="minorHAnsi"/>
                <w:b/>
                <w:color w:val="2C9ADC" w:themeColor="accent1"/>
                <w:sz w:val="20"/>
                <w:szCs w:val="20"/>
                <w:lang w:eastAsia="en-US"/>
              </w:rPr>
              <w:fldChar w:fldCharType="end"/>
            </w:r>
            <w:r w:rsidR="00F42DE4">
              <w:rPr>
                <w:rFonts w:cs="Calibri"/>
                <w:b/>
                <w:bCs/>
                <w:color w:val="2C9ADC"/>
                <w:sz w:val="20"/>
                <w:szCs w:val="20"/>
              </w:rPr>
              <w:t xml:space="preserve"> –</w:t>
            </w:r>
            <w:r w:rsidR="001D09C3">
              <w:rPr>
                <w:rFonts w:cs="Calibri"/>
                <w:b/>
                <w:bCs/>
                <w:color w:val="2C9ADC"/>
                <w:sz w:val="20"/>
                <w:szCs w:val="20"/>
              </w:rPr>
              <w:t xml:space="preserve">Rezervy </w:t>
            </w:r>
            <w:r w:rsidRPr="004D266C">
              <w:rPr>
                <w:rFonts w:cs="Calibri"/>
                <w:b/>
                <w:bCs/>
                <w:color w:val="2C9ADC"/>
                <w:sz w:val="20"/>
                <w:szCs w:val="20"/>
              </w:rPr>
              <w:t>zahrnuté v návrhu rozpočtu verejnej správy v % HDP (ESA 2010)</w:t>
            </w:r>
            <w:bookmarkEnd w:id="131"/>
            <w:r w:rsidRPr="004D266C">
              <w:rPr>
                <w:rFonts w:cs="Calibri"/>
                <w:b/>
                <w:bCs/>
                <w:color w:val="FF0000"/>
                <w:sz w:val="20"/>
                <w:szCs w:val="20"/>
              </w:rPr>
              <w:t xml:space="preserve"> </w:t>
            </w:r>
          </w:p>
        </w:tc>
      </w:tr>
      <w:tr w:rsidR="000C6444" w:rsidRPr="004B5979" w14:paraId="111B2979" w14:textId="77777777" w:rsidTr="00A36664">
        <w:trPr>
          <w:trHeight w:val="269"/>
        </w:trPr>
        <w:tc>
          <w:tcPr>
            <w:tcW w:w="5240" w:type="dxa"/>
            <w:tcBorders>
              <w:top w:val="single" w:sz="8" w:space="0" w:color="auto"/>
              <w:left w:val="single" w:sz="8" w:space="0" w:color="auto"/>
              <w:bottom w:val="single" w:sz="8" w:space="0" w:color="auto"/>
              <w:right w:val="nil"/>
            </w:tcBorders>
            <w:shd w:val="clear" w:color="auto" w:fill="auto"/>
            <w:vAlign w:val="center"/>
            <w:hideMark/>
          </w:tcPr>
          <w:p w14:paraId="1078FF6A"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w:t>
            </w:r>
          </w:p>
        </w:tc>
        <w:tc>
          <w:tcPr>
            <w:tcW w:w="772" w:type="dxa"/>
            <w:gridSpan w:val="2"/>
            <w:tcBorders>
              <w:top w:val="single" w:sz="8" w:space="0" w:color="auto"/>
              <w:left w:val="nil"/>
              <w:bottom w:val="single" w:sz="8" w:space="0" w:color="auto"/>
              <w:right w:val="nil"/>
            </w:tcBorders>
            <w:shd w:val="clear" w:color="auto" w:fill="auto"/>
            <w:vAlign w:val="center"/>
            <w:hideMark/>
          </w:tcPr>
          <w:p w14:paraId="0CEB31A5"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ESA2010</w:t>
            </w:r>
          </w:p>
        </w:tc>
        <w:tc>
          <w:tcPr>
            <w:tcW w:w="756" w:type="dxa"/>
            <w:tcBorders>
              <w:top w:val="single" w:sz="8" w:space="0" w:color="auto"/>
              <w:left w:val="nil"/>
              <w:bottom w:val="single" w:sz="8" w:space="0" w:color="auto"/>
              <w:right w:val="nil"/>
            </w:tcBorders>
            <w:shd w:val="clear" w:color="auto" w:fill="auto"/>
            <w:vAlign w:val="center"/>
            <w:hideMark/>
          </w:tcPr>
          <w:p w14:paraId="35DC39E5"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2022</w:t>
            </w:r>
          </w:p>
        </w:tc>
        <w:tc>
          <w:tcPr>
            <w:tcW w:w="756" w:type="dxa"/>
            <w:tcBorders>
              <w:top w:val="single" w:sz="8" w:space="0" w:color="auto"/>
              <w:left w:val="nil"/>
              <w:bottom w:val="single" w:sz="8" w:space="0" w:color="auto"/>
              <w:right w:val="nil"/>
            </w:tcBorders>
            <w:shd w:val="clear" w:color="auto" w:fill="auto"/>
            <w:vAlign w:val="center"/>
            <w:hideMark/>
          </w:tcPr>
          <w:p w14:paraId="5CA5CD72"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2023</w:t>
            </w:r>
          </w:p>
        </w:tc>
        <w:tc>
          <w:tcPr>
            <w:tcW w:w="556" w:type="dxa"/>
            <w:tcBorders>
              <w:top w:val="single" w:sz="8" w:space="0" w:color="auto"/>
              <w:left w:val="nil"/>
              <w:bottom w:val="single" w:sz="8" w:space="0" w:color="auto"/>
              <w:right w:val="nil"/>
            </w:tcBorders>
            <w:shd w:val="clear" w:color="auto" w:fill="auto"/>
            <w:vAlign w:val="center"/>
            <w:hideMark/>
          </w:tcPr>
          <w:p w14:paraId="5FC784A6"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2024</w:t>
            </w:r>
          </w:p>
        </w:tc>
        <w:tc>
          <w:tcPr>
            <w:tcW w:w="957" w:type="dxa"/>
            <w:tcBorders>
              <w:top w:val="single" w:sz="8" w:space="0" w:color="auto"/>
              <w:left w:val="nil"/>
              <w:bottom w:val="single" w:sz="8" w:space="0" w:color="auto"/>
              <w:right w:val="nil"/>
            </w:tcBorders>
            <w:shd w:val="clear" w:color="auto" w:fill="auto"/>
            <w:vAlign w:val="center"/>
            <w:hideMark/>
          </w:tcPr>
          <w:p w14:paraId="0438C646"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2025</w:t>
            </w:r>
          </w:p>
        </w:tc>
      </w:tr>
      <w:tr w:rsidR="000C6444" w:rsidRPr="004B5979" w14:paraId="13558C99" w14:textId="77777777" w:rsidTr="00A36664">
        <w:trPr>
          <w:trHeight w:val="258"/>
        </w:trPr>
        <w:tc>
          <w:tcPr>
            <w:tcW w:w="5240" w:type="dxa"/>
            <w:tcBorders>
              <w:top w:val="nil"/>
              <w:left w:val="nil"/>
              <w:bottom w:val="nil"/>
              <w:right w:val="nil"/>
            </w:tcBorders>
            <w:shd w:val="clear" w:color="auto" w:fill="auto"/>
            <w:vAlign w:val="center"/>
            <w:hideMark/>
          </w:tcPr>
          <w:p w14:paraId="5A12C9B8" w14:textId="77777777" w:rsidR="000C6444" w:rsidRPr="004B5979" w:rsidRDefault="000C6444" w:rsidP="00070E82">
            <w:pPr>
              <w:widowControl w:val="0"/>
              <w:rPr>
                <w:rFonts w:cs="Calibri"/>
                <w:b/>
                <w:bCs/>
                <w:color w:val="000000"/>
                <w:sz w:val="18"/>
                <w:szCs w:val="18"/>
              </w:rPr>
            </w:pPr>
            <w:r w:rsidRPr="004B5979">
              <w:rPr>
                <w:rFonts w:cs="Calibri"/>
                <w:b/>
                <w:bCs/>
                <w:color w:val="000000"/>
                <w:sz w:val="18"/>
                <w:szCs w:val="18"/>
              </w:rPr>
              <w:t>Kompenzácie, z toho:</w:t>
            </w:r>
          </w:p>
        </w:tc>
        <w:tc>
          <w:tcPr>
            <w:tcW w:w="772" w:type="dxa"/>
            <w:gridSpan w:val="2"/>
            <w:tcBorders>
              <w:top w:val="nil"/>
              <w:left w:val="nil"/>
              <w:bottom w:val="nil"/>
              <w:right w:val="nil"/>
            </w:tcBorders>
            <w:shd w:val="clear" w:color="auto" w:fill="auto"/>
            <w:vAlign w:val="center"/>
            <w:hideMark/>
          </w:tcPr>
          <w:p w14:paraId="1DD16B9E"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D.1</w:t>
            </w:r>
          </w:p>
        </w:tc>
        <w:tc>
          <w:tcPr>
            <w:tcW w:w="756" w:type="dxa"/>
            <w:tcBorders>
              <w:top w:val="nil"/>
              <w:left w:val="nil"/>
              <w:bottom w:val="nil"/>
              <w:right w:val="nil"/>
            </w:tcBorders>
            <w:shd w:val="clear" w:color="auto" w:fill="auto"/>
            <w:vAlign w:val="center"/>
            <w:hideMark/>
          </w:tcPr>
          <w:p w14:paraId="061A42BA"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-0,39</w:t>
            </w:r>
          </w:p>
        </w:tc>
        <w:tc>
          <w:tcPr>
            <w:tcW w:w="756" w:type="dxa"/>
            <w:tcBorders>
              <w:top w:val="nil"/>
              <w:left w:val="nil"/>
              <w:bottom w:val="nil"/>
              <w:right w:val="nil"/>
            </w:tcBorders>
            <w:shd w:val="clear" w:color="auto" w:fill="auto"/>
            <w:vAlign w:val="center"/>
            <w:hideMark/>
          </w:tcPr>
          <w:p w14:paraId="387E8122"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-0,34</w:t>
            </w:r>
          </w:p>
        </w:tc>
        <w:tc>
          <w:tcPr>
            <w:tcW w:w="556" w:type="dxa"/>
            <w:tcBorders>
              <w:top w:val="nil"/>
              <w:left w:val="nil"/>
              <w:bottom w:val="nil"/>
              <w:right w:val="nil"/>
            </w:tcBorders>
            <w:shd w:val="clear" w:color="auto" w:fill="auto"/>
            <w:vAlign w:val="center"/>
            <w:hideMark/>
          </w:tcPr>
          <w:p w14:paraId="682CCB98"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-0,40</w:t>
            </w:r>
          </w:p>
        </w:tc>
        <w:tc>
          <w:tcPr>
            <w:tcW w:w="957" w:type="dxa"/>
            <w:tcBorders>
              <w:top w:val="nil"/>
              <w:left w:val="nil"/>
              <w:bottom w:val="nil"/>
              <w:right w:val="nil"/>
            </w:tcBorders>
            <w:shd w:val="clear" w:color="auto" w:fill="auto"/>
            <w:vAlign w:val="center"/>
            <w:hideMark/>
          </w:tcPr>
          <w:p w14:paraId="198B62AF" w14:textId="77777777" w:rsidR="000C6444" w:rsidRPr="004B5979" w:rsidRDefault="000C6444" w:rsidP="00070E82">
            <w:pPr>
              <w:widowControl w:val="0"/>
              <w:jc w:val="center"/>
              <w:rPr>
                <w:rFonts w:cs="Calibri"/>
                <w:b/>
                <w:bCs/>
                <w:color w:val="000000"/>
                <w:sz w:val="18"/>
                <w:szCs w:val="18"/>
              </w:rPr>
            </w:pPr>
            <w:r w:rsidRPr="004B5979">
              <w:rPr>
                <w:rFonts w:cs="Calibri"/>
                <w:b/>
                <w:bCs/>
                <w:color w:val="000000"/>
                <w:sz w:val="18"/>
                <w:szCs w:val="18"/>
              </w:rPr>
              <w:t>-0,41</w:t>
            </w:r>
          </w:p>
        </w:tc>
      </w:tr>
      <w:tr w:rsidR="000C6444" w:rsidRPr="004B5979" w14:paraId="22A940C9" w14:textId="77777777" w:rsidTr="00A36664">
        <w:trPr>
          <w:trHeight w:val="258"/>
        </w:trPr>
        <w:tc>
          <w:tcPr>
            <w:tcW w:w="5240" w:type="dxa"/>
            <w:tcBorders>
              <w:top w:val="nil"/>
              <w:left w:val="nil"/>
              <w:bottom w:val="nil"/>
              <w:right w:val="nil"/>
            </w:tcBorders>
            <w:shd w:val="clear" w:color="auto" w:fill="auto"/>
            <w:vAlign w:val="center"/>
            <w:hideMark/>
          </w:tcPr>
          <w:p w14:paraId="53FF85D3"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xml:space="preserve">   rezerva na riešenie vplyvov legislatívnych zmien</w:t>
            </w:r>
          </w:p>
        </w:tc>
        <w:tc>
          <w:tcPr>
            <w:tcW w:w="772" w:type="dxa"/>
            <w:gridSpan w:val="2"/>
            <w:tcBorders>
              <w:top w:val="nil"/>
              <w:left w:val="nil"/>
              <w:bottom w:val="nil"/>
              <w:right w:val="nil"/>
            </w:tcBorders>
            <w:shd w:val="clear" w:color="auto" w:fill="auto"/>
            <w:vAlign w:val="center"/>
            <w:hideMark/>
          </w:tcPr>
          <w:p w14:paraId="0CBDCAFE" w14:textId="77777777" w:rsidR="000C6444" w:rsidRPr="004B5979" w:rsidRDefault="000C6444" w:rsidP="00070E82">
            <w:pPr>
              <w:widowControl w:val="0"/>
              <w:rPr>
                <w:rFonts w:cs="Calibri"/>
                <w:color w:val="000000"/>
                <w:sz w:val="18"/>
                <w:szCs w:val="18"/>
              </w:rPr>
            </w:pPr>
          </w:p>
        </w:tc>
        <w:tc>
          <w:tcPr>
            <w:tcW w:w="756" w:type="dxa"/>
            <w:tcBorders>
              <w:top w:val="nil"/>
              <w:left w:val="nil"/>
              <w:bottom w:val="nil"/>
              <w:right w:val="nil"/>
            </w:tcBorders>
            <w:shd w:val="clear" w:color="auto" w:fill="auto"/>
            <w:vAlign w:val="center"/>
            <w:hideMark/>
          </w:tcPr>
          <w:p w14:paraId="682135DB"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-0,02</w:t>
            </w:r>
          </w:p>
        </w:tc>
        <w:tc>
          <w:tcPr>
            <w:tcW w:w="756" w:type="dxa"/>
            <w:tcBorders>
              <w:top w:val="nil"/>
              <w:left w:val="nil"/>
              <w:bottom w:val="nil"/>
              <w:right w:val="nil"/>
            </w:tcBorders>
            <w:shd w:val="clear" w:color="auto" w:fill="auto"/>
            <w:vAlign w:val="center"/>
            <w:hideMark/>
          </w:tcPr>
          <w:p w14:paraId="5D1C0C9E"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-0,05</w:t>
            </w:r>
          </w:p>
        </w:tc>
        <w:tc>
          <w:tcPr>
            <w:tcW w:w="556" w:type="dxa"/>
            <w:tcBorders>
              <w:top w:val="nil"/>
              <w:left w:val="nil"/>
              <w:bottom w:val="nil"/>
              <w:right w:val="nil"/>
            </w:tcBorders>
            <w:shd w:val="clear" w:color="auto" w:fill="auto"/>
            <w:vAlign w:val="center"/>
            <w:hideMark/>
          </w:tcPr>
          <w:p w14:paraId="181CDF1F"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-0,06</w:t>
            </w:r>
          </w:p>
        </w:tc>
        <w:tc>
          <w:tcPr>
            <w:tcW w:w="957" w:type="dxa"/>
            <w:tcBorders>
              <w:top w:val="nil"/>
              <w:left w:val="nil"/>
              <w:bottom w:val="nil"/>
              <w:right w:val="nil"/>
            </w:tcBorders>
            <w:shd w:val="clear" w:color="auto" w:fill="auto"/>
            <w:vAlign w:val="center"/>
            <w:hideMark/>
          </w:tcPr>
          <w:p w14:paraId="26A853F2"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-0,05</w:t>
            </w:r>
          </w:p>
        </w:tc>
      </w:tr>
      <w:tr w:rsidR="000C6444" w:rsidRPr="004B5979" w14:paraId="475F5205" w14:textId="77777777" w:rsidTr="00091C32">
        <w:trPr>
          <w:trHeight w:val="258"/>
        </w:trPr>
        <w:tc>
          <w:tcPr>
            <w:tcW w:w="5240" w:type="dxa"/>
            <w:tcBorders>
              <w:top w:val="nil"/>
              <w:left w:val="nil"/>
              <w:right w:val="nil"/>
            </w:tcBorders>
            <w:shd w:val="clear" w:color="auto" w:fill="auto"/>
            <w:vAlign w:val="center"/>
            <w:hideMark/>
          </w:tcPr>
          <w:p w14:paraId="522718A3" w14:textId="0F57263A" w:rsidR="000C6444" w:rsidRPr="004B5979" w:rsidRDefault="000C6444" w:rsidP="001D09C3">
            <w:pPr>
              <w:widowControl w:val="0"/>
              <w:rPr>
                <w:rFonts w:cs="Calibri"/>
                <w:color w:val="000000"/>
                <w:sz w:val="18"/>
                <w:szCs w:val="18"/>
              </w:rPr>
            </w:pPr>
            <w:r w:rsidRPr="004B5979">
              <w:rPr>
                <w:rFonts w:cs="Calibri"/>
                <w:color w:val="000000"/>
                <w:sz w:val="18"/>
                <w:szCs w:val="18"/>
              </w:rPr>
              <w:t xml:space="preserve">   rezerva na </w:t>
            </w:r>
            <w:r w:rsidR="001D09C3">
              <w:rPr>
                <w:rFonts w:cs="Calibri"/>
                <w:color w:val="000000"/>
                <w:sz w:val="18"/>
                <w:szCs w:val="18"/>
              </w:rPr>
              <w:t>mzdy a</w:t>
            </w:r>
            <w:r w:rsidR="000534B6">
              <w:rPr>
                <w:rFonts w:cs="Calibri"/>
                <w:color w:val="000000"/>
                <w:sz w:val="18"/>
                <w:szCs w:val="18"/>
              </w:rPr>
              <w:t> </w:t>
            </w:r>
            <w:r w:rsidR="001D09C3">
              <w:rPr>
                <w:rFonts w:cs="Calibri"/>
                <w:color w:val="000000"/>
                <w:sz w:val="18"/>
                <w:szCs w:val="18"/>
              </w:rPr>
              <w:t>poistné</w:t>
            </w:r>
          </w:p>
        </w:tc>
        <w:tc>
          <w:tcPr>
            <w:tcW w:w="351" w:type="dxa"/>
            <w:tcBorders>
              <w:top w:val="nil"/>
              <w:left w:val="nil"/>
              <w:right w:val="nil"/>
            </w:tcBorders>
            <w:shd w:val="clear" w:color="auto" w:fill="auto"/>
            <w:vAlign w:val="center"/>
            <w:hideMark/>
          </w:tcPr>
          <w:p w14:paraId="40E91934" w14:textId="77777777" w:rsidR="000C6444" w:rsidRPr="004B5979" w:rsidRDefault="000C6444" w:rsidP="00070E82">
            <w:pPr>
              <w:widowControl w:val="0"/>
              <w:rPr>
                <w:rFonts w:cs="Calibri"/>
                <w:color w:val="000000"/>
                <w:sz w:val="18"/>
                <w:szCs w:val="18"/>
              </w:rPr>
            </w:pPr>
          </w:p>
        </w:tc>
        <w:tc>
          <w:tcPr>
            <w:tcW w:w="421" w:type="dxa"/>
            <w:tcBorders>
              <w:top w:val="nil"/>
              <w:left w:val="nil"/>
              <w:right w:val="nil"/>
            </w:tcBorders>
            <w:shd w:val="clear" w:color="auto" w:fill="auto"/>
            <w:vAlign w:val="center"/>
            <w:hideMark/>
          </w:tcPr>
          <w:p w14:paraId="4978C09F" w14:textId="77777777" w:rsidR="000C6444" w:rsidRPr="004B5979" w:rsidRDefault="000C6444" w:rsidP="00070E82">
            <w:pPr>
              <w:widowControl w:val="0"/>
              <w:rPr>
                <w:rFonts w:ascii="Times New Roman" w:hAnsi="Times New Roman" w:cs="Times New Roman"/>
                <w:sz w:val="20"/>
                <w:szCs w:val="20"/>
              </w:rPr>
            </w:pPr>
          </w:p>
        </w:tc>
        <w:tc>
          <w:tcPr>
            <w:tcW w:w="756" w:type="dxa"/>
            <w:tcBorders>
              <w:top w:val="nil"/>
              <w:left w:val="nil"/>
              <w:right w:val="nil"/>
            </w:tcBorders>
            <w:shd w:val="clear" w:color="auto" w:fill="auto"/>
            <w:vAlign w:val="center"/>
            <w:hideMark/>
          </w:tcPr>
          <w:p w14:paraId="388280B5"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-0,16</w:t>
            </w:r>
          </w:p>
        </w:tc>
        <w:tc>
          <w:tcPr>
            <w:tcW w:w="756" w:type="dxa"/>
            <w:tcBorders>
              <w:top w:val="nil"/>
              <w:left w:val="nil"/>
              <w:right w:val="nil"/>
            </w:tcBorders>
            <w:shd w:val="clear" w:color="auto" w:fill="auto"/>
            <w:vAlign w:val="center"/>
            <w:hideMark/>
          </w:tcPr>
          <w:p w14:paraId="01907DA5"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-0,11</w:t>
            </w:r>
          </w:p>
        </w:tc>
        <w:tc>
          <w:tcPr>
            <w:tcW w:w="556" w:type="dxa"/>
            <w:tcBorders>
              <w:top w:val="nil"/>
              <w:left w:val="nil"/>
              <w:right w:val="nil"/>
            </w:tcBorders>
            <w:shd w:val="clear" w:color="auto" w:fill="auto"/>
            <w:vAlign w:val="center"/>
            <w:hideMark/>
          </w:tcPr>
          <w:p w14:paraId="1F30C6E9"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-0,17</w:t>
            </w:r>
          </w:p>
        </w:tc>
        <w:tc>
          <w:tcPr>
            <w:tcW w:w="957" w:type="dxa"/>
            <w:tcBorders>
              <w:top w:val="nil"/>
              <w:left w:val="nil"/>
              <w:right w:val="nil"/>
            </w:tcBorders>
            <w:shd w:val="clear" w:color="auto" w:fill="auto"/>
            <w:vAlign w:val="center"/>
            <w:hideMark/>
          </w:tcPr>
          <w:p w14:paraId="2D4B9351"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-0,19</w:t>
            </w:r>
          </w:p>
        </w:tc>
      </w:tr>
      <w:tr w:rsidR="000C6444" w:rsidRPr="004B5979" w14:paraId="7673FF7E" w14:textId="77777777" w:rsidTr="00091C32">
        <w:trPr>
          <w:trHeight w:val="269"/>
        </w:trPr>
        <w:tc>
          <w:tcPr>
            <w:tcW w:w="5240" w:type="dxa"/>
            <w:tcBorders>
              <w:top w:val="nil"/>
              <w:left w:val="nil"/>
              <w:bottom w:val="single" w:sz="4" w:space="0" w:color="auto"/>
              <w:right w:val="nil"/>
            </w:tcBorders>
            <w:shd w:val="clear" w:color="auto" w:fill="auto"/>
            <w:vAlign w:val="center"/>
            <w:hideMark/>
          </w:tcPr>
          <w:p w14:paraId="2EDA65DE"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xml:space="preserve">   rezerva na opatrenia kompenzujúce infláciu</w:t>
            </w:r>
          </w:p>
        </w:tc>
        <w:tc>
          <w:tcPr>
            <w:tcW w:w="351" w:type="dxa"/>
            <w:tcBorders>
              <w:top w:val="nil"/>
              <w:left w:val="nil"/>
              <w:bottom w:val="single" w:sz="4" w:space="0" w:color="auto"/>
              <w:right w:val="nil"/>
            </w:tcBorders>
            <w:shd w:val="clear" w:color="auto" w:fill="auto"/>
            <w:vAlign w:val="center"/>
            <w:hideMark/>
          </w:tcPr>
          <w:p w14:paraId="0B82C1EE" w14:textId="77777777" w:rsidR="000C6444" w:rsidRPr="004B5979" w:rsidRDefault="000C6444" w:rsidP="00070E82">
            <w:pPr>
              <w:widowControl w:val="0"/>
              <w:rPr>
                <w:rFonts w:cs="Calibri"/>
                <w:color w:val="000000"/>
                <w:sz w:val="18"/>
                <w:szCs w:val="18"/>
              </w:rPr>
            </w:pPr>
          </w:p>
        </w:tc>
        <w:tc>
          <w:tcPr>
            <w:tcW w:w="421" w:type="dxa"/>
            <w:tcBorders>
              <w:top w:val="nil"/>
              <w:left w:val="nil"/>
              <w:bottom w:val="single" w:sz="4" w:space="0" w:color="auto"/>
              <w:right w:val="nil"/>
            </w:tcBorders>
            <w:shd w:val="clear" w:color="auto" w:fill="auto"/>
            <w:vAlign w:val="center"/>
            <w:hideMark/>
          </w:tcPr>
          <w:p w14:paraId="3256777E" w14:textId="77777777" w:rsidR="000C6444" w:rsidRPr="004B5979" w:rsidRDefault="000C6444" w:rsidP="00070E82">
            <w:pPr>
              <w:widowControl w:val="0"/>
              <w:rPr>
                <w:rFonts w:ascii="Times New Roman" w:hAnsi="Times New Roman" w:cs="Times New Roman"/>
                <w:sz w:val="20"/>
                <w:szCs w:val="20"/>
              </w:rPr>
            </w:pPr>
          </w:p>
        </w:tc>
        <w:tc>
          <w:tcPr>
            <w:tcW w:w="756" w:type="dxa"/>
            <w:tcBorders>
              <w:top w:val="nil"/>
              <w:left w:val="nil"/>
              <w:bottom w:val="single" w:sz="4" w:space="0" w:color="auto"/>
              <w:right w:val="nil"/>
            </w:tcBorders>
            <w:shd w:val="clear" w:color="auto" w:fill="auto"/>
            <w:vAlign w:val="center"/>
            <w:hideMark/>
          </w:tcPr>
          <w:p w14:paraId="3A32E0CF"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-0,20</w:t>
            </w:r>
          </w:p>
        </w:tc>
        <w:tc>
          <w:tcPr>
            <w:tcW w:w="756" w:type="dxa"/>
            <w:tcBorders>
              <w:top w:val="nil"/>
              <w:left w:val="nil"/>
              <w:bottom w:val="single" w:sz="4" w:space="0" w:color="auto"/>
              <w:right w:val="nil"/>
            </w:tcBorders>
            <w:shd w:val="clear" w:color="auto" w:fill="auto"/>
            <w:vAlign w:val="center"/>
            <w:hideMark/>
          </w:tcPr>
          <w:p w14:paraId="4CE73C57"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-0,18</w:t>
            </w:r>
          </w:p>
        </w:tc>
        <w:tc>
          <w:tcPr>
            <w:tcW w:w="556" w:type="dxa"/>
            <w:tcBorders>
              <w:top w:val="nil"/>
              <w:left w:val="nil"/>
              <w:bottom w:val="single" w:sz="4" w:space="0" w:color="auto"/>
              <w:right w:val="nil"/>
            </w:tcBorders>
            <w:shd w:val="clear" w:color="auto" w:fill="auto"/>
            <w:vAlign w:val="center"/>
            <w:hideMark/>
          </w:tcPr>
          <w:p w14:paraId="5E02B8F5"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-0,17</w:t>
            </w:r>
          </w:p>
        </w:tc>
        <w:tc>
          <w:tcPr>
            <w:tcW w:w="957" w:type="dxa"/>
            <w:tcBorders>
              <w:top w:val="nil"/>
              <w:left w:val="nil"/>
              <w:bottom w:val="single" w:sz="4" w:space="0" w:color="auto"/>
              <w:right w:val="nil"/>
            </w:tcBorders>
            <w:shd w:val="clear" w:color="auto" w:fill="auto"/>
            <w:vAlign w:val="center"/>
            <w:hideMark/>
          </w:tcPr>
          <w:p w14:paraId="297E89AA"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-0,17</w:t>
            </w:r>
          </w:p>
        </w:tc>
      </w:tr>
      <w:tr w:rsidR="00091C32" w:rsidRPr="004B5979" w14:paraId="2FB6CC84" w14:textId="77777777" w:rsidTr="00091C32">
        <w:trPr>
          <w:trHeight w:val="258"/>
        </w:trPr>
        <w:tc>
          <w:tcPr>
            <w:tcW w:w="5240" w:type="dxa"/>
            <w:tcBorders>
              <w:top w:val="single" w:sz="4" w:space="0" w:color="auto"/>
              <w:left w:val="nil"/>
              <w:bottom w:val="nil"/>
              <w:right w:val="nil"/>
            </w:tcBorders>
            <w:shd w:val="clear" w:color="auto" w:fill="auto"/>
            <w:vAlign w:val="center"/>
            <w:hideMark/>
          </w:tcPr>
          <w:p w14:paraId="5B1D8294" w14:textId="77777777" w:rsidR="00091C32" w:rsidRPr="004B5979" w:rsidRDefault="00091C32" w:rsidP="00091C32">
            <w:pPr>
              <w:widowControl w:val="0"/>
              <w:rPr>
                <w:rFonts w:cs="Calibri"/>
                <w:b/>
                <w:bCs/>
                <w:color w:val="000000"/>
                <w:sz w:val="18"/>
                <w:szCs w:val="18"/>
              </w:rPr>
            </w:pPr>
            <w:r w:rsidRPr="004B5979">
              <w:rPr>
                <w:rFonts w:cs="Calibri"/>
                <w:b/>
                <w:bCs/>
                <w:color w:val="000000"/>
                <w:sz w:val="18"/>
                <w:szCs w:val="18"/>
              </w:rPr>
              <w:t>Medzispotreba, z toho:</w:t>
            </w:r>
          </w:p>
        </w:tc>
        <w:tc>
          <w:tcPr>
            <w:tcW w:w="772" w:type="dxa"/>
            <w:gridSpan w:val="2"/>
            <w:tcBorders>
              <w:top w:val="single" w:sz="4" w:space="0" w:color="auto"/>
              <w:left w:val="nil"/>
              <w:bottom w:val="nil"/>
              <w:right w:val="nil"/>
            </w:tcBorders>
            <w:shd w:val="clear" w:color="auto" w:fill="auto"/>
            <w:vAlign w:val="center"/>
            <w:hideMark/>
          </w:tcPr>
          <w:p w14:paraId="162740B5" w14:textId="77777777" w:rsidR="00091C32" w:rsidRPr="004B5979" w:rsidRDefault="00091C32" w:rsidP="00091C32">
            <w:pPr>
              <w:widowControl w:val="0"/>
              <w:jc w:val="center"/>
              <w:rPr>
                <w:rFonts w:cs="Calibri"/>
                <w:b/>
                <w:bCs/>
                <w:color w:val="000000"/>
                <w:sz w:val="18"/>
                <w:szCs w:val="18"/>
              </w:rPr>
            </w:pPr>
            <w:r w:rsidRPr="004B5979">
              <w:rPr>
                <w:rFonts w:cs="Calibri"/>
                <w:b/>
                <w:bCs/>
                <w:color w:val="000000"/>
                <w:sz w:val="18"/>
                <w:szCs w:val="18"/>
              </w:rPr>
              <w:t>P.2</w:t>
            </w:r>
          </w:p>
        </w:tc>
        <w:tc>
          <w:tcPr>
            <w:tcW w:w="756" w:type="dxa"/>
            <w:tcBorders>
              <w:top w:val="single" w:sz="4" w:space="0" w:color="auto"/>
              <w:left w:val="nil"/>
              <w:bottom w:val="nil"/>
              <w:right w:val="nil"/>
            </w:tcBorders>
            <w:shd w:val="clear" w:color="auto" w:fill="auto"/>
            <w:vAlign w:val="center"/>
            <w:hideMark/>
          </w:tcPr>
          <w:p w14:paraId="7AEA2A87" w14:textId="2190A500" w:rsidR="00091C32" w:rsidRPr="00091C32" w:rsidRDefault="00091C32" w:rsidP="00091C32">
            <w:pPr>
              <w:widowControl w:val="0"/>
              <w:jc w:val="center"/>
              <w:rPr>
                <w:rFonts w:cs="Calibri"/>
                <w:b/>
                <w:bCs/>
                <w:color w:val="000000"/>
                <w:sz w:val="18"/>
                <w:szCs w:val="18"/>
                <w:highlight w:val="yellow"/>
              </w:rPr>
            </w:pPr>
            <w:r>
              <w:rPr>
                <w:rFonts w:cs="Calibri"/>
                <w:b/>
                <w:bCs/>
                <w:color w:val="000000"/>
                <w:sz w:val="18"/>
                <w:szCs w:val="18"/>
              </w:rPr>
              <w:t>-0,19</w:t>
            </w:r>
          </w:p>
        </w:tc>
        <w:tc>
          <w:tcPr>
            <w:tcW w:w="756" w:type="dxa"/>
            <w:tcBorders>
              <w:top w:val="single" w:sz="4" w:space="0" w:color="auto"/>
              <w:left w:val="nil"/>
              <w:bottom w:val="nil"/>
              <w:right w:val="nil"/>
            </w:tcBorders>
            <w:shd w:val="clear" w:color="auto" w:fill="auto"/>
            <w:vAlign w:val="center"/>
            <w:hideMark/>
          </w:tcPr>
          <w:p w14:paraId="046E87E4" w14:textId="1109C9FC" w:rsidR="00091C32" w:rsidRPr="00091C32" w:rsidRDefault="00091C32" w:rsidP="00091C32">
            <w:pPr>
              <w:widowControl w:val="0"/>
              <w:jc w:val="center"/>
              <w:rPr>
                <w:rFonts w:cs="Calibri"/>
                <w:b/>
                <w:bCs/>
                <w:color w:val="000000"/>
                <w:sz w:val="18"/>
                <w:szCs w:val="18"/>
              </w:rPr>
            </w:pPr>
            <w:r>
              <w:rPr>
                <w:rFonts w:cs="Calibri"/>
                <w:b/>
                <w:bCs/>
                <w:color w:val="000000"/>
                <w:sz w:val="18"/>
                <w:szCs w:val="18"/>
              </w:rPr>
              <w:t>-0,24</w:t>
            </w:r>
          </w:p>
        </w:tc>
        <w:tc>
          <w:tcPr>
            <w:tcW w:w="556" w:type="dxa"/>
            <w:tcBorders>
              <w:top w:val="single" w:sz="4" w:space="0" w:color="auto"/>
              <w:left w:val="nil"/>
              <w:bottom w:val="nil"/>
              <w:right w:val="nil"/>
            </w:tcBorders>
            <w:shd w:val="clear" w:color="auto" w:fill="auto"/>
            <w:vAlign w:val="center"/>
            <w:hideMark/>
          </w:tcPr>
          <w:p w14:paraId="1F5FD946" w14:textId="0EE97846" w:rsidR="00091C32" w:rsidRPr="00091C32" w:rsidRDefault="00091C32" w:rsidP="00091C32">
            <w:pPr>
              <w:widowControl w:val="0"/>
              <w:jc w:val="center"/>
              <w:rPr>
                <w:rFonts w:cs="Calibri"/>
                <w:b/>
                <w:bCs/>
                <w:color w:val="000000"/>
                <w:sz w:val="18"/>
                <w:szCs w:val="18"/>
              </w:rPr>
            </w:pPr>
            <w:r>
              <w:rPr>
                <w:rFonts w:cs="Calibri"/>
                <w:b/>
                <w:bCs/>
                <w:color w:val="000000"/>
                <w:sz w:val="18"/>
                <w:szCs w:val="18"/>
              </w:rPr>
              <w:t>-0,22</w:t>
            </w:r>
          </w:p>
        </w:tc>
        <w:tc>
          <w:tcPr>
            <w:tcW w:w="957" w:type="dxa"/>
            <w:tcBorders>
              <w:top w:val="single" w:sz="4" w:space="0" w:color="auto"/>
              <w:left w:val="nil"/>
              <w:bottom w:val="nil"/>
              <w:right w:val="nil"/>
            </w:tcBorders>
            <w:shd w:val="clear" w:color="auto" w:fill="auto"/>
            <w:vAlign w:val="center"/>
            <w:hideMark/>
          </w:tcPr>
          <w:p w14:paraId="3B1F02AF" w14:textId="7D69EC0C" w:rsidR="00091C32" w:rsidRPr="00091C32" w:rsidRDefault="00091C32" w:rsidP="00091C32">
            <w:pPr>
              <w:widowControl w:val="0"/>
              <w:jc w:val="center"/>
              <w:rPr>
                <w:rFonts w:cs="Calibri"/>
                <w:b/>
                <w:bCs/>
                <w:color w:val="000000"/>
                <w:sz w:val="18"/>
                <w:szCs w:val="18"/>
              </w:rPr>
            </w:pPr>
            <w:r>
              <w:rPr>
                <w:rFonts w:cs="Calibri"/>
                <w:b/>
                <w:bCs/>
                <w:color w:val="000000"/>
                <w:sz w:val="18"/>
                <w:szCs w:val="18"/>
              </w:rPr>
              <w:t>-0,21</w:t>
            </w:r>
          </w:p>
        </w:tc>
      </w:tr>
      <w:tr w:rsidR="000C6444" w:rsidRPr="004B5979" w14:paraId="5796A219" w14:textId="77777777" w:rsidTr="00A36664">
        <w:trPr>
          <w:trHeight w:val="258"/>
        </w:trPr>
        <w:tc>
          <w:tcPr>
            <w:tcW w:w="5240" w:type="dxa"/>
            <w:tcBorders>
              <w:top w:val="nil"/>
              <w:left w:val="nil"/>
              <w:bottom w:val="nil"/>
              <w:right w:val="nil"/>
            </w:tcBorders>
            <w:shd w:val="clear" w:color="auto" w:fill="auto"/>
            <w:vAlign w:val="center"/>
            <w:hideMark/>
          </w:tcPr>
          <w:p w14:paraId="12D0AEBC"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xml:space="preserve">   rezerva na riešenie vplyvov legislatívnych zmien</w:t>
            </w:r>
          </w:p>
        </w:tc>
        <w:tc>
          <w:tcPr>
            <w:tcW w:w="772" w:type="dxa"/>
            <w:gridSpan w:val="2"/>
            <w:tcBorders>
              <w:top w:val="nil"/>
              <w:left w:val="nil"/>
              <w:bottom w:val="nil"/>
              <w:right w:val="nil"/>
            </w:tcBorders>
            <w:shd w:val="clear" w:color="auto" w:fill="auto"/>
            <w:vAlign w:val="center"/>
            <w:hideMark/>
          </w:tcPr>
          <w:p w14:paraId="6ACC2069" w14:textId="77777777" w:rsidR="000C6444" w:rsidRPr="004B5979" w:rsidRDefault="000C6444" w:rsidP="00070E82">
            <w:pPr>
              <w:widowControl w:val="0"/>
              <w:rPr>
                <w:rFonts w:cs="Calibri"/>
                <w:color w:val="000000"/>
                <w:sz w:val="18"/>
                <w:szCs w:val="18"/>
              </w:rPr>
            </w:pPr>
          </w:p>
        </w:tc>
        <w:tc>
          <w:tcPr>
            <w:tcW w:w="756" w:type="dxa"/>
            <w:tcBorders>
              <w:top w:val="nil"/>
              <w:left w:val="nil"/>
              <w:bottom w:val="nil"/>
              <w:right w:val="nil"/>
            </w:tcBorders>
            <w:shd w:val="clear" w:color="auto" w:fill="auto"/>
            <w:vAlign w:val="center"/>
            <w:hideMark/>
          </w:tcPr>
          <w:p w14:paraId="34044C3D"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-0,03</w:t>
            </w:r>
          </w:p>
        </w:tc>
        <w:tc>
          <w:tcPr>
            <w:tcW w:w="756" w:type="dxa"/>
            <w:tcBorders>
              <w:top w:val="nil"/>
              <w:left w:val="nil"/>
              <w:bottom w:val="nil"/>
              <w:right w:val="nil"/>
            </w:tcBorders>
            <w:shd w:val="clear" w:color="auto" w:fill="auto"/>
            <w:vAlign w:val="center"/>
            <w:hideMark/>
          </w:tcPr>
          <w:p w14:paraId="23ED8FD0"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-0,10</w:t>
            </w:r>
          </w:p>
        </w:tc>
        <w:tc>
          <w:tcPr>
            <w:tcW w:w="556" w:type="dxa"/>
            <w:tcBorders>
              <w:top w:val="nil"/>
              <w:left w:val="nil"/>
              <w:bottom w:val="nil"/>
              <w:right w:val="nil"/>
            </w:tcBorders>
            <w:shd w:val="clear" w:color="auto" w:fill="auto"/>
            <w:vAlign w:val="center"/>
            <w:hideMark/>
          </w:tcPr>
          <w:p w14:paraId="6BB2D542"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-0,09</w:t>
            </w:r>
          </w:p>
        </w:tc>
        <w:tc>
          <w:tcPr>
            <w:tcW w:w="957" w:type="dxa"/>
            <w:tcBorders>
              <w:top w:val="nil"/>
              <w:left w:val="nil"/>
              <w:bottom w:val="nil"/>
              <w:right w:val="nil"/>
            </w:tcBorders>
            <w:shd w:val="clear" w:color="auto" w:fill="auto"/>
            <w:vAlign w:val="center"/>
            <w:hideMark/>
          </w:tcPr>
          <w:p w14:paraId="46AC35BE"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-0,08</w:t>
            </w:r>
          </w:p>
        </w:tc>
      </w:tr>
      <w:tr w:rsidR="000C6444" w:rsidRPr="004B5979" w14:paraId="0A0DD8EE" w14:textId="77777777" w:rsidTr="00091C32">
        <w:trPr>
          <w:trHeight w:val="258"/>
        </w:trPr>
        <w:tc>
          <w:tcPr>
            <w:tcW w:w="5240" w:type="dxa"/>
            <w:tcBorders>
              <w:top w:val="nil"/>
              <w:left w:val="nil"/>
              <w:right w:val="nil"/>
            </w:tcBorders>
            <w:shd w:val="clear" w:color="auto" w:fill="auto"/>
            <w:vAlign w:val="center"/>
            <w:hideMark/>
          </w:tcPr>
          <w:p w14:paraId="48D57E63"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xml:space="preserve">   rezerva na prostriedky EÚ a odvody EÚ </w:t>
            </w:r>
          </w:p>
        </w:tc>
        <w:tc>
          <w:tcPr>
            <w:tcW w:w="772" w:type="dxa"/>
            <w:gridSpan w:val="2"/>
            <w:tcBorders>
              <w:top w:val="nil"/>
              <w:left w:val="nil"/>
              <w:right w:val="nil"/>
            </w:tcBorders>
            <w:shd w:val="clear" w:color="auto" w:fill="auto"/>
            <w:vAlign w:val="center"/>
            <w:hideMark/>
          </w:tcPr>
          <w:p w14:paraId="415E659F" w14:textId="77777777" w:rsidR="000C6444" w:rsidRPr="004B5979" w:rsidRDefault="000C6444" w:rsidP="00070E82">
            <w:pPr>
              <w:widowControl w:val="0"/>
              <w:rPr>
                <w:rFonts w:cs="Calibri"/>
                <w:color w:val="000000"/>
                <w:sz w:val="18"/>
                <w:szCs w:val="18"/>
              </w:rPr>
            </w:pPr>
          </w:p>
        </w:tc>
        <w:tc>
          <w:tcPr>
            <w:tcW w:w="756" w:type="dxa"/>
            <w:tcBorders>
              <w:top w:val="nil"/>
              <w:left w:val="nil"/>
              <w:right w:val="nil"/>
            </w:tcBorders>
            <w:shd w:val="clear" w:color="auto" w:fill="auto"/>
            <w:vAlign w:val="center"/>
            <w:hideMark/>
          </w:tcPr>
          <w:p w14:paraId="5D6D4D71"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-0,15</w:t>
            </w:r>
          </w:p>
        </w:tc>
        <w:tc>
          <w:tcPr>
            <w:tcW w:w="756" w:type="dxa"/>
            <w:tcBorders>
              <w:top w:val="nil"/>
              <w:left w:val="nil"/>
              <w:right w:val="nil"/>
            </w:tcBorders>
            <w:shd w:val="clear" w:color="auto" w:fill="auto"/>
            <w:vAlign w:val="center"/>
            <w:hideMark/>
          </w:tcPr>
          <w:p w14:paraId="4540C93C"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-0,13</w:t>
            </w:r>
          </w:p>
        </w:tc>
        <w:tc>
          <w:tcPr>
            <w:tcW w:w="556" w:type="dxa"/>
            <w:tcBorders>
              <w:top w:val="nil"/>
              <w:left w:val="nil"/>
              <w:right w:val="nil"/>
            </w:tcBorders>
            <w:shd w:val="clear" w:color="auto" w:fill="auto"/>
            <w:vAlign w:val="center"/>
            <w:hideMark/>
          </w:tcPr>
          <w:p w14:paraId="6174CCD3"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-0,13</w:t>
            </w:r>
          </w:p>
        </w:tc>
        <w:tc>
          <w:tcPr>
            <w:tcW w:w="957" w:type="dxa"/>
            <w:tcBorders>
              <w:top w:val="nil"/>
              <w:left w:val="nil"/>
              <w:right w:val="nil"/>
            </w:tcBorders>
            <w:shd w:val="clear" w:color="auto" w:fill="auto"/>
            <w:vAlign w:val="center"/>
            <w:hideMark/>
          </w:tcPr>
          <w:p w14:paraId="58E2A62C"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-0,12</w:t>
            </w:r>
          </w:p>
        </w:tc>
      </w:tr>
      <w:tr w:rsidR="00091C32" w:rsidRPr="004B5979" w14:paraId="5C92A03B" w14:textId="77777777" w:rsidTr="00091C32">
        <w:trPr>
          <w:trHeight w:val="258"/>
        </w:trPr>
        <w:tc>
          <w:tcPr>
            <w:tcW w:w="5240" w:type="dxa"/>
            <w:tcBorders>
              <w:top w:val="nil"/>
              <w:left w:val="nil"/>
              <w:bottom w:val="single" w:sz="4" w:space="0" w:color="auto"/>
              <w:right w:val="nil"/>
            </w:tcBorders>
            <w:shd w:val="clear" w:color="auto" w:fill="auto"/>
            <w:vAlign w:val="center"/>
            <w:hideMark/>
          </w:tcPr>
          <w:p w14:paraId="5047C800" w14:textId="77777777" w:rsidR="00091C32" w:rsidRPr="004B5979" w:rsidRDefault="00091C32" w:rsidP="00091C32">
            <w:pPr>
              <w:widowControl w:val="0"/>
              <w:rPr>
                <w:rFonts w:cs="Calibri"/>
                <w:color w:val="000000"/>
                <w:sz w:val="18"/>
                <w:szCs w:val="18"/>
              </w:rPr>
            </w:pPr>
            <w:r w:rsidRPr="004B5979">
              <w:rPr>
                <w:rFonts w:cs="Calibri"/>
                <w:color w:val="000000"/>
                <w:sz w:val="18"/>
                <w:szCs w:val="18"/>
              </w:rPr>
              <w:t xml:space="preserve">   rezerva na realizáciu súdnych a exekučných rozhodnutí</w:t>
            </w:r>
          </w:p>
        </w:tc>
        <w:tc>
          <w:tcPr>
            <w:tcW w:w="772" w:type="dxa"/>
            <w:gridSpan w:val="2"/>
            <w:tcBorders>
              <w:top w:val="nil"/>
              <w:left w:val="nil"/>
              <w:bottom w:val="single" w:sz="4" w:space="0" w:color="auto"/>
              <w:right w:val="nil"/>
            </w:tcBorders>
            <w:shd w:val="clear" w:color="auto" w:fill="auto"/>
            <w:vAlign w:val="center"/>
            <w:hideMark/>
          </w:tcPr>
          <w:p w14:paraId="6CD081E9" w14:textId="77777777" w:rsidR="00091C32" w:rsidRPr="004B5979" w:rsidRDefault="00091C32" w:rsidP="00091C32">
            <w:pPr>
              <w:widowControl w:val="0"/>
              <w:rPr>
                <w:rFonts w:cs="Calibri"/>
                <w:color w:val="000000"/>
                <w:sz w:val="18"/>
                <w:szCs w:val="18"/>
              </w:rPr>
            </w:pPr>
          </w:p>
        </w:tc>
        <w:tc>
          <w:tcPr>
            <w:tcW w:w="756" w:type="dxa"/>
            <w:tcBorders>
              <w:top w:val="nil"/>
              <w:left w:val="nil"/>
              <w:bottom w:val="single" w:sz="4" w:space="0" w:color="auto"/>
              <w:right w:val="nil"/>
            </w:tcBorders>
            <w:shd w:val="clear" w:color="auto" w:fill="auto"/>
            <w:vAlign w:val="center"/>
            <w:hideMark/>
          </w:tcPr>
          <w:p w14:paraId="1614C6A7" w14:textId="6821F933" w:rsidR="00091C32" w:rsidRPr="004B5979" w:rsidRDefault="00091C32" w:rsidP="00091C32">
            <w:pPr>
              <w:widowControl w:val="0"/>
              <w:jc w:val="center"/>
              <w:rPr>
                <w:rFonts w:cs="Calibri"/>
                <w:color w:val="000000"/>
                <w:sz w:val="18"/>
                <w:szCs w:val="18"/>
              </w:rPr>
            </w:pPr>
            <w:r>
              <w:rPr>
                <w:rFonts w:cs="Calibri"/>
                <w:color w:val="000000"/>
                <w:sz w:val="18"/>
                <w:szCs w:val="18"/>
              </w:rPr>
              <w:t>-0,01</w:t>
            </w:r>
          </w:p>
        </w:tc>
        <w:tc>
          <w:tcPr>
            <w:tcW w:w="756" w:type="dxa"/>
            <w:tcBorders>
              <w:top w:val="nil"/>
              <w:left w:val="nil"/>
              <w:bottom w:val="single" w:sz="4" w:space="0" w:color="auto"/>
              <w:right w:val="nil"/>
            </w:tcBorders>
            <w:shd w:val="clear" w:color="auto" w:fill="auto"/>
            <w:vAlign w:val="center"/>
            <w:hideMark/>
          </w:tcPr>
          <w:p w14:paraId="3615A3A6" w14:textId="1F59D9EE" w:rsidR="00091C32" w:rsidRPr="004B5979" w:rsidRDefault="00091C32" w:rsidP="00091C32">
            <w:pPr>
              <w:widowControl w:val="0"/>
              <w:jc w:val="center"/>
              <w:rPr>
                <w:rFonts w:cs="Calibri"/>
                <w:color w:val="000000"/>
                <w:sz w:val="18"/>
                <w:szCs w:val="18"/>
              </w:rPr>
            </w:pPr>
            <w:r>
              <w:rPr>
                <w:rFonts w:cs="Calibri"/>
                <w:color w:val="000000"/>
                <w:sz w:val="18"/>
                <w:szCs w:val="18"/>
              </w:rPr>
              <w:t>-0,01</w:t>
            </w:r>
          </w:p>
        </w:tc>
        <w:tc>
          <w:tcPr>
            <w:tcW w:w="556" w:type="dxa"/>
            <w:tcBorders>
              <w:top w:val="nil"/>
              <w:left w:val="nil"/>
              <w:bottom w:val="single" w:sz="4" w:space="0" w:color="auto"/>
              <w:right w:val="nil"/>
            </w:tcBorders>
            <w:shd w:val="clear" w:color="auto" w:fill="auto"/>
            <w:vAlign w:val="center"/>
            <w:hideMark/>
          </w:tcPr>
          <w:p w14:paraId="7733ECDF" w14:textId="03A16F3E" w:rsidR="00091C32" w:rsidRPr="004B5979" w:rsidRDefault="00091C32" w:rsidP="00091C32">
            <w:pPr>
              <w:widowControl w:val="0"/>
              <w:jc w:val="center"/>
              <w:rPr>
                <w:rFonts w:cs="Calibri"/>
                <w:color w:val="000000"/>
                <w:sz w:val="18"/>
                <w:szCs w:val="18"/>
              </w:rPr>
            </w:pPr>
            <w:r>
              <w:rPr>
                <w:rFonts w:cs="Calibri"/>
                <w:color w:val="000000"/>
                <w:sz w:val="18"/>
                <w:szCs w:val="18"/>
              </w:rPr>
              <w:t>-0,01</w:t>
            </w:r>
          </w:p>
        </w:tc>
        <w:tc>
          <w:tcPr>
            <w:tcW w:w="957" w:type="dxa"/>
            <w:tcBorders>
              <w:top w:val="nil"/>
              <w:left w:val="nil"/>
              <w:bottom w:val="single" w:sz="4" w:space="0" w:color="auto"/>
              <w:right w:val="nil"/>
            </w:tcBorders>
            <w:shd w:val="clear" w:color="auto" w:fill="auto"/>
            <w:vAlign w:val="center"/>
            <w:hideMark/>
          </w:tcPr>
          <w:p w14:paraId="1E13117D" w14:textId="0F547FF8" w:rsidR="00091C32" w:rsidRPr="004B5979" w:rsidRDefault="00091C32" w:rsidP="00091C32">
            <w:pPr>
              <w:widowControl w:val="0"/>
              <w:jc w:val="center"/>
              <w:rPr>
                <w:rFonts w:cs="Calibri"/>
                <w:color w:val="000000"/>
                <w:sz w:val="18"/>
                <w:szCs w:val="18"/>
              </w:rPr>
            </w:pPr>
            <w:r>
              <w:rPr>
                <w:rFonts w:cs="Calibri"/>
                <w:color w:val="000000"/>
                <w:sz w:val="18"/>
                <w:szCs w:val="18"/>
              </w:rPr>
              <w:t>-0,01</w:t>
            </w:r>
          </w:p>
        </w:tc>
      </w:tr>
      <w:tr w:rsidR="00091C32" w:rsidRPr="004B5979" w14:paraId="24653155" w14:textId="77777777" w:rsidTr="00091C32">
        <w:trPr>
          <w:trHeight w:val="258"/>
        </w:trPr>
        <w:tc>
          <w:tcPr>
            <w:tcW w:w="5240" w:type="dxa"/>
            <w:tcBorders>
              <w:top w:val="single" w:sz="4" w:space="0" w:color="auto"/>
              <w:left w:val="nil"/>
              <w:bottom w:val="nil"/>
              <w:right w:val="nil"/>
            </w:tcBorders>
            <w:shd w:val="clear" w:color="auto" w:fill="auto"/>
            <w:vAlign w:val="center"/>
            <w:hideMark/>
          </w:tcPr>
          <w:p w14:paraId="5158325B" w14:textId="77777777" w:rsidR="00091C32" w:rsidRPr="004B5979" w:rsidRDefault="00091C32" w:rsidP="00091C32">
            <w:pPr>
              <w:widowControl w:val="0"/>
              <w:rPr>
                <w:rFonts w:cs="Calibri"/>
                <w:b/>
                <w:bCs/>
                <w:color w:val="000000"/>
                <w:sz w:val="18"/>
                <w:szCs w:val="18"/>
              </w:rPr>
            </w:pPr>
            <w:r w:rsidRPr="004B5979">
              <w:rPr>
                <w:rFonts w:cs="Calibri"/>
                <w:b/>
                <w:bCs/>
                <w:color w:val="000000"/>
                <w:sz w:val="18"/>
                <w:szCs w:val="18"/>
              </w:rPr>
              <w:t>Ostatné bežné transfery, z toho:</w:t>
            </w:r>
          </w:p>
        </w:tc>
        <w:tc>
          <w:tcPr>
            <w:tcW w:w="772" w:type="dxa"/>
            <w:gridSpan w:val="2"/>
            <w:tcBorders>
              <w:top w:val="single" w:sz="4" w:space="0" w:color="auto"/>
              <w:left w:val="nil"/>
              <w:bottom w:val="nil"/>
              <w:right w:val="nil"/>
            </w:tcBorders>
            <w:shd w:val="clear" w:color="auto" w:fill="auto"/>
            <w:vAlign w:val="center"/>
            <w:hideMark/>
          </w:tcPr>
          <w:p w14:paraId="3F90A4E0" w14:textId="77777777" w:rsidR="00091C32" w:rsidRPr="004B5979" w:rsidRDefault="00091C32" w:rsidP="00091C32">
            <w:pPr>
              <w:widowControl w:val="0"/>
              <w:jc w:val="center"/>
              <w:rPr>
                <w:rFonts w:cs="Calibri"/>
                <w:b/>
                <w:bCs/>
                <w:color w:val="000000"/>
                <w:sz w:val="18"/>
                <w:szCs w:val="18"/>
              </w:rPr>
            </w:pPr>
            <w:r w:rsidRPr="004B5979">
              <w:rPr>
                <w:rFonts w:cs="Calibri"/>
                <w:b/>
                <w:bCs/>
                <w:color w:val="000000"/>
                <w:sz w:val="18"/>
                <w:szCs w:val="18"/>
              </w:rPr>
              <w:t>D.7p</w:t>
            </w:r>
          </w:p>
        </w:tc>
        <w:tc>
          <w:tcPr>
            <w:tcW w:w="756" w:type="dxa"/>
            <w:tcBorders>
              <w:top w:val="single" w:sz="4" w:space="0" w:color="auto"/>
              <w:left w:val="nil"/>
              <w:bottom w:val="nil"/>
              <w:right w:val="nil"/>
            </w:tcBorders>
            <w:shd w:val="clear" w:color="auto" w:fill="auto"/>
            <w:vAlign w:val="center"/>
            <w:hideMark/>
          </w:tcPr>
          <w:p w14:paraId="2B11FAB8" w14:textId="0F84AE93" w:rsidR="00091C32" w:rsidRPr="004B5979" w:rsidRDefault="00091C32" w:rsidP="00091C32">
            <w:pPr>
              <w:widowControl w:val="0"/>
              <w:jc w:val="center"/>
              <w:rPr>
                <w:rFonts w:cs="Calibri"/>
                <w:b/>
                <w:bCs/>
                <w:color w:val="000000"/>
                <w:sz w:val="18"/>
                <w:szCs w:val="18"/>
              </w:rPr>
            </w:pPr>
            <w:r>
              <w:rPr>
                <w:rFonts w:cs="Calibri"/>
                <w:b/>
                <w:bCs/>
                <w:color w:val="000000"/>
                <w:sz w:val="18"/>
                <w:szCs w:val="18"/>
              </w:rPr>
              <w:t>-0,15</w:t>
            </w:r>
          </w:p>
        </w:tc>
        <w:tc>
          <w:tcPr>
            <w:tcW w:w="756" w:type="dxa"/>
            <w:tcBorders>
              <w:top w:val="single" w:sz="4" w:space="0" w:color="auto"/>
              <w:left w:val="nil"/>
              <w:bottom w:val="nil"/>
              <w:right w:val="nil"/>
            </w:tcBorders>
            <w:shd w:val="clear" w:color="auto" w:fill="auto"/>
            <w:vAlign w:val="center"/>
            <w:hideMark/>
          </w:tcPr>
          <w:p w14:paraId="6BCC3A69" w14:textId="173554F1" w:rsidR="00091C32" w:rsidRPr="004B5979" w:rsidRDefault="00091C32" w:rsidP="00091C32">
            <w:pPr>
              <w:widowControl w:val="0"/>
              <w:jc w:val="center"/>
              <w:rPr>
                <w:rFonts w:cs="Calibri"/>
                <w:b/>
                <w:bCs/>
                <w:color w:val="000000"/>
                <w:sz w:val="18"/>
                <w:szCs w:val="18"/>
              </w:rPr>
            </w:pPr>
            <w:r>
              <w:rPr>
                <w:rFonts w:cs="Calibri"/>
                <w:b/>
                <w:bCs/>
                <w:color w:val="000000"/>
                <w:sz w:val="18"/>
                <w:szCs w:val="18"/>
              </w:rPr>
              <w:t>-0,33</w:t>
            </w:r>
          </w:p>
        </w:tc>
        <w:tc>
          <w:tcPr>
            <w:tcW w:w="556" w:type="dxa"/>
            <w:tcBorders>
              <w:top w:val="single" w:sz="4" w:space="0" w:color="auto"/>
              <w:left w:val="nil"/>
              <w:bottom w:val="nil"/>
              <w:right w:val="nil"/>
            </w:tcBorders>
            <w:shd w:val="clear" w:color="auto" w:fill="auto"/>
            <w:vAlign w:val="center"/>
            <w:hideMark/>
          </w:tcPr>
          <w:p w14:paraId="14E9B89F" w14:textId="02B2112E" w:rsidR="00091C32" w:rsidRPr="004B5979" w:rsidRDefault="00091C32" w:rsidP="00091C32">
            <w:pPr>
              <w:widowControl w:val="0"/>
              <w:jc w:val="center"/>
              <w:rPr>
                <w:rFonts w:cs="Calibri"/>
                <w:b/>
                <w:bCs/>
                <w:color w:val="000000"/>
                <w:sz w:val="18"/>
                <w:szCs w:val="18"/>
              </w:rPr>
            </w:pPr>
            <w:r>
              <w:rPr>
                <w:rFonts w:cs="Calibri"/>
                <w:b/>
                <w:bCs/>
                <w:color w:val="000000"/>
                <w:sz w:val="18"/>
                <w:szCs w:val="18"/>
              </w:rPr>
              <w:t>-0,18</w:t>
            </w:r>
          </w:p>
        </w:tc>
        <w:tc>
          <w:tcPr>
            <w:tcW w:w="957" w:type="dxa"/>
            <w:tcBorders>
              <w:top w:val="single" w:sz="4" w:space="0" w:color="auto"/>
              <w:left w:val="nil"/>
              <w:bottom w:val="nil"/>
              <w:right w:val="nil"/>
            </w:tcBorders>
            <w:shd w:val="clear" w:color="auto" w:fill="auto"/>
            <w:vAlign w:val="center"/>
            <w:hideMark/>
          </w:tcPr>
          <w:p w14:paraId="655C6395" w14:textId="1BAEA4AB" w:rsidR="00091C32" w:rsidRPr="004B5979" w:rsidRDefault="00091C32" w:rsidP="00091C32">
            <w:pPr>
              <w:widowControl w:val="0"/>
              <w:jc w:val="center"/>
              <w:rPr>
                <w:rFonts w:cs="Calibri"/>
                <w:b/>
                <w:bCs/>
                <w:color w:val="000000"/>
                <w:sz w:val="18"/>
                <w:szCs w:val="18"/>
              </w:rPr>
            </w:pPr>
            <w:r>
              <w:rPr>
                <w:rFonts w:cs="Calibri"/>
                <w:b/>
                <w:bCs/>
                <w:color w:val="000000"/>
                <w:sz w:val="18"/>
                <w:szCs w:val="18"/>
              </w:rPr>
              <w:t>-0,17</w:t>
            </w:r>
          </w:p>
        </w:tc>
      </w:tr>
      <w:tr w:rsidR="000C6444" w:rsidRPr="004B5979" w14:paraId="3EF06109" w14:textId="77777777" w:rsidTr="00A36664">
        <w:trPr>
          <w:trHeight w:val="258"/>
        </w:trPr>
        <w:tc>
          <w:tcPr>
            <w:tcW w:w="5240" w:type="dxa"/>
            <w:tcBorders>
              <w:top w:val="nil"/>
              <w:left w:val="nil"/>
              <w:bottom w:val="nil"/>
              <w:right w:val="nil"/>
            </w:tcBorders>
            <w:shd w:val="clear" w:color="auto" w:fill="auto"/>
            <w:vAlign w:val="center"/>
            <w:hideMark/>
          </w:tcPr>
          <w:p w14:paraId="59225A6D"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xml:space="preserve">   rezerva na riešenie vplyvov legislatívnych zmien</w:t>
            </w:r>
          </w:p>
        </w:tc>
        <w:tc>
          <w:tcPr>
            <w:tcW w:w="351" w:type="dxa"/>
            <w:tcBorders>
              <w:top w:val="nil"/>
              <w:left w:val="nil"/>
              <w:bottom w:val="nil"/>
              <w:right w:val="nil"/>
            </w:tcBorders>
            <w:shd w:val="clear" w:color="auto" w:fill="auto"/>
            <w:vAlign w:val="center"/>
            <w:hideMark/>
          </w:tcPr>
          <w:p w14:paraId="15F3EB8E" w14:textId="77777777" w:rsidR="000C6444" w:rsidRPr="004B5979" w:rsidRDefault="000C6444" w:rsidP="00070E82">
            <w:pPr>
              <w:widowControl w:val="0"/>
              <w:rPr>
                <w:rFonts w:cs="Calibri"/>
                <w:color w:val="000000"/>
                <w:sz w:val="18"/>
                <w:szCs w:val="18"/>
              </w:rPr>
            </w:pPr>
          </w:p>
        </w:tc>
        <w:tc>
          <w:tcPr>
            <w:tcW w:w="421" w:type="dxa"/>
            <w:tcBorders>
              <w:top w:val="nil"/>
              <w:left w:val="nil"/>
              <w:bottom w:val="nil"/>
              <w:right w:val="nil"/>
            </w:tcBorders>
            <w:shd w:val="clear" w:color="auto" w:fill="auto"/>
            <w:vAlign w:val="center"/>
            <w:hideMark/>
          </w:tcPr>
          <w:p w14:paraId="49A065E6" w14:textId="77777777" w:rsidR="000C6444" w:rsidRPr="004B5979" w:rsidRDefault="000C6444" w:rsidP="00070E82">
            <w:pPr>
              <w:widowControl w:val="0"/>
              <w:jc w:val="center"/>
              <w:rPr>
                <w:rFonts w:ascii="Times New Roman" w:hAnsi="Times New Roman" w:cs="Times New Roman"/>
                <w:sz w:val="20"/>
                <w:szCs w:val="20"/>
              </w:rPr>
            </w:pPr>
          </w:p>
        </w:tc>
        <w:tc>
          <w:tcPr>
            <w:tcW w:w="756" w:type="dxa"/>
            <w:tcBorders>
              <w:top w:val="nil"/>
              <w:left w:val="nil"/>
              <w:bottom w:val="nil"/>
              <w:right w:val="nil"/>
            </w:tcBorders>
            <w:shd w:val="clear" w:color="auto" w:fill="auto"/>
            <w:vAlign w:val="center"/>
            <w:hideMark/>
          </w:tcPr>
          <w:p w14:paraId="2972150D"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-0,04</w:t>
            </w:r>
          </w:p>
        </w:tc>
        <w:tc>
          <w:tcPr>
            <w:tcW w:w="756" w:type="dxa"/>
            <w:tcBorders>
              <w:top w:val="nil"/>
              <w:left w:val="nil"/>
              <w:bottom w:val="nil"/>
              <w:right w:val="nil"/>
            </w:tcBorders>
            <w:shd w:val="clear" w:color="auto" w:fill="auto"/>
            <w:vAlign w:val="center"/>
            <w:hideMark/>
          </w:tcPr>
          <w:p w14:paraId="189E6E2A"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-0,04</w:t>
            </w:r>
          </w:p>
        </w:tc>
        <w:tc>
          <w:tcPr>
            <w:tcW w:w="556" w:type="dxa"/>
            <w:tcBorders>
              <w:top w:val="nil"/>
              <w:left w:val="nil"/>
              <w:bottom w:val="nil"/>
              <w:right w:val="nil"/>
            </w:tcBorders>
            <w:shd w:val="clear" w:color="auto" w:fill="auto"/>
            <w:vAlign w:val="center"/>
            <w:hideMark/>
          </w:tcPr>
          <w:p w14:paraId="10F4FDF4"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-0,03</w:t>
            </w:r>
          </w:p>
        </w:tc>
        <w:tc>
          <w:tcPr>
            <w:tcW w:w="957" w:type="dxa"/>
            <w:tcBorders>
              <w:top w:val="nil"/>
              <w:left w:val="nil"/>
              <w:bottom w:val="nil"/>
              <w:right w:val="nil"/>
            </w:tcBorders>
            <w:shd w:val="clear" w:color="auto" w:fill="auto"/>
            <w:vAlign w:val="center"/>
            <w:hideMark/>
          </w:tcPr>
          <w:p w14:paraId="21BF3210"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-0,03</w:t>
            </w:r>
          </w:p>
        </w:tc>
      </w:tr>
      <w:tr w:rsidR="000C6444" w:rsidRPr="004B5979" w14:paraId="4CFC4D97" w14:textId="77777777" w:rsidTr="00A36664">
        <w:trPr>
          <w:trHeight w:val="258"/>
        </w:trPr>
        <w:tc>
          <w:tcPr>
            <w:tcW w:w="5240" w:type="dxa"/>
            <w:tcBorders>
              <w:top w:val="nil"/>
              <w:left w:val="nil"/>
              <w:bottom w:val="nil"/>
              <w:right w:val="nil"/>
            </w:tcBorders>
            <w:shd w:val="clear" w:color="auto" w:fill="auto"/>
            <w:vAlign w:val="center"/>
            <w:hideMark/>
          </w:tcPr>
          <w:p w14:paraId="26C76C37"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xml:space="preserve">   rezerva na opatrenia kompenzujúce infláciu</w:t>
            </w:r>
          </w:p>
        </w:tc>
        <w:tc>
          <w:tcPr>
            <w:tcW w:w="351" w:type="dxa"/>
            <w:tcBorders>
              <w:top w:val="nil"/>
              <w:left w:val="nil"/>
              <w:bottom w:val="nil"/>
              <w:right w:val="nil"/>
            </w:tcBorders>
            <w:shd w:val="clear" w:color="auto" w:fill="auto"/>
            <w:vAlign w:val="center"/>
            <w:hideMark/>
          </w:tcPr>
          <w:p w14:paraId="4B8F3A91" w14:textId="77777777" w:rsidR="000C6444" w:rsidRPr="004B5979" w:rsidRDefault="000C6444" w:rsidP="00070E82">
            <w:pPr>
              <w:widowControl w:val="0"/>
              <w:rPr>
                <w:rFonts w:cs="Calibri"/>
                <w:color w:val="000000"/>
                <w:sz w:val="18"/>
                <w:szCs w:val="18"/>
              </w:rPr>
            </w:pPr>
          </w:p>
        </w:tc>
        <w:tc>
          <w:tcPr>
            <w:tcW w:w="421" w:type="dxa"/>
            <w:tcBorders>
              <w:top w:val="nil"/>
              <w:left w:val="nil"/>
              <w:bottom w:val="nil"/>
              <w:right w:val="nil"/>
            </w:tcBorders>
            <w:shd w:val="clear" w:color="auto" w:fill="auto"/>
            <w:vAlign w:val="center"/>
            <w:hideMark/>
          </w:tcPr>
          <w:p w14:paraId="50C6BC8B" w14:textId="77777777" w:rsidR="000C6444" w:rsidRPr="004B5979" w:rsidRDefault="000C6444" w:rsidP="00070E82">
            <w:pPr>
              <w:widowControl w:val="0"/>
              <w:jc w:val="center"/>
              <w:rPr>
                <w:rFonts w:ascii="Times New Roman" w:hAnsi="Times New Roman" w:cs="Times New Roman"/>
                <w:sz w:val="20"/>
                <w:szCs w:val="20"/>
              </w:rPr>
            </w:pPr>
          </w:p>
        </w:tc>
        <w:tc>
          <w:tcPr>
            <w:tcW w:w="756" w:type="dxa"/>
            <w:tcBorders>
              <w:top w:val="nil"/>
              <w:left w:val="nil"/>
              <w:bottom w:val="nil"/>
              <w:right w:val="nil"/>
            </w:tcBorders>
            <w:shd w:val="clear" w:color="auto" w:fill="auto"/>
            <w:vAlign w:val="center"/>
            <w:hideMark/>
          </w:tcPr>
          <w:p w14:paraId="733C019A"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-0,10</w:t>
            </w:r>
          </w:p>
        </w:tc>
        <w:tc>
          <w:tcPr>
            <w:tcW w:w="756" w:type="dxa"/>
            <w:tcBorders>
              <w:top w:val="nil"/>
              <w:left w:val="nil"/>
              <w:bottom w:val="nil"/>
              <w:right w:val="nil"/>
            </w:tcBorders>
            <w:shd w:val="clear" w:color="auto" w:fill="auto"/>
            <w:vAlign w:val="center"/>
            <w:hideMark/>
          </w:tcPr>
          <w:p w14:paraId="60165A5E"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-0,09</w:t>
            </w:r>
          </w:p>
        </w:tc>
        <w:tc>
          <w:tcPr>
            <w:tcW w:w="556" w:type="dxa"/>
            <w:tcBorders>
              <w:top w:val="nil"/>
              <w:left w:val="nil"/>
              <w:bottom w:val="nil"/>
              <w:right w:val="nil"/>
            </w:tcBorders>
            <w:shd w:val="clear" w:color="auto" w:fill="auto"/>
            <w:vAlign w:val="center"/>
            <w:hideMark/>
          </w:tcPr>
          <w:p w14:paraId="5495B7DE"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-0,09</w:t>
            </w:r>
          </w:p>
        </w:tc>
        <w:tc>
          <w:tcPr>
            <w:tcW w:w="957" w:type="dxa"/>
            <w:tcBorders>
              <w:top w:val="nil"/>
              <w:left w:val="nil"/>
              <w:bottom w:val="nil"/>
              <w:right w:val="nil"/>
            </w:tcBorders>
            <w:shd w:val="clear" w:color="auto" w:fill="auto"/>
            <w:vAlign w:val="center"/>
            <w:hideMark/>
          </w:tcPr>
          <w:p w14:paraId="0EBB92D2"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-0,08</w:t>
            </w:r>
          </w:p>
        </w:tc>
      </w:tr>
      <w:tr w:rsidR="000C6444" w:rsidRPr="004B5979" w14:paraId="59DBB89A" w14:textId="77777777" w:rsidTr="00A36664">
        <w:trPr>
          <w:trHeight w:val="258"/>
        </w:trPr>
        <w:tc>
          <w:tcPr>
            <w:tcW w:w="5240" w:type="dxa"/>
            <w:tcBorders>
              <w:top w:val="nil"/>
              <w:left w:val="nil"/>
              <w:bottom w:val="nil"/>
              <w:right w:val="nil"/>
            </w:tcBorders>
            <w:shd w:val="clear" w:color="auto" w:fill="auto"/>
            <w:vAlign w:val="center"/>
            <w:hideMark/>
          </w:tcPr>
          <w:p w14:paraId="063988C1" w14:textId="77777777" w:rsidR="000C6444" w:rsidRPr="004B5979" w:rsidRDefault="000C6444" w:rsidP="00070E82">
            <w:pPr>
              <w:widowControl w:val="0"/>
              <w:ind w:firstLineChars="100" w:firstLine="180"/>
              <w:rPr>
                <w:rFonts w:cs="Calibri"/>
                <w:color w:val="000000"/>
                <w:sz w:val="18"/>
                <w:szCs w:val="18"/>
              </w:rPr>
            </w:pPr>
            <w:r w:rsidRPr="004B5979">
              <w:rPr>
                <w:rFonts w:cs="Calibri"/>
                <w:color w:val="000000"/>
                <w:sz w:val="18"/>
                <w:szCs w:val="18"/>
              </w:rPr>
              <w:t>rezerva na výdavky súvisiace s financovaním spoločných programov</w:t>
            </w:r>
          </w:p>
        </w:tc>
        <w:tc>
          <w:tcPr>
            <w:tcW w:w="351" w:type="dxa"/>
            <w:tcBorders>
              <w:top w:val="nil"/>
              <w:left w:val="nil"/>
              <w:bottom w:val="nil"/>
              <w:right w:val="nil"/>
            </w:tcBorders>
            <w:shd w:val="clear" w:color="auto" w:fill="auto"/>
            <w:vAlign w:val="center"/>
            <w:hideMark/>
          </w:tcPr>
          <w:p w14:paraId="684000FE" w14:textId="77777777" w:rsidR="000C6444" w:rsidRPr="004B5979" w:rsidRDefault="000C6444" w:rsidP="00070E82">
            <w:pPr>
              <w:widowControl w:val="0"/>
              <w:ind w:firstLineChars="100" w:firstLine="180"/>
              <w:rPr>
                <w:rFonts w:cs="Calibri"/>
                <w:color w:val="000000"/>
                <w:sz w:val="18"/>
                <w:szCs w:val="18"/>
              </w:rPr>
            </w:pPr>
          </w:p>
        </w:tc>
        <w:tc>
          <w:tcPr>
            <w:tcW w:w="421" w:type="dxa"/>
            <w:tcBorders>
              <w:top w:val="nil"/>
              <w:left w:val="nil"/>
              <w:bottom w:val="nil"/>
              <w:right w:val="nil"/>
            </w:tcBorders>
            <w:shd w:val="clear" w:color="auto" w:fill="auto"/>
            <w:vAlign w:val="center"/>
            <w:hideMark/>
          </w:tcPr>
          <w:p w14:paraId="7A7308E8" w14:textId="77777777" w:rsidR="000C6444" w:rsidRPr="004B5979" w:rsidRDefault="000C6444" w:rsidP="00070E82">
            <w:pPr>
              <w:widowControl w:val="0"/>
              <w:jc w:val="center"/>
              <w:rPr>
                <w:rFonts w:ascii="Times New Roman" w:hAnsi="Times New Roman" w:cs="Times New Roman"/>
                <w:sz w:val="20"/>
                <w:szCs w:val="20"/>
              </w:rPr>
            </w:pPr>
          </w:p>
        </w:tc>
        <w:tc>
          <w:tcPr>
            <w:tcW w:w="756" w:type="dxa"/>
            <w:tcBorders>
              <w:top w:val="nil"/>
              <w:left w:val="nil"/>
              <w:bottom w:val="nil"/>
              <w:right w:val="nil"/>
            </w:tcBorders>
            <w:shd w:val="clear" w:color="auto" w:fill="auto"/>
            <w:vAlign w:val="center"/>
            <w:hideMark/>
          </w:tcPr>
          <w:p w14:paraId="2A29970E"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0,00</w:t>
            </w:r>
          </w:p>
        </w:tc>
        <w:tc>
          <w:tcPr>
            <w:tcW w:w="756" w:type="dxa"/>
            <w:tcBorders>
              <w:top w:val="nil"/>
              <w:left w:val="nil"/>
              <w:bottom w:val="nil"/>
              <w:right w:val="nil"/>
            </w:tcBorders>
            <w:shd w:val="clear" w:color="auto" w:fill="auto"/>
            <w:vAlign w:val="center"/>
            <w:hideMark/>
          </w:tcPr>
          <w:p w14:paraId="1894C7C9"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-0,19</w:t>
            </w:r>
          </w:p>
        </w:tc>
        <w:tc>
          <w:tcPr>
            <w:tcW w:w="556" w:type="dxa"/>
            <w:tcBorders>
              <w:top w:val="nil"/>
              <w:left w:val="nil"/>
              <w:bottom w:val="nil"/>
              <w:right w:val="nil"/>
            </w:tcBorders>
            <w:shd w:val="clear" w:color="auto" w:fill="auto"/>
            <w:vAlign w:val="center"/>
            <w:hideMark/>
          </w:tcPr>
          <w:p w14:paraId="1EC11960"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-0,05</w:t>
            </w:r>
          </w:p>
        </w:tc>
        <w:tc>
          <w:tcPr>
            <w:tcW w:w="957" w:type="dxa"/>
            <w:tcBorders>
              <w:top w:val="nil"/>
              <w:left w:val="nil"/>
              <w:bottom w:val="nil"/>
              <w:right w:val="nil"/>
            </w:tcBorders>
            <w:shd w:val="clear" w:color="auto" w:fill="auto"/>
            <w:vAlign w:val="center"/>
            <w:hideMark/>
          </w:tcPr>
          <w:p w14:paraId="70F749EB"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-0,05</w:t>
            </w:r>
          </w:p>
        </w:tc>
      </w:tr>
      <w:tr w:rsidR="000C6444" w:rsidRPr="004B5979" w14:paraId="4892B600" w14:textId="77777777" w:rsidTr="00A36664">
        <w:trPr>
          <w:trHeight w:val="269"/>
        </w:trPr>
        <w:tc>
          <w:tcPr>
            <w:tcW w:w="5240" w:type="dxa"/>
            <w:tcBorders>
              <w:top w:val="nil"/>
              <w:left w:val="nil"/>
              <w:bottom w:val="single" w:sz="8" w:space="0" w:color="auto"/>
              <w:right w:val="nil"/>
            </w:tcBorders>
            <w:shd w:val="clear" w:color="auto" w:fill="auto"/>
            <w:vAlign w:val="center"/>
            <w:hideMark/>
          </w:tcPr>
          <w:p w14:paraId="5D45CC14"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xml:space="preserve">   rezerva na riešenie krízových situácií mimo času vojny</w:t>
            </w:r>
          </w:p>
        </w:tc>
        <w:tc>
          <w:tcPr>
            <w:tcW w:w="772" w:type="dxa"/>
            <w:gridSpan w:val="2"/>
            <w:tcBorders>
              <w:top w:val="nil"/>
              <w:left w:val="nil"/>
              <w:bottom w:val="single" w:sz="8" w:space="0" w:color="auto"/>
              <w:right w:val="nil"/>
            </w:tcBorders>
            <w:shd w:val="clear" w:color="auto" w:fill="auto"/>
            <w:vAlign w:val="center"/>
            <w:hideMark/>
          </w:tcPr>
          <w:p w14:paraId="59B2F6D4" w14:textId="77777777" w:rsidR="000C6444" w:rsidRPr="004B5979" w:rsidRDefault="000C6444" w:rsidP="00070E82">
            <w:pPr>
              <w:widowControl w:val="0"/>
              <w:rPr>
                <w:rFonts w:cs="Calibri"/>
                <w:color w:val="000000"/>
                <w:sz w:val="18"/>
                <w:szCs w:val="18"/>
              </w:rPr>
            </w:pPr>
            <w:r w:rsidRPr="004B5979">
              <w:rPr>
                <w:rFonts w:cs="Calibri"/>
                <w:color w:val="000000"/>
                <w:sz w:val="18"/>
                <w:szCs w:val="18"/>
              </w:rPr>
              <w:t> </w:t>
            </w:r>
          </w:p>
        </w:tc>
        <w:tc>
          <w:tcPr>
            <w:tcW w:w="756" w:type="dxa"/>
            <w:tcBorders>
              <w:top w:val="nil"/>
              <w:left w:val="nil"/>
              <w:bottom w:val="single" w:sz="8" w:space="0" w:color="auto"/>
              <w:right w:val="nil"/>
            </w:tcBorders>
            <w:shd w:val="clear" w:color="auto" w:fill="auto"/>
            <w:vAlign w:val="center"/>
            <w:hideMark/>
          </w:tcPr>
          <w:p w14:paraId="41B3FB82"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-0,01</w:t>
            </w:r>
          </w:p>
        </w:tc>
        <w:tc>
          <w:tcPr>
            <w:tcW w:w="756" w:type="dxa"/>
            <w:tcBorders>
              <w:top w:val="nil"/>
              <w:left w:val="nil"/>
              <w:bottom w:val="single" w:sz="8" w:space="0" w:color="auto"/>
              <w:right w:val="nil"/>
            </w:tcBorders>
            <w:shd w:val="clear" w:color="auto" w:fill="auto"/>
            <w:vAlign w:val="center"/>
            <w:hideMark/>
          </w:tcPr>
          <w:p w14:paraId="30C4718F"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-0,01</w:t>
            </w:r>
          </w:p>
        </w:tc>
        <w:tc>
          <w:tcPr>
            <w:tcW w:w="556" w:type="dxa"/>
            <w:tcBorders>
              <w:top w:val="nil"/>
              <w:left w:val="nil"/>
              <w:bottom w:val="single" w:sz="8" w:space="0" w:color="auto"/>
              <w:right w:val="nil"/>
            </w:tcBorders>
            <w:shd w:val="clear" w:color="auto" w:fill="auto"/>
            <w:vAlign w:val="center"/>
            <w:hideMark/>
          </w:tcPr>
          <w:p w14:paraId="7B4551CA"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-0,01</w:t>
            </w:r>
          </w:p>
        </w:tc>
        <w:tc>
          <w:tcPr>
            <w:tcW w:w="957" w:type="dxa"/>
            <w:tcBorders>
              <w:top w:val="nil"/>
              <w:left w:val="nil"/>
              <w:bottom w:val="single" w:sz="8" w:space="0" w:color="auto"/>
              <w:right w:val="nil"/>
            </w:tcBorders>
            <w:shd w:val="clear" w:color="auto" w:fill="auto"/>
            <w:vAlign w:val="center"/>
            <w:hideMark/>
          </w:tcPr>
          <w:p w14:paraId="2D5FA03B" w14:textId="77777777" w:rsidR="000C6444" w:rsidRPr="004B5979" w:rsidRDefault="000C6444" w:rsidP="00070E82">
            <w:pPr>
              <w:widowControl w:val="0"/>
              <w:jc w:val="center"/>
              <w:rPr>
                <w:rFonts w:cs="Calibri"/>
                <w:color w:val="000000"/>
                <w:sz w:val="18"/>
                <w:szCs w:val="18"/>
              </w:rPr>
            </w:pPr>
            <w:r w:rsidRPr="004B5979">
              <w:rPr>
                <w:rFonts w:cs="Calibri"/>
                <w:color w:val="000000"/>
                <w:sz w:val="18"/>
                <w:szCs w:val="18"/>
              </w:rPr>
              <w:t>-0,01</w:t>
            </w:r>
          </w:p>
        </w:tc>
      </w:tr>
      <w:tr w:rsidR="00091C32" w:rsidRPr="004B5979" w14:paraId="3B461237" w14:textId="77777777" w:rsidTr="00A36664">
        <w:trPr>
          <w:trHeight w:val="269"/>
        </w:trPr>
        <w:tc>
          <w:tcPr>
            <w:tcW w:w="5240" w:type="dxa"/>
            <w:tcBorders>
              <w:top w:val="nil"/>
              <w:left w:val="nil"/>
              <w:bottom w:val="single" w:sz="8" w:space="0" w:color="auto"/>
              <w:right w:val="nil"/>
            </w:tcBorders>
            <w:shd w:val="clear" w:color="auto" w:fill="auto"/>
            <w:vAlign w:val="center"/>
            <w:hideMark/>
          </w:tcPr>
          <w:p w14:paraId="3F5CEB2D" w14:textId="77777777" w:rsidR="00091C32" w:rsidRPr="004B5979" w:rsidRDefault="00091C32" w:rsidP="00091C32">
            <w:pPr>
              <w:widowControl w:val="0"/>
              <w:rPr>
                <w:rFonts w:cs="Calibri"/>
                <w:b/>
                <w:bCs/>
                <w:color w:val="000000"/>
                <w:sz w:val="18"/>
                <w:szCs w:val="18"/>
              </w:rPr>
            </w:pPr>
            <w:r w:rsidRPr="004B5979">
              <w:rPr>
                <w:rFonts w:cs="Calibri"/>
                <w:b/>
                <w:bCs/>
                <w:color w:val="000000"/>
                <w:sz w:val="18"/>
                <w:szCs w:val="18"/>
              </w:rPr>
              <w:t>Spolu výdavky</w:t>
            </w:r>
          </w:p>
        </w:tc>
        <w:tc>
          <w:tcPr>
            <w:tcW w:w="772" w:type="dxa"/>
            <w:gridSpan w:val="2"/>
            <w:tcBorders>
              <w:top w:val="single" w:sz="8" w:space="0" w:color="auto"/>
              <w:left w:val="nil"/>
              <w:bottom w:val="single" w:sz="8" w:space="0" w:color="auto"/>
              <w:right w:val="nil"/>
            </w:tcBorders>
            <w:shd w:val="clear" w:color="auto" w:fill="auto"/>
            <w:vAlign w:val="center"/>
            <w:hideMark/>
          </w:tcPr>
          <w:p w14:paraId="6AB6FAA2" w14:textId="77777777" w:rsidR="00091C32" w:rsidRPr="004B5979" w:rsidRDefault="00091C32" w:rsidP="00091C32">
            <w:pPr>
              <w:widowControl w:val="0"/>
              <w:jc w:val="center"/>
              <w:rPr>
                <w:rFonts w:cs="Calibri"/>
                <w:color w:val="000000"/>
                <w:sz w:val="18"/>
                <w:szCs w:val="18"/>
              </w:rPr>
            </w:pPr>
            <w:r w:rsidRPr="004B5979">
              <w:rPr>
                <w:rFonts w:cs="Calibri"/>
                <w:color w:val="000000"/>
                <w:sz w:val="18"/>
                <w:szCs w:val="18"/>
              </w:rPr>
              <w:t> </w:t>
            </w:r>
          </w:p>
        </w:tc>
        <w:tc>
          <w:tcPr>
            <w:tcW w:w="756" w:type="dxa"/>
            <w:tcBorders>
              <w:top w:val="nil"/>
              <w:left w:val="nil"/>
              <w:bottom w:val="single" w:sz="8" w:space="0" w:color="auto"/>
              <w:right w:val="nil"/>
            </w:tcBorders>
            <w:shd w:val="clear" w:color="auto" w:fill="auto"/>
            <w:vAlign w:val="center"/>
            <w:hideMark/>
          </w:tcPr>
          <w:p w14:paraId="08B9F82A" w14:textId="4076CB06" w:rsidR="00091C32" w:rsidRPr="00091C32" w:rsidRDefault="00091C32" w:rsidP="00091C32">
            <w:pPr>
              <w:widowControl w:val="0"/>
              <w:jc w:val="center"/>
              <w:rPr>
                <w:rFonts w:cs="Calibri"/>
                <w:b/>
                <w:bCs/>
                <w:color w:val="000000"/>
                <w:sz w:val="18"/>
                <w:szCs w:val="18"/>
              </w:rPr>
            </w:pPr>
            <w:r>
              <w:rPr>
                <w:rFonts w:cs="Calibri"/>
                <w:b/>
                <w:bCs/>
                <w:color w:val="000000"/>
                <w:sz w:val="18"/>
                <w:szCs w:val="18"/>
              </w:rPr>
              <w:t>-0,72</w:t>
            </w:r>
          </w:p>
        </w:tc>
        <w:tc>
          <w:tcPr>
            <w:tcW w:w="756" w:type="dxa"/>
            <w:tcBorders>
              <w:top w:val="nil"/>
              <w:left w:val="nil"/>
              <w:bottom w:val="single" w:sz="8" w:space="0" w:color="auto"/>
              <w:right w:val="nil"/>
            </w:tcBorders>
            <w:shd w:val="clear" w:color="auto" w:fill="auto"/>
            <w:vAlign w:val="center"/>
            <w:hideMark/>
          </w:tcPr>
          <w:p w14:paraId="61721888" w14:textId="3DE1E94F" w:rsidR="00091C32" w:rsidRPr="00091C32" w:rsidRDefault="00091C32" w:rsidP="00091C32">
            <w:pPr>
              <w:widowControl w:val="0"/>
              <w:jc w:val="center"/>
              <w:rPr>
                <w:rFonts w:cs="Calibri"/>
                <w:b/>
                <w:bCs/>
                <w:color w:val="000000"/>
                <w:sz w:val="18"/>
                <w:szCs w:val="18"/>
              </w:rPr>
            </w:pPr>
            <w:r>
              <w:rPr>
                <w:rFonts w:cs="Calibri"/>
                <w:b/>
                <w:bCs/>
                <w:color w:val="000000"/>
                <w:sz w:val="18"/>
                <w:szCs w:val="18"/>
              </w:rPr>
              <w:t>-0,91</w:t>
            </w:r>
          </w:p>
        </w:tc>
        <w:tc>
          <w:tcPr>
            <w:tcW w:w="556" w:type="dxa"/>
            <w:tcBorders>
              <w:top w:val="nil"/>
              <w:left w:val="nil"/>
              <w:bottom w:val="single" w:sz="8" w:space="0" w:color="auto"/>
              <w:right w:val="nil"/>
            </w:tcBorders>
            <w:shd w:val="clear" w:color="auto" w:fill="auto"/>
            <w:vAlign w:val="center"/>
            <w:hideMark/>
          </w:tcPr>
          <w:p w14:paraId="7123F8DD" w14:textId="553F2E0D" w:rsidR="00091C32" w:rsidRPr="00091C32" w:rsidRDefault="00091C32" w:rsidP="00091C32">
            <w:pPr>
              <w:widowControl w:val="0"/>
              <w:jc w:val="center"/>
              <w:rPr>
                <w:rFonts w:cs="Calibri"/>
                <w:b/>
                <w:bCs/>
                <w:color w:val="000000"/>
                <w:sz w:val="18"/>
                <w:szCs w:val="18"/>
              </w:rPr>
            </w:pPr>
            <w:r>
              <w:rPr>
                <w:rFonts w:cs="Calibri"/>
                <w:b/>
                <w:bCs/>
                <w:color w:val="000000"/>
                <w:sz w:val="18"/>
                <w:szCs w:val="18"/>
              </w:rPr>
              <w:t>-0,80</w:t>
            </w:r>
          </w:p>
        </w:tc>
        <w:tc>
          <w:tcPr>
            <w:tcW w:w="957" w:type="dxa"/>
            <w:tcBorders>
              <w:top w:val="nil"/>
              <w:left w:val="nil"/>
              <w:bottom w:val="single" w:sz="8" w:space="0" w:color="auto"/>
              <w:right w:val="nil"/>
            </w:tcBorders>
            <w:shd w:val="clear" w:color="auto" w:fill="auto"/>
            <w:vAlign w:val="center"/>
            <w:hideMark/>
          </w:tcPr>
          <w:p w14:paraId="0C0F1FDD" w14:textId="09BA24B3" w:rsidR="00091C32" w:rsidRPr="00091C32" w:rsidRDefault="00091C32" w:rsidP="00091C32">
            <w:pPr>
              <w:widowControl w:val="0"/>
              <w:jc w:val="center"/>
              <w:rPr>
                <w:rFonts w:cs="Calibri"/>
                <w:b/>
                <w:bCs/>
                <w:color w:val="000000"/>
                <w:sz w:val="18"/>
                <w:szCs w:val="18"/>
              </w:rPr>
            </w:pPr>
            <w:r>
              <w:rPr>
                <w:rFonts w:cs="Calibri"/>
                <w:b/>
                <w:bCs/>
                <w:color w:val="000000"/>
                <w:sz w:val="18"/>
                <w:szCs w:val="18"/>
              </w:rPr>
              <w:t>-0,79</w:t>
            </w:r>
          </w:p>
        </w:tc>
      </w:tr>
      <w:tr w:rsidR="000C6444" w:rsidRPr="004B5979" w14:paraId="36717EB7" w14:textId="77777777" w:rsidTr="00621E55">
        <w:trPr>
          <w:trHeight w:val="258"/>
        </w:trPr>
        <w:tc>
          <w:tcPr>
            <w:tcW w:w="5240" w:type="dxa"/>
            <w:tcBorders>
              <w:top w:val="nil"/>
              <w:left w:val="nil"/>
              <w:bottom w:val="nil"/>
              <w:right w:val="nil"/>
            </w:tcBorders>
            <w:shd w:val="clear" w:color="auto" w:fill="auto"/>
            <w:noWrap/>
            <w:vAlign w:val="center"/>
            <w:hideMark/>
          </w:tcPr>
          <w:p w14:paraId="0A3592EA" w14:textId="77777777" w:rsidR="000C6444" w:rsidRPr="00621E55" w:rsidRDefault="000C6444" w:rsidP="00621E55">
            <w:pPr>
              <w:widowControl w:val="0"/>
              <w:rPr>
                <w:rFonts w:cs="Calibri"/>
                <w:i/>
                <w:iCs/>
                <w:color w:val="000000"/>
                <w:sz w:val="16"/>
                <w:szCs w:val="16"/>
              </w:rPr>
            </w:pPr>
            <w:r w:rsidRPr="00621E55">
              <w:rPr>
                <w:rFonts w:cs="Calibri"/>
                <w:i/>
                <w:iCs/>
                <w:color w:val="000000"/>
                <w:sz w:val="16"/>
                <w:szCs w:val="16"/>
              </w:rPr>
              <w:t xml:space="preserve">Pozn.: (+) zvýšenie príjmov a zníženie výdavkov </w:t>
            </w:r>
          </w:p>
        </w:tc>
        <w:tc>
          <w:tcPr>
            <w:tcW w:w="351" w:type="dxa"/>
            <w:tcBorders>
              <w:top w:val="nil"/>
              <w:left w:val="nil"/>
              <w:bottom w:val="nil"/>
              <w:right w:val="nil"/>
            </w:tcBorders>
            <w:shd w:val="clear" w:color="auto" w:fill="auto"/>
            <w:noWrap/>
            <w:vAlign w:val="center"/>
            <w:hideMark/>
          </w:tcPr>
          <w:p w14:paraId="4451C0B2" w14:textId="77777777" w:rsidR="000C6444" w:rsidRPr="00621E55" w:rsidRDefault="000C6444" w:rsidP="00621E55">
            <w:pPr>
              <w:widowControl w:val="0"/>
              <w:rPr>
                <w:rFonts w:cs="Calibri"/>
                <w:i/>
                <w:color w:val="000000"/>
                <w:sz w:val="16"/>
                <w:szCs w:val="16"/>
              </w:rPr>
            </w:pPr>
            <w:r w:rsidRPr="00621E55">
              <w:rPr>
                <w:rFonts w:cs="Calibri"/>
                <w:i/>
                <w:color w:val="000000"/>
                <w:sz w:val="16"/>
                <w:szCs w:val="16"/>
              </w:rPr>
              <w:t> </w:t>
            </w:r>
          </w:p>
        </w:tc>
        <w:tc>
          <w:tcPr>
            <w:tcW w:w="2489" w:type="dxa"/>
            <w:gridSpan w:val="4"/>
            <w:tcBorders>
              <w:top w:val="single" w:sz="8" w:space="0" w:color="auto"/>
              <w:left w:val="nil"/>
              <w:bottom w:val="nil"/>
              <w:right w:val="nil"/>
            </w:tcBorders>
            <w:shd w:val="clear" w:color="auto" w:fill="auto"/>
            <w:vAlign w:val="center"/>
            <w:hideMark/>
          </w:tcPr>
          <w:p w14:paraId="0F5A5485" w14:textId="77777777" w:rsidR="000C6444" w:rsidRPr="00621E55" w:rsidRDefault="000C6444" w:rsidP="00621E55">
            <w:pPr>
              <w:widowControl w:val="0"/>
              <w:rPr>
                <w:rFonts w:cs="Calibri"/>
                <w:i/>
                <w:color w:val="000000"/>
                <w:sz w:val="16"/>
                <w:szCs w:val="16"/>
              </w:rPr>
            </w:pPr>
            <w:r w:rsidRPr="00621E55">
              <w:rPr>
                <w:rFonts w:cs="Calibri"/>
                <w:i/>
                <w:color w:val="000000"/>
                <w:sz w:val="16"/>
                <w:szCs w:val="16"/>
              </w:rPr>
              <w:t> </w:t>
            </w:r>
          </w:p>
        </w:tc>
        <w:tc>
          <w:tcPr>
            <w:tcW w:w="957" w:type="dxa"/>
            <w:tcBorders>
              <w:top w:val="nil"/>
              <w:left w:val="nil"/>
              <w:bottom w:val="nil"/>
              <w:right w:val="nil"/>
            </w:tcBorders>
            <w:shd w:val="clear" w:color="auto" w:fill="auto"/>
            <w:noWrap/>
            <w:vAlign w:val="center"/>
            <w:hideMark/>
          </w:tcPr>
          <w:p w14:paraId="17691C5B" w14:textId="77777777" w:rsidR="000C6444" w:rsidRPr="00621E55" w:rsidRDefault="000C6444" w:rsidP="00621E55">
            <w:pPr>
              <w:widowControl w:val="0"/>
              <w:rPr>
                <w:rFonts w:cs="Calibri"/>
                <w:i/>
                <w:color w:val="000000"/>
                <w:sz w:val="16"/>
                <w:szCs w:val="16"/>
              </w:rPr>
            </w:pPr>
            <w:r w:rsidRPr="00621E55">
              <w:rPr>
                <w:rFonts w:cs="Calibri"/>
                <w:i/>
                <w:color w:val="000000"/>
                <w:sz w:val="16"/>
                <w:szCs w:val="16"/>
              </w:rPr>
              <w:t>Zdroj: MF SR</w:t>
            </w:r>
          </w:p>
        </w:tc>
      </w:tr>
    </w:tbl>
    <w:p w14:paraId="3B16FA0A" w14:textId="4FBD1D40" w:rsidR="000C6444" w:rsidRDefault="005B6D9B" w:rsidP="00070E82">
      <w:pPr>
        <w:widowControl w:val="0"/>
        <w:spacing w:before="120" w:after="120"/>
        <w:jc w:val="both"/>
      </w:pPr>
      <w:r>
        <w:rPr>
          <w:b/>
        </w:rPr>
        <w:t>V</w:t>
      </w:r>
      <w:r w:rsidR="00991E62">
        <w:rPr>
          <w:b/>
        </w:rPr>
        <w:t> reakcii na zvyšovanie inflácie</w:t>
      </w:r>
      <w:r w:rsidR="000C6444" w:rsidRPr="0096353F">
        <w:rPr>
          <w:b/>
        </w:rPr>
        <w:t xml:space="preserve"> </w:t>
      </w:r>
      <w:r>
        <w:rPr>
          <w:b/>
        </w:rPr>
        <w:t xml:space="preserve">boli </w:t>
      </w:r>
      <w:r w:rsidRPr="0096353F">
        <w:rPr>
          <w:b/>
        </w:rPr>
        <w:t>ohlás</w:t>
      </w:r>
      <w:r>
        <w:rPr>
          <w:b/>
        </w:rPr>
        <w:t>ené</w:t>
      </w:r>
      <w:r w:rsidRPr="0096353F">
        <w:rPr>
          <w:b/>
        </w:rPr>
        <w:t xml:space="preserve"> </w:t>
      </w:r>
      <w:r w:rsidR="000C6444" w:rsidRPr="0096353F">
        <w:rPr>
          <w:b/>
        </w:rPr>
        <w:t>opatrenia, ktor</w:t>
      </w:r>
      <w:r w:rsidR="0082281B">
        <w:rPr>
          <w:b/>
        </w:rPr>
        <w:t>é</w:t>
      </w:r>
      <w:r w:rsidR="000C6444" w:rsidRPr="0096353F">
        <w:rPr>
          <w:b/>
        </w:rPr>
        <w:t xml:space="preserve"> </w:t>
      </w:r>
      <w:r w:rsidR="001C07CC">
        <w:rPr>
          <w:b/>
        </w:rPr>
        <w:t xml:space="preserve">však </w:t>
      </w:r>
      <w:r w:rsidR="000C6444" w:rsidRPr="0096353F">
        <w:rPr>
          <w:b/>
        </w:rPr>
        <w:t xml:space="preserve">Program stability </w:t>
      </w:r>
      <w:r w:rsidR="001C07CC">
        <w:rPr>
          <w:b/>
        </w:rPr>
        <w:t xml:space="preserve">plne </w:t>
      </w:r>
      <w:r w:rsidR="000C6444" w:rsidRPr="0096353F">
        <w:rPr>
          <w:b/>
        </w:rPr>
        <w:t>nezachytáva</w:t>
      </w:r>
      <w:r w:rsidR="000534B6">
        <w:t>. Tri koaličné strany</w:t>
      </w:r>
      <w:r w:rsidR="000C6444">
        <w:t xml:space="preserve"> v rámci opatrení na kompenzáciu cenov</w:t>
      </w:r>
      <w:r w:rsidR="006D4352">
        <w:t>ej hladiny v tomto roku ohlásili</w:t>
      </w:r>
      <w:r w:rsidR="000C6444">
        <w:t xml:space="preserve"> aj </w:t>
      </w:r>
      <w:r w:rsidR="001C07CC">
        <w:t>výrazné</w:t>
      </w:r>
      <w:r w:rsidR="000C6444">
        <w:t xml:space="preserve"> navyšovanie podpory rodín najmä cez daňový bonus a prídavky na dieťa. Tieto opatrenia však nie sú zahrnuté v predloženom rozpočtovom rámci Programu stability, keďže prišli tesne pred prerokovaním tohto dokumentu na vláde. Daňový bonus na dieťa sa m</w:t>
      </w:r>
      <w:r w:rsidR="00991E62">
        <w:t>á</w:t>
      </w:r>
      <w:r w:rsidR="000C6444">
        <w:t xml:space="preserve"> od januára 2023 zvýšiť na 100 eur </w:t>
      </w:r>
      <w:r w:rsidR="00991E62">
        <w:t xml:space="preserve">mesačne </w:t>
      </w:r>
      <w:r w:rsidR="000C6444">
        <w:t>(</w:t>
      </w:r>
      <w:r w:rsidR="00914FA3">
        <w:t>viac</w:t>
      </w:r>
      <w:r w:rsidR="0015088A">
        <w:t xml:space="preserve"> </w:t>
      </w:r>
      <w:r w:rsidR="0015088A" w:rsidRPr="00636109">
        <w:rPr>
          <w:b/>
          <w:color w:val="2C9ADC" w:themeColor="accent1"/>
        </w:rPr>
        <w:t>BOX</w:t>
      </w:r>
      <w:r w:rsidR="0015088A">
        <w:rPr>
          <w:b/>
          <w:color w:val="2C9ADC" w:themeColor="accent1"/>
        </w:rPr>
        <w:t xml:space="preserve"> 7</w:t>
      </w:r>
      <w:r w:rsidR="000C6444">
        <w:t>). Rovnako sa m</w:t>
      </w:r>
      <w:r w:rsidR="00991E62">
        <w:t>á</w:t>
      </w:r>
      <w:r w:rsidR="000C6444">
        <w:t xml:space="preserve"> navýšiť aj prídavok na dieťa </w:t>
      </w:r>
      <w:r w:rsidR="0082281B">
        <w:t>a</w:t>
      </w:r>
      <w:r w:rsidR="00991E62">
        <w:t xml:space="preserve"> vznikne systém podpory pre deti cez</w:t>
      </w:r>
      <w:r w:rsidR="000C6444">
        <w:t xml:space="preserve"> voľnočasové poukazy. Kompenzačné opatrenia k týmto návrhom budú ohlásené až po zverejnení Programu stability.</w:t>
      </w:r>
      <w:r w:rsidR="001C07CC">
        <w:t xml:space="preserve"> Program stability počíta </w:t>
      </w:r>
      <w:r w:rsidR="00321EA7">
        <w:t xml:space="preserve">v rámci opatrení na kompenzáciu vyšších cien </w:t>
      </w:r>
      <w:r w:rsidR="001C07CC">
        <w:t xml:space="preserve">s negatívnym vplyvom </w:t>
      </w:r>
      <w:r w:rsidR="00321EA7">
        <w:t xml:space="preserve">len </w:t>
      </w:r>
      <w:r w:rsidR="001C07CC">
        <w:t>0,3 % HDP od roku 2022.</w:t>
      </w:r>
    </w:p>
    <w:tbl>
      <w:tblPr>
        <w:tblW w:w="9075" w:type="dxa"/>
        <w:jc w:val="center"/>
        <w:shd w:val="clear" w:color="auto" w:fill="AAD3F2"/>
        <w:tblCellMar>
          <w:left w:w="70" w:type="dxa"/>
          <w:right w:w="70" w:type="dxa"/>
        </w:tblCellMar>
        <w:tblLook w:val="01E0" w:firstRow="1" w:lastRow="1" w:firstColumn="1" w:lastColumn="1" w:noHBand="0" w:noVBand="0"/>
      </w:tblPr>
      <w:tblGrid>
        <w:gridCol w:w="9299"/>
      </w:tblGrid>
      <w:tr w:rsidR="000C6444" w:rsidRPr="00BF3A4E" w14:paraId="00C44367" w14:textId="77777777" w:rsidTr="00A36664">
        <w:trPr>
          <w:trHeight w:val="576"/>
          <w:jc w:val="center"/>
        </w:trPr>
        <w:tc>
          <w:tcPr>
            <w:tcW w:w="9075" w:type="dxa"/>
            <w:shd w:val="clear" w:color="auto" w:fill="AAD3F2"/>
          </w:tcPr>
          <w:p w14:paraId="7B831703" w14:textId="7753BF64" w:rsidR="000C6444" w:rsidRPr="00653D8B" w:rsidRDefault="000C6444" w:rsidP="00070E82">
            <w:pPr>
              <w:widowControl w:val="0"/>
              <w:spacing w:after="120"/>
              <w:jc w:val="both"/>
              <w:rPr>
                <w:b/>
                <w:color w:val="2C9ADC" w:themeColor="accent1"/>
              </w:rPr>
            </w:pPr>
            <w:bookmarkStart w:id="132" w:name="_Toc101880478"/>
            <w:r w:rsidRPr="00653D8B">
              <w:rPr>
                <w:b/>
                <w:color w:val="2C9ADC" w:themeColor="accent1"/>
              </w:rPr>
              <w:t xml:space="preserve">BOX </w:t>
            </w:r>
            <w:r w:rsidR="00653D8B" w:rsidRPr="00653D8B">
              <w:rPr>
                <w:b/>
                <w:color w:val="2C9ADC" w:themeColor="accent1"/>
              </w:rPr>
              <w:fldChar w:fldCharType="begin"/>
            </w:r>
            <w:r w:rsidR="00653D8B" w:rsidRPr="00653D8B">
              <w:rPr>
                <w:b/>
                <w:color w:val="2C9ADC" w:themeColor="accent1"/>
              </w:rPr>
              <w:instrText xml:space="preserve"> SEQ BOX \* ARABIC </w:instrText>
            </w:r>
            <w:r w:rsidR="00653D8B" w:rsidRPr="00653D8B">
              <w:rPr>
                <w:b/>
                <w:color w:val="2C9ADC" w:themeColor="accent1"/>
              </w:rPr>
              <w:fldChar w:fldCharType="separate"/>
            </w:r>
            <w:r w:rsidR="005D3280">
              <w:rPr>
                <w:b/>
                <w:noProof/>
                <w:color w:val="2C9ADC" w:themeColor="accent1"/>
              </w:rPr>
              <w:t>7</w:t>
            </w:r>
            <w:r w:rsidR="00653D8B" w:rsidRPr="00653D8B">
              <w:rPr>
                <w:b/>
                <w:color w:val="2C9ADC" w:themeColor="accent1"/>
              </w:rPr>
              <w:fldChar w:fldCharType="end"/>
            </w:r>
            <w:r w:rsidRPr="00653D8B">
              <w:rPr>
                <w:b/>
                <w:color w:val="2C9ADC" w:themeColor="accent1"/>
              </w:rPr>
              <w:t xml:space="preserve"> – </w:t>
            </w:r>
            <w:r w:rsidR="00991E62">
              <w:rPr>
                <w:b/>
                <w:color w:val="2C9ADC" w:themeColor="accent1"/>
              </w:rPr>
              <w:t>Návrh na zvýšenie rodinnej politiky</w:t>
            </w:r>
            <w:bookmarkEnd w:id="132"/>
          </w:p>
          <w:p w14:paraId="6F16D5EF" w14:textId="21AF6DDE" w:rsidR="000C6444" w:rsidRDefault="00991E62" w:rsidP="00070E82">
            <w:pPr>
              <w:pStyle w:val="Obyajntext"/>
              <w:widowControl w:val="0"/>
              <w:spacing w:after="120"/>
              <w:jc w:val="both"/>
            </w:pPr>
            <w:r>
              <w:rPr>
                <w:b/>
              </w:rPr>
              <w:t xml:space="preserve">Na úrovni </w:t>
            </w:r>
            <w:r w:rsidR="00CF774B">
              <w:rPr>
                <w:b/>
              </w:rPr>
              <w:t>troch koaličných strán</w:t>
            </w:r>
            <w:r w:rsidR="00CF774B">
              <w:rPr>
                <w:rStyle w:val="Odkaznapoznmkupodiarou"/>
                <w:b/>
              </w:rPr>
              <w:footnoteReference w:id="40"/>
            </w:r>
            <w:r w:rsidR="00CF774B">
              <w:rPr>
                <w:b/>
              </w:rPr>
              <w:t xml:space="preserve"> </w:t>
            </w:r>
            <w:r>
              <w:rPr>
                <w:b/>
              </w:rPr>
              <w:t xml:space="preserve">sa </w:t>
            </w:r>
            <w:r w:rsidR="00CF774B">
              <w:rPr>
                <w:b/>
              </w:rPr>
              <w:t xml:space="preserve"> v kontexte Programového vyhlásenia vlády </w:t>
            </w:r>
            <w:r>
              <w:rPr>
                <w:b/>
              </w:rPr>
              <w:t>prezentovalo z</w:t>
            </w:r>
            <w:r w:rsidR="000C6444" w:rsidRPr="003F01F1">
              <w:rPr>
                <w:b/>
              </w:rPr>
              <w:t>vyšovanie prídavkov a daňového bonusu</w:t>
            </w:r>
            <w:r w:rsidR="000C6444" w:rsidRPr="003F01F1">
              <w:rPr>
                <w:rStyle w:val="Odkaznapoznmkupodiarou"/>
                <w:b/>
              </w:rPr>
              <w:footnoteReference w:id="41"/>
            </w:r>
            <w:r w:rsidR="000C6444" w:rsidRPr="003F01F1">
              <w:rPr>
                <w:b/>
              </w:rPr>
              <w:t xml:space="preserve"> na všetky nezaopatrené deti v dvoch fázach od 1. júla 2022 a následne od 1. januára 2023.</w:t>
            </w:r>
            <w:r w:rsidR="000C6444" w:rsidRPr="003F01F1">
              <w:t xml:space="preserve"> Výška po</w:t>
            </w:r>
            <w:r w:rsidR="00653D8B" w:rsidRPr="003F01F1">
              <w:t xml:space="preserve">dpory sa zvyšuje podľa </w:t>
            </w:r>
            <w:r w:rsidR="00653D8B" w:rsidRPr="00636109">
              <w:rPr>
                <w:rFonts w:eastAsia="Calibri" w:cs="Book Antiqua"/>
                <w:b/>
                <w:color w:val="2C9ADC"/>
                <w:szCs w:val="20"/>
              </w:rPr>
              <w:t>TABUĽKY 12</w:t>
            </w:r>
            <w:r w:rsidR="000C6444" w:rsidRPr="003F01F1">
              <w:t>. Od 1. januára sa zavedú nové poukazy na voľnočasové aktivity detí od 5 do 18 rokov vo výške 60 eur mesačne. Nad rámec toho sa zavádza aj jednorazová pomoc pre špecifické skupiny (napr. jednorazový príspevok 100 eur na rodinu s dieťatom), ktorú v tejto časti neopisujeme.</w:t>
            </w:r>
          </w:p>
          <w:p w14:paraId="336989D3" w14:textId="77777777" w:rsidR="00D642C9" w:rsidRPr="00A24B10" w:rsidRDefault="00D642C9" w:rsidP="00070E82">
            <w:pPr>
              <w:pStyle w:val="Obyajntext"/>
              <w:widowControl w:val="0"/>
              <w:spacing w:after="120"/>
              <w:jc w:val="both"/>
              <w:rPr>
                <w:sz w:val="20"/>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1322"/>
              <w:gridCol w:w="1234"/>
              <w:gridCol w:w="1234"/>
            </w:tblGrid>
            <w:tr w:rsidR="000C6444" w14:paraId="360FF58E" w14:textId="77777777" w:rsidTr="00A36664">
              <w:trPr>
                <w:jc w:val="center"/>
              </w:trPr>
              <w:tc>
                <w:tcPr>
                  <w:tcW w:w="0" w:type="auto"/>
                  <w:gridSpan w:val="4"/>
                </w:tcPr>
                <w:p w14:paraId="5A1A17CD" w14:textId="715973F0" w:rsidR="000C6444" w:rsidRPr="004D266C" w:rsidRDefault="006564B3" w:rsidP="004D266C">
                  <w:pPr>
                    <w:pStyle w:val="Obyajntext"/>
                    <w:widowControl w:val="0"/>
                    <w:jc w:val="both"/>
                    <w:rPr>
                      <w:b/>
                      <w:sz w:val="20"/>
                      <w:szCs w:val="20"/>
                    </w:rPr>
                  </w:pPr>
                  <w:bookmarkStart w:id="133" w:name="_Toc101880691"/>
                  <w:r>
                    <w:rPr>
                      <w:rFonts w:eastAsia="Calibri" w:cs="Book Antiqua"/>
                      <w:b/>
                      <w:color w:val="2C9ADC"/>
                      <w:sz w:val="20"/>
                      <w:szCs w:val="20"/>
                    </w:rPr>
                    <w:t>TABUĽKA</w:t>
                  </w:r>
                  <w:r w:rsidR="004D266C" w:rsidRPr="004D266C">
                    <w:rPr>
                      <w:rFonts w:eastAsia="Calibri" w:cs="Book Antiqua"/>
                      <w:b/>
                      <w:color w:val="2C9ADC"/>
                      <w:sz w:val="20"/>
                      <w:szCs w:val="20"/>
                    </w:rPr>
                    <w:t xml:space="preserve"> </w:t>
                  </w:r>
                  <w:r w:rsidR="004D266C" w:rsidRPr="004D266C">
                    <w:rPr>
                      <w:b/>
                      <w:color w:val="2C9ADC" w:themeColor="accent1"/>
                      <w:sz w:val="20"/>
                      <w:szCs w:val="20"/>
                    </w:rPr>
                    <w:fldChar w:fldCharType="begin"/>
                  </w:r>
                  <w:r w:rsidR="004D266C" w:rsidRPr="004D266C">
                    <w:rPr>
                      <w:b/>
                      <w:color w:val="2C9ADC" w:themeColor="accent1"/>
                      <w:sz w:val="20"/>
                      <w:szCs w:val="20"/>
                    </w:rPr>
                    <w:instrText xml:space="preserve"> SEQ TABUĽKA \* ARABIC </w:instrText>
                  </w:r>
                  <w:r w:rsidR="004D266C" w:rsidRPr="004D266C">
                    <w:rPr>
                      <w:b/>
                      <w:color w:val="2C9ADC" w:themeColor="accent1"/>
                      <w:sz w:val="20"/>
                      <w:szCs w:val="20"/>
                    </w:rPr>
                    <w:fldChar w:fldCharType="separate"/>
                  </w:r>
                  <w:r w:rsidR="005D3280">
                    <w:rPr>
                      <w:b/>
                      <w:noProof/>
                      <w:color w:val="2C9ADC" w:themeColor="accent1"/>
                      <w:sz w:val="20"/>
                      <w:szCs w:val="20"/>
                    </w:rPr>
                    <w:t>12</w:t>
                  </w:r>
                  <w:r w:rsidR="004D266C" w:rsidRPr="004D266C">
                    <w:rPr>
                      <w:b/>
                      <w:color w:val="2C9ADC" w:themeColor="accent1"/>
                      <w:sz w:val="20"/>
                      <w:szCs w:val="20"/>
                    </w:rPr>
                    <w:fldChar w:fldCharType="end"/>
                  </w:r>
                  <w:r w:rsidR="000C6444" w:rsidRPr="004D266C">
                    <w:rPr>
                      <w:rFonts w:eastAsia="Calibri" w:cs="Book Antiqua"/>
                      <w:b/>
                      <w:color w:val="2C9ADC"/>
                      <w:sz w:val="20"/>
                      <w:szCs w:val="20"/>
                    </w:rPr>
                    <w:t xml:space="preserve"> </w:t>
                  </w:r>
                  <w:r w:rsidR="004D266C" w:rsidRPr="004D266C">
                    <w:rPr>
                      <w:rFonts w:eastAsia="Calibri" w:cs="Book Antiqua"/>
                      <w:b/>
                      <w:color w:val="2C9ADC"/>
                      <w:sz w:val="20"/>
                      <w:szCs w:val="20"/>
                    </w:rPr>
                    <w:t xml:space="preserve">– </w:t>
                  </w:r>
                  <w:r w:rsidR="004D266C" w:rsidRPr="00636109">
                    <w:rPr>
                      <w:rFonts w:eastAsia="Calibri" w:cs="Book Antiqua"/>
                      <w:b/>
                      <w:color w:val="2C9ADC"/>
                      <w:sz w:val="20"/>
                      <w:szCs w:val="20"/>
                      <w:lang w:val="sk-SK"/>
                    </w:rPr>
                    <w:t>M</w:t>
                  </w:r>
                  <w:r w:rsidR="000C6444" w:rsidRPr="00636109">
                    <w:rPr>
                      <w:rFonts w:eastAsia="Calibri" w:cs="Book Antiqua"/>
                      <w:b/>
                      <w:color w:val="2C9ADC"/>
                      <w:sz w:val="20"/>
                      <w:szCs w:val="20"/>
                      <w:lang w:val="sk-SK"/>
                    </w:rPr>
                    <w:t>esačná</w:t>
                  </w:r>
                  <w:r w:rsidR="000C6444" w:rsidRPr="004D266C">
                    <w:rPr>
                      <w:rFonts w:eastAsia="Calibri" w:cs="Book Antiqua"/>
                      <w:b/>
                      <w:color w:val="2C9ADC"/>
                      <w:sz w:val="20"/>
                      <w:szCs w:val="20"/>
                    </w:rPr>
                    <w:t xml:space="preserve"> výška trvalej podpory detí (v eur na nezaopatrené dieťa)</w:t>
                  </w:r>
                  <w:bookmarkEnd w:id="133"/>
                </w:p>
              </w:tc>
            </w:tr>
            <w:tr w:rsidR="006564B3" w14:paraId="54B227C6" w14:textId="77777777" w:rsidTr="00A36664">
              <w:trPr>
                <w:jc w:val="center"/>
              </w:trPr>
              <w:tc>
                <w:tcPr>
                  <w:tcW w:w="0" w:type="auto"/>
                  <w:tcBorders>
                    <w:top w:val="single" w:sz="4" w:space="0" w:color="auto"/>
                    <w:bottom w:val="single" w:sz="4" w:space="0" w:color="auto"/>
                  </w:tcBorders>
                </w:tcPr>
                <w:p w14:paraId="1D4C1983" w14:textId="77777777" w:rsidR="000C6444" w:rsidRPr="00856775" w:rsidRDefault="000C6444" w:rsidP="00070E82">
                  <w:pPr>
                    <w:pStyle w:val="Obyajntext"/>
                    <w:widowControl w:val="0"/>
                    <w:jc w:val="both"/>
                    <w:rPr>
                      <w:sz w:val="18"/>
                    </w:rPr>
                  </w:pPr>
                </w:p>
              </w:tc>
              <w:tc>
                <w:tcPr>
                  <w:tcW w:w="0" w:type="auto"/>
                  <w:tcBorders>
                    <w:top w:val="single" w:sz="4" w:space="0" w:color="auto"/>
                    <w:bottom w:val="single" w:sz="4" w:space="0" w:color="auto"/>
                  </w:tcBorders>
                  <w:vAlign w:val="center"/>
                </w:tcPr>
                <w:p w14:paraId="0B7B70AA" w14:textId="77777777" w:rsidR="000C6444" w:rsidRPr="00856775" w:rsidRDefault="000C6444" w:rsidP="00070E82">
                  <w:pPr>
                    <w:pStyle w:val="Obyajntext"/>
                    <w:widowControl w:val="0"/>
                    <w:jc w:val="center"/>
                    <w:rPr>
                      <w:sz w:val="18"/>
                    </w:rPr>
                  </w:pPr>
                  <w:r w:rsidRPr="00856775">
                    <w:rPr>
                      <w:sz w:val="18"/>
                    </w:rPr>
                    <w:t>Do 30.6.2022</w:t>
                  </w:r>
                </w:p>
              </w:tc>
              <w:tc>
                <w:tcPr>
                  <w:tcW w:w="0" w:type="auto"/>
                  <w:tcBorders>
                    <w:top w:val="single" w:sz="4" w:space="0" w:color="auto"/>
                    <w:bottom w:val="single" w:sz="4" w:space="0" w:color="auto"/>
                  </w:tcBorders>
                  <w:vAlign w:val="center"/>
                </w:tcPr>
                <w:p w14:paraId="199DD478" w14:textId="77777777" w:rsidR="000C6444" w:rsidRPr="00856775" w:rsidRDefault="000C6444" w:rsidP="00070E82">
                  <w:pPr>
                    <w:pStyle w:val="Obyajntext"/>
                    <w:widowControl w:val="0"/>
                    <w:jc w:val="center"/>
                    <w:rPr>
                      <w:sz w:val="18"/>
                    </w:rPr>
                  </w:pPr>
                  <w:r w:rsidRPr="00856775">
                    <w:rPr>
                      <w:sz w:val="18"/>
                    </w:rPr>
                    <w:t>Od 1.7.2022</w:t>
                  </w:r>
                </w:p>
              </w:tc>
              <w:tc>
                <w:tcPr>
                  <w:tcW w:w="0" w:type="auto"/>
                  <w:tcBorders>
                    <w:top w:val="single" w:sz="4" w:space="0" w:color="auto"/>
                    <w:bottom w:val="single" w:sz="4" w:space="0" w:color="auto"/>
                  </w:tcBorders>
                  <w:vAlign w:val="center"/>
                </w:tcPr>
                <w:p w14:paraId="56ECC799" w14:textId="77777777" w:rsidR="000C6444" w:rsidRPr="00856775" w:rsidRDefault="000C6444" w:rsidP="00070E82">
                  <w:pPr>
                    <w:pStyle w:val="Obyajntext"/>
                    <w:widowControl w:val="0"/>
                    <w:jc w:val="center"/>
                    <w:rPr>
                      <w:sz w:val="18"/>
                    </w:rPr>
                  </w:pPr>
                  <w:r w:rsidRPr="00856775">
                    <w:rPr>
                      <w:sz w:val="18"/>
                    </w:rPr>
                    <w:t>Od 1.1.2023</w:t>
                  </w:r>
                </w:p>
              </w:tc>
            </w:tr>
            <w:tr w:rsidR="006564B3" w14:paraId="1701AF33" w14:textId="77777777" w:rsidTr="00A36664">
              <w:trPr>
                <w:jc w:val="center"/>
              </w:trPr>
              <w:tc>
                <w:tcPr>
                  <w:tcW w:w="0" w:type="auto"/>
                  <w:tcBorders>
                    <w:top w:val="single" w:sz="4" w:space="0" w:color="auto"/>
                  </w:tcBorders>
                </w:tcPr>
                <w:p w14:paraId="51ACC60C" w14:textId="77777777" w:rsidR="000C6444" w:rsidRPr="00856775" w:rsidRDefault="000C6444" w:rsidP="00070E82">
                  <w:pPr>
                    <w:pStyle w:val="Obyajntext"/>
                    <w:widowControl w:val="0"/>
                    <w:rPr>
                      <w:sz w:val="18"/>
                    </w:rPr>
                  </w:pPr>
                  <w:r w:rsidRPr="00856775">
                    <w:rPr>
                      <w:sz w:val="18"/>
                    </w:rPr>
                    <w:t>Prídavok na dieťa</w:t>
                  </w:r>
                </w:p>
              </w:tc>
              <w:tc>
                <w:tcPr>
                  <w:tcW w:w="0" w:type="auto"/>
                  <w:tcBorders>
                    <w:top w:val="single" w:sz="4" w:space="0" w:color="auto"/>
                  </w:tcBorders>
                  <w:vAlign w:val="center"/>
                </w:tcPr>
                <w:p w14:paraId="6C36A282" w14:textId="77777777" w:rsidR="000C6444" w:rsidRPr="00856775" w:rsidRDefault="000C6444" w:rsidP="00070E82">
                  <w:pPr>
                    <w:pStyle w:val="Obyajntext"/>
                    <w:widowControl w:val="0"/>
                    <w:jc w:val="center"/>
                    <w:rPr>
                      <w:sz w:val="18"/>
                    </w:rPr>
                  </w:pPr>
                  <w:r w:rsidRPr="00856775">
                    <w:rPr>
                      <w:sz w:val="18"/>
                    </w:rPr>
                    <w:t>25,88</w:t>
                  </w:r>
                </w:p>
              </w:tc>
              <w:tc>
                <w:tcPr>
                  <w:tcW w:w="0" w:type="auto"/>
                  <w:tcBorders>
                    <w:top w:val="single" w:sz="4" w:space="0" w:color="auto"/>
                  </w:tcBorders>
                  <w:vAlign w:val="center"/>
                </w:tcPr>
                <w:p w14:paraId="07054180" w14:textId="77777777" w:rsidR="000C6444" w:rsidRPr="00856775" w:rsidRDefault="000C6444" w:rsidP="00070E82">
                  <w:pPr>
                    <w:pStyle w:val="Obyajntext"/>
                    <w:widowControl w:val="0"/>
                    <w:jc w:val="center"/>
                    <w:rPr>
                      <w:sz w:val="18"/>
                    </w:rPr>
                  </w:pPr>
                  <w:r w:rsidRPr="00856775">
                    <w:rPr>
                      <w:sz w:val="18"/>
                    </w:rPr>
                    <w:t>30</w:t>
                  </w:r>
                </w:p>
              </w:tc>
              <w:tc>
                <w:tcPr>
                  <w:tcW w:w="0" w:type="auto"/>
                  <w:tcBorders>
                    <w:top w:val="single" w:sz="4" w:space="0" w:color="auto"/>
                  </w:tcBorders>
                  <w:vAlign w:val="center"/>
                </w:tcPr>
                <w:p w14:paraId="6FAE911B" w14:textId="77777777" w:rsidR="000C6444" w:rsidRPr="00856775" w:rsidRDefault="000C6444" w:rsidP="00070E82">
                  <w:pPr>
                    <w:pStyle w:val="Obyajntext"/>
                    <w:widowControl w:val="0"/>
                    <w:jc w:val="center"/>
                    <w:rPr>
                      <w:sz w:val="18"/>
                    </w:rPr>
                  </w:pPr>
                  <w:r w:rsidRPr="00856775">
                    <w:rPr>
                      <w:sz w:val="18"/>
                    </w:rPr>
                    <w:t>40</w:t>
                  </w:r>
                </w:p>
              </w:tc>
            </w:tr>
            <w:tr w:rsidR="006564B3" w14:paraId="64883409" w14:textId="77777777" w:rsidTr="00A36664">
              <w:trPr>
                <w:jc w:val="center"/>
              </w:trPr>
              <w:tc>
                <w:tcPr>
                  <w:tcW w:w="0" w:type="auto"/>
                </w:tcPr>
                <w:p w14:paraId="36AAEAB4" w14:textId="77777777" w:rsidR="000C6444" w:rsidRPr="00856775" w:rsidRDefault="000C6444" w:rsidP="00070E82">
                  <w:pPr>
                    <w:pStyle w:val="Obyajntext"/>
                    <w:widowControl w:val="0"/>
                    <w:rPr>
                      <w:sz w:val="18"/>
                    </w:rPr>
                  </w:pPr>
                  <w:r w:rsidRPr="00856775">
                    <w:rPr>
                      <w:sz w:val="18"/>
                    </w:rPr>
                    <w:t xml:space="preserve">Daňový bonus </w:t>
                  </w:r>
                  <w:r>
                    <w:rPr>
                      <w:sz w:val="18"/>
                    </w:rPr>
                    <w:t xml:space="preserve">     – </w:t>
                  </w:r>
                  <w:r w:rsidRPr="00856775">
                    <w:rPr>
                      <w:sz w:val="18"/>
                    </w:rPr>
                    <w:t>do 6 rokov</w:t>
                  </w:r>
                </w:p>
              </w:tc>
              <w:tc>
                <w:tcPr>
                  <w:tcW w:w="0" w:type="auto"/>
                  <w:vAlign w:val="center"/>
                </w:tcPr>
                <w:p w14:paraId="55FAD78D" w14:textId="77777777" w:rsidR="000C6444" w:rsidRPr="00856775" w:rsidRDefault="000C6444" w:rsidP="00070E82">
                  <w:pPr>
                    <w:pStyle w:val="Obyajntext"/>
                    <w:widowControl w:val="0"/>
                    <w:jc w:val="center"/>
                    <w:rPr>
                      <w:sz w:val="18"/>
                    </w:rPr>
                  </w:pPr>
                  <w:r w:rsidRPr="00856775">
                    <w:rPr>
                      <w:sz w:val="18"/>
                    </w:rPr>
                    <w:t>47,14</w:t>
                  </w:r>
                </w:p>
              </w:tc>
              <w:tc>
                <w:tcPr>
                  <w:tcW w:w="0" w:type="auto"/>
                  <w:vAlign w:val="center"/>
                </w:tcPr>
                <w:p w14:paraId="132C2619" w14:textId="77777777" w:rsidR="000C6444" w:rsidRPr="00856775" w:rsidRDefault="000C6444" w:rsidP="00070E82">
                  <w:pPr>
                    <w:pStyle w:val="Obyajntext"/>
                    <w:widowControl w:val="0"/>
                    <w:jc w:val="center"/>
                    <w:rPr>
                      <w:sz w:val="18"/>
                    </w:rPr>
                  </w:pPr>
                  <w:r w:rsidRPr="00856775">
                    <w:rPr>
                      <w:sz w:val="18"/>
                    </w:rPr>
                    <w:t>70</w:t>
                  </w:r>
                </w:p>
              </w:tc>
              <w:tc>
                <w:tcPr>
                  <w:tcW w:w="0" w:type="auto"/>
                  <w:vAlign w:val="center"/>
                </w:tcPr>
                <w:p w14:paraId="1FBE59D0" w14:textId="77777777" w:rsidR="000C6444" w:rsidRPr="00856775" w:rsidRDefault="000C6444" w:rsidP="00070E82">
                  <w:pPr>
                    <w:pStyle w:val="Obyajntext"/>
                    <w:widowControl w:val="0"/>
                    <w:jc w:val="center"/>
                    <w:rPr>
                      <w:sz w:val="18"/>
                    </w:rPr>
                  </w:pPr>
                  <w:r w:rsidRPr="00856775">
                    <w:rPr>
                      <w:sz w:val="18"/>
                    </w:rPr>
                    <w:t>100</w:t>
                  </w:r>
                </w:p>
              </w:tc>
            </w:tr>
            <w:tr w:rsidR="006564B3" w14:paraId="5E777A43" w14:textId="77777777" w:rsidTr="00A36664">
              <w:trPr>
                <w:jc w:val="center"/>
              </w:trPr>
              <w:tc>
                <w:tcPr>
                  <w:tcW w:w="0" w:type="auto"/>
                </w:tcPr>
                <w:p w14:paraId="5841354E" w14:textId="77777777" w:rsidR="000C6444" w:rsidRPr="00856775" w:rsidRDefault="000C6444" w:rsidP="00070E82">
                  <w:pPr>
                    <w:pStyle w:val="Obyajntext"/>
                    <w:widowControl w:val="0"/>
                    <w:jc w:val="center"/>
                    <w:rPr>
                      <w:sz w:val="18"/>
                    </w:rPr>
                  </w:pPr>
                  <w:r>
                    <w:rPr>
                      <w:sz w:val="18"/>
                    </w:rPr>
                    <w:t xml:space="preserve">                           – </w:t>
                  </w:r>
                  <w:r w:rsidRPr="00856775">
                    <w:rPr>
                      <w:sz w:val="18"/>
                    </w:rPr>
                    <w:t>do 15 rokov</w:t>
                  </w:r>
                </w:p>
              </w:tc>
              <w:tc>
                <w:tcPr>
                  <w:tcW w:w="0" w:type="auto"/>
                  <w:vAlign w:val="center"/>
                </w:tcPr>
                <w:p w14:paraId="58A6CAB9" w14:textId="77777777" w:rsidR="000C6444" w:rsidRPr="00856775" w:rsidRDefault="000C6444" w:rsidP="00070E82">
                  <w:pPr>
                    <w:pStyle w:val="Obyajntext"/>
                    <w:widowControl w:val="0"/>
                    <w:jc w:val="center"/>
                    <w:rPr>
                      <w:sz w:val="18"/>
                    </w:rPr>
                  </w:pPr>
                  <w:r w:rsidRPr="00856775">
                    <w:rPr>
                      <w:sz w:val="18"/>
                    </w:rPr>
                    <w:t>43,60</w:t>
                  </w:r>
                </w:p>
              </w:tc>
              <w:tc>
                <w:tcPr>
                  <w:tcW w:w="0" w:type="auto"/>
                  <w:vAlign w:val="center"/>
                </w:tcPr>
                <w:p w14:paraId="11BC0FCC" w14:textId="77777777" w:rsidR="000C6444" w:rsidRPr="00856775" w:rsidRDefault="000C6444" w:rsidP="00070E82">
                  <w:pPr>
                    <w:pStyle w:val="Obyajntext"/>
                    <w:widowControl w:val="0"/>
                    <w:jc w:val="center"/>
                    <w:rPr>
                      <w:sz w:val="18"/>
                    </w:rPr>
                  </w:pPr>
                  <w:r w:rsidRPr="00856775">
                    <w:rPr>
                      <w:sz w:val="18"/>
                    </w:rPr>
                    <w:t>70</w:t>
                  </w:r>
                </w:p>
              </w:tc>
              <w:tc>
                <w:tcPr>
                  <w:tcW w:w="0" w:type="auto"/>
                  <w:vAlign w:val="center"/>
                </w:tcPr>
                <w:p w14:paraId="76B6D0DC" w14:textId="77777777" w:rsidR="000C6444" w:rsidRPr="00856775" w:rsidRDefault="000C6444" w:rsidP="00070E82">
                  <w:pPr>
                    <w:pStyle w:val="Obyajntext"/>
                    <w:widowControl w:val="0"/>
                    <w:jc w:val="center"/>
                    <w:rPr>
                      <w:sz w:val="18"/>
                    </w:rPr>
                  </w:pPr>
                  <w:r w:rsidRPr="00856775">
                    <w:rPr>
                      <w:sz w:val="18"/>
                    </w:rPr>
                    <w:t>100</w:t>
                  </w:r>
                </w:p>
              </w:tc>
            </w:tr>
            <w:tr w:rsidR="006564B3" w14:paraId="7B17CFAC" w14:textId="77777777" w:rsidTr="00A36664">
              <w:trPr>
                <w:jc w:val="center"/>
              </w:trPr>
              <w:tc>
                <w:tcPr>
                  <w:tcW w:w="0" w:type="auto"/>
                </w:tcPr>
                <w:p w14:paraId="289A3D60" w14:textId="77777777" w:rsidR="000C6444" w:rsidRPr="00856775" w:rsidRDefault="000C6444" w:rsidP="00070E82">
                  <w:pPr>
                    <w:pStyle w:val="Obyajntext"/>
                    <w:widowControl w:val="0"/>
                    <w:jc w:val="right"/>
                    <w:rPr>
                      <w:sz w:val="18"/>
                    </w:rPr>
                  </w:pPr>
                  <w:r>
                    <w:rPr>
                      <w:sz w:val="18"/>
                    </w:rPr>
                    <w:t xml:space="preserve">– </w:t>
                  </w:r>
                  <w:r w:rsidRPr="00856775">
                    <w:rPr>
                      <w:sz w:val="18"/>
                    </w:rPr>
                    <w:t>nad 15 rokov</w:t>
                  </w:r>
                </w:p>
              </w:tc>
              <w:tc>
                <w:tcPr>
                  <w:tcW w:w="0" w:type="auto"/>
                  <w:vAlign w:val="center"/>
                </w:tcPr>
                <w:p w14:paraId="403147F8" w14:textId="77777777" w:rsidR="000C6444" w:rsidRPr="00856775" w:rsidRDefault="000C6444" w:rsidP="00070E82">
                  <w:pPr>
                    <w:pStyle w:val="Obyajntext"/>
                    <w:widowControl w:val="0"/>
                    <w:jc w:val="center"/>
                    <w:rPr>
                      <w:sz w:val="18"/>
                    </w:rPr>
                  </w:pPr>
                  <w:r w:rsidRPr="00856775">
                    <w:rPr>
                      <w:sz w:val="18"/>
                    </w:rPr>
                    <w:t>23,57</w:t>
                  </w:r>
                </w:p>
              </w:tc>
              <w:tc>
                <w:tcPr>
                  <w:tcW w:w="0" w:type="auto"/>
                  <w:vAlign w:val="center"/>
                </w:tcPr>
                <w:p w14:paraId="3DA2C27F" w14:textId="77777777" w:rsidR="000C6444" w:rsidRPr="00856775" w:rsidRDefault="000C6444" w:rsidP="00070E82">
                  <w:pPr>
                    <w:pStyle w:val="Obyajntext"/>
                    <w:widowControl w:val="0"/>
                    <w:jc w:val="center"/>
                    <w:rPr>
                      <w:sz w:val="18"/>
                    </w:rPr>
                  </w:pPr>
                  <w:r w:rsidRPr="00856775">
                    <w:rPr>
                      <w:sz w:val="18"/>
                    </w:rPr>
                    <w:t>40</w:t>
                  </w:r>
                </w:p>
              </w:tc>
              <w:tc>
                <w:tcPr>
                  <w:tcW w:w="0" w:type="auto"/>
                  <w:vAlign w:val="center"/>
                </w:tcPr>
                <w:p w14:paraId="280C4DF7" w14:textId="77777777" w:rsidR="000C6444" w:rsidRPr="00856775" w:rsidRDefault="000C6444" w:rsidP="00070E82">
                  <w:pPr>
                    <w:pStyle w:val="Obyajntext"/>
                    <w:widowControl w:val="0"/>
                    <w:jc w:val="center"/>
                    <w:rPr>
                      <w:sz w:val="18"/>
                    </w:rPr>
                  </w:pPr>
                  <w:r w:rsidRPr="00856775">
                    <w:rPr>
                      <w:sz w:val="18"/>
                    </w:rPr>
                    <w:t>50</w:t>
                  </w:r>
                </w:p>
              </w:tc>
            </w:tr>
            <w:tr w:rsidR="006564B3" w14:paraId="3F15672F" w14:textId="77777777" w:rsidTr="00A36664">
              <w:trPr>
                <w:jc w:val="center"/>
              </w:trPr>
              <w:tc>
                <w:tcPr>
                  <w:tcW w:w="0" w:type="auto"/>
                  <w:tcBorders>
                    <w:bottom w:val="single" w:sz="4" w:space="0" w:color="auto"/>
                  </w:tcBorders>
                </w:tcPr>
                <w:p w14:paraId="5B86FC9C" w14:textId="77777777" w:rsidR="000C6444" w:rsidRPr="00856775" w:rsidRDefault="000C6444" w:rsidP="00070E82">
                  <w:pPr>
                    <w:pStyle w:val="Obyajntext"/>
                    <w:widowControl w:val="0"/>
                    <w:jc w:val="center"/>
                    <w:rPr>
                      <w:sz w:val="18"/>
                    </w:rPr>
                  </w:pPr>
                  <w:r w:rsidRPr="00856775">
                    <w:rPr>
                      <w:sz w:val="18"/>
                    </w:rPr>
                    <w:t>Poukaz na voľnočasové aktivity</w:t>
                  </w:r>
                </w:p>
              </w:tc>
              <w:tc>
                <w:tcPr>
                  <w:tcW w:w="0" w:type="auto"/>
                  <w:tcBorders>
                    <w:bottom w:val="single" w:sz="4" w:space="0" w:color="auto"/>
                  </w:tcBorders>
                  <w:vAlign w:val="center"/>
                </w:tcPr>
                <w:p w14:paraId="6495C1B7" w14:textId="77777777" w:rsidR="000C6444" w:rsidRPr="00856775" w:rsidRDefault="000C6444" w:rsidP="00070E82">
                  <w:pPr>
                    <w:pStyle w:val="Obyajntext"/>
                    <w:widowControl w:val="0"/>
                    <w:jc w:val="center"/>
                    <w:rPr>
                      <w:sz w:val="18"/>
                    </w:rPr>
                  </w:pPr>
                  <w:r w:rsidRPr="00856775">
                    <w:rPr>
                      <w:sz w:val="18"/>
                    </w:rPr>
                    <w:t>-</w:t>
                  </w:r>
                </w:p>
              </w:tc>
              <w:tc>
                <w:tcPr>
                  <w:tcW w:w="0" w:type="auto"/>
                  <w:tcBorders>
                    <w:bottom w:val="single" w:sz="4" w:space="0" w:color="auto"/>
                  </w:tcBorders>
                  <w:vAlign w:val="center"/>
                </w:tcPr>
                <w:p w14:paraId="60356989" w14:textId="77777777" w:rsidR="000C6444" w:rsidRPr="00856775" w:rsidRDefault="000C6444" w:rsidP="00070E82">
                  <w:pPr>
                    <w:pStyle w:val="Obyajntext"/>
                    <w:widowControl w:val="0"/>
                    <w:jc w:val="center"/>
                    <w:rPr>
                      <w:sz w:val="18"/>
                    </w:rPr>
                  </w:pPr>
                  <w:r w:rsidRPr="00856775">
                    <w:rPr>
                      <w:sz w:val="18"/>
                    </w:rPr>
                    <w:t>-</w:t>
                  </w:r>
                </w:p>
              </w:tc>
              <w:tc>
                <w:tcPr>
                  <w:tcW w:w="0" w:type="auto"/>
                  <w:tcBorders>
                    <w:bottom w:val="single" w:sz="4" w:space="0" w:color="auto"/>
                  </w:tcBorders>
                  <w:vAlign w:val="center"/>
                </w:tcPr>
                <w:p w14:paraId="7C1EA7B9" w14:textId="77777777" w:rsidR="000C6444" w:rsidRPr="00856775" w:rsidRDefault="000C6444" w:rsidP="00070E82">
                  <w:pPr>
                    <w:pStyle w:val="Obyajntext"/>
                    <w:widowControl w:val="0"/>
                    <w:jc w:val="center"/>
                    <w:rPr>
                      <w:sz w:val="18"/>
                    </w:rPr>
                  </w:pPr>
                  <w:r w:rsidRPr="00856775">
                    <w:rPr>
                      <w:sz w:val="18"/>
                    </w:rPr>
                    <w:t>60</w:t>
                  </w:r>
                </w:p>
              </w:tc>
            </w:tr>
          </w:tbl>
          <w:p w14:paraId="33243D08" w14:textId="77777777" w:rsidR="000C6444" w:rsidRDefault="000C6444" w:rsidP="00070E82">
            <w:pPr>
              <w:pStyle w:val="Obyajntext"/>
              <w:widowControl w:val="0"/>
              <w:spacing w:after="120"/>
              <w:jc w:val="both"/>
              <w:rPr>
                <w:sz w:val="20"/>
              </w:rPr>
            </w:pPr>
          </w:p>
          <w:p w14:paraId="10463646" w14:textId="67C057F8" w:rsidR="000C6444" w:rsidRPr="003F01F1" w:rsidRDefault="000C6444" w:rsidP="00070E82">
            <w:pPr>
              <w:pStyle w:val="Obyajntext"/>
              <w:widowControl w:val="0"/>
              <w:spacing w:after="120"/>
              <w:jc w:val="both"/>
            </w:pPr>
            <w:r w:rsidRPr="003F01F1">
              <w:rPr>
                <w:b/>
              </w:rPr>
              <w:t>Reforma sa dotkne viac ako 1,1 mil. nezaopatrených detí do 25 rokov</w:t>
            </w:r>
            <w:r w:rsidRPr="003F01F1">
              <w:t xml:space="preserve"> (</w:t>
            </w:r>
            <w:r w:rsidR="00653D8B" w:rsidRPr="003F01F1">
              <w:rPr>
                <w:rFonts w:eastAsia="Calibri" w:cs="Book Antiqua"/>
                <w:b/>
                <w:color w:val="2C9ADC"/>
                <w:szCs w:val="20"/>
              </w:rPr>
              <w:t>GRAF 23</w:t>
            </w:r>
            <w:r w:rsidRPr="003F01F1">
              <w:t>). V roku 2023 odhadujeme, že približne 16,7 % detí do 18 rokov môže byť ohrozených chudobou, pričom riziko chudoby detí bolo na Slovensku 10. najvyššie v EÚ v roku 2019</w:t>
            </w:r>
            <w:r w:rsidR="00EC56E1">
              <w:rPr>
                <w:rStyle w:val="Odkaznapoznmkupodiarou"/>
              </w:rPr>
              <w:footnoteReference w:id="42"/>
            </w:r>
            <w:r w:rsidRPr="003F01F1">
              <w:t xml:space="preserve">. Reforma rodinnej politiky zníži celkové riziko chudoby v priemere o 1,8 p.b., najviac však pre deti - do 18 rokov - </w:t>
            </w:r>
            <w:r w:rsidR="00653D8B" w:rsidRPr="003F01F1">
              <w:t>a to o 4,6 p.b. (</w:t>
            </w:r>
            <w:r w:rsidR="00653D8B" w:rsidRPr="003F01F1">
              <w:rPr>
                <w:rFonts w:eastAsia="Calibri" w:cs="Book Antiqua"/>
                <w:b/>
                <w:color w:val="2C9ADC"/>
                <w:szCs w:val="20"/>
              </w:rPr>
              <w:t>GRAF 24</w:t>
            </w:r>
            <w:r w:rsidRPr="003F01F1">
              <w:t>).</w:t>
            </w:r>
          </w:p>
          <w:p w14:paraId="709CD127" w14:textId="3F8FB377" w:rsidR="000C6444" w:rsidRPr="003F01F1" w:rsidRDefault="000C6444" w:rsidP="00070E82">
            <w:pPr>
              <w:pStyle w:val="Obyajntext"/>
              <w:widowControl w:val="0"/>
              <w:spacing w:after="120"/>
              <w:jc w:val="both"/>
            </w:pPr>
            <w:r w:rsidRPr="003F01F1">
              <w:rPr>
                <w:b/>
              </w:rPr>
              <w:t>Až 80 % z rozpočtových prostriedkov na zvýšenú rodinnú politiku sa prejaví v domácnostiach v prvých 7 príjmových deciloch</w:t>
            </w:r>
            <w:r w:rsidR="00653D8B" w:rsidRPr="003F01F1">
              <w:t xml:space="preserve"> (</w:t>
            </w:r>
            <w:r w:rsidR="00653D8B" w:rsidRPr="003F01F1">
              <w:rPr>
                <w:rFonts w:eastAsia="Calibri" w:cs="Book Antiqua"/>
                <w:b/>
                <w:color w:val="2C9ADC"/>
                <w:szCs w:val="20"/>
              </w:rPr>
              <w:t>GRAF 25</w:t>
            </w:r>
            <w:r w:rsidRPr="003F01F1">
              <w:t>). Vzhľadom na menší počet detí vo vyššie príjmových deciloch je objem rozpočtových prostriedkov putujúci k týmto domácnostiam menší. Opatrenia majú progresívny vplyv na disponibilné príjmy domácno</w:t>
            </w:r>
            <w:r w:rsidR="00653D8B" w:rsidRPr="003F01F1">
              <w:t>stí (</w:t>
            </w:r>
            <w:r w:rsidR="00653D8B" w:rsidRPr="003F01F1">
              <w:rPr>
                <w:rFonts w:eastAsia="Calibri" w:cs="Book Antiqua"/>
                <w:b/>
                <w:color w:val="2C9ADC"/>
                <w:szCs w:val="20"/>
              </w:rPr>
              <w:t>GRAF 26</w:t>
            </w:r>
            <w:r w:rsidRPr="003F01F1">
              <w:t>). Najviac zarobí 10 % domácností s najnižším príjmom (1. decil), ktorým príjmy stúpnu o necelých 8 %. S rastúcim príjmom domácnosti sa percentuálna zmena príjmov zmenšuje.</w:t>
            </w:r>
          </w:p>
          <w:tbl>
            <w:tblPr>
              <w:tblpPr w:leftFromText="141" w:rightFromText="141" w:vertAnchor="text" w:horzAnchor="margin" w:tblpXSpec="center" w:tblpY="19"/>
              <w:tblOverlap w:val="never"/>
              <w:tblW w:w="91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438"/>
              <w:gridCol w:w="53"/>
              <w:gridCol w:w="123"/>
              <w:gridCol w:w="55"/>
              <w:gridCol w:w="4382"/>
              <w:gridCol w:w="108"/>
            </w:tblGrid>
            <w:tr w:rsidR="000C6444" w:rsidRPr="00717D4D" w14:paraId="7F71CF2C" w14:textId="77777777" w:rsidTr="00A36664">
              <w:trPr>
                <w:gridAfter w:val="1"/>
                <w:wAfter w:w="58" w:type="pct"/>
                <w:trHeight w:hRule="exact" w:val="284"/>
              </w:trPr>
              <w:tc>
                <w:tcPr>
                  <w:tcW w:w="2423" w:type="pct"/>
                  <w:tcBorders>
                    <w:top w:val="nil"/>
                    <w:left w:val="nil"/>
                    <w:bottom w:val="single" w:sz="4" w:space="0" w:color="auto"/>
                    <w:right w:val="nil"/>
                  </w:tcBorders>
                  <w:shd w:val="clear" w:color="auto" w:fill="auto"/>
                  <w:vAlign w:val="center"/>
                </w:tcPr>
                <w:p w14:paraId="4B10A813" w14:textId="21698AFD" w:rsidR="000C6444" w:rsidRPr="00717D4D" w:rsidRDefault="00070E82" w:rsidP="00070E82">
                  <w:pPr>
                    <w:widowControl w:val="0"/>
                    <w:spacing w:before="40" w:after="40"/>
                    <w:rPr>
                      <w:rFonts w:cs="Arial"/>
                      <w:b/>
                      <w:color w:val="2C9ADC"/>
                      <w:sz w:val="20"/>
                      <w:szCs w:val="18"/>
                    </w:rPr>
                  </w:pPr>
                  <w:bookmarkStart w:id="134" w:name="_Toc101881947"/>
                  <w:r>
                    <w:rPr>
                      <w:rFonts w:cs="Arial"/>
                      <w:b/>
                      <w:color w:val="2C9ADC"/>
                      <w:sz w:val="20"/>
                      <w:szCs w:val="18"/>
                    </w:rPr>
                    <w:t xml:space="preserve">GRAF </w:t>
                  </w:r>
                  <w:r w:rsidRPr="00070E82">
                    <w:rPr>
                      <w:rFonts w:cs="Arial"/>
                      <w:b/>
                      <w:color w:val="2C9ADC"/>
                      <w:sz w:val="20"/>
                      <w:szCs w:val="18"/>
                    </w:rPr>
                    <w:fldChar w:fldCharType="begin"/>
                  </w:r>
                  <w:r w:rsidRPr="00070E82">
                    <w:rPr>
                      <w:rFonts w:cs="Arial"/>
                      <w:b/>
                      <w:color w:val="2C9ADC"/>
                      <w:sz w:val="20"/>
                      <w:szCs w:val="18"/>
                    </w:rPr>
                    <w:instrText xml:space="preserve"> SEQ GRAF \* ARABIC </w:instrText>
                  </w:r>
                  <w:r w:rsidRPr="00070E82">
                    <w:rPr>
                      <w:rFonts w:cs="Arial"/>
                      <w:b/>
                      <w:color w:val="2C9ADC"/>
                      <w:sz w:val="20"/>
                      <w:szCs w:val="18"/>
                    </w:rPr>
                    <w:fldChar w:fldCharType="separate"/>
                  </w:r>
                  <w:r w:rsidR="005D3280">
                    <w:rPr>
                      <w:rFonts w:cs="Arial"/>
                      <w:b/>
                      <w:noProof/>
                      <w:color w:val="2C9ADC"/>
                      <w:sz w:val="20"/>
                      <w:szCs w:val="18"/>
                    </w:rPr>
                    <w:t>23</w:t>
                  </w:r>
                  <w:r w:rsidRPr="00070E82">
                    <w:rPr>
                      <w:rFonts w:cs="Arial"/>
                      <w:b/>
                      <w:color w:val="2C9ADC"/>
                      <w:sz w:val="20"/>
                      <w:szCs w:val="18"/>
                    </w:rPr>
                    <w:fldChar w:fldCharType="end"/>
                  </w:r>
                  <w:r>
                    <w:rPr>
                      <w:rFonts w:cs="Arial"/>
                      <w:b/>
                      <w:color w:val="2C9ADC"/>
                      <w:sz w:val="20"/>
                      <w:szCs w:val="18"/>
                    </w:rPr>
                    <w:t xml:space="preserve"> – </w:t>
                  </w:r>
                  <w:r w:rsidR="000C6444">
                    <w:rPr>
                      <w:rFonts w:cs="Arial"/>
                      <w:b/>
                      <w:color w:val="2C9ADC"/>
                      <w:sz w:val="20"/>
                      <w:szCs w:val="18"/>
                    </w:rPr>
                    <w:t>Počet nezaopatrených detí podľa veku</w:t>
                  </w:r>
                  <w:bookmarkEnd w:id="134"/>
                </w:p>
              </w:tc>
              <w:tc>
                <w:tcPr>
                  <w:tcW w:w="96" w:type="pct"/>
                  <w:gridSpan w:val="2"/>
                  <w:tcBorders>
                    <w:top w:val="nil"/>
                    <w:left w:val="nil"/>
                    <w:bottom w:val="nil"/>
                    <w:right w:val="nil"/>
                  </w:tcBorders>
                  <w:shd w:val="clear" w:color="auto" w:fill="auto"/>
                  <w:vAlign w:val="center"/>
                </w:tcPr>
                <w:p w14:paraId="590CB1C0" w14:textId="77777777" w:rsidR="000C6444" w:rsidRPr="00717D4D" w:rsidRDefault="000C6444" w:rsidP="00070E82">
                  <w:pPr>
                    <w:widowControl w:val="0"/>
                    <w:spacing w:before="60" w:after="60"/>
                    <w:rPr>
                      <w:rFonts w:cs="Arial"/>
                      <w:b/>
                      <w:color w:val="2C9ADC"/>
                      <w:sz w:val="20"/>
                      <w:szCs w:val="18"/>
                    </w:rPr>
                  </w:pPr>
                </w:p>
              </w:tc>
              <w:tc>
                <w:tcPr>
                  <w:tcW w:w="2422" w:type="pct"/>
                  <w:gridSpan w:val="2"/>
                  <w:tcBorders>
                    <w:top w:val="nil"/>
                    <w:left w:val="nil"/>
                    <w:bottom w:val="single" w:sz="4" w:space="0" w:color="auto"/>
                    <w:right w:val="nil"/>
                  </w:tcBorders>
                  <w:shd w:val="clear" w:color="auto" w:fill="auto"/>
                  <w:vAlign w:val="center"/>
                </w:tcPr>
                <w:p w14:paraId="570BEC37" w14:textId="13A27B46" w:rsidR="000C6444" w:rsidRPr="00717D4D" w:rsidRDefault="00070E82" w:rsidP="00A73C13">
                  <w:pPr>
                    <w:widowControl w:val="0"/>
                    <w:spacing w:before="40" w:after="40"/>
                    <w:rPr>
                      <w:rFonts w:cs="Arial"/>
                      <w:b/>
                      <w:color w:val="2C9ADC"/>
                      <w:sz w:val="20"/>
                      <w:szCs w:val="18"/>
                    </w:rPr>
                  </w:pPr>
                  <w:bookmarkStart w:id="135" w:name="_Toc101881948"/>
                  <w:r>
                    <w:rPr>
                      <w:rFonts w:cs="Arial"/>
                      <w:b/>
                      <w:color w:val="2C9ADC"/>
                      <w:sz w:val="20"/>
                      <w:szCs w:val="18"/>
                    </w:rPr>
                    <w:t xml:space="preserve">GRAF </w:t>
                  </w:r>
                  <w:r w:rsidR="00A73C13" w:rsidRPr="00A73C13">
                    <w:rPr>
                      <w:rFonts w:cs="Arial"/>
                      <w:b/>
                      <w:color w:val="2C9ADC"/>
                      <w:sz w:val="20"/>
                      <w:szCs w:val="18"/>
                    </w:rPr>
                    <w:fldChar w:fldCharType="begin"/>
                  </w:r>
                  <w:r w:rsidR="00A73C13" w:rsidRPr="00A73C13">
                    <w:rPr>
                      <w:rFonts w:cs="Arial"/>
                      <w:b/>
                      <w:color w:val="2C9ADC"/>
                      <w:sz w:val="20"/>
                      <w:szCs w:val="18"/>
                    </w:rPr>
                    <w:instrText xml:space="preserve"> SEQ GRAF \* ARABIC </w:instrText>
                  </w:r>
                  <w:r w:rsidR="00A73C13" w:rsidRPr="00A73C13">
                    <w:rPr>
                      <w:rFonts w:cs="Arial"/>
                      <w:b/>
                      <w:color w:val="2C9ADC"/>
                      <w:sz w:val="20"/>
                      <w:szCs w:val="18"/>
                    </w:rPr>
                    <w:fldChar w:fldCharType="separate"/>
                  </w:r>
                  <w:r w:rsidR="005D3280">
                    <w:rPr>
                      <w:rFonts w:cs="Arial"/>
                      <w:b/>
                      <w:noProof/>
                      <w:color w:val="2C9ADC"/>
                      <w:sz w:val="20"/>
                      <w:szCs w:val="18"/>
                    </w:rPr>
                    <w:t>24</w:t>
                  </w:r>
                  <w:r w:rsidR="00A73C13" w:rsidRPr="00A73C13">
                    <w:rPr>
                      <w:rFonts w:cs="Arial"/>
                      <w:b/>
                      <w:color w:val="2C9ADC"/>
                      <w:sz w:val="20"/>
                      <w:szCs w:val="18"/>
                    </w:rPr>
                    <w:fldChar w:fldCharType="end"/>
                  </w:r>
                  <w:r w:rsidR="000C6444" w:rsidRPr="00717D4D">
                    <w:rPr>
                      <w:rFonts w:cs="Arial"/>
                      <w:b/>
                      <w:color w:val="2C9ADC"/>
                      <w:sz w:val="20"/>
                      <w:szCs w:val="18"/>
                    </w:rPr>
                    <w:t xml:space="preserve"> </w:t>
                  </w:r>
                  <w:r w:rsidR="00A73C13">
                    <w:rPr>
                      <w:rFonts w:cs="Arial"/>
                      <w:b/>
                      <w:color w:val="2C9ADC"/>
                      <w:sz w:val="20"/>
                      <w:szCs w:val="18"/>
                    </w:rPr>
                    <w:t xml:space="preserve">– </w:t>
                  </w:r>
                  <w:r w:rsidR="000C6444">
                    <w:rPr>
                      <w:rFonts w:cs="Arial"/>
                      <w:b/>
                      <w:color w:val="2C9ADC"/>
                      <w:sz w:val="20"/>
                      <w:szCs w:val="18"/>
                    </w:rPr>
                    <w:t>Vplyv opatrení na riziko chudoby</w:t>
                  </w:r>
                  <w:bookmarkEnd w:id="135"/>
                </w:p>
              </w:tc>
            </w:tr>
            <w:tr w:rsidR="000C6444" w:rsidRPr="00717D4D" w14:paraId="70C79243" w14:textId="77777777" w:rsidTr="00A36664">
              <w:trPr>
                <w:gridAfter w:val="1"/>
                <w:wAfter w:w="58" w:type="pct"/>
                <w:trHeight w:val="920"/>
              </w:trPr>
              <w:tc>
                <w:tcPr>
                  <w:tcW w:w="2423" w:type="pct"/>
                  <w:tcBorders>
                    <w:top w:val="single" w:sz="4" w:space="0" w:color="auto"/>
                    <w:left w:val="nil"/>
                    <w:bottom w:val="single" w:sz="4" w:space="0" w:color="auto"/>
                    <w:right w:val="nil"/>
                  </w:tcBorders>
                  <w:vAlign w:val="center"/>
                </w:tcPr>
                <w:p w14:paraId="4C25B8FB" w14:textId="77777777" w:rsidR="000C6444" w:rsidRPr="00717D4D" w:rsidRDefault="000C6444" w:rsidP="00070E82">
                  <w:pPr>
                    <w:widowControl w:val="0"/>
                    <w:spacing w:before="40" w:after="40"/>
                    <w:jc w:val="center"/>
                    <w:rPr>
                      <w:rFonts w:cs="Arial"/>
                      <w:b/>
                      <w:sz w:val="20"/>
                      <w:szCs w:val="20"/>
                    </w:rPr>
                  </w:pPr>
                  <w:r>
                    <w:rPr>
                      <w:rFonts w:cs="Arial"/>
                      <w:b/>
                      <w:noProof/>
                      <w:sz w:val="20"/>
                      <w:szCs w:val="20"/>
                    </w:rPr>
                    <w:drawing>
                      <wp:inline distT="0" distB="0" distL="0" distR="0" wp14:anchorId="61E7EE9F" wp14:editId="19BA3F2D">
                        <wp:extent cx="2427712" cy="1788972"/>
                        <wp:effectExtent l="0" t="0" r="0" b="1905"/>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33225" cy="1793034"/>
                                </a:xfrm>
                                <a:prstGeom prst="rect">
                                  <a:avLst/>
                                </a:prstGeom>
                                <a:noFill/>
                              </pic:spPr>
                            </pic:pic>
                          </a:graphicData>
                        </a:graphic>
                      </wp:inline>
                    </w:drawing>
                  </w:r>
                </w:p>
              </w:tc>
              <w:tc>
                <w:tcPr>
                  <w:tcW w:w="96" w:type="pct"/>
                  <w:gridSpan w:val="2"/>
                  <w:tcBorders>
                    <w:top w:val="nil"/>
                    <w:left w:val="nil"/>
                    <w:bottom w:val="nil"/>
                    <w:right w:val="nil"/>
                  </w:tcBorders>
                  <w:vAlign w:val="center"/>
                </w:tcPr>
                <w:p w14:paraId="5E364189" w14:textId="77777777" w:rsidR="000C6444" w:rsidRPr="00717D4D" w:rsidRDefault="000C6444" w:rsidP="00070E82">
                  <w:pPr>
                    <w:widowControl w:val="0"/>
                    <w:spacing w:before="40" w:after="40"/>
                    <w:jc w:val="center"/>
                    <w:rPr>
                      <w:rFonts w:cs="Arial"/>
                      <w:b/>
                      <w:sz w:val="20"/>
                      <w:szCs w:val="20"/>
                    </w:rPr>
                  </w:pPr>
                </w:p>
              </w:tc>
              <w:tc>
                <w:tcPr>
                  <w:tcW w:w="2422" w:type="pct"/>
                  <w:gridSpan w:val="2"/>
                  <w:tcBorders>
                    <w:top w:val="single" w:sz="4" w:space="0" w:color="auto"/>
                    <w:left w:val="nil"/>
                    <w:bottom w:val="single" w:sz="4" w:space="0" w:color="auto"/>
                    <w:right w:val="nil"/>
                  </w:tcBorders>
                  <w:vAlign w:val="center"/>
                </w:tcPr>
                <w:p w14:paraId="627D0221" w14:textId="77777777" w:rsidR="000C6444" w:rsidRPr="00717D4D" w:rsidRDefault="000C6444" w:rsidP="00070E82">
                  <w:pPr>
                    <w:widowControl w:val="0"/>
                    <w:spacing w:before="40" w:after="40"/>
                    <w:jc w:val="center"/>
                    <w:rPr>
                      <w:rFonts w:cs="Arial"/>
                      <w:b/>
                      <w:sz w:val="20"/>
                      <w:szCs w:val="20"/>
                    </w:rPr>
                  </w:pPr>
                  <w:r>
                    <w:rPr>
                      <w:rFonts w:cs="Arial"/>
                      <w:b/>
                      <w:noProof/>
                      <w:sz w:val="20"/>
                      <w:szCs w:val="20"/>
                    </w:rPr>
                    <w:drawing>
                      <wp:inline distT="0" distB="0" distL="0" distR="0" wp14:anchorId="19166D07" wp14:editId="0C616A8E">
                        <wp:extent cx="2422616" cy="1785214"/>
                        <wp:effectExtent l="0" t="0" r="0" b="571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27623" cy="1788903"/>
                                </a:xfrm>
                                <a:prstGeom prst="rect">
                                  <a:avLst/>
                                </a:prstGeom>
                                <a:noFill/>
                              </pic:spPr>
                            </pic:pic>
                          </a:graphicData>
                        </a:graphic>
                      </wp:inline>
                    </w:drawing>
                  </w:r>
                </w:p>
              </w:tc>
            </w:tr>
            <w:tr w:rsidR="000C6444" w:rsidRPr="00717D4D" w14:paraId="4ADC8407" w14:textId="77777777" w:rsidTr="00A36664">
              <w:trPr>
                <w:gridAfter w:val="1"/>
                <w:wAfter w:w="58" w:type="pct"/>
                <w:trHeight w:hRule="exact" w:val="227"/>
              </w:trPr>
              <w:tc>
                <w:tcPr>
                  <w:tcW w:w="2423" w:type="pct"/>
                  <w:tcBorders>
                    <w:top w:val="single" w:sz="4" w:space="0" w:color="auto"/>
                    <w:left w:val="nil"/>
                    <w:bottom w:val="nil"/>
                    <w:right w:val="nil"/>
                  </w:tcBorders>
                </w:tcPr>
                <w:p w14:paraId="33431238" w14:textId="77777777" w:rsidR="000C6444" w:rsidRPr="00717D4D" w:rsidRDefault="000C6444" w:rsidP="00070E82">
                  <w:pPr>
                    <w:widowControl w:val="0"/>
                    <w:spacing w:before="40" w:after="40"/>
                    <w:contextualSpacing/>
                    <w:jc w:val="right"/>
                    <w:rPr>
                      <w:rFonts w:cs="Arial"/>
                      <w:i/>
                      <w:sz w:val="16"/>
                      <w:szCs w:val="14"/>
                    </w:rPr>
                  </w:pPr>
                  <w:r w:rsidRPr="00717D4D">
                    <w:rPr>
                      <w:rFonts w:cs="Arial"/>
                      <w:i/>
                      <w:sz w:val="16"/>
                      <w:szCs w:val="14"/>
                    </w:rPr>
                    <w:t xml:space="preserve">Zdroj: </w:t>
                  </w:r>
                  <w:r>
                    <w:rPr>
                      <w:rFonts w:cs="Arial"/>
                      <w:i/>
                      <w:sz w:val="16"/>
                      <w:szCs w:val="14"/>
                    </w:rPr>
                    <w:t>SILC 2020</w:t>
                  </w:r>
                </w:p>
              </w:tc>
              <w:tc>
                <w:tcPr>
                  <w:tcW w:w="96" w:type="pct"/>
                  <w:gridSpan w:val="2"/>
                  <w:tcBorders>
                    <w:top w:val="nil"/>
                    <w:left w:val="nil"/>
                    <w:bottom w:val="nil"/>
                    <w:right w:val="nil"/>
                  </w:tcBorders>
                </w:tcPr>
                <w:p w14:paraId="2F1ECE2E" w14:textId="77777777" w:rsidR="000C6444" w:rsidRPr="00717D4D" w:rsidRDefault="000C6444" w:rsidP="00070E82">
                  <w:pPr>
                    <w:widowControl w:val="0"/>
                    <w:contextualSpacing/>
                    <w:jc w:val="center"/>
                    <w:rPr>
                      <w:rFonts w:cs="Arial"/>
                      <w:i/>
                      <w:sz w:val="16"/>
                      <w:szCs w:val="14"/>
                    </w:rPr>
                  </w:pPr>
                </w:p>
              </w:tc>
              <w:tc>
                <w:tcPr>
                  <w:tcW w:w="2422" w:type="pct"/>
                  <w:gridSpan w:val="2"/>
                  <w:tcBorders>
                    <w:top w:val="single" w:sz="4" w:space="0" w:color="auto"/>
                    <w:left w:val="nil"/>
                    <w:bottom w:val="nil"/>
                    <w:right w:val="nil"/>
                  </w:tcBorders>
                </w:tcPr>
                <w:p w14:paraId="4BD87A66" w14:textId="77777777" w:rsidR="000C6444" w:rsidRPr="00717D4D" w:rsidRDefault="000C6444" w:rsidP="00070E82">
                  <w:pPr>
                    <w:widowControl w:val="0"/>
                    <w:spacing w:before="40" w:after="40"/>
                    <w:contextualSpacing/>
                    <w:jc w:val="right"/>
                    <w:rPr>
                      <w:rFonts w:cs="Arial"/>
                      <w:i/>
                      <w:sz w:val="16"/>
                      <w:szCs w:val="14"/>
                    </w:rPr>
                  </w:pPr>
                  <w:r w:rsidRPr="00717D4D">
                    <w:rPr>
                      <w:rFonts w:cs="Arial"/>
                      <w:i/>
                      <w:sz w:val="16"/>
                      <w:szCs w:val="14"/>
                    </w:rPr>
                    <w:t xml:space="preserve">Zdroj: </w:t>
                  </w:r>
                  <w:r>
                    <w:rPr>
                      <w:rFonts w:cs="Arial"/>
                      <w:i/>
                      <w:sz w:val="16"/>
                      <w:szCs w:val="14"/>
                    </w:rPr>
                    <w:t>IFP</w:t>
                  </w:r>
                </w:p>
              </w:tc>
            </w:tr>
            <w:tr w:rsidR="000C6444" w:rsidRPr="00717D4D" w14:paraId="3361D131" w14:textId="77777777" w:rsidTr="00A36664">
              <w:trPr>
                <w:trHeight w:hRule="exact" w:val="284"/>
              </w:trPr>
              <w:tc>
                <w:tcPr>
                  <w:tcW w:w="2452" w:type="pct"/>
                  <w:gridSpan w:val="2"/>
                  <w:tcBorders>
                    <w:top w:val="nil"/>
                    <w:left w:val="nil"/>
                    <w:bottom w:val="single" w:sz="4" w:space="0" w:color="auto"/>
                    <w:right w:val="nil"/>
                  </w:tcBorders>
                  <w:shd w:val="clear" w:color="auto" w:fill="auto"/>
                  <w:vAlign w:val="center"/>
                </w:tcPr>
                <w:p w14:paraId="08C1ECBE" w14:textId="5E0C0643" w:rsidR="000C6444" w:rsidRPr="00717D4D" w:rsidRDefault="00A73C13" w:rsidP="00070E82">
                  <w:pPr>
                    <w:widowControl w:val="0"/>
                    <w:spacing w:before="40" w:after="40"/>
                    <w:rPr>
                      <w:rFonts w:cs="Arial"/>
                      <w:b/>
                      <w:color w:val="2C9ADC"/>
                      <w:sz w:val="20"/>
                      <w:szCs w:val="18"/>
                    </w:rPr>
                  </w:pPr>
                  <w:bookmarkStart w:id="136" w:name="_Toc101881949"/>
                  <w:r>
                    <w:rPr>
                      <w:rFonts w:cs="Arial"/>
                      <w:b/>
                      <w:color w:val="2C9ADC"/>
                      <w:sz w:val="20"/>
                      <w:szCs w:val="18"/>
                    </w:rPr>
                    <w:t xml:space="preserve">GRAF </w:t>
                  </w:r>
                  <w:r w:rsidRPr="00070E82">
                    <w:rPr>
                      <w:rFonts w:cs="Arial"/>
                      <w:b/>
                      <w:color w:val="2C9ADC"/>
                      <w:sz w:val="20"/>
                      <w:szCs w:val="18"/>
                    </w:rPr>
                    <w:fldChar w:fldCharType="begin"/>
                  </w:r>
                  <w:r w:rsidRPr="00070E82">
                    <w:rPr>
                      <w:rFonts w:cs="Arial"/>
                      <w:b/>
                      <w:color w:val="2C9ADC"/>
                      <w:sz w:val="20"/>
                      <w:szCs w:val="18"/>
                    </w:rPr>
                    <w:instrText xml:space="preserve"> SEQ GRAF \* ARABIC </w:instrText>
                  </w:r>
                  <w:r w:rsidRPr="00070E82">
                    <w:rPr>
                      <w:rFonts w:cs="Arial"/>
                      <w:b/>
                      <w:color w:val="2C9ADC"/>
                      <w:sz w:val="20"/>
                      <w:szCs w:val="18"/>
                    </w:rPr>
                    <w:fldChar w:fldCharType="separate"/>
                  </w:r>
                  <w:r w:rsidR="005D3280">
                    <w:rPr>
                      <w:rFonts w:cs="Arial"/>
                      <w:b/>
                      <w:noProof/>
                      <w:color w:val="2C9ADC"/>
                      <w:sz w:val="20"/>
                      <w:szCs w:val="18"/>
                    </w:rPr>
                    <w:t>25</w:t>
                  </w:r>
                  <w:r w:rsidRPr="00070E82">
                    <w:rPr>
                      <w:rFonts w:cs="Arial"/>
                      <w:b/>
                      <w:color w:val="2C9ADC"/>
                      <w:sz w:val="20"/>
                      <w:szCs w:val="18"/>
                    </w:rPr>
                    <w:fldChar w:fldCharType="end"/>
                  </w:r>
                  <w:r>
                    <w:rPr>
                      <w:rFonts w:cs="Arial"/>
                      <w:b/>
                      <w:color w:val="2C9ADC"/>
                      <w:sz w:val="20"/>
                      <w:szCs w:val="18"/>
                    </w:rPr>
                    <w:t xml:space="preserve"> – </w:t>
                  </w:r>
                  <w:r w:rsidR="000C6444">
                    <w:rPr>
                      <w:rFonts w:cs="Arial"/>
                      <w:b/>
                      <w:color w:val="2C9ADC"/>
                      <w:sz w:val="20"/>
                      <w:szCs w:val="18"/>
                    </w:rPr>
                    <w:t>Podiel nákladov na zvýšenie rodinnej politiky</w:t>
                  </w:r>
                  <w:bookmarkEnd w:id="136"/>
                </w:p>
              </w:tc>
              <w:tc>
                <w:tcPr>
                  <w:tcW w:w="97" w:type="pct"/>
                  <w:gridSpan w:val="2"/>
                  <w:tcBorders>
                    <w:top w:val="nil"/>
                    <w:left w:val="nil"/>
                    <w:bottom w:val="nil"/>
                    <w:right w:val="nil"/>
                  </w:tcBorders>
                  <w:shd w:val="clear" w:color="auto" w:fill="auto"/>
                  <w:vAlign w:val="center"/>
                </w:tcPr>
                <w:p w14:paraId="12A3F397" w14:textId="77777777" w:rsidR="000C6444" w:rsidRPr="00717D4D" w:rsidRDefault="000C6444" w:rsidP="00070E82">
                  <w:pPr>
                    <w:widowControl w:val="0"/>
                    <w:spacing w:before="60" w:after="60"/>
                    <w:rPr>
                      <w:rFonts w:cs="Arial"/>
                      <w:b/>
                      <w:color w:val="2C9ADC"/>
                      <w:sz w:val="20"/>
                      <w:szCs w:val="18"/>
                    </w:rPr>
                  </w:pPr>
                </w:p>
              </w:tc>
              <w:tc>
                <w:tcPr>
                  <w:tcW w:w="2451" w:type="pct"/>
                  <w:gridSpan w:val="2"/>
                  <w:tcBorders>
                    <w:top w:val="nil"/>
                    <w:left w:val="nil"/>
                    <w:bottom w:val="single" w:sz="4" w:space="0" w:color="auto"/>
                    <w:right w:val="nil"/>
                  </w:tcBorders>
                  <w:shd w:val="clear" w:color="auto" w:fill="auto"/>
                  <w:vAlign w:val="center"/>
                </w:tcPr>
                <w:p w14:paraId="36C4B508" w14:textId="5EB210A5" w:rsidR="000C6444" w:rsidRPr="00717D4D" w:rsidRDefault="00A73C13" w:rsidP="00070E82">
                  <w:pPr>
                    <w:widowControl w:val="0"/>
                    <w:spacing w:before="40" w:after="40"/>
                    <w:rPr>
                      <w:rFonts w:cs="Arial"/>
                      <w:b/>
                      <w:color w:val="2C9ADC"/>
                      <w:sz w:val="20"/>
                      <w:szCs w:val="18"/>
                    </w:rPr>
                  </w:pPr>
                  <w:bookmarkStart w:id="137" w:name="_Toc101881950"/>
                  <w:r>
                    <w:rPr>
                      <w:rFonts w:cs="Arial"/>
                      <w:b/>
                      <w:color w:val="2C9ADC"/>
                      <w:sz w:val="20"/>
                      <w:szCs w:val="18"/>
                    </w:rPr>
                    <w:t xml:space="preserve">GRAF </w:t>
                  </w:r>
                  <w:r w:rsidRPr="00070E82">
                    <w:rPr>
                      <w:rFonts w:cs="Arial"/>
                      <w:b/>
                      <w:color w:val="2C9ADC"/>
                      <w:sz w:val="20"/>
                      <w:szCs w:val="18"/>
                    </w:rPr>
                    <w:fldChar w:fldCharType="begin"/>
                  </w:r>
                  <w:r w:rsidRPr="00070E82">
                    <w:rPr>
                      <w:rFonts w:cs="Arial"/>
                      <w:b/>
                      <w:color w:val="2C9ADC"/>
                      <w:sz w:val="20"/>
                      <w:szCs w:val="18"/>
                    </w:rPr>
                    <w:instrText xml:space="preserve"> SEQ GRAF \* ARABIC </w:instrText>
                  </w:r>
                  <w:r w:rsidRPr="00070E82">
                    <w:rPr>
                      <w:rFonts w:cs="Arial"/>
                      <w:b/>
                      <w:color w:val="2C9ADC"/>
                      <w:sz w:val="20"/>
                      <w:szCs w:val="18"/>
                    </w:rPr>
                    <w:fldChar w:fldCharType="separate"/>
                  </w:r>
                  <w:r w:rsidR="005D3280">
                    <w:rPr>
                      <w:rFonts w:cs="Arial"/>
                      <w:b/>
                      <w:noProof/>
                      <w:color w:val="2C9ADC"/>
                      <w:sz w:val="20"/>
                      <w:szCs w:val="18"/>
                    </w:rPr>
                    <w:t>26</w:t>
                  </w:r>
                  <w:r w:rsidRPr="00070E82">
                    <w:rPr>
                      <w:rFonts w:cs="Arial"/>
                      <w:b/>
                      <w:color w:val="2C9ADC"/>
                      <w:sz w:val="20"/>
                      <w:szCs w:val="18"/>
                    </w:rPr>
                    <w:fldChar w:fldCharType="end"/>
                  </w:r>
                  <w:r>
                    <w:rPr>
                      <w:rFonts w:cs="Arial"/>
                      <w:b/>
                      <w:color w:val="2C9ADC"/>
                      <w:sz w:val="20"/>
                      <w:szCs w:val="18"/>
                    </w:rPr>
                    <w:t xml:space="preserve"> – </w:t>
                  </w:r>
                  <w:r w:rsidR="000C6444">
                    <w:rPr>
                      <w:rFonts w:cs="Arial"/>
                      <w:b/>
                      <w:color w:val="2C9ADC"/>
                      <w:sz w:val="20"/>
                      <w:szCs w:val="18"/>
                    </w:rPr>
                    <w:t>Percentuálna zmena disponibilných príjmov</w:t>
                  </w:r>
                  <w:bookmarkEnd w:id="137"/>
                </w:p>
              </w:tc>
            </w:tr>
            <w:tr w:rsidR="000C6444" w:rsidRPr="00717D4D" w14:paraId="1D3BD3C2" w14:textId="77777777" w:rsidTr="00A36664">
              <w:trPr>
                <w:trHeight w:val="920"/>
              </w:trPr>
              <w:tc>
                <w:tcPr>
                  <w:tcW w:w="2452" w:type="pct"/>
                  <w:gridSpan w:val="2"/>
                  <w:tcBorders>
                    <w:top w:val="single" w:sz="4" w:space="0" w:color="auto"/>
                    <w:left w:val="nil"/>
                    <w:bottom w:val="single" w:sz="4" w:space="0" w:color="auto"/>
                    <w:right w:val="nil"/>
                  </w:tcBorders>
                  <w:vAlign w:val="center"/>
                </w:tcPr>
                <w:p w14:paraId="4AA3241C" w14:textId="77777777" w:rsidR="000C6444" w:rsidRPr="00717D4D" w:rsidRDefault="000C6444" w:rsidP="00070E82">
                  <w:pPr>
                    <w:widowControl w:val="0"/>
                    <w:spacing w:before="40" w:after="40"/>
                    <w:jc w:val="center"/>
                    <w:rPr>
                      <w:rFonts w:cs="Arial"/>
                      <w:b/>
                      <w:sz w:val="20"/>
                      <w:szCs w:val="20"/>
                    </w:rPr>
                  </w:pPr>
                  <w:r>
                    <w:rPr>
                      <w:rFonts w:cs="Arial"/>
                      <w:b/>
                      <w:noProof/>
                      <w:sz w:val="20"/>
                      <w:szCs w:val="20"/>
                    </w:rPr>
                    <w:drawing>
                      <wp:inline distT="0" distB="0" distL="0" distR="0" wp14:anchorId="1041883B" wp14:editId="3D13ED37">
                        <wp:extent cx="2414626" cy="1782362"/>
                        <wp:effectExtent l="0" t="0" r="5080" b="889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422188" cy="1787944"/>
                                </a:xfrm>
                                <a:prstGeom prst="rect">
                                  <a:avLst/>
                                </a:prstGeom>
                                <a:noFill/>
                              </pic:spPr>
                            </pic:pic>
                          </a:graphicData>
                        </a:graphic>
                      </wp:inline>
                    </w:drawing>
                  </w:r>
                </w:p>
              </w:tc>
              <w:tc>
                <w:tcPr>
                  <w:tcW w:w="97" w:type="pct"/>
                  <w:gridSpan w:val="2"/>
                  <w:tcBorders>
                    <w:top w:val="nil"/>
                    <w:left w:val="nil"/>
                    <w:bottom w:val="nil"/>
                    <w:right w:val="nil"/>
                  </w:tcBorders>
                  <w:vAlign w:val="center"/>
                </w:tcPr>
                <w:p w14:paraId="6FAD21CE" w14:textId="77777777" w:rsidR="000C6444" w:rsidRPr="00717D4D" w:rsidRDefault="000C6444" w:rsidP="00070E82">
                  <w:pPr>
                    <w:widowControl w:val="0"/>
                    <w:spacing w:before="40" w:after="40"/>
                    <w:jc w:val="center"/>
                    <w:rPr>
                      <w:rFonts w:cs="Arial"/>
                      <w:b/>
                      <w:sz w:val="20"/>
                      <w:szCs w:val="20"/>
                    </w:rPr>
                  </w:pPr>
                </w:p>
              </w:tc>
              <w:tc>
                <w:tcPr>
                  <w:tcW w:w="2451" w:type="pct"/>
                  <w:gridSpan w:val="2"/>
                  <w:tcBorders>
                    <w:top w:val="single" w:sz="4" w:space="0" w:color="auto"/>
                    <w:left w:val="nil"/>
                    <w:bottom w:val="single" w:sz="4" w:space="0" w:color="auto"/>
                    <w:right w:val="nil"/>
                  </w:tcBorders>
                  <w:vAlign w:val="center"/>
                </w:tcPr>
                <w:p w14:paraId="5FF6E1A8" w14:textId="77777777" w:rsidR="000C6444" w:rsidRPr="00717D4D" w:rsidRDefault="000C6444" w:rsidP="00070E82">
                  <w:pPr>
                    <w:widowControl w:val="0"/>
                    <w:spacing w:before="40" w:after="40"/>
                    <w:jc w:val="center"/>
                    <w:rPr>
                      <w:rFonts w:cs="Arial"/>
                      <w:b/>
                      <w:sz w:val="20"/>
                      <w:szCs w:val="20"/>
                    </w:rPr>
                  </w:pPr>
                  <w:r>
                    <w:rPr>
                      <w:rFonts w:cs="Arial"/>
                      <w:b/>
                      <w:noProof/>
                      <w:sz w:val="20"/>
                      <w:szCs w:val="20"/>
                    </w:rPr>
                    <w:drawing>
                      <wp:inline distT="0" distB="0" distL="0" distR="0" wp14:anchorId="40803025" wp14:editId="10C3DB21">
                        <wp:extent cx="2428272" cy="1789380"/>
                        <wp:effectExtent l="0" t="0" r="0" b="1905"/>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40970" cy="1798737"/>
                                </a:xfrm>
                                <a:prstGeom prst="rect">
                                  <a:avLst/>
                                </a:prstGeom>
                                <a:noFill/>
                              </pic:spPr>
                            </pic:pic>
                          </a:graphicData>
                        </a:graphic>
                      </wp:inline>
                    </w:drawing>
                  </w:r>
                </w:p>
              </w:tc>
            </w:tr>
            <w:tr w:rsidR="000C6444" w:rsidRPr="00717D4D" w14:paraId="5A804AFB" w14:textId="77777777" w:rsidTr="00A36664">
              <w:trPr>
                <w:trHeight w:hRule="exact" w:val="227"/>
              </w:trPr>
              <w:tc>
                <w:tcPr>
                  <w:tcW w:w="2452" w:type="pct"/>
                  <w:gridSpan w:val="2"/>
                  <w:tcBorders>
                    <w:top w:val="single" w:sz="4" w:space="0" w:color="auto"/>
                    <w:left w:val="nil"/>
                    <w:bottom w:val="nil"/>
                    <w:right w:val="nil"/>
                  </w:tcBorders>
                </w:tcPr>
                <w:p w14:paraId="1B377845" w14:textId="77777777" w:rsidR="000C6444" w:rsidRPr="00717D4D" w:rsidRDefault="000C6444" w:rsidP="00070E82">
                  <w:pPr>
                    <w:widowControl w:val="0"/>
                    <w:spacing w:before="40" w:after="40"/>
                    <w:contextualSpacing/>
                    <w:jc w:val="right"/>
                    <w:rPr>
                      <w:rFonts w:cs="Arial"/>
                      <w:i/>
                      <w:sz w:val="16"/>
                      <w:szCs w:val="14"/>
                    </w:rPr>
                  </w:pPr>
                  <w:r w:rsidRPr="00717D4D">
                    <w:rPr>
                      <w:rFonts w:cs="Arial"/>
                      <w:i/>
                      <w:sz w:val="16"/>
                      <w:szCs w:val="14"/>
                    </w:rPr>
                    <w:t xml:space="preserve">Zdroj: </w:t>
                  </w:r>
                  <w:r>
                    <w:rPr>
                      <w:rFonts w:cs="Arial"/>
                      <w:i/>
                      <w:sz w:val="16"/>
                      <w:szCs w:val="14"/>
                    </w:rPr>
                    <w:t>IFP</w:t>
                  </w:r>
                </w:p>
              </w:tc>
              <w:tc>
                <w:tcPr>
                  <w:tcW w:w="97" w:type="pct"/>
                  <w:gridSpan w:val="2"/>
                  <w:tcBorders>
                    <w:top w:val="nil"/>
                    <w:left w:val="nil"/>
                    <w:bottom w:val="nil"/>
                    <w:right w:val="nil"/>
                  </w:tcBorders>
                </w:tcPr>
                <w:p w14:paraId="3A0DAAC9" w14:textId="77777777" w:rsidR="000C6444" w:rsidRPr="00717D4D" w:rsidRDefault="000C6444" w:rsidP="00070E82">
                  <w:pPr>
                    <w:widowControl w:val="0"/>
                    <w:contextualSpacing/>
                    <w:jc w:val="center"/>
                    <w:rPr>
                      <w:rFonts w:cs="Arial"/>
                      <w:i/>
                      <w:sz w:val="16"/>
                      <w:szCs w:val="14"/>
                    </w:rPr>
                  </w:pPr>
                </w:p>
              </w:tc>
              <w:tc>
                <w:tcPr>
                  <w:tcW w:w="2451" w:type="pct"/>
                  <w:gridSpan w:val="2"/>
                  <w:tcBorders>
                    <w:top w:val="single" w:sz="4" w:space="0" w:color="auto"/>
                    <w:left w:val="nil"/>
                    <w:bottom w:val="nil"/>
                    <w:right w:val="nil"/>
                  </w:tcBorders>
                </w:tcPr>
                <w:p w14:paraId="395DB1F1" w14:textId="77777777" w:rsidR="000C6444" w:rsidRPr="00717D4D" w:rsidRDefault="000C6444" w:rsidP="00070E82">
                  <w:pPr>
                    <w:widowControl w:val="0"/>
                    <w:spacing w:before="40" w:after="40"/>
                    <w:contextualSpacing/>
                    <w:jc w:val="right"/>
                    <w:rPr>
                      <w:rFonts w:cs="Arial"/>
                      <w:i/>
                      <w:sz w:val="16"/>
                      <w:szCs w:val="14"/>
                    </w:rPr>
                  </w:pPr>
                  <w:r w:rsidRPr="00717D4D">
                    <w:rPr>
                      <w:rFonts w:cs="Arial"/>
                      <w:i/>
                      <w:sz w:val="16"/>
                      <w:szCs w:val="14"/>
                    </w:rPr>
                    <w:t xml:space="preserve">Zdroj: </w:t>
                  </w:r>
                  <w:r>
                    <w:rPr>
                      <w:rFonts w:cs="Arial"/>
                      <w:i/>
                      <w:sz w:val="16"/>
                      <w:szCs w:val="14"/>
                    </w:rPr>
                    <w:t>IFP</w:t>
                  </w:r>
                </w:p>
              </w:tc>
            </w:tr>
          </w:tbl>
          <w:p w14:paraId="79D879C4" w14:textId="77777777" w:rsidR="000C6444" w:rsidRPr="00653366" w:rsidRDefault="000C6444" w:rsidP="00070E82">
            <w:pPr>
              <w:pStyle w:val="Obyajntext"/>
              <w:widowControl w:val="0"/>
              <w:spacing w:after="120"/>
              <w:jc w:val="both"/>
              <w:rPr>
                <w:b/>
              </w:rPr>
            </w:pPr>
            <w:r>
              <w:t xml:space="preserve"> </w:t>
            </w:r>
          </w:p>
        </w:tc>
      </w:tr>
    </w:tbl>
    <w:p w14:paraId="045A68D0" w14:textId="77777777" w:rsidR="000C6444" w:rsidRDefault="000C6444" w:rsidP="00070E82">
      <w:pPr>
        <w:widowControl w:val="0"/>
      </w:pPr>
    </w:p>
    <w:p w14:paraId="2C6F08B7" w14:textId="5AE2E38A" w:rsidR="000E6CCC" w:rsidRDefault="000E6CCC"/>
    <w:tbl>
      <w:tblPr>
        <w:tblW w:w="9165" w:type="dxa"/>
        <w:tblCellMar>
          <w:left w:w="70" w:type="dxa"/>
          <w:right w:w="70" w:type="dxa"/>
        </w:tblCellMar>
        <w:tblLook w:val="04A0" w:firstRow="1" w:lastRow="0" w:firstColumn="1" w:lastColumn="0" w:noHBand="0" w:noVBand="1"/>
      </w:tblPr>
      <w:tblGrid>
        <w:gridCol w:w="4710"/>
        <w:gridCol w:w="802"/>
        <w:gridCol w:w="802"/>
        <w:gridCol w:w="821"/>
        <w:gridCol w:w="513"/>
        <w:gridCol w:w="508"/>
        <w:gridCol w:w="503"/>
        <w:gridCol w:w="506"/>
      </w:tblGrid>
      <w:tr w:rsidR="000C6444" w:rsidRPr="00DD1398" w14:paraId="60AD24FC" w14:textId="77777777" w:rsidTr="00636109">
        <w:trPr>
          <w:trHeight w:val="292"/>
        </w:trPr>
        <w:tc>
          <w:tcPr>
            <w:tcW w:w="9165" w:type="dxa"/>
            <w:gridSpan w:val="8"/>
            <w:tcBorders>
              <w:top w:val="nil"/>
              <w:left w:val="nil"/>
              <w:bottom w:val="single" w:sz="8" w:space="0" w:color="auto"/>
              <w:right w:val="nil"/>
            </w:tcBorders>
            <w:shd w:val="clear" w:color="auto" w:fill="auto"/>
            <w:noWrap/>
            <w:vAlign w:val="center"/>
            <w:hideMark/>
          </w:tcPr>
          <w:p w14:paraId="41010F1A" w14:textId="7F31543B" w:rsidR="000C6444" w:rsidRPr="001B51AD" w:rsidRDefault="000C6444" w:rsidP="00070E82">
            <w:pPr>
              <w:widowControl w:val="0"/>
              <w:rPr>
                <w:rFonts w:cs="Calibri"/>
                <w:b/>
                <w:bCs/>
                <w:color w:val="2C9ADC"/>
                <w:sz w:val="20"/>
                <w:szCs w:val="18"/>
              </w:rPr>
            </w:pPr>
            <w:bookmarkStart w:id="138" w:name="_Toc101880692"/>
            <w:r w:rsidRPr="001B51AD">
              <w:rPr>
                <w:rFonts w:cs="Calibri"/>
                <w:b/>
                <w:bCs/>
                <w:color w:val="2C9ADC"/>
                <w:sz w:val="20"/>
                <w:szCs w:val="18"/>
              </w:rPr>
              <w:t xml:space="preserve">TABUĽKA </w:t>
            </w:r>
            <w:r w:rsidR="004D266C" w:rsidRPr="001B51AD">
              <w:rPr>
                <w:rFonts w:eastAsiaTheme="minorHAnsi"/>
                <w:b/>
                <w:color w:val="2C9ADC" w:themeColor="accent1"/>
                <w:lang w:eastAsia="en-US"/>
              </w:rPr>
              <w:fldChar w:fldCharType="begin"/>
            </w:r>
            <w:r w:rsidR="004D266C" w:rsidRPr="001B51AD">
              <w:rPr>
                <w:rFonts w:eastAsiaTheme="minorHAnsi"/>
                <w:b/>
                <w:color w:val="2C9ADC" w:themeColor="accent1"/>
                <w:lang w:eastAsia="en-US"/>
              </w:rPr>
              <w:instrText xml:space="preserve"> SEQ TABUĽKA \* ARABIC </w:instrText>
            </w:r>
            <w:r w:rsidR="004D266C" w:rsidRPr="001B51AD">
              <w:rPr>
                <w:rFonts w:eastAsiaTheme="minorHAnsi"/>
                <w:b/>
                <w:color w:val="2C9ADC" w:themeColor="accent1"/>
                <w:lang w:eastAsia="en-US"/>
              </w:rPr>
              <w:fldChar w:fldCharType="separate"/>
            </w:r>
            <w:r w:rsidR="005D3280">
              <w:rPr>
                <w:rFonts w:eastAsiaTheme="minorHAnsi"/>
                <w:b/>
                <w:noProof/>
                <w:color w:val="2C9ADC" w:themeColor="accent1"/>
                <w:lang w:eastAsia="en-US"/>
              </w:rPr>
              <w:t>13</w:t>
            </w:r>
            <w:r w:rsidR="004D266C" w:rsidRPr="001B51AD">
              <w:rPr>
                <w:rFonts w:eastAsiaTheme="minorHAnsi"/>
                <w:b/>
                <w:color w:val="2C9ADC" w:themeColor="accent1"/>
                <w:lang w:eastAsia="en-US"/>
              </w:rPr>
              <w:fldChar w:fldCharType="end"/>
            </w:r>
            <w:r w:rsidRPr="001B51AD">
              <w:rPr>
                <w:rFonts w:cs="Calibri"/>
                <w:b/>
                <w:bCs/>
                <w:color w:val="2C9ADC"/>
                <w:sz w:val="20"/>
                <w:szCs w:val="18"/>
              </w:rPr>
              <w:t xml:space="preserve"> – Vývoj jednotlivých príjmových a výdavkových položiek </w:t>
            </w:r>
            <w:r w:rsidRPr="001B51AD">
              <w:rPr>
                <w:rFonts w:cs="Calibri"/>
                <w:b/>
                <w:color w:val="2C9ADC"/>
                <w:sz w:val="20"/>
                <w:szCs w:val="18"/>
              </w:rPr>
              <w:t>(ESA</w:t>
            </w:r>
            <w:r w:rsidR="00F42DE4">
              <w:rPr>
                <w:rFonts w:cs="Calibri"/>
                <w:b/>
                <w:color w:val="2C9ADC"/>
                <w:sz w:val="20"/>
                <w:szCs w:val="18"/>
              </w:rPr>
              <w:t xml:space="preserve"> </w:t>
            </w:r>
            <w:r w:rsidRPr="001B51AD">
              <w:rPr>
                <w:rFonts w:cs="Calibri"/>
                <w:b/>
                <w:color w:val="2C9ADC"/>
                <w:sz w:val="20"/>
                <w:szCs w:val="18"/>
              </w:rPr>
              <w:t>2010, % HDP)</w:t>
            </w:r>
            <w:bookmarkEnd w:id="138"/>
          </w:p>
        </w:tc>
      </w:tr>
      <w:tr w:rsidR="000C6444" w:rsidRPr="00DD1398" w14:paraId="0DE1E5FD" w14:textId="77777777" w:rsidTr="00636109">
        <w:trPr>
          <w:trHeight w:val="307"/>
        </w:trPr>
        <w:tc>
          <w:tcPr>
            <w:tcW w:w="4710" w:type="dxa"/>
            <w:tcBorders>
              <w:top w:val="nil"/>
              <w:left w:val="nil"/>
              <w:bottom w:val="nil"/>
              <w:right w:val="nil"/>
            </w:tcBorders>
            <w:shd w:val="clear" w:color="auto" w:fill="auto"/>
            <w:noWrap/>
            <w:vAlign w:val="center"/>
            <w:hideMark/>
          </w:tcPr>
          <w:p w14:paraId="6D70B31B" w14:textId="77777777" w:rsidR="000C6444" w:rsidRPr="00DD1398" w:rsidRDefault="000C6444" w:rsidP="00070E82">
            <w:pPr>
              <w:widowControl w:val="0"/>
              <w:rPr>
                <w:rFonts w:cs="Calibri"/>
                <w:b/>
                <w:bCs/>
                <w:color w:val="2C9ADC"/>
                <w:sz w:val="16"/>
                <w:szCs w:val="18"/>
              </w:rPr>
            </w:pPr>
          </w:p>
        </w:tc>
        <w:tc>
          <w:tcPr>
            <w:tcW w:w="802" w:type="dxa"/>
            <w:tcBorders>
              <w:top w:val="single" w:sz="8" w:space="0" w:color="auto"/>
              <w:left w:val="single" w:sz="8" w:space="0" w:color="auto"/>
              <w:bottom w:val="nil"/>
              <w:right w:val="single" w:sz="8" w:space="0" w:color="auto"/>
            </w:tcBorders>
            <w:shd w:val="clear" w:color="auto" w:fill="auto"/>
            <w:noWrap/>
            <w:vAlign w:val="center"/>
            <w:hideMark/>
          </w:tcPr>
          <w:p w14:paraId="179411A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Skutočnosť</w:t>
            </w:r>
          </w:p>
        </w:tc>
        <w:tc>
          <w:tcPr>
            <w:tcW w:w="802" w:type="dxa"/>
            <w:tcBorders>
              <w:top w:val="single" w:sz="8" w:space="0" w:color="auto"/>
              <w:left w:val="nil"/>
              <w:bottom w:val="nil"/>
              <w:right w:val="single" w:sz="8" w:space="0" w:color="auto"/>
            </w:tcBorders>
            <w:shd w:val="clear" w:color="auto" w:fill="auto"/>
            <w:noWrap/>
            <w:vAlign w:val="center"/>
            <w:hideMark/>
          </w:tcPr>
          <w:p w14:paraId="26766E2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Skutočnosť</w:t>
            </w:r>
          </w:p>
        </w:tc>
        <w:tc>
          <w:tcPr>
            <w:tcW w:w="821" w:type="dxa"/>
            <w:tcBorders>
              <w:top w:val="nil"/>
              <w:left w:val="nil"/>
              <w:bottom w:val="nil"/>
              <w:right w:val="nil"/>
            </w:tcBorders>
            <w:shd w:val="clear" w:color="auto" w:fill="auto"/>
            <w:noWrap/>
            <w:vAlign w:val="center"/>
            <w:hideMark/>
          </w:tcPr>
          <w:p w14:paraId="286D1F1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Skutočnosť</w:t>
            </w:r>
          </w:p>
        </w:tc>
        <w:tc>
          <w:tcPr>
            <w:tcW w:w="513" w:type="dxa"/>
            <w:tcBorders>
              <w:top w:val="single" w:sz="8" w:space="0" w:color="auto"/>
              <w:left w:val="single" w:sz="8" w:space="0" w:color="auto"/>
              <w:bottom w:val="nil"/>
              <w:right w:val="single" w:sz="4" w:space="0" w:color="auto"/>
            </w:tcBorders>
            <w:shd w:val="clear" w:color="auto" w:fill="auto"/>
            <w:noWrap/>
            <w:vAlign w:val="center"/>
            <w:hideMark/>
          </w:tcPr>
          <w:p w14:paraId="7D4DB8E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OS</w:t>
            </w:r>
          </w:p>
        </w:tc>
        <w:tc>
          <w:tcPr>
            <w:tcW w:w="1517" w:type="dxa"/>
            <w:gridSpan w:val="3"/>
            <w:tcBorders>
              <w:left w:val="single" w:sz="4" w:space="0" w:color="auto"/>
              <w:bottom w:val="nil"/>
            </w:tcBorders>
            <w:shd w:val="clear" w:color="auto" w:fill="auto"/>
            <w:noWrap/>
            <w:vAlign w:val="center"/>
            <w:hideMark/>
          </w:tcPr>
          <w:p w14:paraId="29BB34B6"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NRVS</w:t>
            </w:r>
          </w:p>
        </w:tc>
      </w:tr>
      <w:tr w:rsidR="000C6444" w:rsidRPr="00DD1398" w14:paraId="458A4770" w14:textId="77777777" w:rsidTr="00636109">
        <w:trPr>
          <w:trHeight w:val="269"/>
        </w:trPr>
        <w:tc>
          <w:tcPr>
            <w:tcW w:w="4710" w:type="dxa"/>
            <w:tcBorders>
              <w:top w:val="nil"/>
              <w:left w:val="nil"/>
              <w:bottom w:val="nil"/>
              <w:right w:val="nil"/>
            </w:tcBorders>
            <w:shd w:val="clear" w:color="auto" w:fill="auto"/>
            <w:noWrap/>
            <w:vAlign w:val="center"/>
            <w:hideMark/>
          </w:tcPr>
          <w:p w14:paraId="2E40D368" w14:textId="77777777" w:rsidR="000C6444" w:rsidRPr="00DD1398" w:rsidRDefault="000C6444" w:rsidP="00070E82">
            <w:pPr>
              <w:widowControl w:val="0"/>
              <w:jc w:val="center"/>
              <w:rPr>
                <w:rFonts w:cs="Calibri"/>
                <w:color w:val="000000"/>
                <w:sz w:val="16"/>
                <w:szCs w:val="18"/>
              </w:rPr>
            </w:pPr>
          </w:p>
        </w:tc>
        <w:tc>
          <w:tcPr>
            <w:tcW w:w="802" w:type="dxa"/>
            <w:tcBorders>
              <w:top w:val="nil"/>
              <w:left w:val="single" w:sz="8" w:space="0" w:color="auto"/>
              <w:bottom w:val="nil"/>
              <w:right w:val="single" w:sz="8" w:space="0" w:color="auto"/>
            </w:tcBorders>
            <w:shd w:val="clear" w:color="auto" w:fill="auto"/>
            <w:noWrap/>
            <w:vAlign w:val="center"/>
            <w:hideMark/>
          </w:tcPr>
          <w:p w14:paraId="07FB14F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2019</w:t>
            </w:r>
          </w:p>
        </w:tc>
        <w:tc>
          <w:tcPr>
            <w:tcW w:w="802" w:type="dxa"/>
            <w:tcBorders>
              <w:top w:val="nil"/>
              <w:left w:val="nil"/>
              <w:bottom w:val="nil"/>
              <w:right w:val="single" w:sz="8" w:space="0" w:color="auto"/>
            </w:tcBorders>
            <w:shd w:val="clear" w:color="auto" w:fill="auto"/>
            <w:noWrap/>
            <w:vAlign w:val="center"/>
            <w:hideMark/>
          </w:tcPr>
          <w:p w14:paraId="4660664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2020</w:t>
            </w:r>
          </w:p>
        </w:tc>
        <w:tc>
          <w:tcPr>
            <w:tcW w:w="821" w:type="dxa"/>
            <w:tcBorders>
              <w:top w:val="nil"/>
              <w:left w:val="nil"/>
              <w:bottom w:val="nil"/>
              <w:right w:val="nil"/>
            </w:tcBorders>
            <w:shd w:val="clear" w:color="auto" w:fill="auto"/>
            <w:noWrap/>
            <w:vAlign w:val="center"/>
            <w:hideMark/>
          </w:tcPr>
          <w:p w14:paraId="7B40991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2021</w:t>
            </w:r>
          </w:p>
        </w:tc>
        <w:tc>
          <w:tcPr>
            <w:tcW w:w="513" w:type="dxa"/>
            <w:tcBorders>
              <w:top w:val="nil"/>
              <w:left w:val="single" w:sz="8" w:space="0" w:color="auto"/>
              <w:bottom w:val="nil"/>
              <w:right w:val="single" w:sz="8" w:space="0" w:color="auto"/>
            </w:tcBorders>
            <w:shd w:val="clear" w:color="auto" w:fill="auto"/>
            <w:noWrap/>
            <w:vAlign w:val="bottom"/>
            <w:hideMark/>
          </w:tcPr>
          <w:p w14:paraId="783F003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2022</w:t>
            </w:r>
          </w:p>
        </w:tc>
        <w:tc>
          <w:tcPr>
            <w:tcW w:w="508" w:type="dxa"/>
            <w:tcBorders>
              <w:top w:val="nil"/>
              <w:left w:val="nil"/>
              <w:bottom w:val="nil"/>
              <w:right w:val="nil"/>
            </w:tcBorders>
            <w:shd w:val="clear" w:color="auto" w:fill="auto"/>
            <w:noWrap/>
            <w:vAlign w:val="bottom"/>
            <w:hideMark/>
          </w:tcPr>
          <w:p w14:paraId="23F93D8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2023</w:t>
            </w:r>
          </w:p>
        </w:tc>
        <w:tc>
          <w:tcPr>
            <w:tcW w:w="503" w:type="dxa"/>
            <w:tcBorders>
              <w:top w:val="nil"/>
              <w:left w:val="nil"/>
              <w:bottom w:val="nil"/>
              <w:right w:val="nil"/>
            </w:tcBorders>
            <w:shd w:val="clear" w:color="auto" w:fill="auto"/>
            <w:noWrap/>
            <w:vAlign w:val="bottom"/>
            <w:hideMark/>
          </w:tcPr>
          <w:p w14:paraId="2BBAAA1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2024</w:t>
            </w:r>
          </w:p>
        </w:tc>
        <w:tc>
          <w:tcPr>
            <w:tcW w:w="506" w:type="dxa"/>
            <w:tcBorders>
              <w:top w:val="nil"/>
              <w:left w:val="nil"/>
              <w:bottom w:val="nil"/>
              <w:right w:val="nil"/>
            </w:tcBorders>
            <w:shd w:val="clear" w:color="auto" w:fill="auto"/>
            <w:noWrap/>
            <w:vAlign w:val="bottom"/>
            <w:hideMark/>
          </w:tcPr>
          <w:p w14:paraId="331B9E0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2025</w:t>
            </w:r>
          </w:p>
        </w:tc>
      </w:tr>
      <w:tr w:rsidR="000C6444" w:rsidRPr="00DD1398" w14:paraId="347A3337" w14:textId="77777777" w:rsidTr="00636109">
        <w:trPr>
          <w:trHeight w:val="257"/>
        </w:trPr>
        <w:tc>
          <w:tcPr>
            <w:tcW w:w="4710" w:type="dxa"/>
            <w:tcBorders>
              <w:top w:val="single" w:sz="8" w:space="0" w:color="auto"/>
              <w:left w:val="nil"/>
              <w:bottom w:val="nil"/>
              <w:right w:val="nil"/>
            </w:tcBorders>
            <w:shd w:val="clear" w:color="auto" w:fill="auto"/>
            <w:vAlign w:val="center"/>
            <w:hideMark/>
          </w:tcPr>
          <w:p w14:paraId="64E365CF" w14:textId="77777777" w:rsidR="000C6444" w:rsidRPr="00DD1398" w:rsidRDefault="000C6444" w:rsidP="00070E82">
            <w:pPr>
              <w:widowControl w:val="0"/>
              <w:rPr>
                <w:rFonts w:cs="Calibri"/>
                <w:b/>
                <w:bCs/>
                <w:color w:val="000000"/>
                <w:sz w:val="16"/>
                <w:szCs w:val="18"/>
              </w:rPr>
            </w:pPr>
            <w:r w:rsidRPr="00DD1398">
              <w:rPr>
                <w:rFonts w:cs="Calibri"/>
                <w:b/>
                <w:bCs/>
                <w:color w:val="000000"/>
                <w:sz w:val="16"/>
                <w:szCs w:val="18"/>
              </w:rPr>
              <w:t>1.Príjmy spolu</w:t>
            </w:r>
          </w:p>
        </w:tc>
        <w:tc>
          <w:tcPr>
            <w:tcW w:w="802" w:type="dxa"/>
            <w:tcBorders>
              <w:top w:val="single" w:sz="8" w:space="0" w:color="auto"/>
              <w:left w:val="single" w:sz="8" w:space="0" w:color="auto"/>
              <w:bottom w:val="nil"/>
              <w:right w:val="single" w:sz="8" w:space="0" w:color="auto"/>
            </w:tcBorders>
            <w:shd w:val="clear" w:color="auto" w:fill="auto"/>
            <w:noWrap/>
            <w:vAlign w:val="center"/>
            <w:hideMark/>
          </w:tcPr>
          <w:p w14:paraId="02C5930A"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39,4</w:t>
            </w:r>
          </w:p>
        </w:tc>
        <w:tc>
          <w:tcPr>
            <w:tcW w:w="802" w:type="dxa"/>
            <w:tcBorders>
              <w:top w:val="single" w:sz="8" w:space="0" w:color="auto"/>
              <w:left w:val="nil"/>
              <w:bottom w:val="nil"/>
              <w:right w:val="single" w:sz="8" w:space="0" w:color="auto"/>
            </w:tcBorders>
            <w:shd w:val="clear" w:color="auto" w:fill="auto"/>
            <w:noWrap/>
            <w:vAlign w:val="center"/>
            <w:hideMark/>
          </w:tcPr>
          <w:p w14:paraId="70A69C21"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39,9</w:t>
            </w:r>
          </w:p>
        </w:tc>
        <w:tc>
          <w:tcPr>
            <w:tcW w:w="821" w:type="dxa"/>
            <w:tcBorders>
              <w:top w:val="single" w:sz="8" w:space="0" w:color="auto"/>
              <w:left w:val="nil"/>
              <w:bottom w:val="nil"/>
              <w:right w:val="nil"/>
            </w:tcBorders>
            <w:shd w:val="clear" w:color="auto" w:fill="auto"/>
            <w:vAlign w:val="center"/>
            <w:hideMark/>
          </w:tcPr>
          <w:p w14:paraId="42C0925B"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40,7</w:t>
            </w:r>
          </w:p>
        </w:tc>
        <w:tc>
          <w:tcPr>
            <w:tcW w:w="513" w:type="dxa"/>
            <w:tcBorders>
              <w:top w:val="single" w:sz="8" w:space="0" w:color="auto"/>
              <w:left w:val="single" w:sz="8" w:space="0" w:color="auto"/>
              <w:bottom w:val="nil"/>
              <w:right w:val="single" w:sz="8" w:space="0" w:color="auto"/>
            </w:tcBorders>
            <w:shd w:val="clear" w:color="auto" w:fill="auto"/>
            <w:vAlign w:val="center"/>
            <w:hideMark/>
          </w:tcPr>
          <w:p w14:paraId="70BB7AE8"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40,2</w:t>
            </w:r>
          </w:p>
        </w:tc>
        <w:tc>
          <w:tcPr>
            <w:tcW w:w="508" w:type="dxa"/>
            <w:tcBorders>
              <w:top w:val="single" w:sz="8" w:space="0" w:color="auto"/>
              <w:left w:val="nil"/>
              <w:bottom w:val="nil"/>
              <w:right w:val="nil"/>
            </w:tcBorders>
            <w:shd w:val="clear" w:color="auto" w:fill="auto"/>
            <w:vAlign w:val="center"/>
            <w:hideMark/>
          </w:tcPr>
          <w:p w14:paraId="63670BEB"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40,8</w:t>
            </w:r>
          </w:p>
        </w:tc>
        <w:tc>
          <w:tcPr>
            <w:tcW w:w="503" w:type="dxa"/>
            <w:tcBorders>
              <w:top w:val="single" w:sz="8" w:space="0" w:color="auto"/>
              <w:left w:val="nil"/>
              <w:bottom w:val="nil"/>
              <w:right w:val="nil"/>
            </w:tcBorders>
            <w:shd w:val="clear" w:color="auto" w:fill="auto"/>
            <w:vAlign w:val="center"/>
            <w:hideMark/>
          </w:tcPr>
          <w:p w14:paraId="0341171C"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38,7</w:t>
            </w:r>
          </w:p>
        </w:tc>
        <w:tc>
          <w:tcPr>
            <w:tcW w:w="506" w:type="dxa"/>
            <w:tcBorders>
              <w:top w:val="single" w:sz="8" w:space="0" w:color="auto"/>
              <w:left w:val="nil"/>
              <w:bottom w:val="nil"/>
              <w:right w:val="nil"/>
            </w:tcBorders>
            <w:shd w:val="clear" w:color="auto" w:fill="auto"/>
            <w:vAlign w:val="center"/>
            <w:hideMark/>
          </w:tcPr>
          <w:p w14:paraId="73202D63"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38,3</w:t>
            </w:r>
          </w:p>
        </w:tc>
      </w:tr>
      <w:tr w:rsidR="000C6444" w:rsidRPr="00DD1398" w14:paraId="1EF2EA7C" w14:textId="77777777" w:rsidTr="00636109">
        <w:trPr>
          <w:trHeight w:val="257"/>
        </w:trPr>
        <w:tc>
          <w:tcPr>
            <w:tcW w:w="4710" w:type="dxa"/>
            <w:tcBorders>
              <w:top w:val="nil"/>
              <w:left w:val="nil"/>
              <w:bottom w:val="nil"/>
              <w:right w:val="nil"/>
            </w:tcBorders>
            <w:shd w:val="clear" w:color="auto" w:fill="auto"/>
            <w:vAlign w:val="center"/>
            <w:hideMark/>
          </w:tcPr>
          <w:p w14:paraId="4F0BA650"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Daňové príjmy</w:t>
            </w:r>
          </w:p>
        </w:tc>
        <w:tc>
          <w:tcPr>
            <w:tcW w:w="802" w:type="dxa"/>
            <w:tcBorders>
              <w:top w:val="nil"/>
              <w:left w:val="single" w:sz="8" w:space="0" w:color="auto"/>
              <w:bottom w:val="nil"/>
              <w:right w:val="single" w:sz="8" w:space="0" w:color="auto"/>
            </w:tcBorders>
            <w:shd w:val="clear" w:color="auto" w:fill="auto"/>
            <w:noWrap/>
            <w:vAlign w:val="center"/>
            <w:hideMark/>
          </w:tcPr>
          <w:p w14:paraId="0CF8230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19,3</w:t>
            </w:r>
          </w:p>
        </w:tc>
        <w:tc>
          <w:tcPr>
            <w:tcW w:w="802" w:type="dxa"/>
            <w:tcBorders>
              <w:top w:val="nil"/>
              <w:left w:val="nil"/>
              <w:bottom w:val="nil"/>
              <w:right w:val="single" w:sz="8" w:space="0" w:color="auto"/>
            </w:tcBorders>
            <w:shd w:val="clear" w:color="auto" w:fill="auto"/>
            <w:noWrap/>
            <w:vAlign w:val="center"/>
            <w:hideMark/>
          </w:tcPr>
          <w:p w14:paraId="2664A6D3"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19,4</w:t>
            </w:r>
          </w:p>
        </w:tc>
        <w:tc>
          <w:tcPr>
            <w:tcW w:w="821" w:type="dxa"/>
            <w:tcBorders>
              <w:top w:val="nil"/>
              <w:left w:val="nil"/>
              <w:bottom w:val="nil"/>
              <w:right w:val="nil"/>
            </w:tcBorders>
            <w:shd w:val="clear" w:color="auto" w:fill="auto"/>
            <w:vAlign w:val="center"/>
            <w:hideMark/>
          </w:tcPr>
          <w:p w14:paraId="7E60B9F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19,7</w:t>
            </w:r>
          </w:p>
        </w:tc>
        <w:tc>
          <w:tcPr>
            <w:tcW w:w="513" w:type="dxa"/>
            <w:tcBorders>
              <w:top w:val="nil"/>
              <w:left w:val="single" w:sz="8" w:space="0" w:color="auto"/>
              <w:bottom w:val="nil"/>
              <w:right w:val="single" w:sz="8" w:space="0" w:color="auto"/>
            </w:tcBorders>
            <w:shd w:val="clear" w:color="auto" w:fill="auto"/>
            <w:vAlign w:val="center"/>
            <w:hideMark/>
          </w:tcPr>
          <w:p w14:paraId="5FCB970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19,4</w:t>
            </w:r>
          </w:p>
        </w:tc>
        <w:tc>
          <w:tcPr>
            <w:tcW w:w="508" w:type="dxa"/>
            <w:tcBorders>
              <w:top w:val="nil"/>
              <w:left w:val="nil"/>
              <w:bottom w:val="nil"/>
              <w:right w:val="nil"/>
            </w:tcBorders>
            <w:shd w:val="clear" w:color="auto" w:fill="auto"/>
            <w:vAlign w:val="center"/>
            <w:hideMark/>
          </w:tcPr>
          <w:p w14:paraId="206E582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19,1</w:t>
            </w:r>
          </w:p>
        </w:tc>
        <w:tc>
          <w:tcPr>
            <w:tcW w:w="503" w:type="dxa"/>
            <w:tcBorders>
              <w:top w:val="nil"/>
              <w:left w:val="nil"/>
              <w:bottom w:val="nil"/>
              <w:right w:val="nil"/>
            </w:tcBorders>
            <w:shd w:val="clear" w:color="auto" w:fill="auto"/>
            <w:vAlign w:val="center"/>
            <w:hideMark/>
          </w:tcPr>
          <w:p w14:paraId="44381A1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18,8</w:t>
            </w:r>
          </w:p>
        </w:tc>
        <w:tc>
          <w:tcPr>
            <w:tcW w:w="506" w:type="dxa"/>
            <w:tcBorders>
              <w:top w:val="nil"/>
              <w:left w:val="nil"/>
              <w:bottom w:val="nil"/>
              <w:right w:val="nil"/>
            </w:tcBorders>
            <w:shd w:val="clear" w:color="auto" w:fill="auto"/>
            <w:vAlign w:val="center"/>
            <w:hideMark/>
          </w:tcPr>
          <w:p w14:paraId="374CF8D6"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18,5</w:t>
            </w:r>
          </w:p>
        </w:tc>
      </w:tr>
      <w:tr w:rsidR="000C6444" w:rsidRPr="00DD1398" w14:paraId="2E273548" w14:textId="77777777" w:rsidTr="00636109">
        <w:trPr>
          <w:trHeight w:val="257"/>
        </w:trPr>
        <w:tc>
          <w:tcPr>
            <w:tcW w:w="4710" w:type="dxa"/>
            <w:tcBorders>
              <w:top w:val="nil"/>
              <w:left w:val="nil"/>
              <w:bottom w:val="nil"/>
              <w:right w:val="nil"/>
            </w:tcBorders>
            <w:shd w:val="clear" w:color="auto" w:fill="auto"/>
            <w:vAlign w:val="center"/>
            <w:hideMark/>
          </w:tcPr>
          <w:p w14:paraId="681A481F"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Príspevky na sociálne zabezpečenie</w:t>
            </w:r>
          </w:p>
        </w:tc>
        <w:tc>
          <w:tcPr>
            <w:tcW w:w="802" w:type="dxa"/>
            <w:tcBorders>
              <w:top w:val="nil"/>
              <w:left w:val="single" w:sz="8" w:space="0" w:color="auto"/>
              <w:bottom w:val="nil"/>
              <w:right w:val="single" w:sz="8" w:space="0" w:color="auto"/>
            </w:tcBorders>
            <w:shd w:val="clear" w:color="auto" w:fill="auto"/>
            <w:noWrap/>
            <w:vAlign w:val="center"/>
            <w:hideMark/>
          </w:tcPr>
          <w:p w14:paraId="534DCC7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15,3</w:t>
            </w:r>
          </w:p>
        </w:tc>
        <w:tc>
          <w:tcPr>
            <w:tcW w:w="802" w:type="dxa"/>
            <w:tcBorders>
              <w:top w:val="nil"/>
              <w:left w:val="nil"/>
              <w:bottom w:val="nil"/>
              <w:right w:val="single" w:sz="8" w:space="0" w:color="auto"/>
            </w:tcBorders>
            <w:shd w:val="clear" w:color="auto" w:fill="auto"/>
            <w:noWrap/>
            <w:vAlign w:val="center"/>
            <w:hideMark/>
          </w:tcPr>
          <w:p w14:paraId="6AAAC19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15,7</w:t>
            </w:r>
          </w:p>
        </w:tc>
        <w:tc>
          <w:tcPr>
            <w:tcW w:w="821" w:type="dxa"/>
            <w:tcBorders>
              <w:top w:val="nil"/>
              <w:left w:val="nil"/>
              <w:bottom w:val="nil"/>
              <w:right w:val="nil"/>
            </w:tcBorders>
            <w:shd w:val="clear" w:color="auto" w:fill="auto"/>
            <w:vAlign w:val="center"/>
            <w:hideMark/>
          </w:tcPr>
          <w:p w14:paraId="33D159B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16,1</w:t>
            </w:r>
          </w:p>
        </w:tc>
        <w:tc>
          <w:tcPr>
            <w:tcW w:w="513" w:type="dxa"/>
            <w:tcBorders>
              <w:top w:val="nil"/>
              <w:left w:val="single" w:sz="8" w:space="0" w:color="auto"/>
              <w:bottom w:val="nil"/>
              <w:right w:val="single" w:sz="8" w:space="0" w:color="auto"/>
            </w:tcBorders>
            <w:shd w:val="clear" w:color="auto" w:fill="auto"/>
            <w:vAlign w:val="center"/>
            <w:hideMark/>
          </w:tcPr>
          <w:p w14:paraId="016C244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15,3</w:t>
            </w:r>
          </w:p>
        </w:tc>
        <w:tc>
          <w:tcPr>
            <w:tcW w:w="508" w:type="dxa"/>
            <w:tcBorders>
              <w:top w:val="nil"/>
              <w:left w:val="nil"/>
              <w:bottom w:val="nil"/>
              <w:right w:val="nil"/>
            </w:tcBorders>
            <w:shd w:val="clear" w:color="auto" w:fill="auto"/>
            <w:vAlign w:val="center"/>
            <w:hideMark/>
          </w:tcPr>
          <w:p w14:paraId="2CB8FE0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14,9</w:t>
            </w:r>
          </w:p>
        </w:tc>
        <w:tc>
          <w:tcPr>
            <w:tcW w:w="503" w:type="dxa"/>
            <w:tcBorders>
              <w:top w:val="nil"/>
              <w:left w:val="nil"/>
              <w:bottom w:val="nil"/>
              <w:right w:val="nil"/>
            </w:tcBorders>
            <w:shd w:val="clear" w:color="auto" w:fill="auto"/>
            <w:vAlign w:val="center"/>
            <w:hideMark/>
          </w:tcPr>
          <w:p w14:paraId="4FF72A6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14,9</w:t>
            </w:r>
          </w:p>
        </w:tc>
        <w:tc>
          <w:tcPr>
            <w:tcW w:w="506" w:type="dxa"/>
            <w:tcBorders>
              <w:top w:val="nil"/>
              <w:left w:val="nil"/>
              <w:bottom w:val="nil"/>
              <w:right w:val="nil"/>
            </w:tcBorders>
            <w:shd w:val="clear" w:color="auto" w:fill="auto"/>
            <w:vAlign w:val="center"/>
            <w:hideMark/>
          </w:tcPr>
          <w:p w14:paraId="5822125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14,9</w:t>
            </w:r>
          </w:p>
        </w:tc>
      </w:tr>
      <w:tr w:rsidR="000C6444" w:rsidRPr="00DD1398" w14:paraId="461EAD69" w14:textId="77777777" w:rsidTr="00636109">
        <w:trPr>
          <w:trHeight w:val="257"/>
        </w:trPr>
        <w:tc>
          <w:tcPr>
            <w:tcW w:w="4710" w:type="dxa"/>
            <w:tcBorders>
              <w:top w:val="nil"/>
              <w:left w:val="nil"/>
              <w:bottom w:val="nil"/>
              <w:right w:val="nil"/>
            </w:tcBorders>
            <w:shd w:val="clear" w:color="auto" w:fill="auto"/>
            <w:vAlign w:val="center"/>
            <w:hideMark/>
          </w:tcPr>
          <w:p w14:paraId="3133C72D"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Nedaňové príjmy</w:t>
            </w:r>
          </w:p>
        </w:tc>
        <w:tc>
          <w:tcPr>
            <w:tcW w:w="802" w:type="dxa"/>
            <w:tcBorders>
              <w:top w:val="nil"/>
              <w:left w:val="single" w:sz="8" w:space="0" w:color="auto"/>
              <w:bottom w:val="nil"/>
              <w:right w:val="single" w:sz="8" w:space="0" w:color="auto"/>
            </w:tcBorders>
            <w:shd w:val="clear" w:color="auto" w:fill="auto"/>
            <w:noWrap/>
            <w:vAlign w:val="center"/>
            <w:hideMark/>
          </w:tcPr>
          <w:p w14:paraId="2A6CCFC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3,3</w:t>
            </w:r>
          </w:p>
        </w:tc>
        <w:tc>
          <w:tcPr>
            <w:tcW w:w="802" w:type="dxa"/>
            <w:tcBorders>
              <w:top w:val="nil"/>
              <w:left w:val="nil"/>
              <w:bottom w:val="nil"/>
              <w:right w:val="single" w:sz="8" w:space="0" w:color="auto"/>
            </w:tcBorders>
            <w:shd w:val="clear" w:color="auto" w:fill="auto"/>
            <w:noWrap/>
            <w:vAlign w:val="center"/>
            <w:hideMark/>
          </w:tcPr>
          <w:p w14:paraId="2B6BFB9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3,1</w:t>
            </w:r>
          </w:p>
        </w:tc>
        <w:tc>
          <w:tcPr>
            <w:tcW w:w="821" w:type="dxa"/>
            <w:tcBorders>
              <w:top w:val="nil"/>
              <w:left w:val="nil"/>
              <w:bottom w:val="nil"/>
              <w:right w:val="nil"/>
            </w:tcBorders>
            <w:shd w:val="clear" w:color="auto" w:fill="auto"/>
            <w:vAlign w:val="center"/>
            <w:hideMark/>
          </w:tcPr>
          <w:p w14:paraId="68A03BE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3,3</w:t>
            </w:r>
          </w:p>
        </w:tc>
        <w:tc>
          <w:tcPr>
            <w:tcW w:w="513" w:type="dxa"/>
            <w:tcBorders>
              <w:top w:val="nil"/>
              <w:left w:val="single" w:sz="8" w:space="0" w:color="auto"/>
              <w:bottom w:val="nil"/>
              <w:right w:val="single" w:sz="8" w:space="0" w:color="auto"/>
            </w:tcBorders>
            <w:shd w:val="clear" w:color="auto" w:fill="auto"/>
            <w:vAlign w:val="center"/>
            <w:hideMark/>
          </w:tcPr>
          <w:p w14:paraId="6626070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2,8</w:t>
            </w:r>
          </w:p>
        </w:tc>
        <w:tc>
          <w:tcPr>
            <w:tcW w:w="508" w:type="dxa"/>
            <w:tcBorders>
              <w:top w:val="nil"/>
              <w:left w:val="nil"/>
              <w:bottom w:val="nil"/>
              <w:right w:val="nil"/>
            </w:tcBorders>
            <w:shd w:val="clear" w:color="auto" w:fill="auto"/>
            <w:vAlign w:val="center"/>
            <w:hideMark/>
          </w:tcPr>
          <w:p w14:paraId="5BE83450"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2,7</w:t>
            </w:r>
          </w:p>
        </w:tc>
        <w:tc>
          <w:tcPr>
            <w:tcW w:w="503" w:type="dxa"/>
            <w:tcBorders>
              <w:top w:val="nil"/>
              <w:left w:val="nil"/>
              <w:bottom w:val="nil"/>
              <w:right w:val="nil"/>
            </w:tcBorders>
            <w:shd w:val="clear" w:color="auto" w:fill="auto"/>
            <w:vAlign w:val="center"/>
            <w:hideMark/>
          </w:tcPr>
          <w:p w14:paraId="762BD7A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2,6</w:t>
            </w:r>
          </w:p>
        </w:tc>
        <w:tc>
          <w:tcPr>
            <w:tcW w:w="506" w:type="dxa"/>
            <w:tcBorders>
              <w:top w:val="nil"/>
              <w:left w:val="nil"/>
              <w:bottom w:val="nil"/>
              <w:right w:val="nil"/>
            </w:tcBorders>
            <w:shd w:val="clear" w:color="auto" w:fill="auto"/>
            <w:vAlign w:val="center"/>
            <w:hideMark/>
          </w:tcPr>
          <w:p w14:paraId="0AFDCFE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2,5</w:t>
            </w:r>
          </w:p>
        </w:tc>
      </w:tr>
      <w:tr w:rsidR="000C6444" w:rsidRPr="00DD1398" w14:paraId="29AD1E85" w14:textId="77777777" w:rsidTr="00636109">
        <w:trPr>
          <w:trHeight w:val="257"/>
        </w:trPr>
        <w:tc>
          <w:tcPr>
            <w:tcW w:w="4710" w:type="dxa"/>
            <w:tcBorders>
              <w:top w:val="nil"/>
              <w:left w:val="nil"/>
              <w:bottom w:val="nil"/>
              <w:right w:val="nil"/>
            </w:tcBorders>
            <w:shd w:val="clear" w:color="auto" w:fill="auto"/>
            <w:vAlign w:val="center"/>
            <w:hideMark/>
          </w:tcPr>
          <w:p w14:paraId="21EF67B8"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Granty a transfery</w:t>
            </w:r>
          </w:p>
        </w:tc>
        <w:tc>
          <w:tcPr>
            <w:tcW w:w="802" w:type="dxa"/>
            <w:tcBorders>
              <w:top w:val="nil"/>
              <w:left w:val="single" w:sz="8" w:space="0" w:color="auto"/>
              <w:bottom w:val="nil"/>
              <w:right w:val="single" w:sz="8" w:space="0" w:color="auto"/>
            </w:tcBorders>
            <w:shd w:val="clear" w:color="auto" w:fill="auto"/>
            <w:noWrap/>
            <w:vAlign w:val="center"/>
            <w:hideMark/>
          </w:tcPr>
          <w:p w14:paraId="786AB7C3"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1,6</w:t>
            </w:r>
          </w:p>
        </w:tc>
        <w:tc>
          <w:tcPr>
            <w:tcW w:w="802" w:type="dxa"/>
            <w:tcBorders>
              <w:top w:val="nil"/>
              <w:left w:val="nil"/>
              <w:bottom w:val="nil"/>
              <w:right w:val="single" w:sz="8" w:space="0" w:color="auto"/>
            </w:tcBorders>
            <w:shd w:val="clear" w:color="auto" w:fill="auto"/>
            <w:noWrap/>
            <w:vAlign w:val="center"/>
            <w:hideMark/>
          </w:tcPr>
          <w:p w14:paraId="31189D5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1,6</w:t>
            </w:r>
          </w:p>
        </w:tc>
        <w:tc>
          <w:tcPr>
            <w:tcW w:w="821" w:type="dxa"/>
            <w:tcBorders>
              <w:top w:val="nil"/>
              <w:left w:val="nil"/>
              <w:bottom w:val="nil"/>
              <w:right w:val="nil"/>
            </w:tcBorders>
            <w:shd w:val="clear" w:color="auto" w:fill="auto"/>
            <w:vAlign w:val="center"/>
            <w:hideMark/>
          </w:tcPr>
          <w:p w14:paraId="1858E2D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1,6</w:t>
            </w:r>
          </w:p>
        </w:tc>
        <w:tc>
          <w:tcPr>
            <w:tcW w:w="513" w:type="dxa"/>
            <w:tcBorders>
              <w:top w:val="nil"/>
              <w:left w:val="single" w:sz="8" w:space="0" w:color="auto"/>
              <w:bottom w:val="nil"/>
              <w:right w:val="single" w:sz="8" w:space="0" w:color="auto"/>
            </w:tcBorders>
            <w:shd w:val="clear" w:color="auto" w:fill="auto"/>
            <w:vAlign w:val="center"/>
            <w:hideMark/>
          </w:tcPr>
          <w:p w14:paraId="2503B3A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2,7</w:t>
            </w:r>
          </w:p>
        </w:tc>
        <w:tc>
          <w:tcPr>
            <w:tcW w:w="508" w:type="dxa"/>
            <w:tcBorders>
              <w:top w:val="nil"/>
              <w:left w:val="nil"/>
              <w:bottom w:val="nil"/>
              <w:right w:val="nil"/>
            </w:tcBorders>
            <w:shd w:val="clear" w:color="auto" w:fill="auto"/>
            <w:vAlign w:val="center"/>
            <w:hideMark/>
          </w:tcPr>
          <w:p w14:paraId="1A0F6A6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4,1</w:t>
            </w:r>
          </w:p>
        </w:tc>
        <w:tc>
          <w:tcPr>
            <w:tcW w:w="503" w:type="dxa"/>
            <w:tcBorders>
              <w:top w:val="nil"/>
              <w:left w:val="nil"/>
              <w:bottom w:val="nil"/>
              <w:right w:val="nil"/>
            </w:tcBorders>
            <w:shd w:val="clear" w:color="auto" w:fill="auto"/>
            <w:vAlign w:val="center"/>
            <w:hideMark/>
          </w:tcPr>
          <w:p w14:paraId="5C70CFD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2,4</w:t>
            </w:r>
          </w:p>
        </w:tc>
        <w:tc>
          <w:tcPr>
            <w:tcW w:w="506" w:type="dxa"/>
            <w:tcBorders>
              <w:top w:val="nil"/>
              <w:left w:val="nil"/>
              <w:bottom w:val="nil"/>
              <w:right w:val="nil"/>
            </w:tcBorders>
            <w:shd w:val="clear" w:color="auto" w:fill="auto"/>
            <w:vAlign w:val="center"/>
            <w:hideMark/>
          </w:tcPr>
          <w:p w14:paraId="6EE3868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2,3</w:t>
            </w:r>
          </w:p>
        </w:tc>
      </w:tr>
      <w:tr w:rsidR="000C6444" w:rsidRPr="00DD1398" w14:paraId="562554E1" w14:textId="77777777" w:rsidTr="00636109">
        <w:trPr>
          <w:trHeight w:val="269"/>
        </w:trPr>
        <w:tc>
          <w:tcPr>
            <w:tcW w:w="4710" w:type="dxa"/>
            <w:tcBorders>
              <w:top w:val="nil"/>
              <w:left w:val="nil"/>
              <w:bottom w:val="single" w:sz="8" w:space="0" w:color="auto"/>
              <w:right w:val="nil"/>
            </w:tcBorders>
            <w:shd w:val="clear" w:color="auto" w:fill="auto"/>
            <w:noWrap/>
            <w:vAlign w:val="bottom"/>
            <w:hideMark/>
          </w:tcPr>
          <w:p w14:paraId="7178ABC1"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 toho EU fondy</w:t>
            </w:r>
          </w:p>
        </w:tc>
        <w:tc>
          <w:tcPr>
            <w:tcW w:w="802" w:type="dxa"/>
            <w:tcBorders>
              <w:top w:val="nil"/>
              <w:left w:val="single" w:sz="8" w:space="0" w:color="auto"/>
              <w:bottom w:val="single" w:sz="8" w:space="0" w:color="auto"/>
              <w:right w:val="single" w:sz="8" w:space="0" w:color="auto"/>
            </w:tcBorders>
            <w:shd w:val="clear" w:color="auto" w:fill="auto"/>
            <w:noWrap/>
            <w:vAlign w:val="center"/>
            <w:hideMark/>
          </w:tcPr>
          <w:p w14:paraId="3D620A5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1,0</w:t>
            </w:r>
          </w:p>
        </w:tc>
        <w:tc>
          <w:tcPr>
            <w:tcW w:w="802" w:type="dxa"/>
            <w:tcBorders>
              <w:top w:val="nil"/>
              <w:left w:val="nil"/>
              <w:bottom w:val="single" w:sz="8" w:space="0" w:color="auto"/>
              <w:right w:val="single" w:sz="8" w:space="0" w:color="auto"/>
            </w:tcBorders>
            <w:shd w:val="clear" w:color="auto" w:fill="auto"/>
            <w:noWrap/>
            <w:vAlign w:val="center"/>
            <w:hideMark/>
          </w:tcPr>
          <w:p w14:paraId="753395E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1,2</w:t>
            </w:r>
          </w:p>
        </w:tc>
        <w:tc>
          <w:tcPr>
            <w:tcW w:w="821" w:type="dxa"/>
            <w:tcBorders>
              <w:top w:val="nil"/>
              <w:left w:val="nil"/>
              <w:bottom w:val="single" w:sz="8" w:space="0" w:color="auto"/>
              <w:right w:val="nil"/>
            </w:tcBorders>
            <w:shd w:val="clear" w:color="auto" w:fill="auto"/>
            <w:noWrap/>
            <w:vAlign w:val="bottom"/>
            <w:hideMark/>
          </w:tcPr>
          <w:p w14:paraId="570B9BA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1,2</w:t>
            </w:r>
          </w:p>
        </w:tc>
        <w:tc>
          <w:tcPr>
            <w:tcW w:w="513" w:type="dxa"/>
            <w:tcBorders>
              <w:top w:val="nil"/>
              <w:left w:val="single" w:sz="8" w:space="0" w:color="auto"/>
              <w:bottom w:val="single" w:sz="8" w:space="0" w:color="auto"/>
              <w:right w:val="single" w:sz="8" w:space="0" w:color="auto"/>
            </w:tcBorders>
            <w:shd w:val="clear" w:color="auto" w:fill="auto"/>
            <w:noWrap/>
            <w:vAlign w:val="bottom"/>
            <w:hideMark/>
          </w:tcPr>
          <w:p w14:paraId="735E7D7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2,1</w:t>
            </w:r>
          </w:p>
        </w:tc>
        <w:tc>
          <w:tcPr>
            <w:tcW w:w="508" w:type="dxa"/>
            <w:tcBorders>
              <w:top w:val="nil"/>
              <w:left w:val="nil"/>
              <w:bottom w:val="single" w:sz="8" w:space="0" w:color="auto"/>
              <w:right w:val="nil"/>
            </w:tcBorders>
            <w:shd w:val="clear" w:color="auto" w:fill="auto"/>
            <w:noWrap/>
            <w:vAlign w:val="bottom"/>
            <w:hideMark/>
          </w:tcPr>
          <w:p w14:paraId="0B00932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3,6</w:t>
            </w:r>
          </w:p>
        </w:tc>
        <w:tc>
          <w:tcPr>
            <w:tcW w:w="503" w:type="dxa"/>
            <w:tcBorders>
              <w:top w:val="nil"/>
              <w:left w:val="nil"/>
              <w:bottom w:val="single" w:sz="8" w:space="0" w:color="auto"/>
              <w:right w:val="nil"/>
            </w:tcBorders>
            <w:shd w:val="clear" w:color="auto" w:fill="auto"/>
            <w:noWrap/>
            <w:vAlign w:val="bottom"/>
            <w:hideMark/>
          </w:tcPr>
          <w:p w14:paraId="301B07E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1,9</w:t>
            </w:r>
          </w:p>
        </w:tc>
        <w:tc>
          <w:tcPr>
            <w:tcW w:w="506" w:type="dxa"/>
            <w:tcBorders>
              <w:top w:val="nil"/>
              <w:left w:val="nil"/>
              <w:bottom w:val="single" w:sz="8" w:space="0" w:color="auto"/>
              <w:right w:val="nil"/>
            </w:tcBorders>
            <w:shd w:val="clear" w:color="auto" w:fill="auto"/>
            <w:noWrap/>
            <w:vAlign w:val="bottom"/>
            <w:hideMark/>
          </w:tcPr>
          <w:p w14:paraId="180A171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1,9</w:t>
            </w:r>
          </w:p>
        </w:tc>
      </w:tr>
      <w:tr w:rsidR="000C6444" w:rsidRPr="00DD1398" w14:paraId="6339DE3E" w14:textId="77777777" w:rsidTr="00636109">
        <w:trPr>
          <w:trHeight w:val="257"/>
        </w:trPr>
        <w:tc>
          <w:tcPr>
            <w:tcW w:w="4710" w:type="dxa"/>
            <w:tcBorders>
              <w:top w:val="nil"/>
              <w:left w:val="nil"/>
              <w:bottom w:val="nil"/>
              <w:right w:val="nil"/>
            </w:tcBorders>
            <w:shd w:val="clear" w:color="auto" w:fill="auto"/>
            <w:noWrap/>
            <w:vAlign w:val="center"/>
            <w:hideMark/>
          </w:tcPr>
          <w:p w14:paraId="71360F0E" w14:textId="77777777" w:rsidR="000C6444" w:rsidRPr="00DD1398" w:rsidRDefault="000C6444" w:rsidP="00070E82">
            <w:pPr>
              <w:widowControl w:val="0"/>
              <w:rPr>
                <w:rFonts w:cs="Calibri"/>
                <w:b/>
                <w:bCs/>
                <w:color w:val="000000"/>
                <w:sz w:val="16"/>
                <w:szCs w:val="18"/>
              </w:rPr>
            </w:pPr>
            <w:r w:rsidRPr="00DD1398">
              <w:rPr>
                <w:rFonts w:cs="Calibri"/>
                <w:b/>
                <w:bCs/>
                <w:color w:val="000000"/>
                <w:sz w:val="16"/>
                <w:szCs w:val="18"/>
              </w:rPr>
              <w:t>2. Výdavky spolu</w:t>
            </w:r>
          </w:p>
        </w:tc>
        <w:tc>
          <w:tcPr>
            <w:tcW w:w="802" w:type="dxa"/>
            <w:tcBorders>
              <w:top w:val="nil"/>
              <w:left w:val="single" w:sz="8" w:space="0" w:color="auto"/>
              <w:bottom w:val="nil"/>
              <w:right w:val="single" w:sz="8" w:space="0" w:color="auto"/>
            </w:tcBorders>
            <w:shd w:val="clear" w:color="auto" w:fill="auto"/>
            <w:noWrap/>
            <w:vAlign w:val="center"/>
            <w:hideMark/>
          </w:tcPr>
          <w:p w14:paraId="41EC8BB0"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40,7</w:t>
            </w:r>
          </w:p>
        </w:tc>
        <w:tc>
          <w:tcPr>
            <w:tcW w:w="802" w:type="dxa"/>
            <w:tcBorders>
              <w:top w:val="nil"/>
              <w:left w:val="nil"/>
              <w:bottom w:val="nil"/>
              <w:right w:val="single" w:sz="8" w:space="0" w:color="auto"/>
            </w:tcBorders>
            <w:shd w:val="clear" w:color="auto" w:fill="auto"/>
            <w:noWrap/>
            <w:vAlign w:val="center"/>
            <w:hideMark/>
          </w:tcPr>
          <w:p w14:paraId="2AB7C5AA"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45,3</w:t>
            </w:r>
          </w:p>
        </w:tc>
        <w:tc>
          <w:tcPr>
            <w:tcW w:w="821" w:type="dxa"/>
            <w:tcBorders>
              <w:top w:val="nil"/>
              <w:left w:val="nil"/>
              <w:bottom w:val="nil"/>
              <w:right w:val="nil"/>
            </w:tcBorders>
            <w:shd w:val="clear" w:color="auto" w:fill="auto"/>
            <w:noWrap/>
            <w:vAlign w:val="center"/>
            <w:hideMark/>
          </w:tcPr>
          <w:p w14:paraId="6726E5B8"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46,8</w:t>
            </w:r>
          </w:p>
        </w:tc>
        <w:tc>
          <w:tcPr>
            <w:tcW w:w="513" w:type="dxa"/>
            <w:tcBorders>
              <w:top w:val="nil"/>
              <w:left w:val="single" w:sz="8" w:space="0" w:color="auto"/>
              <w:bottom w:val="nil"/>
              <w:right w:val="single" w:sz="8" w:space="0" w:color="auto"/>
            </w:tcBorders>
            <w:shd w:val="clear" w:color="auto" w:fill="auto"/>
            <w:noWrap/>
            <w:vAlign w:val="center"/>
            <w:hideMark/>
          </w:tcPr>
          <w:p w14:paraId="5A47B150"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45,3</w:t>
            </w:r>
          </w:p>
        </w:tc>
        <w:tc>
          <w:tcPr>
            <w:tcW w:w="508" w:type="dxa"/>
            <w:tcBorders>
              <w:top w:val="nil"/>
              <w:left w:val="nil"/>
              <w:bottom w:val="nil"/>
              <w:right w:val="nil"/>
            </w:tcBorders>
            <w:shd w:val="clear" w:color="auto" w:fill="auto"/>
            <w:noWrap/>
            <w:vAlign w:val="center"/>
            <w:hideMark/>
          </w:tcPr>
          <w:p w14:paraId="0B6A325E"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44,1</w:t>
            </w:r>
          </w:p>
        </w:tc>
        <w:tc>
          <w:tcPr>
            <w:tcW w:w="503" w:type="dxa"/>
            <w:tcBorders>
              <w:top w:val="nil"/>
              <w:left w:val="nil"/>
              <w:bottom w:val="nil"/>
              <w:right w:val="nil"/>
            </w:tcBorders>
            <w:shd w:val="clear" w:color="auto" w:fill="auto"/>
            <w:noWrap/>
            <w:vAlign w:val="center"/>
            <w:hideMark/>
          </w:tcPr>
          <w:p w14:paraId="041AEDA2"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41,9</w:t>
            </w:r>
          </w:p>
        </w:tc>
        <w:tc>
          <w:tcPr>
            <w:tcW w:w="506" w:type="dxa"/>
            <w:tcBorders>
              <w:top w:val="single" w:sz="8" w:space="0" w:color="auto"/>
              <w:left w:val="nil"/>
              <w:bottom w:val="nil"/>
              <w:right w:val="nil"/>
            </w:tcBorders>
            <w:shd w:val="clear" w:color="auto" w:fill="auto"/>
            <w:noWrap/>
            <w:vAlign w:val="center"/>
            <w:hideMark/>
          </w:tcPr>
          <w:p w14:paraId="181B1D25" w14:textId="77777777" w:rsidR="000C6444" w:rsidRPr="00DD1398" w:rsidRDefault="000C6444" w:rsidP="00070E82">
            <w:pPr>
              <w:widowControl w:val="0"/>
              <w:jc w:val="center"/>
              <w:rPr>
                <w:rFonts w:cs="Calibri"/>
                <w:b/>
                <w:bCs/>
                <w:color w:val="000000"/>
                <w:sz w:val="16"/>
                <w:szCs w:val="18"/>
              </w:rPr>
            </w:pPr>
            <w:r w:rsidRPr="00DD1398">
              <w:rPr>
                <w:rFonts w:cs="Calibri"/>
                <w:b/>
                <w:bCs/>
                <w:color w:val="000000"/>
                <w:sz w:val="16"/>
                <w:szCs w:val="18"/>
              </w:rPr>
              <w:t>41,8</w:t>
            </w:r>
          </w:p>
        </w:tc>
      </w:tr>
      <w:tr w:rsidR="000C6444" w:rsidRPr="00DD1398" w14:paraId="7683E9FB" w14:textId="77777777" w:rsidTr="00636109">
        <w:trPr>
          <w:trHeight w:val="257"/>
        </w:trPr>
        <w:tc>
          <w:tcPr>
            <w:tcW w:w="4710" w:type="dxa"/>
            <w:tcBorders>
              <w:top w:val="nil"/>
              <w:left w:val="nil"/>
              <w:bottom w:val="nil"/>
              <w:right w:val="nil"/>
            </w:tcBorders>
            <w:shd w:val="clear" w:color="auto" w:fill="auto"/>
            <w:noWrap/>
            <w:vAlign w:val="center"/>
            <w:hideMark/>
          </w:tcPr>
          <w:p w14:paraId="3E0FED81" w14:textId="77777777" w:rsidR="000C6444" w:rsidRPr="00DD1398" w:rsidRDefault="000C6444" w:rsidP="00070E82">
            <w:pPr>
              <w:widowControl w:val="0"/>
              <w:rPr>
                <w:rFonts w:cs="Calibri"/>
                <w:b/>
                <w:bCs/>
                <w:color w:val="000000"/>
                <w:sz w:val="16"/>
                <w:szCs w:val="18"/>
              </w:rPr>
            </w:pPr>
            <w:r w:rsidRPr="00DD1398">
              <w:rPr>
                <w:rFonts w:cs="Calibri"/>
                <w:b/>
                <w:bCs/>
                <w:color w:val="000000"/>
                <w:sz w:val="16"/>
                <w:szCs w:val="18"/>
              </w:rPr>
              <w:t xml:space="preserve">  Bežné výdavky</w:t>
            </w:r>
          </w:p>
        </w:tc>
        <w:tc>
          <w:tcPr>
            <w:tcW w:w="802" w:type="dxa"/>
            <w:tcBorders>
              <w:top w:val="nil"/>
              <w:left w:val="single" w:sz="8" w:space="0" w:color="auto"/>
              <w:bottom w:val="nil"/>
              <w:right w:val="single" w:sz="8" w:space="0" w:color="auto"/>
            </w:tcBorders>
            <w:shd w:val="clear" w:color="auto" w:fill="auto"/>
            <w:noWrap/>
            <w:vAlign w:val="center"/>
            <w:hideMark/>
          </w:tcPr>
          <w:p w14:paraId="041746C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36,7</w:t>
            </w:r>
          </w:p>
        </w:tc>
        <w:tc>
          <w:tcPr>
            <w:tcW w:w="802" w:type="dxa"/>
            <w:tcBorders>
              <w:top w:val="nil"/>
              <w:left w:val="nil"/>
              <w:bottom w:val="nil"/>
              <w:right w:val="single" w:sz="8" w:space="0" w:color="auto"/>
            </w:tcBorders>
            <w:shd w:val="clear" w:color="auto" w:fill="auto"/>
            <w:noWrap/>
            <w:vAlign w:val="center"/>
            <w:hideMark/>
          </w:tcPr>
          <w:p w14:paraId="0C04179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41,0</w:t>
            </w:r>
          </w:p>
        </w:tc>
        <w:tc>
          <w:tcPr>
            <w:tcW w:w="821" w:type="dxa"/>
            <w:tcBorders>
              <w:top w:val="nil"/>
              <w:left w:val="nil"/>
              <w:bottom w:val="nil"/>
              <w:right w:val="nil"/>
            </w:tcBorders>
            <w:shd w:val="clear" w:color="auto" w:fill="auto"/>
            <w:noWrap/>
            <w:vAlign w:val="center"/>
            <w:hideMark/>
          </w:tcPr>
          <w:p w14:paraId="140AC68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43,3</w:t>
            </w:r>
          </w:p>
        </w:tc>
        <w:tc>
          <w:tcPr>
            <w:tcW w:w="513" w:type="dxa"/>
            <w:tcBorders>
              <w:top w:val="nil"/>
              <w:left w:val="single" w:sz="8" w:space="0" w:color="auto"/>
              <w:bottom w:val="nil"/>
              <w:right w:val="single" w:sz="8" w:space="0" w:color="auto"/>
            </w:tcBorders>
            <w:shd w:val="clear" w:color="auto" w:fill="auto"/>
            <w:noWrap/>
            <w:vAlign w:val="center"/>
            <w:hideMark/>
          </w:tcPr>
          <w:p w14:paraId="7C6E7FA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39,8</w:t>
            </w:r>
          </w:p>
        </w:tc>
        <w:tc>
          <w:tcPr>
            <w:tcW w:w="508" w:type="dxa"/>
            <w:tcBorders>
              <w:top w:val="nil"/>
              <w:left w:val="nil"/>
              <w:bottom w:val="nil"/>
              <w:right w:val="nil"/>
            </w:tcBorders>
            <w:shd w:val="clear" w:color="auto" w:fill="auto"/>
            <w:noWrap/>
            <w:vAlign w:val="center"/>
            <w:hideMark/>
          </w:tcPr>
          <w:p w14:paraId="36252C3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39,1</w:t>
            </w:r>
          </w:p>
        </w:tc>
        <w:tc>
          <w:tcPr>
            <w:tcW w:w="503" w:type="dxa"/>
            <w:tcBorders>
              <w:top w:val="nil"/>
              <w:left w:val="nil"/>
              <w:bottom w:val="nil"/>
              <w:right w:val="nil"/>
            </w:tcBorders>
            <w:shd w:val="clear" w:color="auto" w:fill="auto"/>
            <w:noWrap/>
            <w:vAlign w:val="center"/>
            <w:hideMark/>
          </w:tcPr>
          <w:p w14:paraId="4B1E63D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37,4</w:t>
            </w:r>
          </w:p>
        </w:tc>
        <w:tc>
          <w:tcPr>
            <w:tcW w:w="506" w:type="dxa"/>
            <w:tcBorders>
              <w:top w:val="nil"/>
              <w:left w:val="nil"/>
              <w:bottom w:val="nil"/>
              <w:right w:val="nil"/>
            </w:tcBorders>
            <w:shd w:val="clear" w:color="auto" w:fill="auto"/>
            <w:noWrap/>
            <w:vAlign w:val="center"/>
            <w:hideMark/>
          </w:tcPr>
          <w:p w14:paraId="67E926D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37,2</w:t>
            </w:r>
          </w:p>
        </w:tc>
      </w:tr>
      <w:tr w:rsidR="000C6444" w:rsidRPr="00DD1398" w14:paraId="03B3E671" w14:textId="77777777" w:rsidTr="00636109">
        <w:trPr>
          <w:trHeight w:val="257"/>
        </w:trPr>
        <w:tc>
          <w:tcPr>
            <w:tcW w:w="4710" w:type="dxa"/>
            <w:tcBorders>
              <w:top w:val="nil"/>
              <w:left w:val="nil"/>
              <w:bottom w:val="nil"/>
              <w:right w:val="nil"/>
            </w:tcBorders>
            <w:shd w:val="clear" w:color="auto" w:fill="auto"/>
            <w:noWrap/>
            <w:vAlign w:val="center"/>
            <w:hideMark/>
          </w:tcPr>
          <w:p w14:paraId="3DB44742"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Kompenzácie zamestnancov</w:t>
            </w:r>
          </w:p>
        </w:tc>
        <w:tc>
          <w:tcPr>
            <w:tcW w:w="802" w:type="dxa"/>
            <w:tcBorders>
              <w:top w:val="nil"/>
              <w:left w:val="single" w:sz="8" w:space="0" w:color="auto"/>
              <w:bottom w:val="nil"/>
              <w:right w:val="single" w:sz="8" w:space="0" w:color="auto"/>
            </w:tcBorders>
            <w:shd w:val="clear" w:color="auto" w:fill="auto"/>
            <w:noWrap/>
            <w:vAlign w:val="center"/>
            <w:hideMark/>
          </w:tcPr>
          <w:p w14:paraId="481E793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10,2</w:t>
            </w:r>
          </w:p>
        </w:tc>
        <w:tc>
          <w:tcPr>
            <w:tcW w:w="802" w:type="dxa"/>
            <w:tcBorders>
              <w:top w:val="nil"/>
              <w:left w:val="nil"/>
              <w:bottom w:val="nil"/>
              <w:right w:val="single" w:sz="8" w:space="0" w:color="auto"/>
            </w:tcBorders>
            <w:shd w:val="clear" w:color="auto" w:fill="auto"/>
            <w:noWrap/>
            <w:vAlign w:val="center"/>
            <w:hideMark/>
          </w:tcPr>
          <w:p w14:paraId="541DA67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11,4</w:t>
            </w:r>
          </w:p>
        </w:tc>
        <w:tc>
          <w:tcPr>
            <w:tcW w:w="821" w:type="dxa"/>
            <w:tcBorders>
              <w:top w:val="nil"/>
              <w:left w:val="nil"/>
              <w:bottom w:val="nil"/>
              <w:right w:val="nil"/>
            </w:tcBorders>
            <w:shd w:val="clear" w:color="auto" w:fill="auto"/>
            <w:noWrap/>
            <w:vAlign w:val="center"/>
            <w:hideMark/>
          </w:tcPr>
          <w:p w14:paraId="10893CB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11,6</w:t>
            </w:r>
          </w:p>
        </w:tc>
        <w:tc>
          <w:tcPr>
            <w:tcW w:w="513" w:type="dxa"/>
            <w:tcBorders>
              <w:top w:val="nil"/>
              <w:left w:val="single" w:sz="8" w:space="0" w:color="auto"/>
              <w:bottom w:val="nil"/>
              <w:right w:val="single" w:sz="8" w:space="0" w:color="auto"/>
            </w:tcBorders>
            <w:shd w:val="clear" w:color="auto" w:fill="auto"/>
            <w:noWrap/>
            <w:vAlign w:val="center"/>
            <w:hideMark/>
          </w:tcPr>
          <w:p w14:paraId="7BEB058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10,4</w:t>
            </w:r>
          </w:p>
        </w:tc>
        <w:tc>
          <w:tcPr>
            <w:tcW w:w="508" w:type="dxa"/>
            <w:tcBorders>
              <w:top w:val="nil"/>
              <w:left w:val="nil"/>
              <w:bottom w:val="nil"/>
              <w:right w:val="nil"/>
            </w:tcBorders>
            <w:shd w:val="clear" w:color="auto" w:fill="auto"/>
            <w:noWrap/>
            <w:vAlign w:val="center"/>
            <w:hideMark/>
          </w:tcPr>
          <w:p w14:paraId="023F1B9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9,7</w:t>
            </w:r>
          </w:p>
        </w:tc>
        <w:tc>
          <w:tcPr>
            <w:tcW w:w="503" w:type="dxa"/>
            <w:tcBorders>
              <w:top w:val="nil"/>
              <w:left w:val="nil"/>
              <w:bottom w:val="nil"/>
              <w:right w:val="nil"/>
            </w:tcBorders>
            <w:shd w:val="clear" w:color="auto" w:fill="auto"/>
            <w:noWrap/>
            <w:vAlign w:val="center"/>
            <w:hideMark/>
          </w:tcPr>
          <w:p w14:paraId="4A11BE0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9,6</w:t>
            </w:r>
          </w:p>
        </w:tc>
        <w:tc>
          <w:tcPr>
            <w:tcW w:w="506" w:type="dxa"/>
            <w:tcBorders>
              <w:top w:val="nil"/>
              <w:left w:val="nil"/>
              <w:bottom w:val="nil"/>
              <w:right w:val="nil"/>
            </w:tcBorders>
            <w:shd w:val="clear" w:color="auto" w:fill="auto"/>
            <w:noWrap/>
            <w:vAlign w:val="center"/>
            <w:hideMark/>
          </w:tcPr>
          <w:p w14:paraId="25B3F46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9,4</w:t>
            </w:r>
          </w:p>
        </w:tc>
      </w:tr>
      <w:tr w:rsidR="000C6444" w:rsidRPr="00DD1398" w14:paraId="680CAEA3" w14:textId="77777777" w:rsidTr="00636109">
        <w:trPr>
          <w:trHeight w:val="257"/>
        </w:trPr>
        <w:tc>
          <w:tcPr>
            <w:tcW w:w="4710" w:type="dxa"/>
            <w:tcBorders>
              <w:top w:val="nil"/>
              <w:left w:val="nil"/>
              <w:bottom w:val="nil"/>
              <w:right w:val="nil"/>
            </w:tcBorders>
            <w:shd w:val="clear" w:color="auto" w:fill="auto"/>
            <w:noWrap/>
            <w:vAlign w:val="center"/>
            <w:hideMark/>
          </w:tcPr>
          <w:p w14:paraId="279C3A6B"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Medzispotreba</w:t>
            </w:r>
          </w:p>
        </w:tc>
        <w:tc>
          <w:tcPr>
            <w:tcW w:w="802" w:type="dxa"/>
            <w:tcBorders>
              <w:top w:val="nil"/>
              <w:left w:val="single" w:sz="8" w:space="0" w:color="auto"/>
              <w:bottom w:val="nil"/>
              <w:right w:val="single" w:sz="8" w:space="0" w:color="auto"/>
            </w:tcBorders>
            <w:shd w:val="clear" w:color="auto" w:fill="auto"/>
            <w:noWrap/>
            <w:vAlign w:val="center"/>
            <w:hideMark/>
          </w:tcPr>
          <w:p w14:paraId="2F79EBA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5,5</w:t>
            </w:r>
          </w:p>
        </w:tc>
        <w:tc>
          <w:tcPr>
            <w:tcW w:w="802" w:type="dxa"/>
            <w:tcBorders>
              <w:top w:val="nil"/>
              <w:left w:val="nil"/>
              <w:bottom w:val="nil"/>
              <w:right w:val="single" w:sz="8" w:space="0" w:color="auto"/>
            </w:tcBorders>
            <w:shd w:val="clear" w:color="auto" w:fill="auto"/>
            <w:noWrap/>
            <w:vAlign w:val="center"/>
            <w:hideMark/>
          </w:tcPr>
          <w:p w14:paraId="7351EB6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5,7</w:t>
            </w:r>
          </w:p>
        </w:tc>
        <w:tc>
          <w:tcPr>
            <w:tcW w:w="821" w:type="dxa"/>
            <w:tcBorders>
              <w:top w:val="nil"/>
              <w:left w:val="nil"/>
              <w:bottom w:val="nil"/>
              <w:right w:val="nil"/>
            </w:tcBorders>
            <w:shd w:val="clear" w:color="auto" w:fill="auto"/>
            <w:noWrap/>
            <w:vAlign w:val="center"/>
            <w:hideMark/>
          </w:tcPr>
          <w:p w14:paraId="28C2010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6,0</w:t>
            </w:r>
          </w:p>
        </w:tc>
        <w:tc>
          <w:tcPr>
            <w:tcW w:w="513" w:type="dxa"/>
            <w:tcBorders>
              <w:top w:val="nil"/>
              <w:left w:val="single" w:sz="8" w:space="0" w:color="auto"/>
              <w:bottom w:val="nil"/>
              <w:right w:val="single" w:sz="8" w:space="0" w:color="auto"/>
            </w:tcBorders>
            <w:shd w:val="clear" w:color="auto" w:fill="auto"/>
            <w:noWrap/>
            <w:vAlign w:val="center"/>
            <w:hideMark/>
          </w:tcPr>
          <w:p w14:paraId="35AD4A9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7,0</w:t>
            </w:r>
          </w:p>
        </w:tc>
        <w:tc>
          <w:tcPr>
            <w:tcW w:w="508" w:type="dxa"/>
            <w:tcBorders>
              <w:top w:val="nil"/>
              <w:left w:val="nil"/>
              <w:bottom w:val="nil"/>
              <w:right w:val="nil"/>
            </w:tcBorders>
            <w:shd w:val="clear" w:color="auto" w:fill="auto"/>
            <w:noWrap/>
            <w:vAlign w:val="center"/>
            <w:hideMark/>
          </w:tcPr>
          <w:p w14:paraId="541485A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7,9</w:t>
            </w:r>
          </w:p>
        </w:tc>
        <w:tc>
          <w:tcPr>
            <w:tcW w:w="503" w:type="dxa"/>
            <w:tcBorders>
              <w:top w:val="nil"/>
              <w:left w:val="nil"/>
              <w:bottom w:val="nil"/>
              <w:right w:val="nil"/>
            </w:tcBorders>
            <w:shd w:val="clear" w:color="auto" w:fill="auto"/>
            <w:noWrap/>
            <w:vAlign w:val="center"/>
            <w:hideMark/>
          </w:tcPr>
          <w:p w14:paraId="325789D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6,4</w:t>
            </w:r>
          </w:p>
        </w:tc>
        <w:tc>
          <w:tcPr>
            <w:tcW w:w="506" w:type="dxa"/>
            <w:tcBorders>
              <w:top w:val="nil"/>
              <w:left w:val="nil"/>
              <w:bottom w:val="nil"/>
              <w:right w:val="nil"/>
            </w:tcBorders>
            <w:shd w:val="clear" w:color="auto" w:fill="auto"/>
            <w:noWrap/>
            <w:vAlign w:val="center"/>
            <w:hideMark/>
          </w:tcPr>
          <w:p w14:paraId="634EFB5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6,5</w:t>
            </w:r>
          </w:p>
        </w:tc>
      </w:tr>
      <w:tr w:rsidR="000C6444" w:rsidRPr="00DD1398" w14:paraId="34D9D455" w14:textId="77777777" w:rsidTr="00636109">
        <w:trPr>
          <w:trHeight w:val="257"/>
        </w:trPr>
        <w:tc>
          <w:tcPr>
            <w:tcW w:w="4710" w:type="dxa"/>
            <w:tcBorders>
              <w:top w:val="nil"/>
              <w:left w:val="nil"/>
              <w:bottom w:val="nil"/>
              <w:right w:val="nil"/>
            </w:tcBorders>
            <w:shd w:val="clear" w:color="auto" w:fill="auto"/>
            <w:noWrap/>
            <w:vAlign w:val="center"/>
            <w:hideMark/>
          </w:tcPr>
          <w:p w14:paraId="49949D59"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Subvencie</w:t>
            </w:r>
          </w:p>
        </w:tc>
        <w:tc>
          <w:tcPr>
            <w:tcW w:w="802" w:type="dxa"/>
            <w:tcBorders>
              <w:top w:val="nil"/>
              <w:left w:val="single" w:sz="8" w:space="0" w:color="auto"/>
              <w:bottom w:val="nil"/>
              <w:right w:val="single" w:sz="8" w:space="0" w:color="auto"/>
            </w:tcBorders>
            <w:shd w:val="clear" w:color="auto" w:fill="auto"/>
            <w:noWrap/>
            <w:vAlign w:val="center"/>
            <w:hideMark/>
          </w:tcPr>
          <w:p w14:paraId="65653C0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1,0</w:t>
            </w:r>
          </w:p>
        </w:tc>
        <w:tc>
          <w:tcPr>
            <w:tcW w:w="802" w:type="dxa"/>
            <w:tcBorders>
              <w:top w:val="nil"/>
              <w:left w:val="nil"/>
              <w:bottom w:val="nil"/>
              <w:right w:val="single" w:sz="8" w:space="0" w:color="auto"/>
            </w:tcBorders>
            <w:shd w:val="clear" w:color="auto" w:fill="auto"/>
            <w:noWrap/>
            <w:vAlign w:val="center"/>
            <w:hideMark/>
          </w:tcPr>
          <w:p w14:paraId="77BC59B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1,3</w:t>
            </w:r>
          </w:p>
        </w:tc>
        <w:tc>
          <w:tcPr>
            <w:tcW w:w="821" w:type="dxa"/>
            <w:tcBorders>
              <w:top w:val="nil"/>
              <w:left w:val="nil"/>
              <w:bottom w:val="nil"/>
              <w:right w:val="nil"/>
            </w:tcBorders>
            <w:shd w:val="clear" w:color="auto" w:fill="auto"/>
            <w:noWrap/>
            <w:vAlign w:val="center"/>
            <w:hideMark/>
          </w:tcPr>
          <w:p w14:paraId="0FCBA44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w:t>
            </w:r>
          </w:p>
        </w:tc>
        <w:tc>
          <w:tcPr>
            <w:tcW w:w="513" w:type="dxa"/>
            <w:tcBorders>
              <w:top w:val="nil"/>
              <w:left w:val="single" w:sz="8" w:space="0" w:color="auto"/>
              <w:bottom w:val="nil"/>
              <w:right w:val="single" w:sz="8" w:space="0" w:color="auto"/>
            </w:tcBorders>
            <w:shd w:val="clear" w:color="auto" w:fill="auto"/>
            <w:noWrap/>
            <w:vAlign w:val="center"/>
            <w:hideMark/>
          </w:tcPr>
          <w:p w14:paraId="1269A13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1,1</w:t>
            </w:r>
          </w:p>
        </w:tc>
        <w:tc>
          <w:tcPr>
            <w:tcW w:w="508" w:type="dxa"/>
            <w:tcBorders>
              <w:top w:val="nil"/>
              <w:left w:val="nil"/>
              <w:bottom w:val="nil"/>
              <w:right w:val="nil"/>
            </w:tcBorders>
            <w:shd w:val="clear" w:color="auto" w:fill="auto"/>
            <w:noWrap/>
            <w:vAlign w:val="center"/>
            <w:hideMark/>
          </w:tcPr>
          <w:p w14:paraId="795B878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0,8</w:t>
            </w:r>
          </w:p>
        </w:tc>
        <w:tc>
          <w:tcPr>
            <w:tcW w:w="503" w:type="dxa"/>
            <w:tcBorders>
              <w:top w:val="nil"/>
              <w:left w:val="nil"/>
              <w:bottom w:val="nil"/>
              <w:right w:val="nil"/>
            </w:tcBorders>
            <w:shd w:val="clear" w:color="auto" w:fill="auto"/>
            <w:noWrap/>
            <w:vAlign w:val="center"/>
            <w:hideMark/>
          </w:tcPr>
          <w:p w14:paraId="476A8B13"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0,7</w:t>
            </w:r>
          </w:p>
        </w:tc>
        <w:tc>
          <w:tcPr>
            <w:tcW w:w="506" w:type="dxa"/>
            <w:tcBorders>
              <w:top w:val="nil"/>
              <w:left w:val="nil"/>
              <w:bottom w:val="nil"/>
              <w:right w:val="nil"/>
            </w:tcBorders>
            <w:shd w:val="clear" w:color="auto" w:fill="auto"/>
            <w:noWrap/>
            <w:vAlign w:val="center"/>
            <w:hideMark/>
          </w:tcPr>
          <w:p w14:paraId="5D6633B0"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0,7</w:t>
            </w:r>
          </w:p>
        </w:tc>
      </w:tr>
      <w:tr w:rsidR="000C6444" w:rsidRPr="00DD1398" w14:paraId="02CEF5CD" w14:textId="77777777" w:rsidTr="00636109">
        <w:trPr>
          <w:trHeight w:val="257"/>
        </w:trPr>
        <w:tc>
          <w:tcPr>
            <w:tcW w:w="4710" w:type="dxa"/>
            <w:tcBorders>
              <w:top w:val="nil"/>
              <w:left w:val="nil"/>
              <w:bottom w:val="nil"/>
              <w:right w:val="nil"/>
            </w:tcBorders>
            <w:shd w:val="clear" w:color="auto" w:fill="auto"/>
            <w:noWrap/>
            <w:vAlign w:val="center"/>
            <w:hideMark/>
          </w:tcPr>
          <w:p w14:paraId="23B3A236"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Úrokové náklady</w:t>
            </w:r>
          </w:p>
        </w:tc>
        <w:tc>
          <w:tcPr>
            <w:tcW w:w="802" w:type="dxa"/>
            <w:tcBorders>
              <w:top w:val="nil"/>
              <w:left w:val="single" w:sz="8" w:space="0" w:color="auto"/>
              <w:bottom w:val="nil"/>
              <w:right w:val="single" w:sz="8" w:space="0" w:color="auto"/>
            </w:tcBorders>
            <w:shd w:val="clear" w:color="auto" w:fill="auto"/>
            <w:noWrap/>
            <w:vAlign w:val="center"/>
            <w:hideMark/>
          </w:tcPr>
          <w:p w14:paraId="3D62C99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1,2</w:t>
            </w:r>
          </w:p>
        </w:tc>
        <w:tc>
          <w:tcPr>
            <w:tcW w:w="802" w:type="dxa"/>
            <w:tcBorders>
              <w:top w:val="nil"/>
              <w:left w:val="nil"/>
              <w:bottom w:val="nil"/>
              <w:right w:val="single" w:sz="8" w:space="0" w:color="auto"/>
            </w:tcBorders>
            <w:shd w:val="clear" w:color="auto" w:fill="auto"/>
            <w:noWrap/>
            <w:vAlign w:val="center"/>
            <w:hideMark/>
          </w:tcPr>
          <w:p w14:paraId="11DC3C6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1,2</w:t>
            </w:r>
          </w:p>
        </w:tc>
        <w:tc>
          <w:tcPr>
            <w:tcW w:w="821" w:type="dxa"/>
            <w:tcBorders>
              <w:top w:val="nil"/>
              <w:left w:val="nil"/>
              <w:bottom w:val="nil"/>
              <w:right w:val="nil"/>
            </w:tcBorders>
            <w:shd w:val="clear" w:color="auto" w:fill="auto"/>
            <w:noWrap/>
            <w:vAlign w:val="center"/>
            <w:hideMark/>
          </w:tcPr>
          <w:p w14:paraId="4906557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1,1</w:t>
            </w:r>
          </w:p>
        </w:tc>
        <w:tc>
          <w:tcPr>
            <w:tcW w:w="513" w:type="dxa"/>
            <w:tcBorders>
              <w:top w:val="nil"/>
              <w:left w:val="single" w:sz="8" w:space="0" w:color="auto"/>
              <w:bottom w:val="nil"/>
              <w:right w:val="single" w:sz="8" w:space="0" w:color="auto"/>
            </w:tcBorders>
            <w:shd w:val="clear" w:color="auto" w:fill="auto"/>
            <w:noWrap/>
            <w:vAlign w:val="center"/>
            <w:hideMark/>
          </w:tcPr>
          <w:p w14:paraId="1309C7D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0,8</w:t>
            </w:r>
          </w:p>
        </w:tc>
        <w:tc>
          <w:tcPr>
            <w:tcW w:w="508" w:type="dxa"/>
            <w:tcBorders>
              <w:top w:val="nil"/>
              <w:left w:val="nil"/>
              <w:bottom w:val="nil"/>
              <w:right w:val="nil"/>
            </w:tcBorders>
            <w:shd w:val="clear" w:color="auto" w:fill="auto"/>
            <w:noWrap/>
            <w:vAlign w:val="center"/>
            <w:hideMark/>
          </w:tcPr>
          <w:p w14:paraId="794373F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0,8</w:t>
            </w:r>
          </w:p>
        </w:tc>
        <w:tc>
          <w:tcPr>
            <w:tcW w:w="503" w:type="dxa"/>
            <w:tcBorders>
              <w:top w:val="nil"/>
              <w:left w:val="nil"/>
              <w:bottom w:val="nil"/>
              <w:right w:val="nil"/>
            </w:tcBorders>
            <w:shd w:val="clear" w:color="auto" w:fill="auto"/>
            <w:noWrap/>
            <w:vAlign w:val="center"/>
            <w:hideMark/>
          </w:tcPr>
          <w:p w14:paraId="2BC5B3A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0,9</w:t>
            </w:r>
          </w:p>
        </w:tc>
        <w:tc>
          <w:tcPr>
            <w:tcW w:w="506" w:type="dxa"/>
            <w:tcBorders>
              <w:top w:val="nil"/>
              <w:left w:val="nil"/>
              <w:bottom w:val="nil"/>
              <w:right w:val="nil"/>
            </w:tcBorders>
            <w:shd w:val="clear" w:color="auto" w:fill="auto"/>
            <w:noWrap/>
            <w:vAlign w:val="center"/>
            <w:hideMark/>
          </w:tcPr>
          <w:p w14:paraId="5A8A32E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1,0</w:t>
            </w:r>
          </w:p>
        </w:tc>
      </w:tr>
      <w:tr w:rsidR="000C6444" w:rsidRPr="00DD1398" w14:paraId="756EB01F" w14:textId="77777777" w:rsidTr="00636109">
        <w:trPr>
          <w:trHeight w:val="257"/>
        </w:trPr>
        <w:tc>
          <w:tcPr>
            <w:tcW w:w="4710" w:type="dxa"/>
            <w:tcBorders>
              <w:top w:val="nil"/>
              <w:left w:val="nil"/>
              <w:bottom w:val="nil"/>
              <w:right w:val="nil"/>
            </w:tcBorders>
            <w:shd w:val="clear" w:color="auto" w:fill="auto"/>
            <w:noWrap/>
            <w:vAlign w:val="center"/>
            <w:hideMark/>
          </w:tcPr>
          <w:p w14:paraId="58B869F3"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Celkové sociálne transfery</w:t>
            </w:r>
          </w:p>
        </w:tc>
        <w:tc>
          <w:tcPr>
            <w:tcW w:w="802" w:type="dxa"/>
            <w:tcBorders>
              <w:top w:val="nil"/>
              <w:left w:val="single" w:sz="8" w:space="0" w:color="auto"/>
              <w:bottom w:val="nil"/>
              <w:right w:val="single" w:sz="8" w:space="0" w:color="auto"/>
            </w:tcBorders>
            <w:shd w:val="clear" w:color="auto" w:fill="auto"/>
            <w:noWrap/>
            <w:vAlign w:val="center"/>
            <w:hideMark/>
          </w:tcPr>
          <w:p w14:paraId="35C57D20"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16,7</w:t>
            </w:r>
          </w:p>
        </w:tc>
        <w:tc>
          <w:tcPr>
            <w:tcW w:w="802" w:type="dxa"/>
            <w:tcBorders>
              <w:top w:val="nil"/>
              <w:left w:val="nil"/>
              <w:bottom w:val="nil"/>
              <w:right w:val="single" w:sz="8" w:space="0" w:color="auto"/>
            </w:tcBorders>
            <w:shd w:val="clear" w:color="auto" w:fill="auto"/>
            <w:noWrap/>
            <w:vAlign w:val="center"/>
            <w:hideMark/>
          </w:tcPr>
          <w:p w14:paraId="745E0A0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18,2</w:t>
            </w:r>
          </w:p>
        </w:tc>
        <w:tc>
          <w:tcPr>
            <w:tcW w:w="821" w:type="dxa"/>
            <w:tcBorders>
              <w:top w:val="nil"/>
              <w:left w:val="nil"/>
              <w:bottom w:val="nil"/>
              <w:right w:val="nil"/>
            </w:tcBorders>
            <w:shd w:val="clear" w:color="auto" w:fill="auto"/>
            <w:noWrap/>
            <w:vAlign w:val="center"/>
            <w:hideMark/>
          </w:tcPr>
          <w:p w14:paraId="56B4248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18,9</w:t>
            </w:r>
          </w:p>
        </w:tc>
        <w:tc>
          <w:tcPr>
            <w:tcW w:w="513" w:type="dxa"/>
            <w:tcBorders>
              <w:top w:val="nil"/>
              <w:left w:val="single" w:sz="8" w:space="0" w:color="auto"/>
              <w:bottom w:val="nil"/>
              <w:right w:val="single" w:sz="8" w:space="0" w:color="auto"/>
            </w:tcBorders>
            <w:shd w:val="clear" w:color="auto" w:fill="auto"/>
            <w:noWrap/>
            <w:vAlign w:val="center"/>
            <w:hideMark/>
          </w:tcPr>
          <w:p w14:paraId="57EA5BD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17,9</w:t>
            </w:r>
          </w:p>
        </w:tc>
        <w:tc>
          <w:tcPr>
            <w:tcW w:w="508" w:type="dxa"/>
            <w:tcBorders>
              <w:top w:val="nil"/>
              <w:left w:val="nil"/>
              <w:bottom w:val="nil"/>
              <w:right w:val="nil"/>
            </w:tcBorders>
            <w:shd w:val="clear" w:color="auto" w:fill="auto"/>
            <w:noWrap/>
            <w:vAlign w:val="center"/>
            <w:hideMark/>
          </w:tcPr>
          <w:p w14:paraId="54D1DFD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17,0</w:t>
            </w:r>
          </w:p>
        </w:tc>
        <w:tc>
          <w:tcPr>
            <w:tcW w:w="503" w:type="dxa"/>
            <w:tcBorders>
              <w:top w:val="nil"/>
              <w:left w:val="nil"/>
              <w:bottom w:val="nil"/>
              <w:right w:val="nil"/>
            </w:tcBorders>
            <w:shd w:val="clear" w:color="auto" w:fill="auto"/>
            <w:noWrap/>
            <w:vAlign w:val="center"/>
            <w:hideMark/>
          </w:tcPr>
          <w:p w14:paraId="1284C5F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17,4</w:t>
            </w:r>
          </w:p>
        </w:tc>
        <w:tc>
          <w:tcPr>
            <w:tcW w:w="506" w:type="dxa"/>
            <w:tcBorders>
              <w:top w:val="nil"/>
              <w:left w:val="nil"/>
              <w:bottom w:val="nil"/>
              <w:right w:val="nil"/>
            </w:tcBorders>
            <w:shd w:val="clear" w:color="auto" w:fill="auto"/>
            <w:noWrap/>
            <w:vAlign w:val="center"/>
            <w:hideMark/>
          </w:tcPr>
          <w:p w14:paraId="0AABA1E6"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17,3</w:t>
            </w:r>
          </w:p>
        </w:tc>
      </w:tr>
      <w:tr w:rsidR="000C6444" w:rsidRPr="00DD1398" w14:paraId="761CBDC5" w14:textId="77777777" w:rsidTr="00636109">
        <w:trPr>
          <w:trHeight w:val="321"/>
        </w:trPr>
        <w:tc>
          <w:tcPr>
            <w:tcW w:w="4710" w:type="dxa"/>
            <w:tcBorders>
              <w:top w:val="nil"/>
              <w:left w:val="nil"/>
              <w:bottom w:val="nil"/>
              <w:right w:val="nil"/>
            </w:tcBorders>
            <w:shd w:val="clear" w:color="auto" w:fill="auto"/>
            <w:noWrap/>
            <w:vAlign w:val="center"/>
            <w:hideMark/>
          </w:tcPr>
          <w:p w14:paraId="32677E9D"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 Sociálne dávky okrem naturálnych soc. transferov</w:t>
            </w:r>
          </w:p>
        </w:tc>
        <w:tc>
          <w:tcPr>
            <w:tcW w:w="802" w:type="dxa"/>
            <w:tcBorders>
              <w:top w:val="nil"/>
              <w:left w:val="single" w:sz="8" w:space="0" w:color="auto"/>
              <w:bottom w:val="nil"/>
              <w:right w:val="single" w:sz="8" w:space="0" w:color="auto"/>
            </w:tcBorders>
            <w:shd w:val="clear" w:color="auto" w:fill="auto"/>
            <w:noWrap/>
            <w:vAlign w:val="center"/>
            <w:hideMark/>
          </w:tcPr>
          <w:p w14:paraId="47710F7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13,4</w:t>
            </w:r>
          </w:p>
        </w:tc>
        <w:tc>
          <w:tcPr>
            <w:tcW w:w="802" w:type="dxa"/>
            <w:tcBorders>
              <w:top w:val="nil"/>
              <w:left w:val="nil"/>
              <w:bottom w:val="nil"/>
              <w:right w:val="single" w:sz="8" w:space="0" w:color="auto"/>
            </w:tcBorders>
            <w:shd w:val="clear" w:color="auto" w:fill="auto"/>
            <w:noWrap/>
            <w:vAlign w:val="center"/>
            <w:hideMark/>
          </w:tcPr>
          <w:p w14:paraId="576C596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14,9</w:t>
            </w:r>
          </w:p>
        </w:tc>
        <w:tc>
          <w:tcPr>
            <w:tcW w:w="821" w:type="dxa"/>
            <w:tcBorders>
              <w:top w:val="nil"/>
              <w:left w:val="nil"/>
              <w:bottom w:val="nil"/>
              <w:right w:val="nil"/>
            </w:tcBorders>
            <w:shd w:val="clear" w:color="auto" w:fill="auto"/>
            <w:noWrap/>
            <w:vAlign w:val="center"/>
            <w:hideMark/>
          </w:tcPr>
          <w:p w14:paraId="72AE64D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15,4</w:t>
            </w:r>
          </w:p>
        </w:tc>
        <w:tc>
          <w:tcPr>
            <w:tcW w:w="513" w:type="dxa"/>
            <w:tcBorders>
              <w:top w:val="nil"/>
              <w:left w:val="single" w:sz="8" w:space="0" w:color="auto"/>
              <w:bottom w:val="nil"/>
              <w:right w:val="single" w:sz="8" w:space="0" w:color="auto"/>
            </w:tcBorders>
            <w:shd w:val="clear" w:color="auto" w:fill="auto"/>
            <w:noWrap/>
            <w:vAlign w:val="center"/>
            <w:hideMark/>
          </w:tcPr>
          <w:p w14:paraId="27603EB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14,3</w:t>
            </w:r>
          </w:p>
        </w:tc>
        <w:tc>
          <w:tcPr>
            <w:tcW w:w="508" w:type="dxa"/>
            <w:tcBorders>
              <w:top w:val="nil"/>
              <w:left w:val="nil"/>
              <w:bottom w:val="nil"/>
              <w:right w:val="nil"/>
            </w:tcBorders>
            <w:shd w:val="clear" w:color="auto" w:fill="auto"/>
            <w:noWrap/>
            <w:vAlign w:val="center"/>
            <w:hideMark/>
          </w:tcPr>
          <w:p w14:paraId="3252B073"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13,7</w:t>
            </w:r>
          </w:p>
        </w:tc>
        <w:tc>
          <w:tcPr>
            <w:tcW w:w="503" w:type="dxa"/>
            <w:tcBorders>
              <w:top w:val="nil"/>
              <w:left w:val="nil"/>
              <w:bottom w:val="nil"/>
              <w:right w:val="nil"/>
            </w:tcBorders>
            <w:shd w:val="clear" w:color="auto" w:fill="auto"/>
            <w:noWrap/>
            <w:vAlign w:val="center"/>
            <w:hideMark/>
          </w:tcPr>
          <w:p w14:paraId="2947E79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14,1</w:t>
            </w:r>
          </w:p>
        </w:tc>
        <w:tc>
          <w:tcPr>
            <w:tcW w:w="506" w:type="dxa"/>
            <w:tcBorders>
              <w:top w:val="nil"/>
              <w:left w:val="nil"/>
              <w:bottom w:val="nil"/>
              <w:right w:val="nil"/>
            </w:tcBorders>
            <w:shd w:val="clear" w:color="auto" w:fill="auto"/>
            <w:noWrap/>
            <w:vAlign w:val="center"/>
            <w:hideMark/>
          </w:tcPr>
          <w:p w14:paraId="468BA3E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14,0</w:t>
            </w:r>
          </w:p>
        </w:tc>
      </w:tr>
      <w:tr w:rsidR="000C6444" w:rsidRPr="00DD1398" w14:paraId="7B7E291C" w14:textId="77777777" w:rsidTr="00636109">
        <w:trPr>
          <w:trHeight w:val="257"/>
        </w:trPr>
        <w:tc>
          <w:tcPr>
            <w:tcW w:w="4710" w:type="dxa"/>
            <w:tcBorders>
              <w:top w:val="nil"/>
              <w:left w:val="nil"/>
              <w:bottom w:val="nil"/>
              <w:right w:val="nil"/>
            </w:tcBorders>
            <w:shd w:val="clear" w:color="auto" w:fill="auto"/>
            <w:noWrap/>
            <w:vAlign w:val="center"/>
            <w:hideMark/>
          </w:tcPr>
          <w:p w14:paraId="47A92660"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 Naturálne sociálne transfery</w:t>
            </w:r>
          </w:p>
        </w:tc>
        <w:tc>
          <w:tcPr>
            <w:tcW w:w="802" w:type="dxa"/>
            <w:tcBorders>
              <w:top w:val="nil"/>
              <w:left w:val="single" w:sz="8" w:space="0" w:color="auto"/>
              <w:bottom w:val="nil"/>
              <w:right w:val="single" w:sz="8" w:space="0" w:color="auto"/>
            </w:tcBorders>
            <w:shd w:val="clear" w:color="auto" w:fill="auto"/>
            <w:noWrap/>
            <w:vAlign w:val="center"/>
            <w:hideMark/>
          </w:tcPr>
          <w:p w14:paraId="3F321BC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3,3</w:t>
            </w:r>
          </w:p>
        </w:tc>
        <w:tc>
          <w:tcPr>
            <w:tcW w:w="802" w:type="dxa"/>
            <w:tcBorders>
              <w:top w:val="nil"/>
              <w:left w:val="nil"/>
              <w:bottom w:val="nil"/>
              <w:right w:val="single" w:sz="8" w:space="0" w:color="auto"/>
            </w:tcBorders>
            <w:shd w:val="clear" w:color="auto" w:fill="auto"/>
            <w:noWrap/>
            <w:vAlign w:val="center"/>
            <w:hideMark/>
          </w:tcPr>
          <w:p w14:paraId="006142A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3,3</w:t>
            </w:r>
          </w:p>
        </w:tc>
        <w:tc>
          <w:tcPr>
            <w:tcW w:w="821" w:type="dxa"/>
            <w:tcBorders>
              <w:top w:val="nil"/>
              <w:left w:val="nil"/>
              <w:bottom w:val="nil"/>
              <w:right w:val="nil"/>
            </w:tcBorders>
            <w:shd w:val="clear" w:color="auto" w:fill="auto"/>
            <w:noWrap/>
            <w:vAlign w:val="center"/>
            <w:hideMark/>
          </w:tcPr>
          <w:p w14:paraId="2E4760A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3,5</w:t>
            </w:r>
          </w:p>
        </w:tc>
        <w:tc>
          <w:tcPr>
            <w:tcW w:w="513" w:type="dxa"/>
            <w:tcBorders>
              <w:top w:val="nil"/>
              <w:left w:val="single" w:sz="8" w:space="0" w:color="auto"/>
              <w:bottom w:val="nil"/>
              <w:right w:val="single" w:sz="8" w:space="0" w:color="auto"/>
            </w:tcBorders>
            <w:shd w:val="clear" w:color="auto" w:fill="auto"/>
            <w:noWrap/>
            <w:vAlign w:val="center"/>
            <w:hideMark/>
          </w:tcPr>
          <w:p w14:paraId="0352D76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3,5</w:t>
            </w:r>
          </w:p>
        </w:tc>
        <w:tc>
          <w:tcPr>
            <w:tcW w:w="508" w:type="dxa"/>
            <w:tcBorders>
              <w:top w:val="nil"/>
              <w:left w:val="nil"/>
              <w:bottom w:val="nil"/>
              <w:right w:val="nil"/>
            </w:tcBorders>
            <w:shd w:val="clear" w:color="auto" w:fill="auto"/>
            <w:noWrap/>
            <w:vAlign w:val="center"/>
            <w:hideMark/>
          </w:tcPr>
          <w:p w14:paraId="1C1E8D9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3,3</w:t>
            </w:r>
          </w:p>
        </w:tc>
        <w:tc>
          <w:tcPr>
            <w:tcW w:w="503" w:type="dxa"/>
            <w:tcBorders>
              <w:top w:val="nil"/>
              <w:left w:val="nil"/>
              <w:bottom w:val="nil"/>
              <w:right w:val="nil"/>
            </w:tcBorders>
            <w:shd w:val="clear" w:color="auto" w:fill="auto"/>
            <w:noWrap/>
            <w:vAlign w:val="center"/>
            <w:hideMark/>
          </w:tcPr>
          <w:p w14:paraId="5B2BC243"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3,3</w:t>
            </w:r>
          </w:p>
        </w:tc>
        <w:tc>
          <w:tcPr>
            <w:tcW w:w="506" w:type="dxa"/>
            <w:tcBorders>
              <w:top w:val="nil"/>
              <w:left w:val="nil"/>
              <w:bottom w:val="nil"/>
              <w:right w:val="nil"/>
            </w:tcBorders>
            <w:shd w:val="clear" w:color="auto" w:fill="auto"/>
            <w:noWrap/>
            <w:vAlign w:val="center"/>
            <w:hideMark/>
          </w:tcPr>
          <w:p w14:paraId="38C8695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3,3</w:t>
            </w:r>
          </w:p>
        </w:tc>
      </w:tr>
      <w:tr w:rsidR="000C6444" w:rsidRPr="00DD1398" w14:paraId="0C89BD78" w14:textId="77777777" w:rsidTr="00636109">
        <w:trPr>
          <w:trHeight w:val="257"/>
        </w:trPr>
        <w:tc>
          <w:tcPr>
            <w:tcW w:w="4710" w:type="dxa"/>
            <w:tcBorders>
              <w:top w:val="nil"/>
              <w:left w:val="nil"/>
              <w:bottom w:val="nil"/>
              <w:right w:val="nil"/>
            </w:tcBorders>
            <w:shd w:val="clear" w:color="auto" w:fill="auto"/>
            <w:noWrap/>
            <w:vAlign w:val="center"/>
            <w:hideMark/>
          </w:tcPr>
          <w:p w14:paraId="31FC16B3"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Ostatné bežné transfery</w:t>
            </w:r>
          </w:p>
        </w:tc>
        <w:tc>
          <w:tcPr>
            <w:tcW w:w="802" w:type="dxa"/>
            <w:tcBorders>
              <w:top w:val="nil"/>
              <w:left w:val="single" w:sz="8" w:space="0" w:color="auto"/>
              <w:bottom w:val="nil"/>
              <w:right w:val="single" w:sz="8" w:space="0" w:color="auto"/>
            </w:tcBorders>
            <w:shd w:val="clear" w:color="auto" w:fill="auto"/>
            <w:noWrap/>
            <w:vAlign w:val="center"/>
            <w:hideMark/>
          </w:tcPr>
          <w:p w14:paraId="2EFFB0D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1,8</w:t>
            </w:r>
          </w:p>
        </w:tc>
        <w:tc>
          <w:tcPr>
            <w:tcW w:w="802" w:type="dxa"/>
            <w:tcBorders>
              <w:top w:val="nil"/>
              <w:left w:val="nil"/>
              <w:bottom w:val="nil"/>
              <w:right w:val="single" w:sz="8" w:space="0" w:color="auto"/>
            </w:tcBorders>
            <w:shd w:val="clear" w:color="auto" w:fill="auto"/>
            <w:noWrap/>
            <w:vAlign w:val="center"/>
            <w:hideMark/>
          </w:tcPr>
          <w:p w14:paraId="2230CDF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3,0</w:t>
            </w:r>
          </w:p>
        </w:tc>
        <w:tc>
          <w:tcPr>
            <w:tcW w:w="821" w:type="dxa"/>
            <w:tcBorders>
              <w:top w:val="nil"/>
              <w:left w:val="nil"/>
              <w:bottom w:val="nil"/>
              <w:right w:val="nil"/>
            </w:tcBorders>
            <w:shd w:val="clear" w:color="auto" w:fill="auto"/>
            <w:noWrap/>
            <w:vAlign w:val="center"/>
            <w:hideMark/>
          </w:tcPr>
          <w:p w14:paraId="455AB26E"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4,1</w:t>
            </w:r>
          </w:p>
        </w:tc>
        <w:tc>
          <w:tcPr>
            <w:tcW w:w="513" w:type="dxa"/>
            <w:tcBorders>
              <w:top w:val="nil"/>
              <w:left w:val="single" w:sz="8" w:space="0" w:color="auto"/>
              <w:bottom w:val="nil"/>
              <w:right w:val="single" w:sz="8" w:space="0" w:color="auto"/>
            </w:tcBorders>
            <w:shd w:val="clear" w:color="auto" w:fill="auto"/>
            <w:noWrap/>
            <w:vAlign w:val="center"/>
            <w:hideMark/>
          </w:tcPr>
          <w:p w14:paraId="437C122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2,4</w:t>
            </w:r>
          </w:p>
        </w:tc>
        <w:tc>
          <w:tcPr>
            <w:tcW w:w="508" w:type="dxa"/>
            <w:tcBorders>
              <w:top w:val="nil"/>
              <w:left w:val="nil"/>
              <w:bottom w:val="nil"/>
              <w:right w:val="nil"/>
            </w:tcBorders>
            <w:shd w:val="clear" w:color="auto" w:fill="auto"/>
            <w:noWrap/>
            <w:vAlign w:val="center"/>
            <w:hideMark/>
          </w:tcPr>
          <w:p w14:paraId="09D16D7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2,8</w:t>
            </w:r>
          </w:p>
        </w:tc>
        <w:tc>
          <w:tcPr>
            <w:tcW w:w="503" w:type="dxa"/>
            <w:tcBorders>
              <w:top w:val="nil"/>
              <w:left w:val="nil"/>
              <w:bottom w:val="nil"/>
              <w:right w:val="nil"/>
            </w:tcBorders>
            <w:shd w:val="clear" w:color="auto" w:fill="auto"/>
            <w:noWrap/>
            <w:vAlign w:val="center"/>
            <w:hideMark/>
          </w:tcPr>
          <w:p w14:paraId="4261150B"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2,3</w:t>
            </w:r>
          </w:p>
        </w:tc>
        <w:tc>
          <w:tcPr>
            <w:tcW w:w="506" w:type="dxa"/>
            <w:tcBorders>
              <w:top w:val="nil"/>
              <w:left w:val="nil"/>
              <w:bottom w:val="nil"/>
              <w:right w:val="nil"/>
            </w:tcBorders>
            <w:shd w:val="clear" w:color="auto" w:fill="auto"/>
            <w:noWrap/>
            <w:vAlign w:val="center"/>
            <w:hideMark/>
          </w:tcPr>
          <w:p w14:paraId="2171244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2,3</w:t>
            </w:r>
          </w:p>
        </w:tc>
      </w:tr>
      <w:tr w:rsidR="000C6444" w:rsidRPr="00DD1398" w14:paraId="7A7EE2E4" w14:textId="77777777" w:rsidTr="00636109">
        <w:trPr>
          <w:trHeight w:val="269"/>
        </w:trPr>
        <w:tc>
          <w:tcPr>
            <w:tcW w:w="4710" w:type="dxa"/>
            <w:tcBorders>
              <w:top w:val="nil"/>
              <w:left w:val="nil"/>
              <w:bottom w:val="single" w:sz="8" w:space="0" w:color="auto"/>
              <w:right w:val="nil"/>
            </w:tcBorders>
            <w:shd w:val="clear" w:color="auto" w:fill="auto"/>
            <w:noWrap/>
            <w:vAlign w:val="center"/>
            <w:hideMark/>
          </w:tcPr>
          <w:p w14:paraId="1B3659DF" w14:textId="77777777" w:rsidR="000C6444" w:rsidRPr="00DD1398" w:rsidRDefault="000C6444" w:rsidP="00070E82">
            <w:pPr>
              <w:widowControl w:val="0"/>
              <w:rPr>
                <w:rFonts w:cs="Calibri"/>
                <w:b/>
                <w:bCs/>
                <w:color w:val="000000"/>
                <w:sz w:val="16"/>
                <w:szCs w:val="18"/>
              </w:rPr>
            </w:pPr>
            <w:r w:rsidRPr="00DD1398">
              <w:rPr>
                <w:rFonts w:cs="Calibri"/>
                <w:b/>
                <w:bCs/>
                <w:color w:val="000000"/>
                <w:sz w:val="16"/>
                <w:szCs w:val="18"/>
              </w:rPr>
              <w:t xml:space="preserve"> Kapitálové výdavky</w:t>
            </w:r>
          </w:p>
        </w:tc>
        <w:tc>
          <w:tcPr>
            <w:tcW w:w="802" w:type="dxa"/>
            <w:tcBorders>
              <w:top w:val="nil"/>
              <w:left w:val="single" w:sz="8" w:space="0" w:color="auto"/>
              <w:bottom w:val="single" w:sz="8" w:space="0" w:color="auto"/>
              <w:right w:val="single" w:sz="8" w:space="0" w:color="auto"/>
            </w:tcBorders>
            <w:shd w:val="clear" w:color="auto" w:fill="auto"/>
            <w:noWrap/>
            <w:vAlign w:val="center"/>
            <w:hideMark/>
          </w:tcPr>
          <w:p w14:paraId="0F22791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4,0</w:t>
            </w:r>
          </w:p>
        </w:tc>
        <w:tc>
          <w:tcPr>
            <w:tcW w:w="802" w:type="dxa"/>
            <w:tcBorders>
              <w:top w:val="nil"/>
              <w:left w:val="nil"/>
              <w:bottom w:val="single" w:sz="8" w:space="0" w:color="auto"/>
              <w:right w:val="single" w:sz="8" w:space="0" w:color="auto"/>
            </w:tcBorders>
            <w:shd w:val="clear" w:color="auto" w:fill="auto"/>
            <w:noWrap/>
            <w:vAlign w:val="center"/>
            <w:hideMark/>
          </w:tcPr>
          <w:p w14:paraId="388CEA6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4,3</w:t>
            </w:r>
          </w:p>
        </w:tc>
        <w:tc>
          <w:tcPr>
            <w:tcW w:w="821" w:type="dxa"/>
            <w:tcBorders>
              <w:top w:val="nil"/>
              <w:left w:val="nil"/>
              <w:bottom w:val="single" w:sz="8" w:space="0" w:color="auto"/>
              <w:right w:val="nil"/>
            </w:tcBorders>
            <w:shd w:val="clear" w:color="auto" w:fill="auto"/>
            <w:noWrap/>
            <w:vAlign w:val="center"/>
            <w:hideMark/>
          </w:tcPr>
          <w:p w14:paraId="110888D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3,5</w:t>
            </w:r>
          </w:p>
        </w:tc>
        <w:tc>
          <w:tcPr>
            <w:tcW w:w="513" w:type="dxa"/>
            <w:tcBorders>
              <w:top w:val="nil"/>
              <w:left w:val="single" w:sz="8" w:space="0" w:color="auto"/>
              <w:bottom w:val="single" w:sz="8" w:space="0" w:color="auto"/>
              <w:right w:val="single" w:sz="8" w:space="0" w:color="auto"/>
            </w:tcBorders>
            <w:shd w:val="clear" w:color="auto" w:fill="auto"/>
            <w:noWrap/>
            <w:vAlign w:val="center"/>
            <w:hideMark/>
          </w:tcPr>
          <w:p w14:paraId="0F75A44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5,5</w:t>
            </w:r>
          </w:p>
        </w:tc>
        <w:tc>
          <w:tcPr>
            <w:tcW w:w="508" w:type="dxa"/>
            <w:tcBorders>
              <w:top w:val="nil"/>
              <w:left w:val="nil"/>
              <w:bottom w:val="single" w:sz="8" w:space="0" w:color="auto"/>
              <w:right w:val="nil"/>
            </w:tcBorders>
            <w:shd w:val="clear" w:color="auto" w:fill="auto"/>
            <w:noWrap/>
            <w:vAlign w:val="center"/>
            <w:hideMark/>
          </w:tcPr>
          <w:p w14:paraId="2F2AFB6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5,0</w:t>
            </w:r>
          </w:p>
        </w:tc>
        <w:tc>
          <w:tcPr>
            <w:tcW w:w="503" w:type="dxa"/>
            <w:tcBorders>
              <w:top w:val="nil"/>
              <w:left w:val="nil"/>
              <w:bottom w:val="single" w:sz="8" w:space="0" w:color="auto"/>
              <w:right w:val="nil"/>
            </w:tcBorders>
            <w:shd w:val="clear" w:color="auto" w:fill="auto"/>
            <w:noWrap/>
            <w:vAlign w:val="center"/>
            <w:hideMark/>
          </w:tcPr>
          <w:p w14:paraId="1EFC45B6"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4,5</w:t>
            </w:r>
          </w:p>
        </w:tc>
        <w:tc>
          <w:tcPr>
            <w:tcW w:w="506" w:type="dxa"/>
            <w:tcBorders>
              <w:top w:val="nil"/>
              <w:left w:val="nil"/>
              <w:bottom w:val="single" w:sz="8" w:space="0" w:color="auto"/>
              <w:right w:val="nil"/>
            </w:tcBorders>
            <w:shd w:val="clear" w:color="auto" w:fill="auto"/>
            <w:noWrap/>
            <w:vAlign w:val="center"/>
            <w:hideMark/>
          </w:tcPr>
          <w:p w14:paraId="4F0B2B0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4,5</w:t>
            </w:r>
          </w:p>
        </w:tc>
      </w:tr>
      <w:tr w:rsidR="000C6444" w:rsidRPr="00DD1398" w14:paraId="5CECD3BF" w14:textId="77777777" w:rsidTr="00636109">
        <w:trPr>
          <w:trHeight w:val="257"/>
        </w:trPr>
        <w:tc>
          <w:tcPr>
            <w:tcW w:w="4710" w:type="dxa"/>
            <w:tcBorders>
              <w:top w:val="nil"/>
              <w:left w:val="nil"/>
              <w:bottom w:val="nil"/>
              <w:right w:val="nil"/>
            </w:tcBorders>
            <w:shd w:val="clear" w:color="auto" w:fill="auto"/>
            <w:noWrap/>
            <w:vAlign w:val="center"/>
            <w:hideMark/>
          </w:tcPr>
          <w:p w14:paraId="70D330DF"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Kapitálové investície</w:t>
            </w:r>
          </w:p>
        </w:tc>
        <w:tc>
          <w:tcPr>
            <w:tcW w:w="802" w:type="dxa"/>
            <w:tcBorders>
              <w:top w:val="nil"/>
              <w:left w:val="single" w:sz="8" w:space="0" w:color="auto"/>
              <w:bottom w:val="nil"/>
              <w:right w:val="single" w:sz="8" w:space="0" w:color="auto"/>
            </w:tcBorders>
            <w:shd w:val="clear" w:color="auto" w:fill="auto"/>
            <w:noWrap/>
            <w:vAlign w:val="center"/>
            <w:hideMark/>
          </w:tcPr>
          <w:p w14:paraId="7106D88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3,7</w:t>
            </w:r>
          </w:p>
        </w:tc>
        <w:tc>
          <w:tcPr>
            <w:tcW w:w="802" w:type="dxa"/>
            <w:tcBorders>
              <w:top w:val="nil"/>
              <w:left w:val="nil"/>
              <w:bottom w:val="nil"/>
              <w:right w:val="single" w:sz="8" w:space="0" w:color="auto"/>
            </w:tcBorders>
            <w:shd w:val="clear" w:color="auto" w:fill="auto"/>
            <w:noWrap/>
            <w:vAlign w:val="center"/>
            <w:hideMark/>
          </w:tcPr>
          <w:p w14:paraId="2EAD2362"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3,6</w:t>
            </w:r>
          </w:p>
        </w:tc>
        <w:tc>
          <w:tcPr>
            <w:tcW w:w="821" w:type="dxa"/>
            <w:tcBorders>
              <w:top w:val="nil"/>
              <w:left w:val="nil"/>
              <w:bottom w:val="nil"/>
              <w:right w:val="nil"/>
            </w:tcBorders>
            <w:shd w:val="clear" w:color="auto" w:fill="auto"/>
            <w:noWrap/>
            <w:vAlign w:val="center"/>
            <w:hideMark/>
          </w:tcPr>
          <w:p w14:paraId="433341F0"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3,2</w:t>
            </w:r>
          </w:p>
        </w:tc>
        <w:tc>
          <w:tcPr>
            <w:tcW w:w="513" w:type="dxa"/>
            <w:tcBorders>
              <w:top w:val="nil"/>
              <w:left w:val="single" w:sz="8" w:space="0" w:color="auto"/>
              <w:bottom w:val="nil"/>
              <w:right w:val="single" w:sz="8" w:space="0" w:color="auto"/>
            </w:tcBorders>
            <w:shd w:val="clear" w:color="auto" w:fill="auto"/>
            <w:noWrap/>
            <w:vAlign w:val="center"/>
            <w:hideMark/>
          </w:tcPr>
          <w:p w14:paraId="20757E23"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4,8</w:t>
            </w:r>
          </w:p>
        </w:tc>
        <w:tc>
          <w:tcPr>
            <w:tcW w:w="508" w:type="dxa"/>
            <w:tcBorders>
              <w:top w:val="nil"/>
              <w:left w:val="nil"/>
              <w:bottom w:val="nil"/>
              <w:right w:val="nil"/>
            </w:tcBorders>
            <w:shd w:val="clear" w:color="auto" w:fill="auto"/>
            <w:noWrap/>
            <w:vAlign w:val="center"/>
            <w:hideMark/>
          </w:tcPr>
          <w:p w14:paraId="5674D869"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4,6</w:t>
            </w:r>
          </w:p>
        </w:tc>
        <w:tc>
          <w:tcPr>
            <w:tcW w:w="503" w:type="dxa"/>
            <w:tcBorders>
              <w:top w:val="nil"/>
              <w:left w:val="nil"/>
              <w:bottom w:val="nil"/>
              <w:right w:val="nil"/>
            </w:tcBorders>
            <w:shd w:val="clear" w:color="auto" w:fill="auto"/>
            <w:noWrap/>
            <w:vAlign w:val="center"/>
            <w:hideMark/>
          </w:tcPr>
          <w:p w14:paraId="5B9F09D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4,3</w:t>
            </w:r>
          </w:p>
        </w:tc>
        <w:tc>
          <w:tcPr>
            <w:tcW w:w="506" w:type="dxa"/>
            <w:tcBorders>
              <w:top w:val="single" w:sz="8" w:space="0" w:color="auto"/>
              <w:left w:val="nil"/>
              <w:bottom w:val="nil"/>
              <w:right w:val="nil"/>
            </w:tcBorders>
            <w:shd w:val="clear" w:color="auto" w:fill="auto"/>
            <w:noWrap/>
            <w:vAlign w:val="center"/>
            <w:hideMark/>
          </w:tcPr>
          <w:p w14:paraId="7F4A3554"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4,3</w:t>
            </w:r>
          </w:p>
        </w:tc>
      </w:tr>
      <w:tr w:rsidR="000C6444" w:rsidRPr="00DD1398" w14:paraId="376A5C5A" w14:textId="77777777" w:rsidTr="00636109">
        <w:trPr>
          <w:trHeight w:val="257"/>
        </w:trPr>
        <w:tc>
          <w:tcPr>
            <w:tcW w:w="4710" w:type="dxa"/>
            <w:tcBorders>
              <w:top w:val="nil"/>
              <w:left w:val="nil"/>
              <w:bottom w:val="nil"/>
              <w:right w:val="nil"/>
            </w:tcBorders>
            <w:shd w:val="clear" w:color="auto" w:fill="auto"/>
            <w:noWrap/>
            <w:vAlign w:val="center"/>
            <w:hideMark/>
          </w:tcPr>
          <w:p w14:paraId="04842686"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 Tvorba hrubého fixného kapitálu</w:t>
            </w:r>
          </w:p>
        </w:tc>
        <w:tc>
          <w:tcPr>
            <w:tcW w:w="802" w:type="dxa"/>
            <w:tcBorders>
              <w:top w:val="nil"/>
              <w:left w:val="single" w:sz="8" w:space="0" w:color="auto"/>
              <w:bottom w:val="nil"/>
              <w:right w:val="single" w:sz="8" w:space="0" w:color="auto"/>
            </w:tcBorders>
            <w:shd w:val="clear" w:color="auto" w:fill="auto"/>
            <w:noWrap/>
            <w:vAlign w:val="center"/>
            <w:hideMark/>
          </w:tcPr>
          <w:p w14:paraId="5CC697E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3,6</w:t>
            </w:r>
          </w:p>
        </w:tc>
        <w:tc>
          <w:tcPr>
            <w:tcW w:w="802" w:type="dxa"/>
            <w:tcBorders>
              <w:top w:val="nil"/>
              <w:left w:val="nil"/>
              <w:bottom w:val="nil"/>
              <w:right w:val="single" w:sz="8" w:space="0" w:color="auto"/>
            </w:tcBorders>
            <w:shd w:val="clear" w:color="auto" w:fill="auto"/>
            <w:noWrap/>
            <w:vAlign w:val="center"/>
            <w:hideMark/>
          </w:tcPr>
          <w:p w14:paraId="49BD6B3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3,5</w:t>
            </w:r>
          </w:p>
        </w:tc>
        <w:tc>
          <w:tcPr>
            <w:tcW w:w="821" w:type="dxa"/>
            <w:tcBorders>
              <w:top w:val="nil"/>
              <w:left w:val="nil"/>
              <w:bottom w:val="nil"/>
              <w:right w:val="nil"/>
            </w:tcBorders>
            <w:shd w:val="clear" w:color="auto" w:fill="auto"/>
            <w:noWrap/>
            <w:vAlign w:val="center"/>
            <w:hideMark/>
          </w:tcPr>
          <w:p w14:paraId="02C77DC5"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3,2</w:t>
            </w:r>
          </w:p>
        </w:tc>
        <w:tc>
          <w:tcPr>
            <w:tcW w:w="513" w:type="dxa"/>
            <w:tcBorders>
              <w:top w:val="nil"/>
              <w:left w:val="single" w:sz="8" w:space="0" w:color="auto"/>
              <w:bottom w:val="nil"/>
              <w:right w:val="single" w:sz="8" w:space="0" w:color="auto"/>
            </w:tcBorders>
            <w:shd w:val="clear" w:color="auto" w:fill="auto"/>
            <w:noWrap/>
            <w:vAlign w:val="center"/>
            <w:hideMark/>
          </w:tcPr>
          <w:p w14:paraId="3A309F0C"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4,7</w:t>
            </w:r>
          </w:p>
        </w:tc>
        <w:tc>
          <w:tcPr>
            <w:tcW w:w="508" w:type="dxa"/>
            <w:tcBorders>
              <w:top w:val="nil"/>
              <w:left w:val="nil"/>
              <w:bottom w:val="nil"/>
              <w:right w:val="nil"/>
            </w:tcBorders>
            <w:shd w:val="clear" w:color="auto" w:fill="auto"/>
            <w:noWrap/>
            <w:vAlign w:val="center"/>
            <w:hideMark/>
          </w:tcPr>
          <w:p w14:paraId="765256D7"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4,5</w:t>
            </w:r>
          </w:p>
        </w:tc>
        <w:tc>
          <w:tcPr>
            <w:tcW w:w="503" w:type="dxa"/>
            <w:tcBorders>
              <w:top w:val="nil"/>
              <w:left w:val="nil"/>
              <w:bottom w:val="nil"/>
              <w:right w:val="nil"/>
            </w:tcBorders>
            <w:shd w:val="clear" w:color="auto" w:fill="auto"/>
            <w:noWrap/>
            <w:vAlign w:val="center"/>
            <w:hideMark/>
          </w:tcPr>
          <w:p w14:paraId="4FDA71E3"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4,2</w:t>
            </w:r>
          </w:p>
        </w:tc>
        <w:tc>
          <w:tcPr>
            <w:tcW w:w="506" w:type="dxa"/>
            <w:tcBorders>
              <w:top w:val="nil"/>
              <w:left w:val="nil"/>
              <w:bottom w:val="nil"/>
              <w:right w:val="nil"/>
            </w:tcBorders>
            <w:shd w:val="clear" w:color="auto" w:fill="auto"/>
            <w:noWrap/>
            <w:vAlign w:val="center"/>
            <w:hideMark/>
          </w:tcPr>
          <w:p w14:paraId="0A4FEE01"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4,2</w:t>
            </w:r>
          </w:p>
        </w:tc>
      </w:tr>
      <w:tr w:rsidR="000C6444" w:rsidRPr="00DD1398" w14:paraId="6A0E9890" w14:textId="77777777" w:rsidTr="00636109">
        <w:trPr>
          <w:trHeight w:val="269"/>
        </w:trPr>
        <w:tc>
          <w:tcPr>
            <w:tcW w:w="4710" w:type="dxa"/>
            <w:tcBorders>
              <w:top w:val="nil"/>
              <w:left w:val="nil"/>
              <w:bottom w:val="single" w:sz="8" w:space="0" w:color="auto"/>
              <w:right w:val="nil"/>
            </w:tcBorders>
            <w:shd w:val="clear" w:color="auto" w:fill="auto"/>
            <w:noWrap/>
            <w:vAlign w:val="center"/>
            <w:hideMark/>
          </w:tcPr>
          <w:p w14:paraId="0665C72F" w14:textId="77777777" w:rsidR="000C6444" w:rsidRPr="00DD1398" w:rsidRDefault="000C6444" w:rsidP="00070E82">
            <w:pPr>
              <w:widowControl w:val="0"/>
              <w:rPr>
                <w:rFonts w:cs="Calibri"/>
                <w:color w:val="000000"/>
                <w:sz w:val="16"/>
                <w:szCs w:val="18"/>
              </w:rPr>
            </w:pPr>
            <w:r w:rsidRPr="00DD1398">
              <w:rPr>
                <w:rFonts w:cs="Calibri"/>
                <w:color w:val="000000"/>
                <w:sz w:val="16"/>
                <w:szCs w:val="18"/>
              </w:rPr>
              <w:t xml:space="preserve">    Kapitálové transfery</w:t>
            </w:r>
          </w:p>
        </w:tc>
        <w:tc>
          <w:tcPr>
            <w:tcW w:w="802" w:type="dxa"/>
            <w:tcBorders>
              <w:top w:val="nil"/>
              <w:left w:val="single" w:sz="8" w:space="0" w:color="auto"/>
              <w:bottom w:val="single" w:sz="8" w:space="0" w:color="auto"/>
              <w:right w:val="single" w:sz="8" w:space="0" w:color="auto"/>
            </w:tcBorders>
            <w:shd w:val="clear" w:color="auto" w:fill="auto"/>
            <w:noWrap/>
            <w:vAlign w:val="center"/>
            <w:hideMark/>
          </w:tcPr>
          <w:p w14:paraId="09970B6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0,4</w:t>
            </w:r>
          </w:p>
        </w:tc>
        <w:tc>
          <w:tcPr>
            <w:tcW w:w="802" w:type="dxa"/>
            <w:tcBorders>
              <w:top w:val="nil"/>
              <w:left w:val="nil"/>
              <w:bottom w:val="single" w:sz="8" w:space="0" w:color="auto"/>
              <w:right w:val="single" w:sz="8" w:space="0" w:color="auto"/>
            </w:tcBorders>
            <w:shd w:val="clear" w:color="auto" w:fill="auto"/>
            <w:noWrap/>
            <w:vAlign w:val="center"/>
            <w:hideMark/>
          </w:tcPr>
          <w:p w14:paraId="029E14A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0,7</w:t>
            </w:r>
          </w:p>
        </w:tc>
        <w:tc>
          <w:tcPr>
            <w:tcW w:w="821" w:type="dxa"/>
            <w:tcBorders>
              <w:top w:val="nil"/>
              <w:left w:val="nil"/>
              <w:bottom w:val="single" w:sz="8" w:space="0" w:color="auto"/>
              <w:right w:val="nil"/>
            </w:tcBorders>
            <w:shd w:val="clear" w:color="auto" w:fill="auto"/>
            <w:noWrap/>
            <w:vAlign w:val="center"/>
            <w:hideMark/>
          </w:tcPr>
          <w:p w14:paraId="058B7CDA"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0,3</w:t>
            </w:r>
          </w:p>
        </w:tc>
        <w:tc>
          <w:tcPr>
            <w:tcW w:w="513" w:type="dxa"/>
            <w:tcBorders>
              <w:top w:val="nil"/>
              <w:left w:val="single" w:sz="8" w:space="0" w:color="auto"/>
              <w:bottom w:val="single" w:sz="8" w:space="0" w:color="auto"/>
              <w:right w:val="single" w:sz="8" w:space="0" w:color="auto"/>
            </w:tcBorders>
            <w:shd w:val="clear" w:color="auto" w:fill="auto"/>
            <w:noWrap/>
            <w:vAlign w:val="center"/>
            <w:hideMark/>
          </w:tcPr>
          <w:p w14:paraId="5341686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0,7</w:t>
            </w:r>
          </w:p>
        </w:tc>
        <w:tc>
          <w:tcPr>
            <w:tcW w:w="508" w:type="dxa"/>
            <w:tcBorders>
              <w:top w:val="nil"/>
              <w:left w:val="nil"/>
              <w:bottom w:val="single" w:sz="8" w:space="0" w:color="auto"/>
              <w:right w:val="nil"/>
            </w:tcBorders>
            <w:shd w:val="clear" w:color="auto" w:fill="auto"/>
            <w:noWrap/>
            <w:vAlign w:val="center"/>
            <w:hideMark/>
          </w:tcPr>
          <w:p w14:paraId="0F4FF508"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0,3</w:t>
            </w:r>
          </w:p>
        </w:tc>
        <w:tc>
          <w:tcPr>
            <w:tcW w:w="503" w:type="dxa"/>
            <w:tcBorders>
              <w:top w:val="nil"/>
              <w:left w:val="nil"/>
              <w:bottom w:val="single" w:sz="8" w:space="0" w:color="auto"/>
              <w:right w:val="nil"/>
            </w:tcBorders>
            <w:shd w:val="clear" w:color="auto" w:fill="auto"/>
            <w:noWrap/>
            <w:vAlign w:val="center"/>
            <w:hideMark/>
          </w:tcPr>
          <w:p w14:paraId="0977FD7D"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0,2</w:t>
            </w:r>
          </w:p>
        </w:tc>
        <w:tc>
          <w:tcPr>
            <w:tcW w:w="506" w:type="dxa"/>
            <w:tcBorders>
              <w:top w:val="nil"/>
              <w:left w:val="nil"/>
              <w:bottom w:val="single" w:sz="8" w:space="0" w:color="auto"/>
              <w:right w:val="nil"/>
            </w:tcBorders>
            <w:shd w:val="clear" w:color="auto" w:fill="auto"/>
            <w:noWrap/>
            <w:vAlign w:val="center"/>
            <w:hideMark/>
          </w:tcPr>
          <w:p w14:paraId="5B44661F" w14:textId="77777777" w:rsidR="000C6444" w:rsidRPr="00DD1398" w:rsidRDefault="000C6444" w:rsidP="00070E82">
            <w:pPr>
              <w:widowControl w:val="0"/>
              <w:jc w:val="center"/>
              <w:rPr>
                <w:rFonts w:cs="Calibri"/>
                <w:color w:val="000000"/>
                <w:sz w:val="16"/>
                <w:szCs w:val="18"/>
              </w:rPr>
            </w:pPr>
            <w:r w:rsidRPr="00DD1398">
              <w:rPr>
                <w:rFonts w:cs="Calibri"/>
                <w:color w:val="000000"/>
                <w:sz w:val="16"/>
                <w:szCs w:val="18"/>
              </w:rPr>
              <w:t>0,2</w:t>
            </w:r>
          </w:p>
        </w:tc>
      </w:tr>
      <w:tr w:rsidR="00BB5BAC" w:rsidRPr="00DD1398" w14:paraId="3A6E5768" w14:textId="77777777" w:rsidTr="00636109">
        <w:trPr>
          <w:trHeight w:val="269"/>
        </w:trPr>
        <w:tc>
          <w:tcPr>
            <w:tcW w:w="4710" w:type="dxa"/>
            <w:tcBorders>
              <w:top w:val="nil"/>
              <w:left w:val="nil"/>
              <w:bottom w:val="nil"/>
              <w:right w:val="nil"/>
            </w:tcBorders>
            <w:shd w:val="clear" w:color="auto" w:fill="auto"/>
            <w:noWrap/>
            <w:vAlign w:val="center"/>
            <w:hideMark/>
          </w:tcPr>
          <w:p w14:paraId="4CFFBC54" w14:textId="77777777" w:rsidR="00BB5BAC" w:rsidRPr="00DD1398" w:rsidRDefault="00BB5BAC" w:rsidP="00BB5BAC">
            <w:pPr>
              <w:widowControl w:val="0"/>
              <w:rPr>
                <w:rFonts w:cs="Calibri"/>
                <w:b/>
                <w:bCs/>
                <w:color w:val="000000"/>
                <w:sz w:val="16"/>
                <w:szCs w:val="18"/>
              </w:rPr>
            </w:pPr>
            <w:r w:rsidRPr="00DD1398">
              <w:rPr>
                <w:rFonts w:cs="Calibri"/>
                <w:b/>
                <w:bCs/>
                <w:color w:val="000000"/>
                <w:sz w:val="16"/>
                <w:szCs w:val="18"/>
              </w:rPr>
              <w:t>3. Dodatočné opatrenia vlády na dosiahnutie cieľov (4-5)</w:t>
            </w:r>
          </w:p>
        </w:tc>
        <w:tc>
          <w:tcPr>
            <w:tcW w:w="802" w:type="dxa"/>
            <w:tcBorders>
              <w:top w:val="nil"/>
              <w:left w:val="single" w:sz="8" w:space="0" w:color="auto"/>
              <w:bottom w:val="single" w:sz="8" w:space="0" w:color="auto"/>
              <w:right w:val="single" w:sz="8" w:space="0" w:color="auto"/>
            </w:tcBorders>
            <w:shd w:val="clear" w:color="auto" w:fill="auto"/>
            <w:noWrap/>
            <w:vAlign w:val="center"/>
            <w:hideMark/>
          </w:tcPr>
          <w:p w14:paraId="09E8D190" w14:textId="77777777" w:rsidR="00BB5BAC" w:rsidRPr="00DD1398" w:rsidRDefault="00BB5BAC" w:rsidP="00BB5BAC">
            <w:pPr>
              <w:widowControl w:val="0"/>
              <w:jc w:val="center"/>
              <w:rPr>
                <w:rFonts w:cs="Calibri"/>
                <w:color w:val="000000"/>
                <w:sz w:val="16"/>
                <w:szCs w:val="18"/>
              </w:rPr>
            </w:pPr>
            <w:r w:rsidRPr="00DD1398">
              <w:rPr>
                <w:rFonts w:cs="Calibri"/>
                <w:color w:val="000000"/>
                <w:sz w:val="16"/>
                <w:szCs w:val="18"/>
              </w:rPr>
              <w:t> </w:t>
            </w:r>
          </w:p>
        </w:tc>
        <w:tc>
          <w:tcPr>
            <w:tcW w:w="802" w:type="dxa"/>
            <w:tcBorders>
              <w:top w:val="nil"/>
              <w:left w:val="nil"/>
              <w:bottom w:val="single" w:sz="8" w:space="0" w:color="auto"/>
              <w:right w:val="single" w:sz="8" w:space="0" w:color="auto"/>
            </w:tcBorders>
            <w:shd w:val="clear" w:color="auto" w:fill="auto"/>
            <w:noWrap/>
            <w:vAlign w:val="center"/>
            <w:hideMark/>
          </w:tcPr>
          <w:p w14:paraId="43BC3C22" w14:textId="77777777" w:rsidR="00BB5BAC" w:rsidRPr="00DD1398" w:rsidRDefault="00BB5BAC" w:rsidP="00BB5BAC">
            <w:pPr>
              <w:widowControl w:val="0"/>
              <w:jc w:val="center"/>
              <w:rPr>
                <w:rFonts w:cs="Calibri"/>
                <w:color w:val="000000"/>
                <w:sz w:val="16"/>
                <w:szCs w:val="18"/>
              </w:rPr>
            </w:pPr>
            <w:r w:rsidRPr="00DD1398">
              <w:rPr>
                <w:rFonts w:cs="Calibri"/>
                <w:color w:val="000000"/>
                <w:sz w:val="16"/>
                <w:szCs w:val="18"/>
              </w:rPr>
              <w:t> </w:t>
            </w:r>
          </w:p>
        </w:tc>
        <w:tc>
          <w:tcPr>
            <w:tcW w:w="821" w:type="dxa"/>
            <w:tcBorders>
              <w:top w:val="nil"/>
              <w:left w:val="nil"/>
              <w:bottom w:val="single" w:sz="8" w:space="0" w:color="auto"/>
              <w:right w:val="single" w:sz="8" w:space="0" w:color="auto"/>
            </w:tcBorders>
            <w:shd w:val="clear" w:color="auto" w:fill="auto"/>
            <w:noWrap/>
            <w:vAlign w:val="center"/>
            <w:hideMark/>
          </w:tcPr>
          <w:p w14:paraId="275BAE62"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 </w:t>
            </w:r>
          </w:p>
        </w:tc>
        <w:tc>
          <w:tcPr>
            <w:tcW w:w="513" w:type="dxa"/>
            <w:tcBorders>
              <w:top w:val="nil"/>
              <w:left w:val="nil"/>
              <w:bottom w:val="single" w:sz="8" w:space="0" w:color="auto"/>
              <w:right w:val="single" w:sz="8" w:space="0" w:color="auto"/>
            </w:tcBorders>
            <w:shd w:val="clear" w:color="auto" w:fill="auto"/>
            <w:noWrap/>
            <w:vAlign w:val="center"/>
            <w:hideMark/>
          </w:tcPr>
          <w:p w14:paraId="033DAAC4"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 </w:t>
            </w:r>
          </w:p>
        </w:tc>
        <w:tc>
          <w:tcPr>
            <w:tcW w:w="508" w:type="dxa"/>
            <w:tcBorders>
              <w:top w:val="nil"/>
              <w:left w:val="nil"/>
              <w:bottom w:val="single" w:sz="8" w:space="0" w:color="auto"/>
              <w:right w:val="nil"/>
            </w:tcBorders>
            <w:shd w:val="clear" w:color="auto" w:fill="auto"/>
            <w:noWrap/>
            <w:vAlign w:val="center"/>
            <w:hideMark/>
          </w:tcPr>
          <w:p w14:paraId="6FCCC76A" w14:textId="73FC7212"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0,9</w:t>
            </w:r>
          </w:p>
        </w:tc>
        <w:tc>
          <w:tcPr>
            <w:tcW w:w="503" w:type="dxa"/>
            <w:tcBorders>
              <w:top w:val="nil"/>
              <w:left w:val="nil"/>
              <w:bottom w:val="single" w:sz="8" w:space="0" w:color="auto"/>
              <w:right w:val="nil"/>
            </w:tcBorders>
            <w:shd w:val="clear" w:color="auto" w:fill="auto"/>
            <w:noWrap/>
            <w:vAlign w:val="center"/>
            <w:hideMark/>
          </w:tcPr>
          <w:p w14:paraId="1E0B1FC7" w14:textId="43B9C461"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0,9</w:t>
            </w:r>
          </w:p>
        </w:tc>
        <w:tc>
          <w:tcPr>
            <w:tcW w:w="506" w:type="dxa"/>
            <w:tcBorders>
              <w:top w:val="nil"/>
              <w:left w:val="nil"/>
              <w:bottom w:val="single" w:sz="8" w:space="0" w:color="auto"/>
              <w:right w:val="nil"/>
            </w:tcBorders>
            <w:shd w:val="clear" w:color="auto" w:fill="auto"/>
            <w:noWrap/>
            <w:vAlign w:val="center"/>
            <w:hideMark/>
          </w:tcPr>
          <w:p w14:paraId="2BCEDFD9" w14:textId="1590F16E"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1,4</w:t>
            </w:r>
          </w:p>
        </w:tc>
      </w:tr>
      <w:tr w:rsidR="00BB5BAC" w:rsidRPr="00DD1398" w14:paraId="172BFB83" w14:textId="77777777" w:rsidTr="00636109">
        <w:trPr>
          <w:trHeight w:val="269"/>
        </w:trPr>
        <w:tc>
          <w:tcPr>
            <w:tcW w:w="4710" w:type="dxa"/>
            <w:tcBorders>
              <w:top w:val="single" w:sz="8" w:space="0" w:color="auto"/>
              <w:left w:val="nil"/>
              <w:bottom w:val="single" w:sz="8" w:space="0" w:color="auto"/>
              <w:right w:val="single" w:sz="8" w:space="0" w:color="auto"/>
            </w:tcBorders>
            <w:shd w:val="clear" w:color="auto" w:fill="auto"/>
            <w:noWrap/>
            <w:vAlign w:val="center"/>
            <w:hideMark/>
          </w:tcPr>
          <w:p w14:paraId="361C06E0" w14:textId="1AF77F2D" w:rsidR="00BB5BAC" w:rsidRPr="00DD1398" w:rsidRDefault="00BB5BAC" w:rsidP="00BB5BAC">
            <w:pPr>
              <w:widowControl w:val="0"/>
              <w:rPr>
                <w:rFonts w:cs="Calibri"/>
                <w:b/>
                <w:bCs/>
                <w:color w:val="000000"/>
                <w:sz w:val="16"/>
                <w:szCs w:val="18"/>
              </w:rPr>
            </w:pPr>
            <w:r w:rsidRPr="00DD1398">
              <w:rPr>
                <w:rFonts w:cs="Calibri"/>
                <w:b/>
                <w:bCs/>
                <w:color w:val="000000"/>
                <w:sz w:val="16"/>
                <w:szCs w:val="18"/>
              </w:rPr>
              <w:t xml:space="preserve">4. </w:t>
            </w:r>
            <w:r>
              <w:rPr>
                <w:rFonts w:cs="Calibri"/>
                <w:b/>
                <w:bCs/>
                <w:color w:val="000000"/>
                <w:sz w:val="16"/>
                <w:szCs w:val="18"/>
              </w:rPr>
              <w:t>Saldo VS</w:t>
            </w:r>
            <w:r w:rsidRPr="00DD1398">
              <w:rPr>
                <w:rFonts w:cs="Calibri"/>
                <w:b/>
                <w:bCs/>
                <w:color w:val="000000"/>
                <w:sz w:val="16"/>
                <w:szCs w:val="18"/>
              </w:rPr>
              <w:t xml:space="preserve"> po dodatočných opatreniach</w:t>
            </w:r>
            <w:r>
              <w:rPr>
                <w:rFonts w:cs="Calibri"/>
                <w:b/>
                <w:bCs/>
                <w:color w:val="000000"/>
                <w:sz w:val="16"/>
                <w:szCs w:val="18"/>
              </w:rPr>
              <w:t xml:space="preserve"> (rozpočtové ciele)</w:t>
            </w:r>
          </w:p>
        </w:tc>
        <w:tc>
          <w:tcPr>
            <w:tcW w:w="802" w:type="dxa"/>
            <w:tcBorders>
              <w:top w:val="nil"/>
              <w:left w:val="nil"/>
              <w:bottom w:val="single" w:sz="8" w:space="0" w:color="auto"/>
              <w:right w:val="single" w:sz="8" w:space="0" w:color="auto"/>
            </w:tcBorders>
            <w:shd w:val="clear" w:color="auto" w:fill="auto"/>
            <w:noWrap/>
            <w:vAlign w:val="center"/>
            <w:hideMark/>
          </w:tcPr>
          <w:p w14:paraId="6C408DE6"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-1,3</w:t>
            </w:r>
          </w:p>
        </w:tc>
        <w:tc>
          <w:tcPr>
            <w:tcW w:w="802" w:type="dxa"/>
            <w:tcBorders>
              <w:top w:val="nil"/>
              <w:left w:val="nil"/>
              <w:bottom w:val="single" w:sz="8" w:space="0" w:color="auto"/>
              <w:right w:val="single" w:sz="8" w:space="0" w:color="auto"/>
            </w:tcBorders>
            <w:shd w:val="clear" w:color="auto" w:fill="auto"/>
            <w:noWrap/>
            <w:vAlign w:val="center"/>
            <w:hideMark/>
          </w:tcPr>
          <w:p w14:paraId="0390982F"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-5,5</w:t>
            </w:r>
          </w:p>
        </w:tc>
        <w:tc>
          <w:tcPr>
            <w:tcW w:w="821" w:type="dxa"/>
            <w:tcBorders>
              <w:top w:val="nil"/>
              <w:left w:val="nil"/>
              <w:bottom w:val="single" w:sz="8" w:space="0" w:color="auto"/>
              <w:right w:val="single" w:sz="8" w:space="0" w:color="auto"/>
            </w:tcBorders>
            <w:shd w:val="clear" w:color="auto" w:fill="auto"/>
            <w:noWrap/>
            <w:vAlign w:val="center"/>
            <w:hideMark/>
          </w:tcPr>
          <w:p w14:paraId="5D2AFEA4"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-6,2</w:t>
            </w:r>
          </w:p>
        </w:tc>
        <w:tc>
          <w:tcPr>
            <w:tcW w:w="513" w:type="dxa"/>
            <w:tcBorders>
              <w:top w:val="nil"/>
              <w:left w:val="nil"/>
              <w:bottom w:val="single" w:sz="8" w:space="0" w:color="auto"/>
              <w:right w:val="single" w:sz="8" w:space="0" w:color="auto"/>
            </w:tcBorders>
            <w:shd w:val="clear" w:color="auto" w:fill="auto"/>
            <w:noWrap/>
            <w:vAlign w:val="center"/>
            <w:hideMark/>
          </w:tcPr>
          <w:p w14:paraId="5577C2ED"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-5,1</w:t>
            </w:r>
          </w:p>
        </w:tc>
        <w:tc>
          <w:tcPr>
            <w:tcW w:w="508" w:type="dxa"/>
            <w:tcBorders>
              <w:top w:val="nil"/>
              <w:left w:val="nil"/>
              <w:bottom w:val="single" w:sz="8" w:space="0" w:color="auto"/>
              <w:right w:val="nil"/>
            </w:tcBorders>
            <w:shd w:val="clear" w:color="auto" w:fill="auto"/>
            <w:noWrap/>
            <w:vAlign w:val="center"/>
            <w:hideMark/>
          </w:tcPr>
          <w:p w14:paraId="6E7DE6C5" w14:textId="093B0890"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-2,4</w:t>
            </w:r>
          </w:p>
        </w:tc>
        <w:tc>
          <w:tcPr>
            <w:tcW w:w="503" w:type="dxa"/>
            <w:tcBorders>
              <w:top w:val="nil"/>
              <w:left w:val="nil"/>
              <w:bottom w:val="single" w:sz="8" w:space="0" w:color="auto"/>
              <w:right w:val="nil"/>
            </w:tcBorders>
            <w:shd w:val="clear" w:color="auto" w:fill="auto"/>
            <w:noWrap/>
            <w:vAlign w:val="center"/>
            <w:hideMark/>
          </w:tcPr>
          <w:p w14:paraId="6F0B0A40" w14:textId="585BF636"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-2,3</w:t>
            </w:r>
          </w:p>
        </w:tc>
        <w:tc>
          <w:tcPr>
            <w:tcW w:w="506" w:type="dxa"/>
            <w:tcBorders>
              <w:top w:val="nil"/>
              <w:left w:val="nil"/>
              <w:bottom w:val="single" w:sz="8" w:space="0" w:color="auto"/>
              <w:right w:val="nil"/>
            </w:tcBorders>
            <w:shd w:val="clear" w:color="auto" w:fill="auto"/>
            <w:noWrap/>
            <w:vAlign w:val="center"/>
            <w:hideMark/>
          </w:tcPr>
          <w:p w14:paraId="15952EAA" w14:textId="5CD0877C"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-2,0</w:t>
            </w:r>
          </w:p>
        </w:tc>
      </w:tr>
      <w:tr w:rsidR="00BB5BAC" w:rsidRPr="00DD1398" w14:paraId="7C3AB301" w14:textId="77777777" w:rsidTr="00636109">
        <w:trPr>
          <w:trHeight w:val="269"/>
        </w:trPr>
        <w:tc>
          <w:tcPr>
            <w:tcW w:w="4710" w:type="dxa"/>
            <w:tcBorders>
              <w:top w:val="nil"/>
              <w:left w:val="nil"/>
              <w:bottom w:val="single" w:sz="8" w:space="0" w:color="auto"/>
              <w:right w:val="single" w:sz="8" w:space="0" w:color="auto"/>
            </w:tcBorders>
            <w:shd w:val="clear" w:color="auto" w:fill="auto"/>
            <w:noWrap/>
            <w:vAlign w:val="center"/>
            <w:hideMark/>
          </w:tcPr>
          <w:p w14:paraId="0D5C9C92" w14:textId="3FBD02B4" w:rsidR="00BB5BAC" w:rsidRPr="00DD1398" w:rsidRDefault="00BB5BAC" w:rsidP="00BB5BAC">
            <w:pPr>
              <w:widowControl w:val="0"/>
              <w:rPr>
                <w:rFonts w:cs="Calibri"/>
                <w:b/>
                <w:bCs/>
                <w:color w:val="000000"/>
                <w:sz w:val="16"/>
                <w:szCs w:val="18"/>
              </w:rPr>
            </w:pPr>
            <w:r w:rsidRPr="00DD1398">
              <w:rPr>
                <w:rFonts w:cs="Calibri"/>
                <w:b/>
                <w:bCs/>
                <w:color w:val="000000"/>
                <w:sz w:val="16"/>
                <w:szCs w:val="18"/>
              </w:rPr>
              <w:t xml:space="preserve">5. </w:t>
            </w:r>
            <w:r>
              <w:rPr>
                <w:rFonts w:cs="Calibri"/>
                <w:b/>
                <w:bCs/>
                <w:color w:val="000000"/>
                <w:sz w:val="16"/>
                <w:szCs w:val="18"/>
              </w:rPr>
              <w:t>Saldo VS</w:t>
            </w:r>
            <w:r w:rsidRPr="00DD1398">
              <w:rPr>
                <w:rFonts w:cs="Calibri"/>
                <w:b/>
                <w:bCs/>
                <w:color w:val="000000"/>
                <w:sz w:val="16"/>
                <w:szCs w:val="18"/>
              </w:rPr>
              <w:t xml:space="preserve"> bez dodatočných opatrení</w:t>
            </w:r>
            <w:r>
              <w:rPr>
                <w:rFonts w:cs="Calibri"/>
                <w:b/>
                <w:bCs/>
                <w:color w:val="000000"/>
                <w:sz w:val="16"/>
                <w:szCs w:val="18"/>
              </w:rPr>
              <w:t xml:space="preserve"> (FRRVS)</w:t>
            </w:r>
          </w:p>
        </w:tc>
        <w:tc>
          <w:tcPr>
            <w:tcW w:w="802" w:type="dxa"/>
            <w:tcBorders>
              <w:top w:val="nil"/>
              <w:left w:val="nil"/>
              <w:bottom w:val="single" w:sz="8" w:space="0" w:color="auto"/>
              <w:right w:val="single" w:sz="8" w:space="0" w:color="auto"/>
            </w:tcBorders>
            <w:shd w:val="clear" w:color="auto" w:fill="auto"/>
            <w:noWrap/>
            <w:vAlign w:val="center"/>
            <w:hideMark/>
          </w:tcPr>
          <w:p w14:paraId="34EF478F"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-1,3</w:t>
            </w:r>
          </w:p>
        </w:tc>
        <w:tc>
          <w:tcPr>
            <w:tcW w:w="802" w:type="dxa"/>
            <w:tcBorders>
              <w:top w:val="nil"/>
              <w:left w:val="nil"/>
              <w:bottom w:val="single" w:sz="8" w:space="0" w:color="auto"/>
              <w:right w:val="single" w:sz="8" w:space="0" w:color="auto"/>
            </w:tcBorders>
            <w:shd w:val="clear" w:color="auto" w:fill="auto"/>
            <w:noWrap/>
            <w:vAlign w:val="center"/>
            <w:hideMark/>
          </w:tcPr>
          <w:p w14:paraId="5A990D78"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-5,5</w:t>
            </w:r>
          </w:p>
        </w:tc>
        <w:tc>
          <w:tcPr>
            <w:tcW w:w="821" w:type="dxa"/>
            <w:tcBorders>
              <w:top w:val="nil"/>
              <w:left w:val="nil"/>
              <w:bottom w:val="single" w:sz="8" w:space="0" w:color="auto"/>
              <w:right w:val="single" w:sz="8" w:space="0" w:color="auto"/>
            </w:tcBorders>
            <w:shd w:val="clear" w:color="auto" w:fill="auto"/>
            <w:noWrap/>
            <w:vAlign w:val="center"/>
            <w:hideMark/>
          </w:tcPr>
          <w:p w14:paraId="3CA68A3D"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-6,2</w:t>
            </w:r>
          </w:p>
        </w:tc>
        <w:tc>
          <w:tcPr>
            <w:tcW w:w="513" w:type="dxa"/>
            <w:tcBorders>
              <w:top w:val="nil"/>
              <w:left w:val="nil"/>
              <w:bottom w:val="single" w:sz="8" w:space="0" w:color="auto"/>
              <w:right w:val="single" w:sz="8" w:space="0" w:color="auto"/>
            </w:tcBorders>
            <w:shd w:val="clear" w:color="auto" w:fill="auto"/>
            <w:noWrap/>
            <w:vAlign w:val="center"/>
            <w:hideMark/>
          </w:tcPr>
          <w:p w14:paraId="5C12113D" w14:textId="77777777" w:rsidR="00BB5BAC" w:rsidRPr="00DD1398" w:rsidRDefault="00BB5BAC" w:rsidP="00BB5BAC">
            <w:pPr>
              <w:widowControl w:val="0"/>
              <w:jc w:val="center"/>
              <w:rPr>
                <w:rFonts w:cs="Calibri"/>
                <w:b/>
                <w:bCs/>
                <w:color w:val="000000"/>
                <w:sz w:val="16"/>
                <w:szCs w:val="18"/>
              </w:rPr>
            </w:pPr>
            <w:r w:rsidRPr="00DD1398">
              <w:rPr>
                <w:rFonts w:cs="Calibri"/>
                <w:b/>
                <w:bCs/>
                <w:color w:val="000000"/>
                <w:sz w:val="16"/>
                <w:szCs w:val="18"/>
              </w:rPr>
              <w:t>-5,1</w:t>
            </w:r>
          </w:p>
        </w:tc>
        <w:tc>
          <w:tcPr>
            <w:tcW w:w="508" w:type="dxa"/>
            <w:tcBorders>
              <w:top w:val="nil"/>
              <w:left w:val="nil"/>
              <w:bottom w:val="single" w:sz="8" w:space="0" w:color="auto"/>
              <w:right w:val="nil"/>
            </w:tcBorders>
            <w:shd w:val="clear" w:color="auto" w:fill="auto"/>
            <w:noWrap/>
            <w:vAlign w:val="center"/>
            <w:hideMark/>
          </w:tcPr>
          <w:p w14:paraId="3C2C2B26" w14:textId="2DD3F9CF"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-3,3</w:t>
            </w:r>
          </w:p>
        </w:tc>
        <w:tc>
          <w:tcPr>
            <w:tcW w:w="503" w:type="dxa"/>
            <w:tcBorders>
              <w:top w:val="nil"/>
              <w:left w:val="nil"/>
              <w:bottom w:val="single" w:sz="8" w:space="0" w:color="auto"/>
              <w:right w:val="nil"/>
            </w:tcBorders>
            <w:shd w:val="clear" w:color="auto" w:fill="auto"/>
            <w:noWrap/>
            <w:vAlign w:val="center"/>
            <w:hideMark/>
          </w:tcPr>
          <w:p w14:paraId="0580306B" w14:textId="3C05F034"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-3,2</w:t>
            </w:r>
          </w:p>
        </w:tc>
        <w:tc>
          <w:tcPr>
            <w:tcW w:w="506" w:type="dxa"/>
            <w:tcBorders>
              <w:top w:val="nil"/>
              <w:left w:val="nil"/>
              <w:bottom w:val="single" w:sz="8" w:space="0" w:color="auto"/>
              <w:right w:val="nil"/>
            </w:tcBorders>
            <w:shd w:val="clear" w:color="auto" w:fill="auto"/>
            <w:noWrap/>
            <w:vAlign w:val="center"/>
            <w:hideMark/>
          </w:tcPr>
          <w:p w14:paraId="21CE23A8" w14:textId="16C2859F" w:rsidR="00BB5BAC" w:rsidRPr="00BB5BAC" w:rsidRDefault="00BB5BAC" w:rsidP="00BB5BAC">
            <w:pPr>
              <w:widowControl w:val="0"/>
              <w:jc w:val="center"/>
              <w:rPr>
                <w:rFonts w:cs="Calibri"/>
                <w:b/>
                <w:bCs/>
                <w:color w:val="000000"/>
                <w:sz w:val="16"/>
                <w:szCs w:val="18"/>
              </w:rPr>
            </w:pPr>
            <w:r w:rsidRPr="00BB5BAC">
              <w:rPr>
                <w:rFonts w:cs="Calibri"/>
                <w:b/>
                <w:bCs/>
                <w:color w:val="000000"/>
                <w:sz w:val="16"/>
                <w:szCs w:val="18"/>
              </w:rPr>
              <w:t>-3,5</w:t>
            </w:r>
          </w:p>
        </w:tc>
      </w:tr>
    </w:tbl>
    <w:p w14:paraId="72F2186F" w14:textId="77777777" w:rsidR="000C6444" w:rsidRPr="00621E55" w:rsidRDefault="000C6444" w:rsidP="00070E82">
      <w:pPr>
        <w:widowControl w:val="0"/>
        <w:jc w:val="right"/>
        <w:rPr>
          <w:i/>
          <w:sz w:val="16"/>
          <w:szCs w:val="16"/>
        </w:rPr>
      </w:pPr>
      <w:r w:rsidRPr="00621E55">
        <w:rPr>
          <w:i/>
          <w:sz w:val="16"/>
          <w:szCs w:val="16"/>
        </w:rPr>
        <w:t>Zdroj: MF SR</w:t>
      </w:r>
    </w:p>
    <w:p w14:paraId="49323608" w14:textId="46FD4D31" w:rsidR="003B2A65" w:rsidRPr="000C6444" w:rsidRDefault="003B2A65" w:rsidP="00070E82">
      <w:pPr>
        <w:widowControl w:val="0"/>
        <w:rPr>
          <w:b/>
        </w:rPr>
      </w:pPr>
    </w:p>
    <w:p w14:paraId="056237CC" w14:textId="0FC5057F" w:rsidR="003B2A65" w:rsidRDefault="003B2A65" w:rsidP="00070E82">
      <w:pPr>
        <w:widowControl w:val="0"/>
        <w:rPr>
          <w:b/>
        </w:rPr>
      </w:pPr>
    </w:p>
    <w:p w14:paraId="240DBB62" w14:textId="4B9A90D6" w:rsidR="003B2A65" w:rsidRDefault="003B2A65" w:rsidP="00AD7C0A">
      <w:pPr>
        <w:rPr>
          <w:b/>
        </w:rPr>
      </w:pPr>
      <w:r>
        <w:rPr>
          <w:b/>
        </w:rPr>
        <w:br w:type="page"/>
      </w:r>
    </w:p>
    <w:p w14:paraId="5645157C" w14:textId="77777777" w:rsidR="003B2A65" w:rsidRPr="003B2A65" w:rsidRDefault="003B2A65" w:rsidP="003B2A65">
      <w:pPr>
        <w:pStyle w:val="Nadpis1"/>
        <w:keepLines/>
        <w:numPr>
          <w:ilvl w:val="0"/>
          <w:numId w:val="2"/>
        </w:numPr>
        <w:spacing w:before="240" w:after="240" w:line="276" w:lineRule="auto"/>
        <w:rPr>
          <w:rFonts w:cs="Arial Narrow"/>
          <w:szCs w:val="28"/>
        </w:rPr>
      </w:pPr>
      <w:bookmarkStart w:id="139" w:name="_Toc70700338"/>
      <w:bookmarkStart w:id="140" w:name="_Toc101880669"/>
      <w:r w:rsidRPr="003B2A65">
        <w:rPr>
          <w:color w:val="2C9ADC"/>
          <w:szCs w:val="28"/>
        </w:rPr>
        <w:t>DLH VEREJNEJ SPRÁVY A UDRŽATEĽNOSŤ VEREJNÝCH FINANCIÍ</w:t>
      </w:r>
      <w:bookmarkEnd w:id="139"/>
      <w:bookmarkEnd w:id="140"/>
      <w:r w:rsidRPr="003B2A65">
        <w:rPr>
          <w:rFonts w:cs="Arial Narrow"/>
          <w:szCs w:val="28"/>
        </w:rPr>
        <w:t xml:space="preserve"> </w:t>
      </w:r>
    </w:p>
    <w:tbl>
      <w:tblPr>
        <w:tblStyle w:val="Mriekatabuky"/>
        <w:tblW w:w="9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2"/>
      </w:tblGrid>
      <w:tr w:rsidR="003B2A65" w:rsidRPr="00656B8A" w14:paraId="097DF431" w14:textId="77777777" w:rsidTr="000E4D54">
        <w:trPr>
          <w:trHeight w:val="1815"/>
        </w:trPr>
        <w:tc>
          <w:tcPr>
            <w:tcW w:w="9222" w:type="dxa"/>
          </w:tcPr>
          <w:p w14:paraId="33561C06" w14:textId="658A86DE" w:rsidR="003B2A65" w:rsidRPr="00914FA3" w:rsidRDefault="00914FA3">
            <w:pPr>
              <w:spacing w:before="120" w:after="120"/>
              <w:jc w:val="both"/>
              <w:rPr>
                <w:i/>
                <w:iCs/>
                <w:color w:val="000000"/>
              </w:rPr>
            </w:pPr>
            <w:r w:rsidRPr="00914FA3">
              <w:rPr>
                <w:i/>
              </w:rPr>
              <w:t xml:space="preserve">Po náraste </w:t>
            </w:r>
            <w:r w:rsidR="00C4075A">
              <w:rPr>
                <w:i/>
              </w:rPr>
              <w:t xml:space="preserve">hrubého dlhu </w:t>
            </w:r>
            <w:r w:rsidRPr="00914FA3">
              <w:rPr>
                <w:i/>
              </w:rPr>
              <w:t xml:space="preserve">na 63,1 % HDP v minulom  roku sa v ďalších rokoch zadlženie </w:t>
            </w:r>
            <w:r w:rsidR="00C4075A">
              <w:rPr>
                <w:i/>
              </w:rPr>
              <w:t xml:space="preserve">stabilizuje a </w:t>
            </w:r>
            <w:r w:rsidRPr="00914FA3">
              <w:rPr>
                <w:i/>
              </w:rPr>
              <w:t>vráti hlbšie pod hranicu 60 % HDP. Indikátor dlhodobej udržateľnosti S2 však ostane v pásme vysokého rizika. To znamená, že stabilizácia, resp. pokles zadlženia za horizontom rozpočtu</w:t>
            </w:r>
            <w:r w:rsidR="00104B85">
              <w:rPr>
                <w:i/>
              </w:rPr>
              <w:t xml:space="preserve">, </w:t>
            </w:r>
            <w:r w:rsidRPr="00914FA3">
              <w:rPr>
                <w:i/>
              </w:rPr>
              <w:t xml:space="preserve"> budú možné len ďalším zvyšovaním príjmov, alebo znižovaním výdavkov a prostredníctvom štrukturálnych reforiem</w:t>
            </w:r>
            <w:r w:rsidR="00C4075A">
              <w:rPr>
                <w:i/>
                <w:iCs/>
                <w:color w:val="000000"/>
              </w:rPr>
              <w:t xml:space="preserve">. </w:t>
            </w:r>
            <w:r w:rsidRPr="00914FA3">
              <w:rPr>
                <w:i/>
              </w:rPr>
              <w:t>Dôchodkové zmeny, ktoré vláda schválila v apríli tohto roka a sú pred rokovaním v parlamente, by parametricky zlepšili indikátor S2 o ďalších takmer 3 p.</w:t>
            </w:r>
            <w:r w:rsidR="00104B85">
              <w:rPr>
                <w:i/>
              </w:rPr>
              <w:t xml:space="preserve"> </w:t>
            </w:r>
            <w:r w:rsidRPr="00914FA3">
              <w:rPr>
                <w:i/>
              </w:rPr>
              <w:t>b.</w:t>
            </w:r>
            <w:r w:rsidR="007C5FA2">
              <w:rPr>
                <w:i/>
              </w:rPr>
              <w:t>.</w:t>
            </w:r>
            <w:r w:rsidRPr="00914FA3">
              <w:rPr>
                <w:i/>
              </w:rPr>
              <w:t xml:space="preserve"> No ukotvenie väzby dôchodkového veku na </w:t>
            </w:r>
            <w:r w:rsidR="00104B85">
              <w:rPr>
                <w:i/>
              </w:rPr>
              <w:t xml:space="preserve">strednú </w:t>
            </w:r>
            <w:r w:rsidRPr="00914FA3">
              <w:rPr>
                <w:i/>
              </w:rPr>
              <w:t xml:space="preserve">dĺžku dožitia len formou bežného zákona </w:t>
            </w:r>
            <w:r w:rsidR="00104B85">
              <w:rPr>
                <w:i/>
              </w:rPr>
              <w:t>predstavuje</w:t>
            </w:r>
            <w:r w:rsidRPr="00914FA3">
              <w:rPr>
                <w:i/>
              </w:rPr>
              <w:t xml:space="preserve"> potenciálne riziko, že plánované budúce úspory </w:t>
            </w:r>
            <w:r w:rsidR="007E1584">
              <w:rPr>
                <w:i/>
              </w:rPr>
              <w:t>môžu</w:t>
            </w:r>
            <w:r w:rsidRPr="00914FA3">
              <w:rPr>
                <w:i/>
              </w:rPr>
              <w:t xml:space="preserve"> byť neskôr zvrátené. Naopak, výdavky rodičovského bonusu sa prejavi</w:t>
            </w:r>
            <w:r w:rsidR="007E1584">
              <w:rPr>
                <w:i/>
              </w:rPr>
              <w:t>a</w:t>
            </w:r>
            <w:r w:rsidRPr="00914FA3">
              <w:rPr>
                <w:i/>
              </w:rPr>
              <w:t xml:space="preserve"> už v najbližších rokoch.</w:t>
            </w:r>
            <w:r w:rsidR="00C4075A">
              <w:rPr>
                <w:i/>
              </w:rPr>
              <w:t xml:space="preserve"> </w:t>
            </w:r>
            <w:r w:rsidR="009361F6">
              <w:rPr>
                <w:i/>
              </w:rPr>
              <w:t>Pretvávajúce n</w:t>
            </w:r>
            <w:r w:rsidR="00C4075A" w:rsidRPr="00914FA3">
              <w:rPr>
                <w:i/>
                <w:iCs/>
                <w:color w:val="000000"/>
              </w:rPr>
              <w:t>epriaznivé hodnoty indikátorov strednodobej a dlhodobej udržateľnosti naznačujú potrebu konsolidácie aj v nasledujúcom volebnom období</w:t>
            </w:r>
            <w:r w:rsidR="00C4075A">
              <w:rPr>
                <w:i/>
                <w:iCs/>
                <w:color w:val="000000"/>
              </w:rPr>
              <w:t>.</w:t>
            </w:r>
          </w:p>
        </w:tc>
      </w:tr>
    </w:tbl>
    <w:p w14:paraId="400D9F64" w14:textId="77777777" w:rsidR="003B2A65" w:rsidRPr="0090050C" w:rsidRDefault="003B2A65" w:rsidP="003B2A65">
      <w:pPr>
        <w:pStyle w:val="Nadpis2"/>
        <w:keepLines/>
        <w:numPr>
          <w:ilvl w:val="1"/>
          <w:numId w:val="2"/>
        </w:numPr>
        <w:spacing w:before="240" w:after="120"/>
        <w:rPr>
          <w:b/>
          <w:color w:val="2C9ADC"/>
          <w:szCs w:val="24"/>
        </w:rPr>
      </w:pPr>
      <w:bookmarkStart w:id="141" w:name="_Toc70700337"/>
      <w:bookmarkStart w:id="142" w:name="_Toc101880670"/>
      <w:bookmarkStart w:id="143" w:name="_Toc70700339"/>
      <w:r w:rsidRPr="0090050C">
        <w:rPr>
          <w:b/>
          <w:color w:val="2C9ADC"/>
          <w:szCs w:val="24"/>
        </w:rPr>
        <w:t>Hrubý dlh verejnej správy</w:t>
      </w:r>
      <w:bookmarkEnd w:id="141"/>
      <w:bookmarkEnd w:id="142"/>
    </w:p>
    <w:p w14:paraId="65A8A3E1" w14:textId="2A54DF66" w:rsidR="003B2A65" w:rsidRDefault="003B2A65" w:rsidP="003B2A65">
      <w:pPr>
        <w:spacing w:after="120"/>
        <w:jc w:val="both"/>
      </w:pPr>
      <w:r w:rsidRPr="0090050C">
        <w:rPr>
          <w:b/>
        </w:rPr>
        <w:t xml:space="preserve">Hrubý dlh SR v roku 2021 vzrástol na </w:t>
      </w:r>
      <w:r>
        <w:rPr>
          <w:b/>
        </w:rPr>
        <w:t xml:space="preserve">historicky najvyššiu úroveň </w:t>
      </w:r>
      <w:r w:rsidRPr="0090050C">
        <w:rPr>
          <w:b/>
        </w:rPr>
        <w:t xml:space="preserve">63,1 % HDP, </w:t>
      </w:r>
      <w:r>
        <w:rPr>
          <w:b/>
        </w:rPr>
        <w:t>po prvýkrát prekročil maastrichtskú hranicu 60 % HDP</w:t>
      </w:r>
      <w:r>
        <w:rPr>
          <w:rStyle w:val="Odkaznapoznmkupodiarou"/>
          <w:b/>
        </w:rPr>
        <w:footnoteReference w:id="43"/>
      </w:r>
      <w:r>
        <w:rPr>
          <w:b/>
        </w:rPr>
        <w:t xml:space="preserve"> a ostáva aj nad najvyšším sankčným pásmom dlhovej brzdy</w:t>
      </w:r>
      <w:r w:rsidR="00FC5F31">
        <w:rPr>
          <w:rStyle w:val="Odkaznapoznmkupodiarou"/>
          <w:b/>
        </w:rPr>
        <w:footnoteReference w:id="44"/>
      </w:r>
      <w:r>
        <w:rPr>
          <w:b/>
        </w:rPr>
        <w:t xml:space="preserve">. </w:t>
      </w:r>
      <w:r>
        <w:t xml:space="preserve">Dynamika </w:t>
      </w:r>
      <w:r w:rsidRPr="00F14B89">
        <w:t>rastu zadlženia medziročne výrazne zvoľnila, dlh v pomere k HDP oproti 2020 vzrástol o 3,3 percentuálneho bodu</w:t>
      </w:r>
      <w:r w:rsidR="00A9223D" w:rsidRPr="00F14B89">
        <w:t xml:space="preserve"> (</w:t>
      </w:r>
      <w:r w:rsidR="00A9223D" w:rsidRPr="00636109">
        <w:rPr>
          <w:b/>
          <w:color w:val="2C9ADC" w:themeColor="accent1"/>
        </w:rPr>
        <w:t>GRAF</w:t>
      </w:r>
      <w:r w:rsidR="009C5095" w:rsidRPr="00F14B89">
        <w:rPr>
          <w:b/>
          <w:color w:val="2C9ADC" w:themeColor="accent1"/>
        </w:rPr>
        <w:t xml:space="preserve"> 27</w:t>
      </w:r>
      <w:r w:rsidR="00A9223D" w:rsidRPr="00F14B89">
        <w:t>)</w:t>
      </w:r>
      <w:r w:rsidRPr="00F14B89">
        <w:t xml:space="preserve">. Najvýraznejším faktorom nárastu dlhu v 2021 bol vysoký pretrvávajúci deficit </w:t>
      </w:r>
      <w:r w:rsidR="00CB108F" w:rsidRPr="00F14B89">
        <w:t xml:space="preserve">verejnej správy </w:t>
      </w:r>
      <w:r w:rsidRPr="00F14B89">
        <w:t>ako dôsledok zvýšených podporných výdavkov na boj s COVID-19</w:t>
      </w:r>
      <w:r w:rsidRPr="00F14B89">
        <w:rPr>
          <w:rStyle w:val="Odkaznapoznmkupodiarou"/>
        </w:rPr>
        <w:footnoteReference w:id="45"/>
      </w:r>
      <w:r w:rsidR="009C5095" w:rsidRPr="00F14B89">
        <w:t xml:space="preserve"> (</w:t>
      </w:r>
      <w:r w:rsidR="009C5095" w:rsidRPr="00636109">
        <w:rPr>
          <w:b/>
          <w:color w:val="2C9ADC" w:themeColor="accent1"/>
        </w:rPr>
        <w:t>GRAF</w:t>
      </w:r>
      <w:r w:rsidR="009C5095" w:rsidRPr="00F14B89">
        <w:rPr>
          <w:b/>
          <w:color w:val="2C9ADC" w:themeColor="accent1"/>
        </w:rPr>
        <w:t xml:space="preserve"> 28</w:t>
      </w:r>
      <w:r w:rsidR="009C5095" w:rsidRPr="00F14B89">
        <w:t>)</w:t>
      </w:r>
      <w:r w:rsidRPr="00F14B89">
        <w:t xml:space="preserve">. </w:t>
      </w:r>
      <w:r w:rsidR="007B5207" w:rsidRPr="00F14B89">
        <w:t xml:space="preserve">Druhým dôvodom </w:t>
      </w:r>
      <w:r w:rsidR="009C5095" w:rsidRPr="00F14B89">
        <w:t>medziročného rastu</w:t>
      </w:r>
      <w:r w:rsidR="007B5207" w:rsidRPr="00F14B89">
        <w:t xml:space="preserve"> dlhu, </w:t>
      </w:r>
      <w:r w:rsidR="000C4287" w:rsidRPr="00F14B89">
        <w:t>v menšej miere</w:t>
      </w:r>
      <w:r w:rsidRPr="00F14B89">
        <w:t xml:space="preserve"> ako v roku 2020, </w:t>
      </w:r>
      <w:r w:rsidR="007B5207" w:rsidRPr="00F14B89">
        <w:t>bolo</w:t>
      </w:r>
      <w:r w:rsidRPr="00F14B89">
        <w:t xml:space="preserve"> </w:t>
      </w:r>
      <w:r w:rsidR="00CB108F" w:rsidRPr="00F14B89">
        <w:t>zvýšenie</w:t>
      </w:r>
      <w:r w:rsidRPr="00F14B89">
        <w:t xml:space="preserve"> likvidných finančných aktív v</w:t>
      </w:r>
      <w:r w:rsidR="004409BB" w:rsidRPr="00F14B89">
        <w:t>erejnej správy</w:t>
      </w:r>
      <w:r w:rsidR="001D22E0" w:rsidRPr="00F14B89">
        <w:t xml:space="preserve">, ktorých objem ku koncu roka </w:t>
      </w:r>
      <w:r w:rsidR="00964F60" w:rsidRPr="00F14B89">
        <w:t>dosiahol</w:t>
      </w:r>
      <w:r w:rsidR="001D22E0" w:rsidRPr="00F14B89">
        <w:t xml:space="preserve"> </w:t>
      </w:r>
      <w:r w:rsidR="00964F60" w:rsidRPr="00F14B89">
        <w:t xml:space="preserve">celkovo </w:t>
      </w:r>
      <w:r w:rsidR="004409BB" w:rsidRPr="00F14B89">
        <w:t>11,5</w:t>
      </w:r>
      <w:r w:rsidRPr="00F14B89">
        <w:t xml:space="preserve"> % HDP. Významnú časť </w:t>
      </w:r>
      <w:r w:rsidR="00145EE7" w:rsidRPr="00F14B89">
        <w:t>z ich</w:t>
      </w:r>
      <w:r w:rsidRPr="00F14B89">
        <w:t xml:space="preserve"> nárastu </w:t>
      </w:r>
      <w:r w:rsidR="002A2E4A" w:rsidRPr="00F14B89">
        <w:t xml:space="preserve">(1,7 % HDP) </w:t>
      </w:r>
      <w:r w:rsidRPr="00F14B89">
        <w:t>tvorili vklady subjektov mimo sektora verejnej správy v Štátnej pokladnici</w:t>
      </w:r>
      <w:r w:rsidRPr="00F14B89">
        <w:rPr>
          <w:rStyle w:val="Odkaznapoznmkupodiarou"/>
        </w:rPr>
        <w:footnoteReference w:id="46"/>
      </w:r>
      <w:r w:rsidRPr="00F14B89">
        <w:t xml:space="preserve">, </w:t>
      </w:r>
      <w:r w:rsidR="00964F60" w:rsidRPr="00F14B89">
        <w:t xml:space="preserve">ktoré sa navyšovali </w:t>
      </w:r>
      <w:r w:rsidRPr="00F14B89">
        <w:t>najmä v druhej polovici roka 2021</w:t>
      </w:r>
      <w:r w:rsidRPr="00F14B89">
        <w:rPr>
          <w:rStyle w:val="Odkaznapoznmkupodiarou"/>
        </w:rPr>
        <w:footnoteReference w:id="47"/>
      </w:r>
      <w:r w:rsidRPr="00F14B89">
        <w:t xml:space="preserve">. </w:t>
      </w:r>
      <w:r w:rsidR="00A23126" w:rsidRPr="00F14B89">
        <w:t xml:space="preserve">Očistením hrubého dlhu o likvidné finančné aktíva čistý dlh </w:t>
      </w:r>
      <w:r w:rsidR="00727DBD" w:rsidRPr="00F14B89">
        <w:t xml:space="preserve">tak </w:t>
      </w:r>
      <w:r w:rsidR="00A23126" w:rsidRPr="00F14B89">
        <w:t>medziročne vzrástol o</w:t>
      </w:r>
      <w:r w:rsidR="00A23126">
        <w:t> 1,9 p. b.</w:t>
      </w:r>
      <w:r w:rsidR="00727DBD">
        <w:t xml:space="preserve">, pomalšie ako hrubý dlh. </w:t>
      </w:r>
      <w:r w:rsidRPr="0032332F">
        <w:t>Zvyšovanie hrubého dlhu v pomere k HDP v</w:t>
      </w:r>
      <w:r w:rsidR="007A4C89">
        <w:t xml:space="preserve"> roku </w:t>
      </w:r>
      <w:r w:rsidRPr="0032332F">
        <w:t xml:space="preserve">2021 </w:t>
      </w:r>
      <w:r>
        <w:t xml:space="preserve">naopak </w:t>
      </w:r>
      <w:r w:rsidRPr="0032332F">
        <w:t>tlmil ra</w:t>
      </w:r>
      <w:r>
        <w:t>st ekonomiky spolu s rastom cenovej hladiny</w:t>
      </w:r>
      <w:r w:rsidR="007A4C89">
        <w:t xml:space="preserve"> cez efekt menovateľa.</w:t>
      </w:r>
      <w:r w:rsidR="002C4742">
        <w:t xml:space="preserve"> </w:t>
      </w:r>
      <w:r w:rsidR="006B547A">
        <w:t>Z hľadiska subjektov verejnej správy na</w:t>
      </w:r>
      <w:r w:rsidR="002C4742">
        <w:t>jvyznámnejší podiel na raste hrubého dlhu v roku 2021 mala centrálna vláda</w:t>
      </w:r>
      <w:r w:rsidR="005507E1">
        <w:t xml:space="preserve"> (6,6</w:t>
      </w:r>
      <w:r w:rsidR="00A03894">
        <w:t xml:space="preserve"> p. b. HDP)</w:t>
      </w:r>
      <w:r w:rsidR="002C4742">
        <w:t xml:space="preserve">, ostatné subjekty verejnej správy celkovo pripesli k zníženiu zadlženia o 0,2 % p.b. HDP (najmä </w:t>
      </w:r>
      <w:r w:rsidR="00A03894">
        <w:t xml:space="preserve">spoločnosti železničnej dopravy </w:t>
      </w:r>
      <w:r w:rsidR="002C4742">
        <w:t>a NDS).</w:t>
      </w:r>
    </w:p>
    <w:tbl>
      <w:tblPr>
        <w:tblW w:w="5078" w:type="pct"/>
        <w:jc w:val="center"/>
        <w:tblCellMar>
          <w:left w:w="70" w:type="dxa"/>
          <w:right w:w="70" w:type="dxa"/>
        </w:tblCellMar>
        <w:tblLook w:val="0000" w:firstRow="0" w:lastRow="0" w:firstColumn="0" w:lastColumn="0" w:noHBand="0" w:noVBand="0"/>
      </w:tblPr>
      <w:tblGrid>
        <w:gridCol w:w="9211"/>
      </w:tblGrid>
      <w:tr w:rsidR="003B2A65" w:rsidRPr="00A73C13" w14:paraId="57B3B500" w14:textId="77777777" w:rsidTr="000E4D54">
        <w:trPr>
          <w:trHeight w:val="144"/>
          <w:jc w:val="center"/>
        </w:trPr>
        <w:tc>
          <w:tcPr>
            <w:tcW w:w="5000" w:type="pct"/>
            <w:tcBorders>
              <w:top w:val="nil"/>
              <w:left w:val="nil"/>
              <w:bottom w:val="single" w:sz="4" w:space="0" w:color="auto"/>
              <w:right w:val="nil"/>
            </w:tcBorders>
            <w:shd w:val="clear" w:color="auto" w:fill="auto"/>
            <w:vAlign w:val="center"/>
          </w:tcPr>
          <w:p w14:paraId="11A3E5CD" w14:textId="25114A3B" w:rsidR="003B2A65" w:rsidRPr="00A73C13" w:rsidRDefault="00A73C13" w:rsidP="000E4D54">
            <w:pPr>
              <w:pStyle w:val="Nadpis3"/>
              <w:spacing w:before="120"/>
              <w:rPr>
                <w:rFonts w:eastAsiaTheme="minorHAnsi"/>
                <w:color w:val="2C9ADC"/>
                <w:lang w:eastAsia="en-US"/>
              </w:rPr>
            </w:pPr>
            <w:bookmarkStart w:id="144" w:name="_Toc526783522"/>
            <w:bookmarkStart w:id="145" w:name="_Toc101881951"/>
            <w:r w:rsidRPr="00A73C13">
              <w:rPr>
                <w:color w:val="2C9ADC"/>
                <w:szCs w:val="18"/>
              </w:rPr>
              <w:t xml:space="preserve">GRAF </w:t>
            </w:r>
            <w:r w:rsidRPr="00A73C13">
              <w:rPr>
                <w:color w:val="2C9ADC"/>
                <w:szCs w:val="18"/>
              </w:rPr>
              <w:fldChar w:fldCharType="begin"/>
            </w:r>
            <w:r w:rsidRPr="00A73C13">
              <w:rPr>
                <w:color w:val="2C9ADC"/>
                <w:szCs w:val="18"/>
              </w:rPr>
              <w:instrText xml:space="preserve"> SEQ GRAF \* ARABIC </w:instrText>
            </w:r>
            <w:r w:rsidRPr="00A73C13">
              <w:rPr>
                <w:color w:val="2C9ADC"/>
                <w:szCs w:val="18"/>
              </w:rPr>
              <w:fldChar w:fldCharType="separate"/>
            </w:r>
            <w:r w:rsidR="005D3280">
              <w:rPr>
                <w:noProof/>
                <w:color w:val="2C9ADC"/>
                <w:szCs w:val="18"/>
              </w:rPr>
              <w:t>27</w:t>
            </w:r>
            <w:r w:rsidRPr="00A73C13">
              <w:rPr>
                <w:color w:val="2C9ADC"/>
                <w:szCs w:val="18"/>
              </w:rPr>
              <w:fldChar w:fldCharType="end"/>
            </w:r>
            <w:r w:rsidRPr="00A73C13">
              <w:rPr>
                <w:color w:val="2C9ADC"/>
                <w:szCs w:val="18"/>
              </w:rPr>
              <w:t xml:space="preserve"> – </w:t>
            </w:r>
            <w:r w:rsidR="003B2A65" w:rsidRPr="00A73C13">
              <w:rPr>
                <w:rFonts w:eastAsiaTheme="minorHAnsi"/>
                <w:color w:val="2C9ADC"/>
                <w:lang w:eastAsia="en-US"/>
              </w:rPr>
              <w:t>Hrubý a čistý dlh verejnej správy (% HDP)</w:t>
            </w:r>
            <w:bookmarkEnd w:id="144"/>
            <w:bookmarkEnd w:id="145"/>
          </w:p>
        </w:tc>
      </w:tr>
      <w:tr w:rsidR="003B2A65" w:rsidRPr="00450D9F" w14:paraId="6B51F591" w14:textId="77777777" w:rsidTr="00C555F2">
        <w:trPr>
          <w:trHeight w:val="1476"/>
          <w:jc w:val="center"/>
        </w:trPr>
        <w:tc>
          <w:tcPr>
            <w:tcW w:w="5000" w:type="pct"/>
            <w:tcBorders>
              <w:top w:val="single" w:sz="4" w:space="0" w:color="auto"/>
              <w:left w:val="nil"/>
              <w:bottom w:val="single" w:sz="4" w:space="0" w:color="auto"/>
              <w:right w:val="nil"/>
            </w:tcBorders>
            <w:shd w:val="clear" w:color="auto" w:fill="auto"/>
          </w:tcPr>
          <w:p w14:paraId="24339E70" w14:textId="2EB5E1CE" w:rsidR="003B2A65" w:rsidRPr="00450D9F" w:rsidRDefault="00C555F2" w:rsidP="000E4D54">
            <w:pPr>
              <w:jc w:val="center"/>
              <w:rPr>
                <w:rFonts w:cs="Arial"/>
                <w:b/>
                <w:bCs/>
                <w:sz w:val="16"/>
                <w:szCs w:val="16"/>
                <w:highlight w:val="yellow"/>
              </w:rPr>
            </w:pPr>
            <w:r>
              <w:rPr>
                <w:noProof/>
              </w:rPr>
              <w:drawing>
                <wp:inline distT="0" distB="0" distL="0" distR="0" wp14:anchorId="12A460D9" wp14:editId="6420F59C">
                  <wp:extent cx="5759450" cy="2902226"/>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003B2A65" w:rsidRPr="00450D9F">
              <w:rPr>
                <w:noProof/>
                <w:highlight w:val="yellow"/>
              </w:rPr>
              <w:t xml:space="preserve"> </w:t>
            </w:r>
          </w:p>
        </w:tc>
      </w:tr>
      <w:tr w:rsidR="003B2A65" w:rsidRPr="00944D45" w14:paraId="2DAB439C" w14:textId="77777777" w:rsidTr="00317A7F">
        <w:trPr>
          <w:trHeight w:val="27"/>
          <w:jc w:val="center"/>
        </w:trPr>
        <w:tc>
          <w:tcPr>
            <w:tcW w:w="5000" w:type="pct"/>
            <w:tcBorders>
              <w:top w:val="single" w:sz="4" w:space="0" w:color="auto"/>
              <w:left w:val="nil"/>
              <w:right w:val="nil"/>
            </w:tcBorders>
            <w:shd w:val="clear" w:color="auto" w:fill="auto"/>
          </w:tcPr>
          <w:p w14:paraId="4246B56F" w14:textId="00249CF3" w:rsidR="003B2A65" w:rsidRPr="00944D45" w:rsidRDefault="003B2A65" w:rsidP="00636109">
            <w:pPr>
              <w:jc w:val="both"/>
              <w:rPr>
                <w:rFonts w:cs="Arial"/>
                <w:i/>
                <w:iCs/>
                <w:sz w:val="16"/>
                <w:szCs w:val="16"/>
              </w:rPr>
            </w:pPr>
            <w:r>
              <w:rPr>
                <w:rFonts w:cs="Times New Roman"/>
                <w:i/>
                <w:sz w:val="16"/>
                <w:szCs w:val="14"/>
              </w:rPr>
              <w:t xml:space="preserve">Pozn.: </w:t>
            </w:r>
            <w:r w:rsidR="00621E55">
              <w:rPr>
                <w:rFonts w:cs="Times New Roman"/>
                <w:i/>
                <w:sz w:val="16"/>
                <w:szCs w:val="14"/>
              </w:rPr>
              <w:t>Prognóza dlhu vychádza z</w:t>
            </w:r>
            <w:r w:rsidR="00317A7F">
              <w:rPr>
                <w:rFonts w:cs="Times New Roman"/>
                <w:i/>
                <w:sz w:val="16"/>
                <w:szCs w:val="14"/>
              </w:rPr>
              <w:t xml:space="preserve"> emisného plánu podľa </w:t>
            </w:r>
            <w:r w:rsidR="00621E55">
              <w:rPr>
                <w:rFonts w:cs="Times New Roman"/>
                <w:i/>
                <w:sz w:val="16"/>
                <w:szCs w:val="14"/>
              </w:rPr>
              <w:t xml:space="preserve">predpokladov </w:t>
            </w:r>
            <w:r w:rsidR="008A2F52">
              <w:rPr>
                <w:rFonts w:cs="Times New Roman"/>
                <w:i/>
                <w:sz w:val="16"/>
                <w:szCs w:val="14"/>
              </w:rPr>
              <w:t xml:space="preserve">deficitov </w:t>
            </w:r>
            <w:r w:rsidR="003F40AE">
              <w:rPr>
                <w:rFonts w:cs="Times New Roman"/>
                <w:i/>
                <w:sz w:val="16"/>
                <w:szCs w:val="14"/>
              </w:rPr>
              <w:t>fiškálneho rámca</w:t>
            </w:r>
            <w:r w:rsidR="008A2F52">
              <w:rPr>
                <w:rFonts w:cs="Times New Roman"/>
                <w:i/>
                <w:sz w:val="16"/>
                <w:szCs w:val="14"/>
              </w:rPr>
              <w:t xml:space="preserve"> rozpočtu na roky 2023 až 2025</w:t>
            </w:r>
            <w:r w:rsidR="00D94FD1">
              <w:rPr>
                <w:rFonts w:cs="Times New Roman"/>
                <w:i/>
                <w:sz w:val="16"/>
                <w:szCs w:val="14"/>
              </w:rPr>
              <w:t>, ktoré zodovedajú akruálnym schodkom VS na úrovni 3,3, 3,2, a 3,5 % HDP na roky 2023 až 2025.</w:t>
            </w:r>
            <w:r w:rsidR="008A2F52">
              <w:rPr>
                <w:rFonts w:cs="Times New Roman"/>
                <w:i/>
                <w:sz w:val="16"/>
                <w:szCs w:val="14"/>
              </w:rPr>
              <w:t>.</w:t>
            </w:r>
            <w:r w:rsidR="00621E55">
              <w:rPr>
                <w:rFonts w:cs="Times New Roman"/>
                <w:i/>
                <w:sz w:val="16"/>
                <w:szCs w:val="14"/>
              </w:rPr>
              <w:t xml:space="preserve">          </w:t>
            </w:r>
            <w:r w:rsidR="003F40AE">
              <w:rPr>
                <w:rFonts w:cs="Times New Roman"/>
                <w:i/>
                <w:sz w:val="16"/>
                <w:szCs w:val="14"/>
              </w:rPr>
              <w:t xml:space="preserve">      </w:t>
            </w:r>
            <w:r w:rsidR="00317A7F">
              <w:rPr>
                <w:rFonts w:cs="Times New Roman"/>
                <w:i/>
                <w:sz w:val="16"/>
                <w:szCs w:val="14"/>
              </w:rPr>
              <w:t xml:space="preserve">   </w:t>
            </w:r>
            <w:r w:rsidR="00D94FD1">
              <w:rPr>
                <w:rFonts w:cs="Times New Roman"/>
                <w:i/>
                <w:sz w:val="16"/>
                <w:szCs w:val="14"/>
              </w:rPr>
              <w:t xml:space="preserve">                                                                                                </w:t>
            </w:r>
            <w:r w:rsidR="00317A7F">
              <w:rPr>
                <w:rFonts w:cs="Times New Roman"/>
                <w:i/>
                <w:sz w:val="16"/>
                <w:szCs w:val="14"/>
              </w:rPr>
              <w:t xml:space="preserve"> </w:t>
            </w:r>
            <w:r w:rsidR="003F40AE">
              <w:rPr>
                <w:rFonts w:cs="Times New Roman"/>
                <w:i/>
                <w:sz w:val="16"/>
                <w:szCs w:val="14"/>
              </w:rPr>
              <w:t>Zdroj: MF SR</w:t>
            </w:r>
          </w:p>
        </w:tc>
      </w:tr>
    </w:tbl>
    <w:p w14:paraId="1E4D7ACF" w14:textId="77777777" w:rsidR="003B2A65" w:rsidRPr="00450D9F" w:rsidRDefault="003B2A65" w:rsidP="003B2A65">
      <w:pPr>
        <w:jc w:val="both"/>
        <w:rPr>
          <w:highlight w:val="yellow"/>
        </w:rPr>
      </w:pPr>
    </w:p>
    <w:p w14:paraId="1D6D2773" w14:textId="08DFC5ED" w:rsidR="003B2A65" w:rsidRPr="00914FA3" w:rsidRDefault="003B2A65" w:rsidP="003B2A65">
      <w:pPr>
        <w:jc w:val="both"/>
        <w:rPr>
          <w:bCs/>
          <w:color w:val="000000" w:themeColor="text1"/>
        </w:rPr>
      </w:pPr>
      <w:r w:rsidRPr="00891D70">
        <w:rPr>
          <w:b/>
          <w:bCs/>
          <w:color w:val="000000" w:themeColor="text1"/>
        </w:rPr>
        <w:t xml:space="preserve">V roku 2022 </w:t>
      </w:r>
      <w:r>
        <w:rPr>
          <w:b/>
          <w:bCs/>
          <w:color w:val="000000" w:themeColor="text1"/>
        </w:rPr>
        <w:t>sa vývoj hrubého dlhu v pomere k HDP stabilizuje a po prvýkrát od vypuknutia pandémie sa medziročne zníži.</w:t>
      </w:r>
      <w:r w:rsidRPr="00891D70">
        <w:rPr>
          <w:b/>
          <w:bCs/>
          <w:color w:val="000000" w:themeColor="text1"/>
        </w:rPr>
        <w:t xml:space="preserve"> </w:t>
      </w:r>
      <w:r w:rsidRPr="000708BE">
        <w:rPr>
          <w:bCs/>
          <w:color w:val="000000" w:themeColor="text1"/>
        </w:rPr>
        <w:t>Vplyv</w:t>
      </w:r>
      <w:r>
        <w:rPr>
          <w:bCs/>
          <w:color w:val="000000" w:themeColor="text1"/>
        </w:rPr>
        <w:t xml:space="preserve"> naďalej vysokého deficitu verejných financií v 2022 plne vykompenzuje výrazný efekt inflácie a využitie naakumulovanej hotovosti na účtoch verejnej správy. Pod pokles dlhu sa dodatočne podpíše rast reálneho HDP prostredníctvom efektu menovateľa. Ministerstvo financií súčasne predpokladá, že objem vkladov na účtoch subjektov mimo sektora VS </w:t>
      </w:r>
      <w:r w:rsidR="007C17FB">
        <w:rPr>
          <w:bCs/>
          <w:color w:val="000000" w:themeColor="text1"/>
        </w:rPr>
        <w:t xml:space="preserve">klesne a </w:t>
      </w:r>
      <w:r>
        <w:rPr>
          <w:bCs/>
          <w:color w:val="000000" w:themeColor="text1"/>
        </w:rPr>
        <w:t xml:space="preserve">stabilizuje </w:t>
      </w:r>
      <w:r w:rsidR="007C17FB">
        <w:rPr>
          <w:bCs/>
          <w:color w:val="000000" w:themeColor="text1"/>
        </w:rPr>
        <w:t xml:space="preserve">sa </w:t>
      </w:r>
      <w:r>
        <w:rPr>
          <w:bCs/>
          <w:color w:val="000000" w:themeColor="text1"/>
        </w:rPr>
        <w:t>okolo úrovne prvého kvartálu 2022, čo bude mať pozitívny vplyv na hrubý dlh v objeme as</w:t>
      </w:r>
      <w:r w:rsidRPr="00914FA3">
        <w:rPr>
          <w:bCs/>
          <w:color w:val="000000" w:themeColor="text1"/>
        </w:rPr>
        <w:t xml:space="preserve">i 0,5 % HDP. Pod celkovým vplyvom týchto faktorov hrubý dlh v roku 2022 celkovo nominálne vzrastie, ale v pomere k HDP sa zníži o 1,5 p. b na úroveň </w:t>
      </w:r>
      <w:r w:rsidR="002B2BD4" w:rsidRPr="00914FA3">
        <w:rPr>
          <w:bCs/>
          <w:color w:val="000000" w:themeColor="text1"/>
        </w:rPr>
        <w:t>61,6</w:t>
      </w:r>
      <w:r w:rsidRPr="00914FA3">
        <w:rPr>
          <w:bCs/>
          <w:color w:val="000000" w:themeColor="text1"/>
        </w:rPr>
        <w:t xml:space="preserve"> % HDP. </w:t>
      </w:r>
    </w:p>
    <w:p w14:paraId="7F8F2EDB" w14:textId="77777777" w:rsidR="003B2A65" w:rsidRPr="00914FA3" w:rsidRDefault="003B2A65" w:rsidP="003B2A65">
      <w:pPr>
        <w:jc w:val="both"/>
        <w:rPr>
          <w:b/>
          <w:bCs/>
          <w:color w:val="000000" w:themeColor="text1"/>
        </w:rPr>
      </w:pPr>
    </w:p>
    <w:p w14:paraId="33057DB9" w14:textId="171794F9" w:rsidR="003B2A65" w:rsidRPr="001C4DD4" w:rsidRDefault="003B2A65" w:rsidP="003B2A65">
      <w:pPr>
        <w:jc w:val="both"/>
        <w:rPr>
          <w:bCs/>
          <w:color w:val="000000" w:themeColor="text1"/>
        </w:rPr>
      </w:pPr>
      <w:r w:rsidRPr="00914FA3">
        <w:rPr>
          <w:b/>
          <w:bCs/>
          <w:color w:val="000000" w:themeColor="text1"/>
        </w:rPr>
        <w:t xml:space="preserve">Na horizonte Programu stability do roku 2025 bude trend znižovania zadlženia v pomere k HDP pokračovať, dlh sa však udrží nad najvyšším sankčným pásmom dlhovej brzdy. </w:t>
      </w:r>
      <w:r w:rsidRPr="00914FA3">
        <w:rPr>
          <w:bCs/>
          <w:color w:val="000000" w:themeColor="text1"/>
        </w:rPr>
        <w:t>Najvýraznejší pokles zadlženia na horizonte Programu stability sa očakáva v roku 2023, ktorý bude výsledkom poklesu deficitu verejnej správy na úroveň 3 % HDP, ale aj vplyvu rastu ekonomiky a pretrvávajúcej vyššej miery inflácie. Kým príspevok inflácie k poklesu dlhu v porovnaní s rokom 2022 oslabí, výrazne vyšší efekt bude mať rast reálneho HDP pod vplyvom očakávaného dočerpávania zdrojov z klasických EÚ fondov. Nominálny rast ekonomiky sa v posledných dvoch rokoch prognózy na vývoji dlhu podpíše menšou mierou</w:t>
      </w:r>
      <w:r w:rsidR="00CE290A">
        <w:rPr>
          <w:bCs/>
          <w:color w:val="000000" w:themeColor="text1"/>
        </w:rPr>
        <w:t>. S</w:t>
      </w:r>
      <w:r w:rsidRPr="00914FA3">
        <w:rPr>
          <w:bCs/>
          <w:color w:val="000000" w:themeColor="text1"/>
        </w:rPr>
        <w:t xml:space="preserve">tále však bude kompenzovať vplyv pretrvávajúceho deficitu verejnej správy. K poklesu zadlženia v pomere k HDP na celom horizonte prispeje postupné rozpúšťanie likvidných </w:t>
      </w:r>
      <w:r w:rsidR="005B58FC">
        <w:rPr>
          <w:bCs/>
          <w:color w:val="000000" w:themeColor="text1"/>
        </w:rPr>
        <w:t>aktív až k úrovni okolo 5 % HDP</w:t>
      </w:r>
      <w:r w:rsidRPr="00914FA3">
        <w:rPr>
          <w:bCs/>
          <w:color w:val="000000" w:themeColor="text1"/>
        </w:rPr>
        <w:t>, čím</w:t>
      </w:r>
      <w:r>
        <w:rPr>
          <w:bCs/>
          <w:color w:val="000000" w:themeColor="text1"/>
        </w:rPr>
        <w:t xml:space="preserve"> sa bude </w:t>
      </w:r>
      <w:r w:rsidR="005B58FC">
        <w:rPr>
          <w:bCs/>
          <w:color w:val="000000" w:themeColor="text1"/>
        </w:rPr>
        <w:t>zmenšovať</w:t>
      </w:r>
      <w:r>
        <w:rPr>
          <w:bCs/>
          <w:color w:val="000000" w:themeColor="text1"/>
        </w:rPr>
        <w:t xml:space="preserve"> aj rozdiel medzi čistým a hrubým dlhom verejnej správy. Kým hrubý dlh sa takmer na celom horizonte </w:t>
      </w:r>
      <w:r w:rsidR="00805876">
        <w:rPr>
          <w:bCs/>
          <w:color w:val="000000" w:themeColor="text1"/>
        </w:rPr>
        <w:t>priblíži k</w:t>
      </w:r>
      <w:r>
        <w:rPr>
          <w:bCs/>
          <w:color w:val="000000" w:themeColor="text1"/>
        </w:rPr>
        <w:t xml:space="preserve"> 57 % HDP, čistý dlh začne od roku 2023 mierne rásť a v 2025 bude nad hranicou 51 % HDP. </w:t>
      </w:r>
    </w:p>
    <w:p w14:paraId="74B4E6EA" w14:textId="77777777" w:rsidR="003B2A65" w:rsidRDefault="003B2A65" w:rsidP="003B2A65">
      <w:pPr>
        <w:jc w:val="both"/>
        <w:rPr>
          <w:b/>
          <w:bCs/>
          <w:color w:val="000000" w:themeColor="text1"/>
          <w:highlight w:val="yellow"/>
        </w:rPr>
      </w:pPr>
    </w:p>
    <w:p w14:paraId="5B0B8E80" w14:textId="5A0C68F1" w:rsidR="003B2A65" w:rsidRDefault="003B2A65" w:rsidP="003B2A65">
      <w:pPr>
        <w:jc w:val="both"/>
        <w:rPr>
          <w:bCs/>
          <w:color w:val="000000" w:themeColor="text1"/>
        </w:rPr>
      </w:pPr>
      <w:r>
        <w:rPr>
          <w:b/>
          <w:bCs/>
          <w:color w:val="000000" w:themeColor="text1"/>
        </w:rPr>
        <w:t>Prognóza v s</w:t>
      </w:r>
      <w:r w:rsidRPr="00F258F5">
        <w:rPr>
          <w:b/>
          <w:bCs/>
          <w:color w:val="000000" w:themeColor="text1"/>
        </w:rPr>
        <w:t>cenár</w:t>
      </w:r>
      <w:r w:rsidR="002B2BD4">
        <w:rPr>
          <w:b/>
          <w:bCs/>
          <w:color w:val="000000" w:themeColor="text1"/>
        </w:rPr>
        <w:t>i</w:t>
      </w:r>
      <w:r w:rsidRPr="00F258F5">
        <w:rPr>
          <w:b/>
          <w:bCs/>
          <w:color w:val="000000" w:themeColor="text1"/>
        </w:rPr>
        <w:t xml:space="preserve"> nezmenených politík bez dodatočných konsolidačných opatrení </w:t>
      </w:r>
      <w:r w:rsidR="002B2BD4">
        <w:rPr>
          <w:b/>
          <w:bCs/>
          <w:color w:val="000000" w:themeColor="text1"/>
        </w:rPr>
        <w:t xml:space="preserve">od budúceho roku </w:t>
      </w:r>
      <w:r w:rsidRPr="00F258F5">
        <w:rPr>
          <w:b/>
          <w:bCs/>
          <w:color w:val="000000" w:themeColor="text1"/>
        </w:rPr>
        <w:t xml:space="preserve">naznačuje, že hrubý dlh by do roku 2040 vzrástol </w:t>
      </w:r>
      <w:r w:rsidR="005B58FC">
        <w:rPr>
          <w:b/>
          <w:bCs/>
          <w:color w:val="000000" w:themeColor="text1"/>
        </w:rPr>
        <w:t>na</w:t>
      </w:r>
      <w:r w:rsidR="006C59E5">
        <w:rPr>
          <w:b/>
          <w:bCs/>
          <w:color w:val="000000" w:themeColor="text1"/>
        </w:rPr>
        <w:t>d</w:t>
      </w:r>
      <w:r w:rsidR="005B58FC">
        <w:rPr>
          <w:b/>
          <w:bCs/>
          <w:color w:val="000000" w:themeColor="text1"/>
        </w:rPr>
        <w:t xml:space="preserve"> úroveň </w:t>
      </w:r>
      <w:r w:rsidRPr="00F258F5">
        <w:rPr>
          <w:b/>
          <w:bCs/>
          <w:color w:val="000000" w:themeColor="text1"/>
        </w:rPr>
        <w:t xml:space="preserve">100 % HDP. </w:t>
      </w:r>
      <w:r w:rsidRPr="00F258F5">
        <w:rPr>
          <w:bCs/>
          <w:color w:val="000000" w:themeColor="text1"/>
        </w:rPr>
        <w:t>Stabilizácia zadlženia si bude vyžadovať konsolidačné opatrenia aj za horizontom Programu stability. Zabezpečiť by ich už od roku 2023 mali výdavkové limity ako operatívny nástroj riadenia verejných financií smerujúcich k dlhodobej udržateľnosti. Bez</w:t>
      </w:r>
      <w:r>
        <w:rPr>
          <w:bCs/>
          <w:color w:val="000000" w:themeColor="text1"/>
        </w:rPr>
        <w:t xml:space="preserve"> konsolidačných</w:t>
      </w:r>
      <w:r w:rsidRPr="00F258F5">
        <w:rPr>
          <w:bCs/>
          <w:color w:val="000000" w:themeColor="text1"/>
        </w:rPr>
        <w:t xml:space="preserve"> opatrení by </w:t>
      </w:r>
      <w:r>
        <w:rPr>
          <w:bCs/>
          <w:color w:val="000000" w:themeColor="text1"/>
        </w:rPr>
        <w:t xml:space="preserve">na dlh hneď za horizontom do roku 2025 začal vplývať rastúci deficit ako výsledok zvyšujúcich sa nákladov na starnutie populácie. V priebehu nasledujúcich dvoch dekád by dlh </w:t>
      </w:r>
      <w:r w:rsidR="006C59E5">
        <w:rPr>
          <w:bCs/>
          <w:color w:val="000000" w:themeColor="text1"/>
        </w:rPr>
        <w:t>presiahol</w:t>
      </w:r>
      <w:r>
        <w:rPr>
          <w:bCs/>
          <w:color w:val="000000" w:themeColor="text1"/>
        </w:rPr>
        <w:t xml:space="preserve"> úroveň 100 % HDP.</w:t>
      </w:r>
    </w:p>
    <w:p w14:paraId="6566A920" w14:textId="77777777" w:rsidR="003B2A65" w:rsidRPr="00450D9F" w:rsidRDefault="003B2A65" w:rsidP="003B2A65">
      <w:pPr>
        <w:jc w:val="both"/>
        <w:rPr>
          <w:bCs/>
          <w:color w:val="000000" w:themeColor="text1"/>
          <w:highlight w:val="yellow"/>
        </w:rPr>
      </w:pPr>
    </w:p>
    <w:tbl>
      <w:tblPr>
        <w:tblW w:w="935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1E0" w:firstRow="1" w:lastRow="1" w:firstColumn="1" w:lastColumn="1" w:noHBand="0" w:noVBand="0"/>
      </w:tblPr>
      <w:tblGrid>
        <w:gridCol w:w="4674"/>
        <w:gridCol w:w="146"/>
        <w:gridCol w:w="4533"/>
      </w:tblGrid>
      <w:tr w:rsidR="003B2A65" w:rsidRPr="00835963" w14:paraId="466124DB" w14:textId="77777777" w:rsidTr="00AA2D4B">
        <w:trPr>
          <w:trHeight w:val="1989"/>
          <w:jc w:val="center"/>
        </w:trPr>
        <w:tc>
          <w:tcPr>
            <w:tcW w:w="4674" w:type="dxa"/>
            <w:tcBorders>
              <w:top w:val="nil"/>
              <w:left w:val="nil"/>
              <w:bottom w:val="single" w:sz="4" w:space="0" w:color="auto"/>
              <w:right w:val="nil"/>
            </w:tcBorders>
          </w:tcPr>
          <w:p w14:paraId="2E732EA8" w14:textId="5D1147DB" w:rsidR="003B2A65" w:rsidRPr="00835963" w:rsidRDefault="00A73C13" w:rsidP="00AA2D4B">
            <w:pPr>
              <w:pStyle w:val="Nadpis3"/>
              <w:pBdr>
                <w:bottom w:val="single" w:sz="4" w:space="1" w:color="auto"/>
              </w:pBdr>
              <w:rPr>
                <w:rFonts w:eastAsiaTheme="minorHAnsi"/>
                <w:color w:val="2C9ADC"/>
                <w:szCs w:val="20"/>
                <w:lang w:eastAsia="en-US"/>
              </w:rPr>
            </w:pPr>
            <w:bookmarkStart w:id="146" w:name="_Toc101881952"/>
            <w:r w:rsidRPr="00A73C13">
              <w:rPr>
                <w:rFonts w:eastAsiaTheme="minorHAnsi"/>
                <w:color w:val="2C9ADC"/>
                <w:szCs w:val="20"/>
                <w:lang w:eastAsia="en-US"/>
              </w:rPr>
              <w:t xml:space="preserve">GRAF </w:t>
            </w:r>
            <w:r w:rsidRPr="00A73C13">
              <w:rPr>
                <w:rFonts w:eastAsiaTheme="minorHAnsi"/>
                <w:color w:val="2C9ADC"/>
                <w:szCs w:val="20"/>
                <w:lang w:eastAsia="en-US"/>
              </w:rPr>
              <w:fldChar w:fldCharType="begin"/>
            </w:r>
            <w:r w:rsidRPr="00A73C13">
              <w:rPr>
                <w:rFonts w:eastAsiaTheme="minorHAnsi"/>
                <w:color w:val="2C9ADC"/>
                <w:szCs w:val="20"/>
                <w:lang w:eastAsia="en-US"/>
              </w:rPr>
              <w:instrText xml:space="preserve"> SEQ GRAF \* ARABIC </w:instrText>
            </w:r>
            <w:r w:rsidRPr="00A73C13">
              <w:rPr>
                <w:rFonts w:eastAsiaTheme="minorHAnsi"/>
                <w:color w:val="2C9ADC"/>
                <w:szCs w:val="20"/>
                <w:lang w:eastAsia="en-US"/>
              </w:rPr>
              <w:fldChar w:fldCharType="separate"/>
            </w:r>
            <w:r w:rsidR="005D3280">
              <w:rPr>
                <w:rFonts w:eastAsiaTheme="minorHAnsi"/>
                <w:noProof/>
                <w:color w:val="2C9ADC"/>
                <w:szCs w:val="20"/>
                <w:lang w:eastAsia="en-US"/>
              </w:rPr>
              <w:t>28</w:t>
            </w:r>
            <w:r w:rsidRPr="00A73C13">
              <w:rPr>
                <w:rFonts w:eastAsiaTheme="minorHAnsi"/>
                <w:color w:val="2C9ADC"/>
                <w:szCs w:val="20"/>
                <w:lang w:eastAsia="en-US"/>
              </w:rPr>
              <w:fldChar w:fldCharType="end"/>
            </w:r>
            <w:r w:rsidRPr="00A73C13">
              <w:rPr>
                <w:rFonts w:eastAsiaTheme="minorHAnsi"/>
                <w:color w:val="2C9ADC"/>
                <w:szCs w:val="20"/>
                <w:lang w:eastAsia="en-US"/>
              </w:rPr>
              <w:t xml:space="preserve"> – </w:t>
            </w:r>
            <w:r w:rsidR="003B2A65" w:rsidRPr="00835963">
              <w:rPr>
                <w:rFonts w:eastAsiaTheme="minorHAnsi"/>
                <w:color w:val="2C9ADC"/>
                <w:szCs w:val="20"/>
                <w:lang w:eastAsia="en-US"/>
              </w:rPr>
              <w:t>Príspevky k medziročnej zmene hrubého dlhu VS (p. b. HDP)</w:t>
            </w:r>
            <w:bookmarkEnd w:id="146"/>
            <w:r w:rsidR="00AA2D4B">
              <w:rPr>
                <w:rFonts w:eastAsiaTheme="minorHAnsi"/>
                <w:color w:val="2C9ADC"/>
                <w:szCs w:val="20"/>
                <w:lang w:eastAsia="en-US"/>
              </w:rPr>
              <w:br/>
            </w:r>
          </w:p>
          <w:p w14:paraId="13D1AA71" w14:textId="755C5A64" w:rsidR="003B2A65" w:rsidRPr="00835963" w:rsidRDefault="001E6419" w:rsidP="00AA2D4B">
            <w:pPr>
              <w:rPr>
                <w:rFonts w:cs="Arial"/>
                <w:b/>
                <w:sz w:val="20"/>
                <w:szCs w:val="20"/>
              </w:rPr>
            </w:pPr>
            <w:r>
              <w:rPr>
                <w:noProof/>
              </w:rPr>
              <mc:AlternateContent>
                <mc:Choice Requires="wps">
                  <w:drawing>
                    <wp:anchor distT="0" distB="0" distL="114300" distR="114300" simplePos="0" relativeHeight="251655167" behindDoc="0" locked="0" layoutInCell="1" allowOverlap="1" wp14:anchorId="1D5B616A" wp14:editId="10D65992">
                      <wp:simplePos x="0" y="0"/>
                      <wp:positionH relativeFrom="column">
                        <wp:posOffset>584200</wp:posOffset>
                      </wp:positionH>
                      <wp:positionV relativeFrom="paragraph">
                        <wp:posOffset>135534</wp:posOffset>
                      </wp:positionV>
                      <wp:extent cx="6985" cy="903605"/>
                      <wp:effectExtent l="0" t="0" r="31115" b="10795"/>
                      <wp:wrapNone/>
                      <wp:docPr id="32" name="Rovná spojnica 32"/>
                      <wp:cNvGraphicFramePr/>
                      <a:graphic xmlns:a="http://schemas.openxmlformats.org/drawingml/2006/main">
                        <a:graphicData uri="http://schemas.microsoft.com/office/word/2010/wordprocessingShape">
                          <wps:wsp>
                            <wps:cNvCnPr/>
                            <wps:spPr>
                              <a:xfrm flipH="1" flipV="1">
                                <a:off x="0" y="0"/>
                                <a:ext cx="6985" cy="903605"/>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705C931F" id="Rovná spojnica 32" o:spid="_x0000_s1026" style="position:absolute;flip:x y;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0.65pt" to="46.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" strokecolor="black [3213]">
                      <v:stroke dashstyle="1 1"/>
                    </v:line>
                  </w:pict>
                </mc:Fallback>
              </mc:AlternateContent>
            </w:r>
            <w:r>
              <w:rPr>
                <w:noProof/>
              </w:rPr>
              <mc:AlternateContent>
                <mc:Choice Requires="wps">
                  <w:drawing>
                    <wp:anchor distT="0" distB="0" distL="114300" distR="114300" simplePos="0" relativeHeight="251675648" behindDoc="0" locked="0" layoutInCell="1" allowOverlap="1" wp14:anchorId="1AAFEC0B" wp14:editId="7304AA55">
                      <wp:simplePos x="0" y="0"/>
                      <wp:positionH relativeFrom="column">
                        <wp:posOffset>590906</wp:posOffset>
                      </wp:positionH>
                      <wp:positionV relativeFrom="paragraph">
                        <wp:posOffset>1172210</wp:posOffset>
                      </wp:positionV>
                      <wp:extent cx="3531" cy="693957"/>
                      <wp:effectExtent l="0" t="0" r="34925" b="11430"/>
                      <wp:wrapNone/>
                      <wp:docPr id="35" name="Rovná spojnica 35"/>
                      <wp:cNvGraphicFramePr/>
                      <a:graphic xmlns:a="http://schemas.openxmlformats.org/drawingml/2006/main">
                        <a:graphicData uri="http://schemas.microsoft.com/office/word/2010/wordprocessingShape">
                          <wps:wsp>
                            <wps:cNvCnPr/>
                            <wps:spPr>
                              <a:xfrm flipV="1">
                                <a:off x="0" y="0"/>
                                <a:ext cx="3531" cy="693957"/>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B6B3C89" id="Rovná spojnica 3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92.3pt" to="46.8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" strokecolor="black [3213]">
                      <v:stroke dashstyle="1 1"/>
                    </v:line>
                  </w:pict>
                </mc:Fallback>
              </mc:AlternateContent>
            </w:r>
            <w:r w:rsidR="0093405E">
              <w:rPr>
                <w:noProof/>
              </w:rPr>
              <w:t xml:space="preserve"> </w:t>
            </w:r>
            <w:r w:rsidR="0093405E">
              <w:rPr>
                <w:noProof/>
              </w:rPr>
              <w:drawing>
                <wp:inline distT="0" distB="0" distL="0" distR="0" wp14:anchorId="6B3A3296" wp14:editId="2340D401">
                  <wp:extent cx="2840355" cy="2441998"/>
                  <wp:effectExtent l="0" t="0" r="0" b="4445"/>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146" w:type="dxa"/>
            <w:tcBorders>
              <w:top w:val="nil"/>
              <w:left w:val="nil"/>
              <w:bottom w:val="nil"/>
              <w:right w:val="nil"/>
            </w:tcBorders>
            <w:vAlign w:val="center"/>
          </w:tcPr>
          <w:p w14:paraId="6D84687F" w14:textId="77777777" w:rsidR="003B2A65" w:rsidRPr="00835963" w:rsidRDefault="003B2A65" w:rsidP="000E4D54">
            <w:pPr>
              <w:jc w:val="center"/>
              <w:rPr>
                <w:rFonts w:cs="Arial"/>
                <w:b/>
                <w:sz w:val="20"/>
                <w:szCs w:val="20"/>
              </w:rPr>
            </w:pPr>
          </w:p>
        </w:tc>
        <w:tc>
          <w:tcPr>
            <w:tcW w:w="4533" w:type="dxa"/>
            <w:tcBorders>
              <w:top w:val="nil"/>
              <w:left w:val="nil"/>
              <w:bottom w:val="single" w:sz="4" w:space="0" w:color="auto"/>
              <w:right w:val="nil"/>
            </w:tcBorders>
          </w:tcPr>
          <w:p w14:paraId="0BA9B9DD" w14:textId="630222C8" w:rsidR="003B2A65" w:rsidRPr="00835963" w:rsidRDefault="00A73C13" w:rsidP="00AA2D4B">
            <w:pPr>
              <w:pStyle w:val="Nadpis3"/>
              <w:pBdr>
                <w:bottom w:val="single" w:sz="4" w:space="1" w:color="auto"/>
              </w:pBdr>
              <w:rPr>
                <w:rFonts w:eastAsiaTheme="minorHAnsi"/>
                <w:color w:val="2C9ADC"/>
                <w:lang w:eastAsia="en-US"/>
              </w:rPr>
            </w:pPr>
            <w:bookmarkStart w:id="147" w:name="_Toc101881953"/>
            <w:r w:rsidRPr="00A73C13">
              <w:rPr>
                <w:rFonts w:eastAsiaTheme="minorHAnsi"/>
                <w:color w:val="2C9ADC"/>
                <w:lang w:eastAsia="en-US"/>
              </w:rPr>
              <w:t xml:space="preserve">GRAF </w:t>
            </w:r>
            <w:r w:rsidRPr="00A73C13">
              <w:rPr>
                <w:rFonts w:eastAsiaTheme="minorHAnsi"/>
                <w:color w:val="2C9ADC"/>
                <w:lang w:eastAsia="en-US"/>
              </w:rPr>
              <w:fldChar w:fldCharType="begin"/>
            </w:r>
            <w:r w:rsidRPr="00A73C13">
              <w:rPr>
                <w:rFonts w:eastAsiaTheme="minorHAnsi"/>
                <w:color w:val="2C9ADC"/>
                <w:lang w:eastAsia="en-US"/>
              </w:rPr>
              <w:instrText xml:space="preserve"> SEQ GRAF \* ARABIC </w:instrText>
            </w:r>
            <w:r w:rsidRPr="00A73C13">
              <w:rPr>
                <w:rFonts w:eastAsiaTheme="minorHAnsi"/>
                <w:color w:val="2C9ADC"/>
                <w:lang w:eastAsia="en-US"/>
              </w:rPr>
              <w:fldChar w:fldCharType="separate"/>
            </w:r>
            <w:r w:rsidR="005D3280">
              <w:rPr>
                <w:rFonts w:eastAsiaTheme="minorHAnsi"/>
                <w:noProof/>
                <w:color w:val="2C9ADC"/>
                <w:lang w:eastAsia="en-US"/>
              </w:rPr>
              <w:t>29</w:t>
            </w:r>
            <w:r w:rsidRPr="00A73C13">
              <w:rPr>
                <w:rFonts w:eastAsiaTheme="minorHAnsi"/>
                <w:color w:val="2C9ADC"/>
                <w:lang w:eastAsia="en-US"/>
              </w:rPr>
              <w:fldChar w:fldCharType="end"/>
            </w:r>
            <w:r w:rsidRPr="00A73C13">
              <w:rPr>
                <w:rFonts w:eastAsiaTheme="minorHAnsi"/>
                <w:color w:val="2C9ADC"/>
                <w:lang w:eastAsia="en-US"/>
              </w:rPr>
              <w:t xml:space="preserve"> – </w:t>
            </w:r>
            <w:r w:rsidR="00914FA3">
              <w:rPr>
                <w:rFonts w:eastAsiaTheme="minorHAnsi"/>
                <w:color w:val="2C9ADC"/>
                <w:lang w:eastAsia="en-US"/>
              </w:rPr>
              <w:t>Vývoj hrubého dlhu v konsolidačném scenári v porovnaní so scenárom bez konsolidácie</w:t>
            </w:r>
            <w:r w:rsidR="00AA2D4B">
              <w:rPr>
                <w:rFonts w:eastAsiaTheme="minorHAnsi"/>
                <w:color w:val="2C9ADC"/>
                <w:lang w:eastAsia="en-US"/>
              </w:rPr>
              <w:t xml:space="preserve"> (% HDP)</w:t>
            </w:r>
            <w:bookmarkEnd w:id="147"/>
          </w:p>
          <w:p w14:paraId="094C1227" w14:textId="77777777" w:rsidR="003B2A65" w:rsidRPr="00835963" w:rsidRDefault="003B2A65" w:rsidP="00AA2D4B">
            <w:pPr>
              <w:rPr>
                <w:rFonts w:cs="Arial"/>
                <w:b/>
                <w:sz w:val="20"/>
                <w:szCs w:val="20"/>
              </w:rPr>
            </w:pPr>
            <w:r w:rsidRPr="00835963">
              <w:rPr>
                <w:noProof/>
              </w:rPr>
              <w:drawing>
                <wp:inline distT="0" distB="0" distL="0" distR="0" wp14:anchorId="4C1821BC" wp14:editId="54EB921C">
                  <wp:extent cx="2750185" cy="2459566"/>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3B2A65" w:rsidRPr="00835963" w14:paraId="65F7254F" w14:textId="77777777" w:rsidTr="00FF78D3">
        <w:trPr>
          <w:trHeight w:val="102"/>
          <w:jc w:val="center"/>
        </w:trPr>
        <w:tc>
          <w:tcPr>
            <w:tcW w:w="4674" w:type="dxa"/>
            <w:tcBorders>
              <w:top w:val="single" w:sz="4" w:space="0" w:color="auto"/>
              <w:left w:val="nil"/>
              <w:bottom w:val="nil"/>
              <w:right w:val="nil"/>
            </w:tcBorders>
            <w:vAlign w:val="center"/>
          </w:tcPr>
          <w:p w14:paraId="17CFB25D" w14:textId="77777777" w:rsidR="003B2A65" w:rsidRPr="00835963" w:rsidRDefault="003B2A65" w:rsidP="000E4D54">
            <w:pPr>
              <w:pStyle w:val="poznmka"/>
              <w:spacing w:before="0"/>
            </w:pPr>
            <w:r w:rsidRPr="00835963">
              <w:t>Zdroj: MF SR</w:t>
            </w:r>
          </w:p>
        </w:tc>
        <w:tc>
          <w:tcPr>
            <w:tcW w:w="146" w:type="dxa"/>
            <w:tcBorders>
              <w:top w:val="nil"/>
              <w:left w:val="nil"/>
              <w:bottom w:val="nil"/>
              <w:right w:val="nil"/>
            </w:tcBorders>
            <w:vAlign w:val="center"/>
          </w:tcPr>
          <w:p w14:paraId="15FA543B" w14:textId="77777777" w:rsidR="003B2A65" w:rsidRPr="00835963" w:rsidRDefault="003B2A65" w:rsidP="000E4D54">
            <w:pPr>
              <w:pStyle w:val="poznmka"/>
              <w:spacing w:before="0"/>
            </w:pPr>
          </w:p>
        </w:tc>
        <w:tc>
          <w:tcPr>
            <w:tcW w:w="4533" w:type="dxa"/>
            <w:tcBorders>
              <w:top w:val="single" w:sz="4" w:space="0" w:color="auto"/>
              <w:left w:val="nil"/>
              <w:bottom w:val="nil"/>
              <w:right w:val="nil"/>
            </w:tcBorders>
            <w:vAlign w:val="center"/>
          </w:tcPr>
          <w:p w14:paraId="3F7E28FC" w14:textId="77777777" w:rsidR="003B2A65" w:rsidRPr="00835963" w:rsidRDefault="003B2A65" w:rsidP="000E4D54">
            <w:pPr>
              <w:pStyle w:val="poznmka"/>
              <w:spacing w:before="0"/>
            </w:pPr>
            <w:r w:rsidRPr="00835963">
              <w:t>Zdroj: MF SR</w:t>
            </w:r>
          </w:p>
        </w:tc>
      </w:tr>
      <w:tr w:rsidR="00FF78D3" w:rsidRPr="00835963" w14:paraId="53EEB266" w14:textId="77777777" w:rsidTr="00FF78D3">
        <w:trPr>
          <w:trHeight w:val="102"/>
          <w:jc w:val="center"/>
        </w:trPr>
        <w:tc>
          <w:tcPr>
            <w:tcW w:w="9353" w:type="dxa"/>
            <w:gridSpan w:val="3"/>
            <w:tcBorders>
              <w:top w:val="nil"/>
              <w:left w:val="nil"/>
              <w:bottom w:val="nil"/>
              <w:right w:val="nil"/>
            </w:tcBorders>
            <w:vAlign w:val="center"/>
          </w:tcPr>
          <w:p w14:paraId="6D7C484D" w14:textId="3E330E1C" w:rsidR="00FF78D3" w:rsidRPr="00835963" w:rsidRDefault="00FF78D3" w:rsidP="001D5EA7">
            <w:pPr>
              <w:pStyle w:val="poznmka"/>
              <w:spacing w:before="0"/>
              <w:jc w:val="both"/>
            </w:pPr>
            <w:r>
              <w:t xml:space="preserve">Pozn.: </w:t>
            </w:r>
            <w:r w:rsidR="00707AD7" w:rsidRPr="00707AD7">
              <w:t xml:space="preserve">Scenár nezmenených politík </w:t>
            </w:r>
            <w:r w:rsidR="00707AD7">
              <w:t>vychádza z predpokladu vývoja deficitu od roku 2023 bez konsolidačných opatrení a s dodatočným vplyvom nákladov súvi</w:t>
            </w:r>
            <w:r w:rsidR="00FF7E80">
              <w:t xml:space="preserve">siacich so starnutím populácie. </w:t>
            </w:r>
            <w:r w:rsidR="00154351">
              <w:t xml:space="preserve">Scenár výdavkových limitov vychádza z upraveného emisného plánu o opatrenia potrebné na dosiahnutie rozpočtových cieľov od roku 2023. </w:t>
            </w:r>
            <w:r w:rsidR="00FF7E80">
              <w:t>Dlhodobý makroekonomický výhľad je prevzatý</w:t>
            </w:r>
            <w:r w:rsidR="00707AD7" w:rsidRPr="00707AD7">
              <w:t xml:space="preserve"> z</w:t>
            </w:r>
            <w:r w:rsidR="00FF7E80">
              <w:t> aktuálnej makroekonomickej prognózy</w:t>
            </w:r>
            <w:r w:rsidR="001D5EA7">
              <w:t xml:space="preserve"> a AWG.</w:t>
            </w:r>
          </w:p>
        </w:tc>
      </w:tr>
    </w:tbl>
    <w:p w14:paraId="555F38C4" w14:textId="77777777" w:rsidR="003B2A65" w:rsidRPr="00450D9F" w:rsidRDefault="003B2A65" w:rsidP="003B2A65">
      <w:pPr>
        <w:jc w:val="both"/>
        <w:rPr>
          <w:color w:val="000000" w:themeColor="text1"/>
          <w:highlight w:val="yellow"/>
        </w:rPr>
      </w:pPr>
    </w:p>
    <w:p w14:paraId="4B19CBCF" w14:textId="77777777" w:rsidR="003B2A65" w:rsidRPr="00B70D6F" w:rsidRDefault="003B2A65" w:rsidP="003B2A65">
      <w:pPr>
        <w:pStyle w:val="Nadpis2"/>
        <w:keepLines/>
        <w:numPr>
          <w:ilvl w:val="1"/>
          <w:numId w:val="2"/>
        </w:numPr>
        <w:spacing w:before="240" w:after="120" w:line="276" w:lineRule="auto"/>
        <w:rPr>
          <w:b/>
          <w:color w:val="2C9ADC"/>
          <w:szCs w:val="24"/>
        </w:rPr>
      </w:pPr>
      <w:bookmarkStart w:id="148" w:name="_Toc101880671"/>
      <w:r>
        <w:rPr>
          <w:b/>
          <w:color w:val="2C9ADC"/>
          <w:szCs w:val="28"/>
        </w:rPr>
        <w:t>Udržateľnosť</w:t>
      </w:r>
      <w:r w:rsidRPr="00B70D6F">
        <w:rPr>
          <w:b/>
          <w:color w:val="2C9ADC"/>
          <w:szCs w:val="28"/>
        </w:rPr>
        <w:t xml:space="preserve"> verejných financií</w:t>
      </w:r>
      <w:bookmarkEnd w:id="143"/>
      <w:bookmarkEnd w:id="148"/>
    </w:p>
    <w:p w14:paraId="37AC8F81" w14:textId="22228083" w:rsidR="003B2A65" w:rsidRDefault="003B2A65" w:rsidP="003B2A65">
      <w:pPr>
        <w:jc w:val="both"/>
      </w:pPr>
      <w:r>
        <w:rPr>
          <w:b/>
        </w:rPr>
        <w:t>Indikátory udržateľnosti</w:t>
      </w:r>
      <w:r w:rsidRPr="00B70D6F">
        <w:rPr>
          <w:b/>
        </w:rPr>
        <w:t xml:space="preserve"> verejných financií </w:t>
      </w:r>
      <w:r>
        <w:rPr>
          <w:b/>
        </w:rPr>
        <w:t>kvantifikujú</w:t>
      </w:r>
      <w:r w:rsidRPr="00B70D6F">
        <w:rPr>
          <w:b/>
        </w:rPr>
        <w:t xml:space="preserve"> riziká </w:t>
      </w:r>
      <w:r>
        <w:rPr>
          <w:b/>
        </w:rPr>
        <w:t>plynúce</w:t>
      </w:r>
      <w:r w:rsidRPr="00B70D6F">
        <w:rPr>
          <w:b/>
        </w:rPr>
        <w:t xml:space="preserve"> z aktuálnej rozpočtovej pozície </w:t>
      </w:r>
      <w:r>
        <w:rPr>
          <w:b/>
        </w:rPr>
        <w:t>s ohľadom na náklady súvisiace so starnutím populácie</w:t>
      </w:r>
      <w:r w:rsidR="007C646F">
        <w:rPr>
          <w:b/>
        </w:rPr>
        <w:t xml:space="preserve">. </w:t>
      </w:r>
      <w:r w:rsidRPr="00A10790">
        <w:t>Ministerstvo</w:t>
      </w:r>
      <w:r>
        <w:t xml:space="preserve"> financií pre hodnotenie udržateľnosti využíva podobne ako Európska komisia dva indikátory – strednodobý indikátor S1 a dlhodobý indikátor S2</w:t>
      </w:r>
      <w:r w:rsidRPr="00B70D6F">
        <w:rPr>
          <w:rStyle w:val="Odkaznapoznmkupodiarou"/>
        </w:rPr>
        <w:footnoteReference w:id="48"/>
      </w:r>
      <w:r>
        <w:t>. Ich podstatou je zhodnotiť, či ve</w:t>
      </w:r>
      <w:r w:rsidRPr="00B70D6F">
        <w:t xml:space="preserve">rejné zadlženie </w:t>
      </w:r>
      <w:r>
        <w:t xml:space="preserve">bude </w:t>
      </w:r>
      <w:r w:rsidRPr="00B70D6F">
        <w:t>pod kontrolou na dlhšom horizonte</w:t>
      </w:r>
      <w:r>
        <w:t>, a to</w:t>
      </w:r>
      <w:r w:rsidRPr="00B70D6F">
        <w:t xml:space="preserve"> pri aktuálnej výške dlhu a salda verejnej správy a pri súčasnom nastavení politík citlivých na starnutie populácie</w:t>
      </w:r>
      <w:r w:rsidRPr="00B70D6F">
        <w:rPr>
          <w:rStyle w:val="Odkaznapoznmkupodiarou"/>
        </w:rPr>
        <w:footnoteReference w:id="49"/>
      </w:r>
      <w:r>
        <w:t>. Po zavedení výdavkových limitov bude v rámci analýzy stavu verejných financií postupne narastať úloha alternatívneho indikátora tzv. medzery udržateľnos</w:t>
      </w:r>
      <w:r w:rsidR="0050186A">
        <w:t>ti, ktorý vypočítava Rada pre r</w:t>
      </w:r>
      <w:r>
        <w:t>ozpočtovú zodpovednosť, pričom miera rizika určí potrebu konsolidácie na najbližšie volebné obdobie.</w:t>
      </w:r>
    </w:p>
    <w:p w14:paraId="720A1064" w14:textId="77777777" w:rsidR="003B2A65" w:rsidRDefault="003B2A65" w:rsidP="003B2A65">
      <w:pPr>
        <w:jc w:val="both"/>
      </w:pPr>
    </w:p>
    <w:p w14:paraId="73588488" w14:textId="649CACF0" w:rsidR="002B2BD4" w:rsidRPr="000C6444" w:rsidRDefault="002B2BD4" w:rsidP="002B2BD4">
      <w:pPr>
        <w:jc w:val="both"/>
      </w:pPr>
      <w:r>
        <w:rPr>
          <w:b/>
        </w:rPr>
        <w:t>Z</w:t>
      </w:r>
      <w:r w:rsidRPr="002B2BD4">
        <w:rPr>
          <w:b/>
        </w:rPr>
        <w:t>nižovani</w:t>
      </w:r>
      <w:r>
        <w:rPr>
          <w:b/>
        </w:rPr>
        <w:t>e</w:t>
      </w:r>
      <w:r w:rsidRPr="002B2BD4">
        <w:rPr>
          <w:b/>
        </w:rPr>
        <w:t xml:space="preserve"> schodku verejnej správy </w:t>
      </w:r>
      <w:r>
        <w:rPr>
          <w:b/>
        </w:rPr>
        <w:t xml:space="preserve">pod vplyvom výdavkových limitov </w:t>
      </w:r>
      <w:r w:rsidRPr="002B2BD4">
        <w:rPr>
          <w:b/>
        </w:rPr>
        <w:t xml:space="preserve">sa do roku 2025 výrazne prejaví na </w:t>
      </w:r>
      <w:r>
        <w:rPr>
          <w:b/>
        </w:rPr>
        <w:t>zlepšení</w:t>
      </w:r>
      <w:r w:rsidRPr="002B2BD4">
        <w:rPr>
          <w:b/>
        </w:rPr>
        <w:t xml:space="preserve"> udržateľnosti</w:t>
      </w:r>
      <w:r w:rsidRPr="002B2BD4">
        <w:t xml:space="preserve">. </w:t>
      </w:r>
      <w:r w:rsidR="004B702B">
        <w:t xml:space="preserve">Vysoké očakávané štrukturálne saldo v roku 2022 vplýva na vyššiu úroveň oboch ukazovateľov udržateľnosti.  </w:t>
      </w:r>
      <w:r w:rsidRPr="002B2BD4">
        <w:t xml:space="preserve">Na horizonte Programu stability do roku 2025 sa očakáva zlepšenie udržateľnosti S1 na úroveň stredného rizika pod vplyvom poklesu primárneho štrukturálneho salda a stabilizácie hrubého dlhu pod 60 % HDP. Tento trend sa prejaví výrazne aj na dlhodobom ukazovateli S2, ktorého hodnota sa v priebehu troch rokov zníži o necelé </w:t>
      </w:r>
      <w:r w:rsidR="00B54343">
        <w:t>2,5</w:t>
      </w:r>
      <w:r w:rsidRPr="008B72E9">
        <w:t xml:space="preserve"> p. b.</w:t>
      </w:r>
      <w:r w:rsidR="00B54343">
        <w:t xml:space="preserve"> na 8,</w:t>
      </w:r>
      <w:r w:rsidR="00AC14A3">
        <w:t>2</w:t>
      </w:r>
      <w:r w:rsidRPr="002B2BD4">
        <w:t xml:space="preserve"> % HDP. Z rozkladu indikátora S2 je tak viditeľné, že najväčšiu výzvou pre dosiahnutie udržateľnosti ostáva stabilizácia dôchodkového systému, no podobne vysoký tlak na nárast výdavkov vytvárajú aj budúce očakávané náklady v zdravotníctve a dlhodobej starostlivosti. </w:t>
      </w:r>
      <w:r w:rsidR="00317BDC">
        <w:t>Táto prognóza</w:t>
      </w:r>
      <w:r w:rsidR="00317BDC" w:rsidRPr="002B2BD4">
        <w:t xml:space="preserve"> zatiaľ nepočíta s reformou dôchodkového piliera, ktorú síce na jar 2022 schválila vláda, ale zatiaľ nebola prerokovaná v parlamente </w:t>
      </w:r>
      <w:r w:rsidR="00317BDC" w:rsidRPr="00F26701">
        <w:t>(</w:t>
      </w:r>
      <w:r w:rsidR="00317BDC" w:rsidRPr="00636109">
        <w:t xml:space="preserve">podrobnejšie </w:t>
      </w:r>
      <w:r w:rsidR="00F26701">
        <w:t>v nasledujúcej časti</w:t>
      </w:r>
      <w:r w:rsidR="00317BDC" w:rsidRPr="00F26701">
        <w:t>).</w:t>
      </w:r>
    </w:p>
    <w:p w14:paraId="3A95554F" w14:textId="11BA6DA5" w:rsidR="002B2BD4" w:rsidRDefault="002B2BD4" w:rsidP="003B2A65">
      <w:pPr>
        <w:jc w:val="both"/>
      </w:pPr>
    </w:p>
    <w:tbl>
      <w:tblPr>
        <w:tblW w:w="884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78"/>
        <w:gridCol w:w="285"/>
        <w:gridCol w:w="4278"/>
      </w:tblGrid>
      <w:tr w:rsidR="0044339C" w:rsidRPr="00C246EF" w14:paraId="3331CF7E" w14:textId="77777777" w:rsidTr="0044339C">
        <w:trPr>
          <w:trHeight w:val="167"/>
          <w:jc w:val="center"/>
        </w:trPr>
        <w:tc>
          <w:tcPr>
            <w:tcW w:w="4278" w:type="dxa"/>
            <w:tcBorders>
              <w:top w:val="nil"/>
              <w:left w:val="nil"/>
              <w:bottom w:val="single" w:sz="4" w:space="0" w:color="auto"/>
              <w:right w:val="nil"/>
            </w:tcBorders>
            <w:shd w:val="clear" w:color="auto" w:fill="auto"/>
          </w:tcPr>
          <w:p w14:paraId="1CA8A9DF" w14:textId="2F3B2B20" w:rsidR="0044339C" w:rsidRPr="00A73C13" w:rsidRDefault="0044339C" w:rsidP="0044339C">
            <w:pPr>
              <w:pStyle w:val="Popis"/>
              <w:spacing w:after="0"/>
              <w:rPr>
                <w:rFonts w:cs="BookAntiqua"/>
                <w:sz w:val="20"/>
                <w:szCs w:val="20"/>
              </w:rPr>
            </w:pPr>
            <w:bookmarkStart w:id="149" w:name="_Toc101881954"/>
            <w:r w:rsidRPr="00A73C13">
              <w:rPr>
                <w:rFonts w:cs="Arial"/>
                <w:color w:val="2C9ADC"/>
                <w:sz w:val="20"/>
                <w:szCs w:val="20"/>
              </w:rPr>
              <w:t xml:space="preserve">GRAF </w:t>
            </w:r>
            <w:r w:rsidRPr="00A73C13">
              <w:rPr>
                <w:rFonts w:cs="Arial"/>
                <w:color w:val="2C9ADC"/>
                <w:sz w:val="20"/>
                <w:szCs w:val="20"/>
              </w:rPr>
              <w:fldChar w:fldCharType="begin"/>
            </w:r>
            <w:r w:rsidRPr="00A73C13">
              <w:rPr>
                <w:rFonts w:cs="Arial"/>
                <w:color w:val="2C9ADC"/>
                <w:sz w:val="20"/>
                <w:szCs w:val="20"/>
              </w:rPr>
              <w:instrText xml:space="preserve"> SEQ GRAF \* ARABIC </w:instrText>
            </w:r>
            <w:r w:rsidRPr="00A73C13">
              <w:rPr>
                <w:rFonts w:cs="Arial"/>
                <w:color w:val="2C9ADC"/>
                <w:sz w:val="20"/>
                <w:szCs w:val="20"/>
              </w:rPr>
              <w:fldChar w:fldCharType="separate"/>
            </w:r>
            <w:r w:rsidR="005D3280">
              <w:rPr>
                <w:rFonts w:cs="Arial"/>
                <w:noProof/>
                <w:color w:val="2C9ADC"/>
                <w:sz w:val="20"/>
                <w:szCs w:val="20"/>
              </w:rPr>
              <w:t>30</w:t>
            </w:r>
            <w:r w:rsidRPr="00A73C13">
              <w:rPr>
                <w:rFonts w:cs="Arial"/>
                <w:color w:val="2C9ADC"/>
                <w:sz w:val="20"/>
                <w:szCs w:val="20"/>
              </w:rPr>
              <w:fldChar w:fldCharType="end"/>
            </w:r>
            <w:r w:rsidRPr="00A73C13">
              <w:rPr>
                <w:rFonts w:cs="Arial"/>
                <w:color w:val="2C9ADC"/>
                <w:sz w:val="20"/>
                <w:szCs w:val="20"/>
              </w:rPr>
              <w:t xml:space="preserve"> – </w:t>
            </w:r>
            <w:r w:rsidRPr="0044339C">
              <w:rPr>
                <w:rFonts w:cs="Arial"/>
                <w:bCs w:val="0"/>
                <w:sz w:val="20"/>
                <w:szCs w:val="20"/>
              </w:rPr>
              <w:t>Indikátor udržateľnosti S1 (% HDP)</w:t>
            </w:r>
            <w:bookmarkEnd w:id="149"/>
          </w:p>
        </w:tc>
        <w:tc>
          <w:tcPr>
            <w:tcW w:w="285" w:type="dxa"/>
            <w:tcBorders>
              <w:top w:val="nil"/>
              <w:left w:val="nil"/>
              <w:bottom w:val="nil"/>
              <w:right w:val="nil"/>
            </w:tcBorders>
            <w:shd w:val="clear" w:color="auto" w:fill="auto"/>
          </w:tcPr>
          <w:p w14:paraId="0D898E21" w14:textId="77777777" w:rsidR="0044339C" w:rsidRPr="00A73C13" w:rsidRDefault="0044339C" w:rsidP="00FF7E80">
            <w:pPr>
              <w:spacing w:before="60"/>
              <w:rPr>
                <w:rFonts w:cs="Arial"/>
                <w:b/>
                <w:color w:val="2C9ADC"/>
                <w:sz w:val="20"/>
                <w:szCs w:val="20"/>
              </w:rPr>
            </w:pPr>
          </w:p>
        </w:tc>
        <w:tc>
          <w:tcPr>
            <w:tcW w:w="4278" w:type="dxa"/>
            <w:tcBorders>
              <w:top w:val="nil"/>
              <w:left w:val="nil"/>
              <w:bottom w:val="single" w:sz="4" w:space="0" w:color="auto"/>
              <w:right w:val="nil"/>
            </w:tcBorders>
            <w:shd w:val="clear" w:color="auto" w:fill="auto"/>
          </w:tcPr>
          <w:p w14:paraId="711E51B7" w14:textId="4C9F07A7" w:rsidR="0044339C" w:rsidRPr="00A73C13" w:rsidRDefault="0044339C" w:rsidP="00FF7E80">
            <w:pPr>
              <w:pStyle w:val="Popis"/>
              <w:keepNext/>
              <w:spacing w:after="0"/>
              <w:rPr>
                <w:rFonts w:cs="Arial"/>
                <w:bCs w:val="0"/>
                <w:sz w:val="20"/>
                <w:szCs w:val="20"/>
              </w:rPr>
            </w:pPr>
            <w:bookmarkStart w:id="150" w:name="_Toc101881955"/>
            <w:r w:rsidRPr="00A73C13">
              <w:rPr>
                <w:rFonts w:cs="Arial"/>
                <w:color w:val="2C9ADC"/>
                <w:sz w:val="20"/>
                <w:szCs w:val="20"/>
              </w:rPr>
              <w:t xml:space="preserve">GRAF </w:t>
            </w:r>
            <w:r w:rsidRPr="00A73C13">
              <w:rPr>
                <w:rFonts w:cs="Arial"/>
                <w:color w:val="2C9ADC"/>
                <w:sz w:val="20"/>
                <w:szCs w:val="20"/>
              </w:rPr>
              <w:fldChar w:fldCharType="begin"/>
            </w:r>
            <w:r w:rsidRPr="00A73C13">
              <w:rPr>
                <w:rFonts w:cs="Arial"/>
                <w:color w:val="2C9ADC"/>
                <w:sz w:val="20"/>
                <w:szCs w:val="20"/>
              </w:rPr>
              <w:instrText xml:space="preserve"> SEQ GRAF \* ARABIC </w:instrText>
            </w:r>
            <w:r w:rsidRPr="00A73C13">
              <w:rPr>
                <w:rFonts w:cs="Arial"/>
                <w:color w:val="2C9ADC"/>
                <w:sz w:val="20"/>
                <w:szCs w:val="20"/>
              </w:rPr>
              <w:fldChar w:fldCharType="separate"/>
            </w:r>
            <w:r w:rsidR="005D3280">
              <w:rPr>
                <w:rFonts w:cs="Arial"/>
                <w:noProof/>
                <w:color w:val="2C9ADC"/>
                <w:sz w:val="20"/>
                <w:szCs w:val="20"/>
              </w:rPr>
              <w:t>31</w:t>
            </w:r>
            <w:r w:rsidRPr="00A73C13">
              <w:rPr>
                <w:rFonts w:cs="Arial"/>
                <w:color w:val="2C9ADC"/>
                <w:sz w:val="20"/>
                <w:szCs w:val="20"/>
              </w:rPr>
              <w:fldChar w:fldCharType="end"/>
            </w:r>
            <w:r w:rsidRPr="00A73C13">
              <w:rPr>
                <w:rFonts w:cs="Arial"/>
                <w:color w:val="2C9ADC"/>
                <w:sz w:val="20"/>
                <w:szCs w:val="20"/>
              </w:rPr>
              <w:t xml:space="preserve"> – </w:t>
            </w:r>
            <w:r w:rsidRPr="0044339C">
              <w:rPr>
                <w:rFonts w:cs="Arial"/>
                <w:bCs w:val="0"/>
                <w:sz w:val="20"/>
                <w:szCs w:val="20"/>
              </w:rPr>
              <w:t>Indikátor udržateľnosti S2 (% HDP)</w:t>
            </w:r>
            <w:r w:rsidRPr="00A73C13">
              <w:rPr>
                <w:rFonts w:cs="Arial"/>
                <w:bCs w:val="0"/>
                <w:sz w:val="20"/>
                <w:szCs w:val="20"/>
              </w:rPr>
              <w:t>)</w:t>
            </w:r>
            <w:bookmarkEnd w:id="150"/>
          </w:p>
        </w:tc>
      </w:tr>
      <w:tr w:rsidR="0044339C" w:rsidRPr="004B127C" w14:paraId="6DD65596" w14:textId="77777777" w:rsidTr="00CB18F8">
        <w:trPr>
          <w:trHeight w:val="1597"/>
          <w:jc w:val="center"/>
        </w:trPr>
        <w:tc>
          <w:tcPr>
            <w:tcW w:w="4278" w:type="dxa"/>
            <w:tcBorders>
              <w:top w:val="single" w:sz="4" w:space="0" w:color="auto"/>
              <w:left w:val="nil"/>
              <w:bottom w:val="single" w:sz="4" w:space="0" w:color="auto"/>
              <w:right w:val="nil"/>
            </w:tcBorders>
          </w:tcPr>
          <w:p w14:paraId="18F1F1E9" w14:textId="4B753FA6" w:rsidR="0044339C" w:rsidRPr="004B127C" w:rsidRDefault="00CB18F8" w:rsidP="00FF7E80">
            <w:pPr>
              <w:spacing w:before="40" w:after="40"/>
              <w:jc w:val="center"/>
              <w:rPr>
                <w:b/>
                <w:sz w:val="16"/>
              </w:rPr>
            </w:pPr>
            <w:r>
              <w:rPr>
                <w:noProof/>
              </w:rPr>
              <w:drawing>
                <wp:inline distT="0" distB="0" distL="0" distR="0" wp14:anchorId="6C17A216" wp14:editId="1D66B7EE">
                  <wp:extent cx="2627630" cy="2242268"/>
                  <wp:effectExtent l="0" t="0" r="1270" b="571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44339C" w:rsidRPr="004B127C" w:rsidDel="00D043AF">
              <w:rPr>
                <w:b/>
                <w:sz w:val="16"/>
              </w:rPr>
              <w:t xml:space="preserve"> </w:t>
            </w:r>
          </w:p>
        </w:tc>
        <w:tc>
          <w:tcPr>
            <w:tcW w:w="285" w:type="dxa"/>
            <w:tcBorders>
              <w:top w:val="nil"/>
              <w:left w:val="nil"/>
              <w:bottom w:val="nil"/>
              <w:right w:val="nil"/>
            </w:tcBorders>
          </w:tcPr>
          <w:p w14:paraId="14DA4905" w14:textId="77777777" w:rsidR="0044339C" w:rsidRPr="004B127C" w:rsidRDefault="0044339C" w:rsidP="00FF7E80">
            <w:pPr>
              <w:spacing w:before="40" w:after="40"/>
              <w:rPr>
                <w:b/>
                <w:sz w:val="16"/>
              </w:rPr>
            </w:pPr>
          </w:p>
        </w:tc>
        <w:tc>
          <w:tcPr>
            <w:tcW w:w="4278" w:type="dxa"/>
            <w:tcBorders>
              <w:top w:val="single" w:sz="4" w:space="0" w:color="auto"/>
              <w:left w:val="nil"/>
              <w:bottom w:val="single" w:sz="4" w:space="0" w:color="auto"/>
              <w:right w:val="nil"/>
            </w:tcBorders>
          </w:tcPr>
          <w:p w14:paraId="15300256" w14:textId="69A35185" w:rsidR="0044339C" w:rsidRPr="004B127C" w:rsidRDefault="00D15EA2" w:rsidP="00FF7E80">
            <w:pPr>
              <w:spacing w:before="40" w:after="40"/>
              <w:jc w:val="center"/>
              <w:rPr>
                <w:b/>
                <w:sz w:val="16"/>
              </w:rPr>
            </w:pPr>
            <w:r>
              <w:rPr>
                <w:noProof/>
              </w:rPr>
              <w:drawing>
                <wp:inline distT="0" distB="0" distL="0" distR="0" wp14:anchorId="68864546" wp14:editId="2D67811D">
                  <wp:extent cx="2729865" cy="2272352"/>
                  <wp:effectExtent l="0" t="0" r="0" b="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44339C" w:rsidRPr="00325F19" w14:paraId="56E355CA" w14:textId="77777777" w:rsidTr="0044339C">
        <w:trPr>
          <w:trHeight w:val="297"/>
          <w:jc w:val="center"/>
        </w:trPr>
        <w:tc>
          <w:tcPr>
            <w:tcW w:w="4278" w:type="dxa"/>
            <w:tcBorders>
              <w:top w:val="single" w:sz="4" w:space="0" w:color="auto"/>
              <w:left w:val="nil"/>
              <w:bottom w:val="nil"/>
              <w:right w:val="nil"/>
            </w:tcBorders>
            <w:shd w:val="clear" w:color="auto" w:fill="auto"/>
          </w:tcPr>
          <w:p w14:paraId="529E4C1C" w14:textId="0EFED4C1" w:rsidR="0044339C" w:rsidRPr="00053F64" w:rsidRDefault="0044339C" w:rsidP="0044339C">
            <w:pPr>
              <w:spacing w:before="40" w:after="40"/>
              <w:jc w:val="right"/>
              <w:rPr>
                <w:i/>
                <w:sz w:val="16"/>
                <w:highlight w:val="yellow"/>
              </w:rPr>
            </w:pPr>
            <w:r>
              <w:rPr>
                <w:i/>
                <w:sz w:val="16"/>
              </w:rPr>
              <w:t>Zdroj: EK, MF SR</w:t>
            </w:r>
          </w:p>
        </w:tc>
        <w:tc>
          <w:tcPr>
            <w:tcW w:w="285" w:type="dxa"/>
            <w:tcBorders>
              <w:top w:val="nil"/>
              <w:left w:val="nil"/>
              <w:bottom w:val="nil"/>
              <w:right w:val="nil"/>
            </w:tcBorders>
          </w:tcPr>
          <w:p w14:paraId="1DDAA850" w14:textId="77777777" w:rsidR="0044339C" w:rsidRPr="00053F64" w:rsidRDefault="0044339C" w:rsidP="00FF7E80">
            <w:pPr>
              <w:spacing w:before="40" w:after="40"/>
              <w:jc w:val="right"/>
              <w:rPr>
                <w:i/>
                <w:sz w:val="16"/>
                <w:highlight w:val="yellow"/>
              </w:rPr>
            </w:pPr>
          </w:p>
        </w:tc>
        <w:tc>
          <w:tcPr>
            <w:tcW w:w="4278" w:type="dxa"/>
            <w:tcBorders>
              <w:top w:val="single" w:sz="4" w:space="0" w:color="auto"/>
              <w:left w:val="nil"/>
              <w:bottom w:val="nil"/>
              <w:right w:val="nil"/>
            </w:tcBorders>
          </w:tcPr>
          <w:p w14:paraId="6877CC3E" w14:textId="257522BD" w:rsidR="0044339C" w:rsidRPr="00325F19" w:rsidRDefault="0044339C" w:rsidP="00FF7E80">
            <w:pPr>
              <w:keepNext/>
              <w:spacing w:before="40" w:after="40"/>
              <w:jc w:val="right"/>
              <w:rPr>
                <w:i/>
                <w:sz w:val="16"/>
              </w:rPr>
            </w:pPr>
            <w:r>
              <w:rPr>
                <w:i/>
                <w:sz w:val="16"/>
              </w:rPr>
              <w:t>Zdroj: EK, MF SR</w:t>
            </w:r>
          </w:p>
        </w:tc>
      </w:tr>
      <w:tr w:rsidR="0044339C" w:rsidRPr="004B127C" w14:paraId="5DD40B9F" w14:textId="77777777" w:rsidTr="0044339C">
        <w:trPr>
          <w:trHeight w:val="297"/>
          <w:jc w:val="center"/>
        </w:trPr>
        <w:tc>
          <w:tcPr>
            <w:tcW w:w="8841" w:type="dxa"/>
            <w:gridSpan w:val="3"/>
            <w:tcBorders>
              <w:top w:val="nil"/>
              <w:left w:val="nil"/>
              <w:bottom w:val="nil"/>
              <w:right w:val="nil"/>
            </w:tcBorders>
          </w:tcPr>
          <w:p w14:paraId="766A85C9" w14:textId="77777777" w:rsidR="0044339C" w:rsidRDefault="0044339C" w:rsidP="0044339C">
            <w:pPr>
              <w:jc w:val="both"/>
              <w:rPr>
                <w:i/>
                <w:sz w:val="16"/>
                <w:szCs w:val="16"/>
              </w:rPr>
            </w:pPr>
            <w:r>
              <w:rPr>
                <w:i/>
                <w:sz w:val="16"/>
                <w:szCs w:val="16"/>
              </w:rPr>
              <w:t xml:space="preserve">Pozn.: </w:t>
            </w:r>
            <w:r w:rsidRPr="00DC1155">
              <w:rPr>
                <w:i/>
                <w:sz w:val="16"/>
                <w:szCs w:val="16"/>
              </w:rPr>
              <w:t xml:space="preserve">Európska komisia pri </w:t>
            </w:r>
            <w:r>
              <w:rPr>
                <w:i/>
                <w:sz w:val="16"/>
                <w:szCs w:val="16"/>
              </w:rPr>
              <w:t>publikovaní</w:t>
            </w:r>
            <w:r w:rsidRPr="00DC1155">
              <w:rPr>
                <w:i/>
                <w:sz w:val="16"/>
                <w:szCs w:val="16"/>
              </w:rPr>
              <w:t xml:space="preserve"> S1 a S2 v roku t vychádza z jesennej prognózy predchádzajúceho</w:t>
            </w:r>
            <w:r>
              <w:rPr>
                <w:i/>
                <w:sz w:val="16"/>
                <w:szCs w:val="16"/>
              </w:rPr>
              <w:t xml:space="preserve"> roka. Keďže indikátory takto nemusia adekvátne reflektovať prijaté zmeny politík, ministerstvo financií časový rad S1 a S2 od EK v tomto prípade časovo viaže k obdobiu prognóz, aby vierohodnejšie zachytilo vývoj udržateľnosti verejných financií.</w:t>
            </w:r>
          </w:p>
          <w:p w14:paraId="6A5F1C78" w14:textId="6F9B5DA3" w:rsidR="0044339C" w:rsidRPr="004B127C" w:rsidRDefault="0044339C" w:rsidP="0044339C">
            <w:pPr>
              <w:spacing w:before="40" w:after="40"/>
              <w:jc w:val="both"/>
              <w:rPr>
                <w:i/>
                <w:sz w:val="16"/>
              </w:rPr>
            </w:pPr>
            <w:r>
              <w:rPr>
                <w:i/>
                <w:sz w:val="16"/>
                <w:szCs w:val="16"/>
              </w:rPr>
              <w:t>* V roku 2020 a 2021 EK dočasne pristúpila k úprave metodiky kvantifikácie S1 a S2 v dôsledku výnimočných okolností súvisiacich s pandémiou. Indikátory na rozdiel od minulosti, kedy hodnota ilustrovala potrebné okamžité zníženie aktuálneho primárneho štrukturálneho salda, dočasne vyjadrujú zníženie primárneho štrukturálneho salda od východiskovej úrovne dosiahnutej v súlade s predkrízovou prognózou EK.</w:t>
            </w:r>
          </w:p>
        </w:tc>
      </w:tr>
    </w:tbl>
    <w:p w14:paraId="791C5594" w14:textId="77777777" w:rsidR="003B2A65" w:rsidRDefault="003B2A65" w:rsidP="003B2A65">
      <w:pPr>
        <w:jc w:val="both"/>
        <w:rPr>
          <w:b/>
          <w:highlight w:val="yellow"/>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820"/>
        <w:gridCol w:w="4250"/>
      </w:tblGrid>
      <w:tr w:rsidR="003B2A65" w:rsidRPr="004A6D29" w14:paraId="67FC916A" w14:textId="77777777" w:rsidTr="000E4D54">
        <w:trPr>
          <w:trHeight w:val="14"/>
          <w:jc w:val="center"/>
        </w:trPr>
        <w:tc>
          <w:tcPr>
            <w:tcW w:w="5000" w:type="pct"/>
            <w:gridSpan w:val="2"/>
            <w:tcBorders>
              <w:top w:val="nil"/>
              <w:left w:val="nil"/>
              <w:bottom w:val="nil"/>
              <w:right w:val="nil"/>
            </w:tcBorders>
            <w:shd w:val="clear" w:color="auto" w:fill="auto"/>
            <w:vAlign w:val="center"/>
          </w:tcPr>
          <w:p w14:paraId="1D4E82CC" w14:textId="2E1C88B0" w:rsidR="003B2A65" w:rsidRPr="00024142" w:rsidRDefault="003B2A65" w:rsidP="000E4D54">
            <w:pPr>
              <w:pStyle w:val="Popis"/>
              <w:rPr>
                <w:sz w:val="20"/>
                <w:szCs w:val="20"/>
                <w:lang w:val="en-US"/>
              </w:rPr>
            </w:pPr>
            <w:bookmarkStart w:id="151" w:name="_Toc101880693"/>
            <w:r w:rsidRPr="004A6D29">
              <w:rPr>
                <w:rFonts w:eastAsiaTheme="minorHAnsi" w:cs="Arial"/>
                <w:sz w:val="20"/>
                <w:szCs w:val="20"/>
                <w:lang w:eastAsia="en-US"/>
              </w:rPr>
              <w:t xml:space="preserve">TABUĽKA </w:t>
            </w:r>
            <w:r w:rsidRPr="004A6D29">
              <w:rPr>
                <w:rFonts w:eastAsiaTheme="minorHAnsi" w:cs="Arial"/>
                <w:b w:val="0"/>
                <w:bCs w:val="0"/>
                <w:sz w:val="20"/>
                <w:szCs w:val="20"/>
                <w:lang w:eastAsia="en-US"/>
              </w:rPr>
              <w:fldChar w:fldCharType="begin"/>
            </w:r>
            <w:r w:rsidRPr="00024142">
              <w:rPr>
                <w:rFonts w:eastAsiaTheme="minorHAnsi" w:cs="Arial"/>
                <w:bCs w:val="0"/>
                <w:sz w:val="20"/>
                <w:szCs w:val="20"/>
                <w:lang w:eastAsia="en-US"/>
              </w:rPr>
              <w:instrText xml:space="preserve"> SEQ TABUĽKA \* ARABIC </w:instrText>
            </w:r>
            <w:r w:rsidRPr="004A6D29">
              <w:rPr>
                <w:rFonts w:eastAsiaTheme="minorHAnsi" w:cs="Arial"/>
                <w:b w:val="0"/>
                <w:bCs w:val="0"/>
                <w:sz w:val="20"/>
                <w:szCs w:val="20"/>
                <w:lang w:eastAsia="en-US"/>
              </w:rPr>
              <w:fldChar w:fldCharType="separate"/>
            </w:r>
            <w:r w:rsidR="005D3280">
              <w:rPr>
                <w:rFonts w:eastAsiaTheme="minorHAnsi" w:cs="Arial"/>
                <w:bCs w:val="0"/>
                <w:noProof/>
                <w:sz w:val="20"/>
                <w:szCs w:val="20"/>
                <w:lang w:eastAsia="en-US"/>
              </w:rPr>
              <w:t>14</w:t>
            </w:r>
            <w:r w:rsidRPr="004A6D29">
              <w:rPr>
                <w:rFonts w:eastAsiaTheme="minorHAnsi" w:cs="Arial"/>
                <w:b w:val="0"/>
                <w:bCs w:val="0"/>
                <w:sz w:val="20"/>
                <w:szCs w:val="20"/>
                <w:lang w:eastAsia="en-US"/>
              </w:rPr>
              <w:fldChar w:fldCharType="end"/>
            </w:r>
            <w:r w:rsidRPr="004A6D29">
              <w:rPr>
                <w:rFonts w:eastAsiaTheme="minorHAnsi" w:cs="Arial"/>
                <w:b w:val="0"/>
                <w:bCs w:val="0"/>
                <w:sz w:val="20"/>
                <w:szCs w:val="20"/>
                <w:lang w:eastAsia="en-US"/>
              </w:rPr>
              <w:t xml:space="preserve"> </w:t>
            </w:r>
            <w:r w:rsidRPr="004A6D29">
              <w:rPr>
                <w:rFonts w:eastAsiaTheme="minorHAnsi"/>
                <w:color w:val="2C9ADC"/>
                <w:sz w:val="20"/>
                <w:szCs w:val="20"/>
                <w:lang w:eastAsia="en-US"/>
              </w:rPr>
              <w:t>–</w:t>
            </w:r>
            <w:r w:rsidRPr="00024142">
              <w:rPr>
                <w:rFonts w:cs="Arial"/>
                <w:bCs w:val="0"/>
                <w:sz w:val="20"/>
                <w:szCs w:val="20"/>
              </w:rPr>
              <w:t xml:space="preserve"> Rozklad indikátora S2 v roku 2022 a 2025 (</w:t>
            </w:r>
            <w:r w:rsidRPr="00024142">
              <w:rPr>
                <w:rFonts w:cs="Arial"/>
                <w:bCs w:val="0"/>
                <w:sz w:val="20"/>
                <w:szCs w:val="20"/>
                <w:lang w:val="en-US"/>
              </w:rPr>
              <w:t>% HDP)</w:t>
            </w:r>
            <w:bookmarkEnd w:id="151"/>
          </w:p>
        </w:tc>
      </w:tr>
      <w:tr w:rsidR="003B2A65" w:rsidRPr="004A6D29" w14:paraId="464D32D0" w14:textId="77777777" w:rsidTr="000C6444">
        <w:trPr>
          <w:trHeight w:val="426"/>
          <w:jc w:val="center"/>
        </w:trPr>
        <w:tc>
          <w:tcPr>
            <w:tcW w:w="5000" w:type="pct"/>
            <w:gridSpan w:val="2"/>
            <w:tcBorders>
              <w:top w:val="nil"/>
              <w:left w:val="nil"/>
              <w:bottom w:val="single" w:sz="4" w:space="0" w:color="auto"/>
              <w:right w:val="nil"/>
            </w:tcBorders>
            <w:vAlign w:val="center"/>
          </w:tcPr>
          <w:tbl>
            <w:tblPr>
              <w:tblW w:w="8890" w:type="dxa"/>
              <w:tblLayout w:type="fixed"/>
              <w:tblCellMar>
                <w:left w:w="70" w:type="dxa"/>
                <w:right w:w="70" w:type="dxa"/>
              </w:tblCellMar>
              <w:tblLook w:val="04A0" w:firstRow="1" w:lastRow="0" w:firstColumn="1" w:lastColumn="0" w:noHBand="0" w:noVBand="1"/>
            </w:tblPr>
            <w:tblGrid>
              <w:gridCol w:w="3616"/>
              <w:gridCol w:w="280"/>
              <w:gridCol w:w="1985"/>
              <w:gridCol w:w="1559"/>
              <w:gridCol w:w="1450"/>
            </w:tblGrid>
            <w:tr w:rsidR="003B2A65" w:rsidRPr="004A6D29" w14:paraId="4873CA11" w14:textId="77777777" w:rsidTr="002919E7">
              <w:trPr>
                <w:trHeight w:val="14"/>
              </w:trPr>
              <w:tc>
                <w:tcPr>
                  <w:tcW w:w="3616" w:type="dxa"/>
                  <w:tcBorders>
                    <w:top w:val="single" w:sz="8" w:space="0" w:color="auto"/>
                    <w:left w:val="nil"/>
                    <w:bottom w:val="single" w:sz="8" w:space="0" w:color="auto"/>
                    <w:right w:val="nil"/>
                  </w:tcBorders>
                  <w:shd w:val="clear" w:color="auto" w:fill="auto"/>
                  <w:noWrap/>
                  <w:vAlign w:val="center"/>
                  <w:hideMark/>
                </w:tcPr>
                <w:p w14:paraId="5F639062" w14:textId="77777777" w:rsidR="003B2A65" w:rsidRPr="004A6D29" w:rsidRDefault="003B2A65" w:rsidP="000E4D54">
                  <w:pPr>
                    <w:rPr>
                      <w:rFonts w:cs="Times New Roman"/>
                      <w:b/>
                      <w:bCs/>
                      <w:color w:val="000000" w:themeColor="text1"/>
                      <w:sz w:val="18"/>
                      <w:szCs w:val="18"/>
                    </w:rPr>
                  </w:pPr>
                  <w:r w:rsidRPr="004A6D29">
                    <w:rPr>
                      <w:rFonts w:cs="Times New Roman"/>
                      <w:b/>
                      <w:bCs/>
                      <w:color w:val="000000" w:themeColor="text1"/>
                      <w:sz w:val="18"/>
                      <w:szCs w:val="18"/>
                    </w:rPr>
                    <w:t> </w:t>
                  </w:r>
                </w:p>
              </w:tc>
              <w:tc>
                <w:tcPr>
                  <w:tcW w:w="280" w:type="dxa"/>
                  <w:tcBorders>
                    <w:top w:val="single" w:sz="8" w:space="0" w:color="auto"/>
                    <w:left w:val="nil"/>
                    <w:bottom w:val="single" w:sz="8" w:space="0" w:color="auto"/>
                    <w:right w:val="nil"/>
                  </w:tcBorders>
                  <w:vAlign w:val="center"/>
                </w:tcPr>
                <w:p w14:paraId="09A6E9A1" w14:textId="77777777" w:rsidR="003B2A65" w:rsidRPr="004A6D29" w:rsidRDefault="003B2A65" w:rsidP="000E4D54">
                  <w:pPr>
                    <w:jc w:val="center"/>
                    <w:rPr>
                      <w:rFonts w:cs="Times New Roman"/>
                      <w:bCs/>
                      <w:color w:val="000000" w:themeColor="text1"/>
                      <w:sz w:val="18"/>
                      <w:szCs w:val="18"/>
                    </w:rPr>
                  </w:pPr>
                </w:p>
              </w:tc>
              <w:tc>
                <w:tcPr>
                  <w:tcW w:w="1985" w:type="dxa"/>
                  <w:tcBorders>
                    <w:top w:val="single" w:sz="8" w:space="0" w:color="auto"/>
                    <w:left w:val="nil"/>
                    <w:bottom w:val="single" w:sz="8" w:space="0" w:color="auto"/>
                    <w:right w:val="nil"/>
                  </w:tcBorders>
                  <w:shd w:val="clear" w:color="auto" w:fill="auto"/>
                  <w:noWrap/>
                  <w:vAlign w:val="center"/>
                </w:tcPr>
                <w:p w14:paraId="635D79C9" w14:textId="77777777" w:rsidR="003B2A65" w:rsidRPr="004A6D29" w:rsidRDefault="003B2A65" w:rsidP="000E4D54">
                  <w:pPr>
                    <w:jc w:val="center"/>
                    <w:rPr>
                      <w:rFonts w:cs="Times New Roman"/>
                      <w:b/>
                      <w:bCs/>
                      <w:color w:val="000000" w:themeColor="text1"/>
                      <w:sz w:val="18"/>
                      <w:szCs w:val="18"/>
                    </w:rPr>
                  </w:pPr>
                  <w:r w:rsidRPr="004A6D29">
                    <w:rPr>
                      <w:rFonts w:cs="Times New Roman"/>
                      <w:b/>
                      <w:bCs/>
                      <w:color w:val="000000" w:themeColor="text1"/>
                      <w:sz w:val="18"/>
                      <w:szCs w:val="18"/>
                    </w:rPr>
                    <w:t xml:space="preserve">S2 Indikátor </w:t>
                  </w:r>
                </w:p>
                <w:p w14:paraId="14160BFC" w14:textId="77777777" w:rsidR="003B2A65" w:rsidRPr="004A6D29" w:rsidRDefault="003B2A65" w:rsidP="000E4D54">
                  <w:pPr>
                    <w:jc w:val="center"/>
                    <w:rPr>
                      <w:rFonts w:cs="Times New Roman"/>
                      <w:bCs/>
                      <w:color w:val="000000" w:themeColor="text1"/>
                      <w:sz w:val="18"/>
                      <w:szCs w:val="18"/>
                    </w:rPr>
                  </w:pPr>
                  <w:r w:rsidRPr="004A6D29">
                    <w:rPr>
                      <w:rFonts w:cs="Times New Roman"/>
                      <w:bCs/>
                      <w:color w:val="000000" w:themeColor="text1"/>
                      <w:sz w:val="18"/>
                      <w:szCs w:val="18"/>
                    </w:rPr>
                    <w:t>(2022)</w:t>
                  </w:r>
                </w:p>
              </w:tc>
              <w:tc>
                <w:tcPr>
                  <w:tcW w:w="1559" w:type="dxa"/>
                  <w:tcBorders>
                    <w:top w:val="single" w:sz="8" w:space="0" w:color="auto"/>
                    <w:left w:val="nil"/>
                    <w:bottom w:val="single" w:sz="8" w:space="0" w:color="auto"/>
                    <w:right w:val="nil"/>
                  </w:tcBorders>
                  <w:shd w:val="clear" w:color="auto" w:fill="auto"/>
                  <w:noWrap/>
                  <w:vAlign w:val="center"/>
                  <w:hideMark/>
                </w:tcPr>
                <w:p w14:paraId="2CD66E9B" w14:textId="77777777" w:rsidR="003B2A65" w:rsidRPr="004A6D29" w:rsidRDefault="003B2A65" w:rsidP="000E4D54">
                  <w:pPr>
                    <w:jc w:val="center"/>
                    <w:rPr>
                      <w:rFonts w:cs="Times New Roman"/>
                      <w:b/>
                      <w:bCs/>
                      <w:color w:val="000000" w:themeColor="text1"/>
                      <w:sz w:val="18"/>
                      <w:szCs w:val="18"/>
                    </w:rPr>
                  </w:pPr>
                  <w:r w:rsidRPr="004A6D29">
                    <w:rPr>
                      <w:rFonts w:cs="Times New Roman"/>
                      <w:b/>
                      <w:bCs/>
                      <w:color w:val="000000" w:themeColor="text1"/>
                      <w:sz w:val="18"/>
                      <w:szCs w:val="18"/>
                    </w:rPr>
                    <w:t>S2 Indikátor</w:t>
                  </w:r>
                </w:p>
                <w:p w14:paraId="395E02A8" w14:textId="77777777" w:rsidR="003B2A65" w:rsidRPr="004A6D29" w:rsidRDefault="003B2A65" w:rsidP="000E4D54">
                  <w:pPr>
                    <w:jc w:val="center"/>
                    <w:rPr>
                      <w:rFonts w:cs="Times New Roman"/>
                      <w:b/>
                      <w:bCs/>
                      <w:color w:val="000000" w:themeColor="text1"/>
                      <w:sz w:val="18"/>
                      <w:szCs w:val="18"/>
                    </w:rPr>
                  </w:pPr>
                  <w:r w:rsidRPr="004A6D29">
                    <w:rPr>
                      <w:rFonts w:cs="Times New Roman"/>
                      <w:bCs/>
                      <w:color w:val="000000" w:themeColor="text1"/>
                      <w:sz w:val="18"/>
                      <w:szCs w:val="18"/>
                    </w:rPr>
                    <w:t>(2024, po plánovanej konsolidácii)</w:t>
                  </w:r>
                </w:p>
              </w:tc>
              <w:tc>
                <w:tcPr>
                  <w:tcW w:w="1450" w:type="dxa"/>
                  <w:tcBorders>
                    <w:top w:val="single" w:sz="8" w:space="0" w:color="auto"/>
                    <w:left w:val="nil"/>
                    <w:bottom w:val="single" w:sz="8" w:space="0" w:color="auto"/>
                    <w:right w:val="nil"/>
                  </w:tcBorders>
                  <w:vAlign w:val="center"/>
                </w:tcPr>
                <w:p w14:paraId="6698B268" w14:textId="77777777" w:rsidR="003B2A65" w:rsidRPr="004A6D29" w:rsidRDefault="003B2A65" w:rsidP="000E4D54">
                  <w:pPr>
                    <w:jc w:val="center"/>
                    <w:rPr>
                      <w:rFonts w:cs="Times New Roman"/>
                      <w:b/>
                      <w:bCs/>
                      <w:color w:val="000000" w:themeColor="text1"/>
                      <w:sz w:val="18"/>
                      <w:szCs w:val="18"/>
                    </w:rPr>
                  </w:pPr>
                  <w:r w:rsidRPr="004A6D29">
                    <w:rPr>
                      <w:rFonts w:cs="Times New Roman"/>
                      <w:b/>
                      <w:bCs/>
                      <w:color w:val="000000" w:themeColor="text1"/>
                      <w:sz w:val="18"/>
                      <w:szCs w:val="18"/>
                    </w:rPr>
                    <w:t>S2 Indikátor</w:t>
                  </w:r>
                </w:p>
                <w:p w14:paraId="0B0135A6" w14:textId="77777777" w:rsidR="003B2A65" w:rsidRPr="004A6D29" w:rsidRDefault="003B2A65" w:rsidP="000E4D54">
                  <w:pPr>
                    <w:jc w:val="center"/>
                    <w:rPr>
                      <w:rFonts w:cs="Times New Roman"/>
                      <w:bCs/>
                      <w:color w:val="000000" w:themeColor="text1"/>
                      <w:sz w:val="18"/>
                      <w:szCs w:val="18"/>
                    </w:rPr>
                  </w:pPr>
                  <w:r w:rsidRPr="004A6D29">
                    <w:rPr>
                      <w:rFonts w:cs="Times New Roman"/>
                      <w:bCs/>
                      <w:color w:val="000000" w:themeColor="text1"/>
                      <w:sz w:val="18"/>
                      <w:szCs w:val="18"/>
                    </w:rPr>
                    <w:t>(2025)</w:t>
                  </w:r>
                </w:p>
              </w:tc>
            </w:tr>
            <w:tr w:rsidR="003B2A65" w:rsidRPr="004A6D29" w14:paraId="0755F9B1" w14:textId="77777777" w:rsidTr="002919E7">
              <w:trPr>
                <w:trHeight w:val="9"/>
              </w:trPr>
              <w:tc>
                <w:tcPr>
                  <w:tcW w:w="3616" w:type="dxa"/>
                  <w:tcBorders>
                    <w:top w:val="nil"/>
                    <w:left w:val="nil"/>
                    <w:bottom w:val="single" w:sz="8" w:space="0" w:color="auto"/>
                    <w:right w:val="nil"/>
                  </w:tcBorders>
                  <w:shd w:val="clear" w:color="auto" w:fill="auto"/>
                  <w:noWrap/>
                  <w:vAlign w:val="center"/>
                  <w:hideMark/>
                </w:tcPr>
                <w:p w14:paraId="1D1BC0D3" w14:textId="77777777" w:rsidR="003B2A65" w:rsidRPr="004A6D29" w:rsidRDefault="003B2A65" w:rsidP="000E4D54">
                  <w:pPr>
                    <w:rPr>
                      <w:rFonts w:cs="Times New Roman"/>
                      <w:b/>
                      <w:bCs/>
                      <w:color w:val="000000" w:themeColor="text1"/>
                      <w:sz w:val="18"/>
                      <w:szCs w:val="18"/>
                    </w:rPr>
                  </w:pPr>
                  <w:r w:rsidRPr="004A6D29">
                    <w:rPr>
                      <w:rFonts w:cs="Times New Roman"/>
                      <w:b/>
                      <w:bCs/>
                      <w:color w:val="000000" w:themeColor="text1"/>
                      <w:sz w:val="18"/>
                      <w:szCs w:val="18"/>
                    </w:rPr>
                    <w:t>Celková hodnota S2</w:t>
                  </w:r>
                </w:p>
              </w:tc>
              <w:tc>
                <w:tcPr>
                  <w:tcW w:w="280" w:type="dxa"/>
                  <w:tcBorders>
                    <w:top w:val="nil"/>
                    <w:left w:val="nil"/>
                    <w:bottom w:val="single" w:sz="8" w:space="0" w:color="auto"/>
                    <w:right w:val="nil"/>
                  </w:tcBorders>
                  <w:shd w:val="clear" w:color="auto" w:fill="auto"/>
                  <w:vAlign w:val="center"/>
                </w:tcPr>
                <w:p w14:paraId="4CC11F8A" w14:textId="77777777" w:rsidR="003B2A65" w:rsidRPr="004A6D29" w:rsidRDefault="003B2A65" w:rsidP="000E4D54">
                  <w:pPr>
                    <w:jc w:val="center"/>
                    <w:rPr>
                      <w:rFonts w:cs="Times New Roman"/>
                      <w:b/>
                      <w:bCs/>
                      <w:color w:val="000000" w:themeColor="text1"/>
                      <w:sz w:val="18"/>
                      <w:szCs w:val="18"/>
                    </w:rPr>
                  </w:pPr>
                </w:p>
              </w:tc>
              <w:tc>
                <w:tcPr>
                  <w:tcW w:w="1985" w:type="dxa"/>
                  <w:tcBorders>
                    <w:top w:val="nil"/>
                    <w:left w:val="nil"/>
                    <w:bottom w:val="single" w:sz="8" w:space="0" w:color="auto"/>
                    <w:right w:val="nil"/>
                  </w:tcBorders>
                  <w:shd w:val="clear" w:color="auto" w:fill="auto"/>
                  <w:noWrap/>
                  <w:vAlign w:val="center"/>
                </w:tcPr>
                <w:p w14:paraId="27E3D683" w14:textId="4BFD99EF" w:rsidR="003B2A65" w:rsidRPr="004A6D29" w:rsidRDefault="00CB74BE" w:rsidP="000E4D54">
                  <w:pPr>
                    <w:jc w:val="center"/>
                    <w:rPr>
                      <w:rFonts w:cs="Times New Roman"/>
                      <w:b/>
                      <w:bCs/>
                      <w:color w:val="000000" w:themeColor="text1"/>
                      <w:sz w:val="18"/>
                      <w:szCs w:val="18"/>
                    </w:rPr>
                  </w:pPr>
                  <w:r w:rsidRPr="004A6D29">
                    <w:rPr>
                      <w:rFonts w:cs="Times New Roman"/>
                      <w:b/>
                      <w:bCs/>
                      <w:color w:val="000000" w:themeColor="text1"/>
                      <w:sz w:val="18"/>
                      <w:szCs w:val="18"/>
                    </w:rPr>
                    <w:t>10,8</w:t>
                  </w:r>
                </w:p>
              </w:tc>
              <w:tc>
                <w:tcPr>
                  <w:tcW w:w="1559" w:type="dxa"/>
                  <w:tcBorders>
                    <w:top w:val="nil"/>
                    <w:left w:val="nil"/>
                    <w:bottom w:val="single" w:sz="8" w:space="0" w:color="auto"/>
                    <w:right w:val="nil"/>
                  </w:tcBorders>
                  <w:shd w:val="clear" w:color="auto" w:fill="auto"/>
                  <w:noWrap/>
                  <w:vAlign w:val="center"/>
                  <w:hideMark/>
                </w:tcPr>
                <w:p w14:paraId="6AA93036" w14:textId="73FC11CC" w:rsidR="003B2A65" w:rsidRPr="004A6D29" w:rsidRDefault="00D15E5B" w:rsidP="000E4D54">
                  <w:pPr>
                    <w:jc w:val="center"/>
                    <w:rPr>
                      <w:rFonts w:cs="Times New Roman"/>
                      <w:b/>
                      <w:bCs/>
                      <w:color w:val="000000" w:themeColor="text1"/>
                      <w:sz w:val="18"/>
                      <w:szCs w:val="18"/>
                    </w:rPr>
                  </w:pPr>
                  <w:r w:rsidRPr="004A6D29">
                    <w:rPr>
                      <w:rFonts w:cs="Times New Roman"/>
                      <w:b/>
                      <w:bCs/>
                      <w:color w:val="000000" w:themeColor="text1"/>
                      <w:sz w:val="18"/>
                      <w:szCs w:val="18"/>
                    </w:rPr>
                    <w:t>9,0</w:t>
                  </w:r>
                </w:p>
              </w:tc>
              <w:tc>
                <w:tcPr>
                  <w:tcW w:w="1450" w:type="dxa"/>
                  <w:tcBorders>
                    <w:top w:val="nil"/>
                    <w:left w:val="nil"/>
                    <w:bottom w:val="single" w:sz="8" w:space="0" w:color="auto"/>
                    <w:right w:val="nil"/>
                  </w:tcBorders>
                  <w:shd w:val="clear" w:color="auto" w:fill="auto"/>
                  <w:vAlign w:val="center"/>
                </w:tcPr>
                <w:p w14:paraId="77AB7289" w14:textId="71F7DDC8" w:rsidR="003B2A65" w:rsidRPr="004A6D29" w:rsidRDefault="00D15E5B" w:rsidP="000E4D54">
                  <w:pPr>
                    <w:jc w:val="center"/>
                    <w:rPr>
                      <w:rFonts w:cs="Times New Roman"/>
                      <w:b/>
                      <w:bCs/>
                      <w:color w:val="000000" w:themeColor="text1"/>
                      <w:sz w:val="18"/>
                      <w:szCs w:val="18"/>
                    </w:rPr>
                  </w:pPr>
                  <w:r w:rsidRPr="004A6D29">
                    <w:rPr>
                      <w:rFonts w:cs="Times New Roman"/>
                      <w:b/>
                      <w:bCs/>
                      <w:color w:val="000000" w:themeColor="text1"/>
                      <w:sz w:val="18"/>
                      <w:szCs w:val="18"/>
                    </w:rPr>
                    <w:t>8,2</w:t>
                  </w:r>
                </w:p>
              </w:tc>
            </w:tr>
            <w:tr w:rsidR="003B2A65" w:rsidRPr="004A6D29" w14:paraId="7054CF5B" w14:textId="77777777" w:rsidTr="002919E7">
              <w:trPr>
                <w:trHeight w:val="14"/>
              </w:trPr>
              <w:tc>
                <w:tcPr>
                  <w:tcW w:w="3616" w:type="dxa"/>
                  <w:tcBorders>
                    <w:top w:val="nil"/>
                    <w:left w:val="nil"/>
                    <w:bottom w:val="nil"/>
                    <w:right w:val="nil"/>
                  </w:tcBorders>
                  <w:shd w:val="clear" w:color="auto" w:fill="auto"/>
                  <w:noWrap/>
                  <w:vAlign w:val="center"/>
                  <w:hideMark/>
                </w:tcPr>
                <w:p w14:paraId="0858C1F6" w14:textId="77777777" w:rsidR="003B2A65" w:rsidRPr="004A6D29" w:rsidRDefault="003B2A65" w:rsidP="000E4D54">
                  <w:pPr>
                    <w:rPr>
                      <w:rFonts w:cs="Times New Roman"/>
                      <w:color w:val="000000" w:themeColor="text1"/>
                      <w:sz w:val="16"/>
                      <w:szCs w:val="18"/>
                    </w:rPr>
                  </w:pPr>
                  <w:r w:rsidRPr="004A6D29">
                    <w:rPr>
                      <w:rFonts w:cs="Times New Roman"/>
                      <w:color w:val="000000" w:themeColor="text1"/>
                      <w:sz w:val="16"/>
                      <w:szCs w:val="18"/>
                    </w:rPr>
                    <w:t>z toho:</w:t>
                  </w:r>
                </w:p>
              </w:tc>
              <w:tc>
                <w:tcPr>
                  <w:tcW w:w="280" w:type="dxa"/>
                  <w:tcBorders>
                    <w:top w:val="nil"/>
                    <w:left w:val="nil"/>
                    <w:bottom w:val="nil"/>
                    <w:right w:val="nil"/>
                  </w:tcBorders>
                  <w:vAlign w:val="center"/>
                </w:tcPr>
                <w:p w14:paraId="5015B8DB" w14:textId="77777777" w:rsidR="003B2A65" w:rsidRPr="004A6D29" w:rsidRDefault="003B2A65" w:rsidP="000E4D54">
                  <w:pPr>
                    <w:rPr>
                      <w:rFonts w:cs="Times New Roman"/>
                      <w:color w:val="000000" w:themeColor="text1"/>
                      <w:sz w:val="16"/>
                      <w:szCs w:val="18"/>
                    </w:rPr>
                  </w:pPr>
                </w:p>
              </w:tc>
              <w:tc>
                <w:tcPr>
                  <w:tcW w:w="1985" w:type="dxa"/>
                  <w:tcBorders>
                    <w:top w:val="nil"/>
                    <w:left w:val="nil"/>
                    <w:bottom w:val="nil"/>
                    <w:right w:val="nil"/>
                  </w:tcBorders>
                  <w:shd w:val="clear" w:color="auto" w:fill="auto"/>
                  <w:noWrap/>
                  <w:vAlign w:val="center"/>
                </w:tcPr>
                <w:p w14:paraId="6C619621" w14:textId="77777777" w:rsidR="003B2A65" w:rsidRPr="004A6D29" w:rsidRDefault="003B2A65" w:rsidP="000E4D54">
                  <w:pPr>
                    <w:rPr>
                      <w:rFonts w:cs="Times New Roman"/>
                      <w:color w:val="000000" w:themeColor="text1"/>
                      <w:sz w:val="16"/>
                      <w:szCs w:val="18"/>
                    </w:rPr>
                  </w:pPr>
                </w:p>
              </w:tc>
              <w:tc>
                <w:tcPr>
                  <w:tcW w:w="1559" w:type="dxa"/>
                  <w:tcBorders>
                    <w:top w:val="nil"/>
                    <w:left w:val="nil"/>
                    <w:bottom w:val="nil"/>
                    <w:right w:val="nil"/>
                  </w:tcBorders>
                  <w:shd w:val="clear" w:color="auto" w:fill="auto"/>
                  <w:noWrap/>
                  <w:vAlign w:val="center"/>
                  <w:hideMark/>
                </w:tcPr>
                <w:p w14:paraId="76C95164" w14:textId="77777777" w:rsidR="003B2A65" w:rsidRPr="004A6D29" w:rsidRDefault="003B2A65" w:rsidP="000E4D54">
                  <w:pPr>
                    <w:jc w:val="center"/>
                    <w:rPr>
                      <w:rFonts w:ascii="Times New Roman" w:hAnsi="Times New Roman" w:cs="Times New Roman"/>
                      <w:color w:val="000000" w:themeColor="text1"/>
                      <w:sz w:val="16"/>
                      <w:szCs w:val="20"/>
                    </w:rPr>
                  </w:pPr>
                </w:p>
              </w:tc>
              <w:tc>
                <w:tcPr>
                  <w:tcW w:w="1450" w:type="dxa"/>
                  <w:tcBorders>
                    <w:top w:val="nil"/>
                    <w:left w:val="nil"/>
                    <w:bottom w:val="nil"/>
                    <w:right w:val="nil"/>
                  </w:tcBorders>
                </w:tcPr>
                <w:p w14:paraId="24446EA1" w14:textId="77777777" w:rsidR="003B2A65" w:rsidRPr="004A6D29" w:rsidRDefault="003B2A65" w:rsidP="000E4D54">
                  <w:pPr>
                    <w:jc w:val="center"/>
                    <w:rPr>
                      <w:rFonts w:ascii="Times New Roman" w:hAnsi="Times New Roman" w:cs="Times New Roman"/>
                      <w:color w:val="000000" w:themeColor="text1"/>
                      <w:sz w:val="16"/>
                      <w:szCs w:val="20"/>
                    </w:rPr>
                  </w:pPr>
                </w:p>
              </w:tc>
            </w:tr>
            <w:tr w:rsidR="003B2A65" w:rsidRPr="004A6D29" w14:paraId="13D81961" w14:textId="77777777" w:rsidTr="002919E7">
              <w:trPr>
                <w:trHeight w:val="14"/>
              </w:trPr>
              <w:tc>
                <w:tcPr>
                  <w:tcW w:w="3616" w:type="dxa"/>
                  <w:tcBorders>
                    <w:top w:val="nil"/>
                    <w:left w:val="nil"/>
                    <w:bottom w:val="nil"/>
                    <w:right w:val="nil"/>
                  </w:tcBorders>
                  <w:shd w:val="clear" w:color="auto" w:fill="auto"/>
                  <w:noWrap/>
                  <w:vAlign w:val="center"/>
                  <w:hideMark/>
                </w:tcPr>
                <w:p w14:paraId="00A3D118" w14:textId="77777777" w:rsidR="003B2A65" w:rsidRPr="004A6D29" w:rsidRDefault="003B2A65" w:rsidP="000E4D54">
                  <w:pPr>
                    <w:rPr>
                      <w:rFonts w:cs="Times New Roman"/>
                      <w:color w:val="000000" w:themeColor="text1"/>
                      <w:sz w:val="16"/>
                      <w:szCs w:val="18"/>
                    </w:rPr>
                  </w:pPr>
                  <w:r w:rsidRPr="004A6D29">
                    <w:rPr>
                      <w:rFonts w:cs="Times New Roman"/>
                      <w:color w:val="000000" w:themeColor="text1"/>
                      <w:sz w:val="16"/>
                      <w:szCs w:val="18"/>
                    </w:rPr>
                    <w:t xml:space="preserve">  Počiatočná rozpočtová pozícia štrukturálneho salda a dlhu</w:t>
                  </w:r>
                </w:p>
              </w:tc>
              <w:tc>
                <w:tcPr>
                  <w:tcW w:w="280" w:type="dxa"/>
                  <w:tcBorders>
                    <w:top w:val="nil"/>
                    <w:left w:val="nil"/>
                    <w:bottom w:val="nil"/>
                    <w:right w:val="nil"/>
                  </w:tcBorders>
                  <w:vAlign w:val="center"/>
                </w:tcPr>
                <w:p w14:paraId="27994316" w14:textId="77777777" w:rsidR="003B2A65" w:rsidRPr="004A6D29" w:rsidRDefault="003B2A65" w:rsidP="000E4D54">
                  <w:pPr>
                    <w:jc w:val="center"/>
                    <w:rPr>
                      <w:rFonts w:cs="Times New Roman"/>
                      <w:color w:val="000000" w:themeColor="text1"/>
                      <w:sz w:val="16"/>
                      <w:szCs w:val="18"/>
                    </w:rPr>
                  </w:pPr>
                </w:p>
              </w:tc>
              <w:tc>
                <w:tcPr>
                  <w:tcW w:w="1985" w:type="dxa"/>
                  <w:tcBorders>
                    <w:top w:val="nil"/>
                    <w:left w:val="nil"/>
                    <w:bottom w:val="nil"/>
                    <w:right w:val="nil"/>
                  </w:tcBorders>
                  <w:shd w:val="clear" w:color="auto" w:fill="auto"/>
                  <w:noWrap/>
                  <w:vAlign w:val="center"/>
                </w:tcPr>
                <w:p w14:paraId="3DAF73C4" w14:textId="49897D08" w:rsidR="003B2A65" w:rsidRPr="004A6D29" w:rsidRDefault="003D72BC" w:rsidP="000E4D54">
                  <w:pPr>
                    <w:jc w:val="center"/>
                    <w:rPr>
                      <w:rFonts w:cs="Times New Roman"/>
                      <w:color w:val="000000" w:themeColor="text1"/>
                      <w:sz w:val="16"/>
                      <w:szCs w:val="18"/>
                    </w:rPr>
                  </w:pPr>
                  <w:r w:rsidRPr="004A6D29">
                    <w:rPr>
                      <w:rFonts w:cs="Times New Roman"/>
                      <w:color w:val="000000" w:themeColor="text1"/>
                      <w:sz w:val="16"/>
                      <w:szCs w:val="18"/>
                    </w:rPr>
                    <w:t>3,0</w:t>
                  </w:r>
                </w:p>
              </w:tc>
              <w:tc>
                <w:tcPr>
                  <w:tcW w:w="1559" w:type="dxa"/>
                  <w:tcBorders>
                    <w:top w:val="nil"/>
                    <w:left w:val="nil"/>
                    <w:bottom w:val="nil"/>
                    <w:right w:val="nil"/>
                  </w:tcBorders>
                  <w:shd w:val="clear" w:color="auto" w:fill="auto"/>
                  <w:noWrap/>
                  <w:vAlign w:val="center"/>
                </w:tcPr>
                <w:p w14:paraId="0EF90434" w14:textId="6FE04919" w:rsidR="003B2A65" w:rsidRPr="004A6D29" w:rsidRDefault="00B54A83" w:rsidP="000E4D54">
                  <w:pPr>
                    <w:jc w:val="center"/>
                    <w:rPr>
                      <w:rFonts w:cs="Times New Roman"/>
                      <w:color w:val="000000" w:themeColor="text1"/>
                      <w:sz w:val="16"/>
                      <w:szCs w:val="18"/>
                    </w:rPr>
                  </w:pPr>
                  <w:r w:rsidRPr="004A6D29">
                    <w:rPr>
                      <w:rFonts w:cs="Times New Roman"/>
                      <w:color w:val="000000" w:themeColor="text1"/>
                      <w:sz w:val="16"/>
                      <w:szCs w:val="18"/>
                    </w:rPr>
                    <w:t>1,6</w:t>
                  </w:r>
                </w:p>
              </w:tc>
              <w:tc>
                <w:tcPr>
                  <w:tcW w:w="1450" w:type="dxa"/>
                  <w:tcBorders>
                    <w:top w:val="nil"/>
                    <w:left w:val="nil"/>
                    <w:bottom w:val="nil"/>
                    <w:right w:val="nil"/>
                  </w:tcBorders>
                  <w:vAlign w:val="center"/>
                </w:tcPr>
                <w:p w14:paraId="02230088" w14:textId="5CE2F116" w:rsidR="003B2A65" w:rsidRPr="004A6D29" w:rsidRDefault="00D15E5B" w:rsidP="000E4D54">
                  <w:pPr>
                    <w:jc w:val="center"/>
                    <w:rPr>
                      <w:rFonts w:cs="Times New Roman"/>
                      <w:color w:val="000000" w:themeColor="text1"/>
                      <w:sz w:val="16"/>
                      <w:szCs w:val="18"/>
                    </w:rPr>
                  </w:pPr>
                  <w:r w:rsidRPr="004A6D29">
                    <w:rPr>
                      <w:rFonts w:cs="Times New Roman"/>
                      <w:color w:val="000000" w:themeColor="text1"/>
                      <w:sz w:val="16"/>
                      <w:szCs w:val="18"/>
                    </w:rPr>
                    <w:t>1,0</w:t>
                  </w:r>
                </w:p>
              </w:tc>
            </w:tr>
            <w:tr w:rsidR="003B2A65" w:rsidRPr="004A6D29" w14:paraId="6A0E01DD" w14:textId="77777777" w:rsidTr="002919E7">
              <w:trPr>
                <w:trHeight w:val="14"/>
              </w:trPr>
              <w:tc>
                <w:tcPr>
                  <w:tcW w:w="3616" w:type="dxa"/>
                  <w:tcBorders>
                    <w:top w:val="nil"/>
                    <w:left w:val="nil"/>
                    <w:bottom w:val="nil"/>
                    <w:right w:val="nil"/>
                  </w:tcBorders>
                  <w:shd w:val="clear" w:color="auto" w:fill="auto"/>
                  <w:noWrap/>
                  <w:vAlign w:val="center"/>
                  <w:hideMark/>
                </w:tcPr>
                <w:p w14:paraId="64526C04" w14:textId="77777777" w:rsidR="003B2A65" w:rsidRPr="004A6D29" w:rsidRDefault="003B2A65" w:rsidP="000E4D54">
                  <w:pPr>
                    <w:rPr>
                      <w:rFonts w:cs="Times New Roman"/>
                      <w:color w:val="000000" w:themeColor="text1"/>
                      <w:sz w:val="16"/>
                      <w:szCs w:val="18"/>
                    </w:rPr>
                  </w:pPr>
                  <w:r w:rsidRPr="004A6D29">
                    <w:rPr>
                      <w:rFonts w:cs="Times New Roman"/>
                      <w:color w:val="000000" w:themeColor="text1"/>
                      <w:sz w:val="16"/>
                      <w:szCs w:val="18"/>
                    </w:rPr>
                    <w:t xml:space="preserve">  Výdavky na penzie</w:t>
                  </w:r>
                </w:p>
              </w:tc>
              <w:tc>
                <w:tcPr>
                  <w:tcW w:w="280" w:type="dxa"/>
                  <w:tcBorders>
                    <w:top w:val="nil"/>
                    <w:left w:val="nil"/>
                    <w:bottom w:val="nil"/>
                    <w:right w:val="nil"/>
                  </w:tcBorders>
                  <w:vAlign w:val="center"/>
                </w:tcPr>
                <w:p w14:paraId="4906B4C3" w14:textId="77777777" w:rsidR="003B2A65" w:rsidRPr="004A6D29" w:rsidRDefault="003B2A65" w:rsidP="000E4D54">
                  <w:pPr>
                    <w:jc w:val="center"/>
                    <w:rPr>
                      <w:rFonts w:cs="Times New Roman"/>
                      <w:color w:val="000000" w:themeColor="text1"/>
                      <w:sz w:val="16"/>
                      <w:szCs w:val="18"/>
                    </w:rPr>
                  </w:pPr>
                </w:p>
              </w:tc>
              <w:tc>
                <w:tcPr>
                  <w:tcW w:w="1985" w:type="dxa"/>
                  <w:tcBorders>
                    <w:top w:val="nil"/>
                    <w:left w:val="nil"/>
                    <w:bottom w:val="nil"/>
                    <w:right w:val="nil"/>
                  </w:tcBorders>
                  <w:shd w:val="clear" w:color="auto" w:fill="auto"/>
                  <w:noWrap/>
                  <w:vAlign w:val="center"/>
                </w:tcPr>
                <w:p w14:paraId="2151787B"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4,2</w:t>
                  </w:r>
                </w:p>
              </w:tc>
              <w:tc>
                <w:tcPr>
                  <w:tcW w:w="1559" w:type="dxa"/>
                  <w:tcBorders>
                    <w:top w:val="nil"/>
                    <w:left w:val="nil"/>
                    <w:bottom w:val="nil"/>
                    <w:right w:val="nil"/>
                  </w:tcBorders>
                  <w:shd w:val="clear" w:color="auto" w:fill="auto"/>
                  <w:noWrap/>
                  <w:vAlign w:val="center"/>
                </w:tcPr>
                <w:p w14:paraId="4D87BFC7"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4,1</w:t>
                  </w:r>
                </w:p>
              </w:tc>
              <w:tc>
                <w:tcPr>
                  <w:tcW w:w="1450" w:type="dxa"/>
                  <w:tcBorders>
                    <w:top w:val="nil"/>
                    <w:left w:val="nil"/>
                    <w:bottom w:val="nil"/>
                    <w:right w:val="nil"/>
                  </w:tcBorders>
                  <w:vAlign w:val="center"/>
                </w:tcPr>
                <w:p w14:paraId="6BD51EDD"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4,1</w:t>
                  </w:r>
                </w:p>
              </w:tc>
            </w:tr>
            <w:tr w:rsidR="003B2A65" w:rsidRPr="004A6D29" w14:paraId="07F1C320" w14:textId="77777777" w:rsidTr="002919E7">
              <w:trPr>
                <w:trHeight w:val="14"/>
              </w:trPr>
              <w:tc>
                <w:tcPr>
                  <w:tcW w:w="3616" w:type="dxa"/>
                  <w:tcBorders>
                    <w:top w:val="nil"/>
                    <w:left w:val="nil"/>
                    <w:bottom w:val="nil"/>
                    <w:right w:val="nil"/>
                  </w:tcBorders>
                  <w:shd w:val="clear" w:color="auto" w:fill="auto"/>
                  <w:noWrap/>
                  <w:vAlign w:val="center"/>
                  <w:hideMark/>
                </w:tcPr>
                <w:p w14:paraId="366A659C" w14:textId="77777777" w:rsidR="003B2A65" w:rsidRPr="004A6D29" w:rsidRDefault="003B2A65" w:rsidP="000E4D54">
                  <w:pPr>
                    <w:rPr>
                      <w:rFonts w:cs="Times New Roman"/>
                      <w:color w:val="000000" w:themeColor="text1"/>
                      <w:sz w:val="16"/>
                      <w:szCs w:val="18"/>
                    </w:rPr>
                  </w:pPr>
                  <w:r w:rsidRPr="004A6D29">
                    <w:rPr>
                      <w:rFonts w:cs="Times New Roman"/>
                      <w:color w:val="000000" w:themeColor="text1"/>
                      <w:sz w:val="16"/>
                      <w:szCs w:val="18"/>
                    </w:rPr>
                    <w:t xml:space="preserve">  Zdravotná starostlivosť</w:t>
                  </w:r>
                </w:p>
              </w:tc>
              <w:tc>
                <w:tcPr>
                  <w:tcW w:w="280" w:type="dxa"/>
                  <w:tcBorders>
                    <w:top w:val="nil"/>
                    <w:left w:val="nil"/>
                    <w:bottom w:val="nil"/>
                    <w:right w:val="nil"/>
                  </w:tcBorders>
                  <w:vAlign w:val="center"/>
                </w:tcPr>
                <w:p w14:paraId="2AC8E1D9" w14:textId="77777777" w:rsidR="003B2A65" w:rsidRPr="004A6D29" w:rsidRDefault="003B2A65" w:rsidP="000E4D54">
                  <w:pPr>
                    <w:jc w:val="center"/>
                    <w:rPr>
                      <w:rFonts w:cs="Times New Roman"/>
                      <w:color w:val="000000" w:themeColor="text1"/>
                      <w:sz w:val="16"/>
                      <w:szCs w:val="18"/>
                    </w:rPr>
                  </w:pPr>
                </w:p>
              </w:tc>
              <w:tc>
                <w:tcPr>
                  <w:tcW w:w="1985" w:type="dxa"/>
                  <w:tcBorders>
                    <w:top w:val="nil"/>
                    <w:left w:val="nil"/>
                    <w:bottom w:val="nil"/>
                    <w:right w:val="nil"/>
                  </w:tcBorders>
                  <w:shd w:val="clear" w:color="auto" w:fill="auto"/>
                  <w:noWrap/>
                  <w:vAlign w:val="center"/>
                </w:tcPr>
                <w:p w14:paraId="778D02F1"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1,7</w:t>
                  </w:r>
                </w:p>
              </w:tc>
              <w:tc>
                <w:tcPr>
                  <w:tcW w:w="1559" w:type="dxa"/>
                  <w:tcBorders>
                    <w:top w:val="nil"/>
                    <w:left w:val="nil"/>
                    <w:bottom w:val="nil"/>
                    <w:right w:val="nil"/>
                  </w:tcBorders>
                  <w:shd w:val="clear" w:color="auto" w:fill="auto"/>
                  <w:noWrap/>
                  <w:vAlign w:val="center"/>
                </w:tcPr>
                <w:p w14:paraId="77B6D1D5" w14:textId="2D4F1251" w:rsidR="003B2A65" w:rsidRPr="004A6D29" w:rsidRDefault="00B54A83" w:rsidP="000E4D54">
                  <w:pPr>
                    <w:jc w:val="center"/>
                    <w:rPr>
                      <w:rFonts w:cs="Times New Roman"/>
                      <w:color w:val="000000" w:themeColor="text1"/>
                      <w:sz w:val="16"/>
                      <w:szCs w:val="18"/>
                    </w:rPr>
                  </w:pPr>
                  <w:r w:rsidRPr="004A6D29">
                    <w:rPr>
                      <w:rFonts w:cs="Times New Roman"/>
                      <w:color w:val="000000" w:themeColor="text1"/>
                      <w:sz w:val="16"/>
                      <w:szCs w:val="18"/>
                    </w:rPr>
                    <w:t>1,6</w:t>
                  </w:r>
                </w:p>
              </w:tc>
              <w:tc>
                <w:tcPr>
                  <w:tcW w:w="1450" w:type="dxa"/>
                  <w:tcBorders>
                    <w:top w:val="nil"/>
                    <w:left w:val="nil"/>
                    <w:bottom w:val="nil"/>
                    <w:right w:val="nil"/>
                  </w:tcBorders>
                  <w:vAlign w:val="center"/>
                </w:tcPr>
                <w:p w14:paraId="3B9CC301"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1,5</w:t>
                  </w:r>
                </w:p>
              </w:tc>
            </w:tr>
            <w:tr w:rsidR="003B2A65" w:rsidRPr="004A6D29" w14:paraId="559622EE" w14:textId="77777777" w:rsidTr="002919E7">
              <w:trPr>
                <w:trHeight w:val="14"/>
              </w:trPr>
              <w:tc>
                <w:tcPr>
                  <w:tcW w:w="3616" w:type="dxa"/>
                  <w:tcBorders>
                    <w:top w:val="nil"/>
                    <w:left w:val="nil"/>
                    <w:bottom w:val="nil"/>
                    <w:right w:val="nil"/>
                  </w:tcBorders>
                  <w:shd w:val="clear" w:color="auto" w:fill="auto"/>
                  <w:noWrap/>
                  <w:vAlign w:val="center"/>
                </w:tcPr>
                <w:p w14:paraId="60D75A38" w14:textId="77777777" w:rsidR="003B2A65" w:rsidRPr="004A6D29" w:rsidRDefault="003B2A65" w:rsidP="000E4D54">
                  <w:pPr>
                    <w:rPr>
                      <w:rFonts w:cs="Times New Roman"/>
                      <w:color w:val="000000" w:themeColor="text1"/>
                      <w:sz w:val="16"/>
                      <w:szCs w:val="18"/>
                    </w:rPr>
                  </w:pPr>
                  <w:r w:rsidRPr="004A6D29">
                    <w:rPr>
                      <w:rFonts w:cs="Times New Roman"/>
                      <w:color w:val="000000" w:themeColor="text1"/>
                      <w:sz w:val="16"/>
                      <w:szCs w:val="18"/>
                    </w:rPr>
                    <w:t xml:space="preserve">  Dlhodobá starostlivosť</w:t>
                  </w:r>
                </w:p>
              </w:tc>
              <w:tc>
                <w:tcPr>
                  <w:tcW w:w="280" w:type="dxa"/>
                  <w:tcBorders>
                    <w:top w:val="nil"/>
                    <w:left w:val="nil"/>
                    <w:bottom w:val="nil"/>
                    <w:right w:val="nil"/>
                  </w:tcBorders>
                  <w:vAlign w:val="center"/>
                </w:tcPr>
                <w:p w14:paraId="40AD0E01" w14:textId="77777777" w:rsidR="003B2A65" w:rsidRPr="004A6D29" w:rsidRDefault="003B2A65" w:rsidP="000E4D54">
                  <w:pPr>
                    <w:jc w:val="center"/>
                    <w:rPr>
                      <w:rFonts w:cs="Times New Roman"/>
                      <w:color w:val="000000" w:themeColor="text1"/>
                      <w:sz w:val="16"/>
                      <w:szCs w:val="18"/>
                    </w:rPr>
                  </w:pPr>
                </w:p>
              </w:tc>
              <w:tc>
                <w:tcPr>
                  <w:tcW w:w="1985" w:type="dxa"/>
                  <w:tcBorders>
                    <w:top w:val="nil"/>
                    <w:left w:val="nil"/>
                    <w:bottom w:val="nil"/>
                    <w:right w:val="nil"/>
                  </w:tcBorders>
                  <w:shd w:val="clear" w:color="auto" w:fill="auto"/>
                  <w:noWrap/>
                  <w:vAlign w:val="center"/>
                </w:tcPr>
                <w:p w14:paraId="49FF1946"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1,7</w:t>
                  </w:r>
                </w:p>
              </w:tc>
              <w:tc>
                <w:tcPr>
                  <w:tcW w:w="1559" w:type="dxa"/>
                  <w:tcBorders>
                    <w:top w:val="nil"/>
                    <w:left w:val="nil"/>
                    <w:bottom w:val="nil"/>
                    <w:right w:val="nil"/>
                  </w:tcBorders>
                  <w:shd w:val="clear" w:color="auto" w:fill="auto"/>
                  <w:noWrap/>
                  <w:vAlign w:val="center"/>
                </w:tcPr>
                <w:p w14:paraId="5A797542"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1,6</w:t>
                  </w:r>
                </w:p>
              </w:tc>
              <w:tc>
                <w:tcPr>
                  <w:tcW w:w="1450" w:type="dxa"/>
                  <w:tcBorders>
                    <w:top w:val="nil"/>
                    <w:left w:val="nil"/>
                    <w:bottom w:val="nil"/>
                    <w:right w:val="nil"/>
                  </w:tcBorders>
                  <w:vAlign w:val="center"/>
                </w:tcPr>
                <w:p w14:paraId="00945539"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1,6</w:t>
                  </w:r>
                </w:p>
              </w:tc>
            </w:tr>
            <w:tr w:rsidR="003B2A65" w:rsidRPr="004A6D29" w14:paraId="286B8317" w14:textId="77777777" w:rsidTr="002919E7">
              <w:trPr>
                <w:trHeight w:val="14"/>
              </w:trPr>
              <w:tc>
                <w:tcPr>
                  <w:tcW w:w="3616" w:type="dxa"/>
                  <w:tcBorders>
                    <w:top w:val="nil"/>
                    <w:left w:val="nil"/>
                    <w:bottom w:val="nil"/>
                    <w:right w:val="nil"/>
                  </w:tcBorders>
                  <w:shd w:val="clear" w:color="auto" w:fill="auto"/>
                  <w:noWrap/>
                  <w:vAlign w:val="center"/>
                  <w:hideMark/>
                </w:tcPr>
                <w:p w14:paraId="7BC6D947" w14:textId="77777777" w:rsidR="003B2A65" w:rsidRPr="004A6D29" w:rsidRDefault="003B2A65" w:rsidP="000E4D54">
                  <w:pPr>
                    <w:rPr>
                      <w:rFonts w:cs="Times New Roman"/>
                      <w:color w:val="000000" w:themeColor="text1"/>
                      <w:sz w:val="16"/>
                      <w:szCs w:val="18"/>
                    </w:rPr>
                  </w:pPr>
                  <w:r w:rsidRPr="004A6D29">
                    <w:rPr>
                      <w:rFonts w:cs="Times New Roman"/>
                      <w:color w:val="000000" w:themeColor="text1"/>
                      <w:sz w:val="16"/>
                      <w:szCs w:val="18"/>
                    </w:rPr>
                    <w:t xml:space="preserve">  Výdavky na vzdelanie </w:t>
                  </w:r>
                </w:p>
              </w:tc>
              <w:tc>
                <w:tcPr>
                  <w:tcW w:w="280" w:type="dxa"/>
                  <w:tcBorders>
                    <w:top w:val="nil"/>
                    <w:left w:val="nil"/>
                    <w:bottom w:val="nil"/>
                    <w:right w:val="nil"/>
                  </w:tcBorders>
                  <w:vAlign w:val="center"/>
                </w:tcPr>
                <w:p w14:paraId="168A75C7" w14:textId="77777777" w:rsidR="003B2A65" w:rsidRPr="004A6D29" w:rsidRDefault="003B2A65" w:rsidP="000E4D54">
                  <w:pPr>
                    <w:jc w:val="center"/>
                    <w:rPr>
                      <w:rFonts w:cs="Times New Roman"/>
                      <w:color w:val="000000" w:themeColor="text1"/>
                      <w:sz w:val="16"/>
                      <w:szCs w:val="18"/>
                    </w:rPr>
                  </w:pPr>
                </w:p>
              </w:tc>
              <w:tc>
                <w:tcPr>
                  <w:tcW w:w="1985" w:type="dxa"/>
                  <w:tcBorders>
                    <w:top w:val="nil"/>
                    <w:left w:val="nil"/>
                    <w:bottom w:val="nil"/>
                    <w:right w:val="nil"/>
                  </w:tcBorders>
                  <w:shd w:val="clear" w:color="auto" w:fill="auto"/>
                  <w:noWrap/>
                  <w:vAlign w:val="center"/>
                </w:tcPr>
                <w:p w14:paraId="58D505DE"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0,4</w:t>
                  </w:r>
                </w:p>
              </w:tc>
              <w:tc>
                <w:tcPr>
                  <w:tcW w:w="1559" w:type="dxa"/>
                  <w:tcBorders>
                    <w:top w:val="nil"/>
                    <w:left w:val="nil"/>
                    <w:bottom w:val="nil"/>
                    <w:right w:val="nil"/>
                  </w:tcBorders>
                  <w:shd w:val="clear" w:color="auto" w:fill="auto"/>
                  <w:noWrap/>
                  <w:vAlign w:val="center"/>
                </w:tcPr>
                <w:p w14:paraId="7F4F06C9" w14:textId="5B0EFA12" w:rsidR="003B2A65" w:rsidRPr="004A6D29" w:rsidRDefault="00B54A83" w:rsidP="000E4D54">
                  <w:pPr>
                    <w:jc w:val="center"/>
                    <w:rPr>
                      <w:rFonts w:cs="Times New Roman"/>
                      <w:color w:val="000000" w:themeColor="text1"/>
                      <w:sz w:val="16"/>
                      <w:szCs w:val="18"/>
                    </w:rPr>
                  </w:pPr>
                  <w:r w:rsidRPr="004A6D29">
                    <w:rPr>
                      <w:rFonts w:cs="Times New Roman"/>
                      <w:color w:val="000000" w:themeColor="text1"/>
                      <w:sz w:val="16"/>
                      <w:szCs w:val="18"/>
                    </w:rPr>
                    <w:t>0,4</w:t>
                  </w:r>
                </w:p>
              </w:tc>
              <w:tc>
                <w:tcPr>
                  <w:tcW w:w="1450" w:type="dxa"/>
                  <w:tcBorders>
                    <w:top w:val="nil"/>
                    <w:left w:val="nil"/>
                    <w:bottom w:val="nil"/>
                    <w:right w:val="nil"/>
                  </w:tcBorders>
                  <w:vAlign w:val="center"/>
                </w:tcPr>
                <w:p w14:paraId="15C457DD"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0,3</w:t>
                  </w:r>
                </w:p>
              </w:tc>
            </w:tr>
            <w:tr w:rsidR="003B2A65" w:rsidRPr="004A6D29" w14:paraId="1225C552" w14:textId="77777777" w:rsidTr="002919E7">
              <w:trPr>
                <w:trHeight w:val="14"/>
              </w:trPr>
              <w:tc>
                <w:tcPr>
                  <w:tcW w:w="3616" w:type="dxa"/>
                  <w:tcBorders>
                    <w:top w:val="nil"/>
                    <w:left w:val="nil"/>
                    <w:bottom w:val="nil"/>
                    <w:right w:val="nil"/>
                  </w:tcBorders>
                  <w:shd w:val="clear" w:color="auto" w:fill="auto"/>
                  <w:noWrap/>
                  <w:vAlign w:val="center"/>
                </w:tcPr>
                <w:p w14:paraId="3F90DFF9" w14:textId="77777777" w:rsidR="003B2A65" w:rsidRPr="004A6D29" w:rsidRDefault="003B2A65" w:rsidP="000E4D54">
                  <w:pPr>
                    <w:rPr>
                      <w:rFonts w:cs="Times New Roman"/>
                      <w:color w:val="000000" w:themeColor="text1"/>
                      <w:sz w:val="16"/>
                      <w:szCs w:val="18"/>
                    </w:rPr>
                  </w:pPr>
                  <w:r w:rsidRPr="004A6D29">
                    <w:rPr>
                      <w:rFonts w:cs="Times New Roman"/>
                      <w:color w:val="000000" w:themeColor="text1"/>
                      <w:sz w:val="16"/>
                      <w:szCs w:val="18"/>
                    </w:rPr>
                    <w:t xml:space="preserve">  Ostatné</w:t>
                  </w:r>
                </w:p>
              </w:tc>
              <w:tc>
                <w:tcPr>
                  <w:tcW w:w="280" w:type="dxa"/>
                  <w:tcBorders>
                    <w:top w:val="nil"/>
                    <w:left w:val="nil"/>
                    <w:bottom w:val="nil"/>
                    <w:right w:val="nil"/>
                  </w:tcBorders>
                  <w:vAlign w:val="center"/>
                </w:tcPr>
                <w:p w14:paraId="33ED2C66" w14:textId="77777777" w:rsidR="003B2A65" w:rsidRPr="004A6D29" w:rsidRDefault="003B2A65" w:rsidP="000E4D54">
                  <w:pPr>
                    <w:jc w:val="center"/>
                    <w:rPr>
                      <w:rFonts w:cs="Times New Roman"/>
                      <w:color w:val="000000" w:themeColor="text1"/>
                      <w:sz w:val="16"/>
                      <w:szCs w:val="18"/>
                    </w:rPr>
                  </w:pPr>
                </w:p>
              </w:tc>
              <w:tc>
                <w:tcPr>
                  <w:tcW w:w="1985" w:type="dxa"/>
                  <w:tcBorders>
                    <w:top w:val="nil"/>
                    <w:left w:val="nil"/>
                    <w:bottom w:val="nil"/>
                    <w:right w:val="nil"/>
                  </w:tcBorders>
                  <w:shd w:val="clear" w:color="auto" w:fill="auto"/>
                  <w:noWrap/>
                  <w:vAlign w:val="center"/>
                </w:tcPr>
                <w:p w14:paraId="2CCD0FD6"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-0,2</w:t>
                  </w:r>
                </w:p>
              </w:tc>
              <w:tc>
                <w:tcPr>
                  <w:tcW w:w="1559" w:type="dxa"/>
                  <w:tcBorders>
                    <w:top w:val="nil"/>
                    <w:left w:val="nil"/>
                    <w:bottom w:val="nil"/>
                    <w:right w:val="nil"/>
                  </w:tcBorders>
                  <w:shd w:val="clear" w:color="auto" w:fill="auto"/>
                  <w:noWrap/>
                  <w:vAlign w:val="center"/>
                </w:tcPr>
                <w:p w14:paraId="51E542DB" w14:textId="69F1406C" w:rsidR="003B2A65" w:rsidRPr="004A6D29" w:rsidRDefault="00B54A83" w:rsidP="000E4D54">
                  <w:pPr>
                    <w:jc w:val="center"/>
                    <w:rPr>
                      <w:rFonts w:cs="Times New Roman"/>
                      <w:color w:val="000000" w:themeColor="text1"/>
                      <w:sz w:val="16"/>
                      <w:szCs w:val="18"/>
                    </w:rPr>
                  </w:pPr>
                  <w:r w:rsidRPr="004A6D29">
                    <w:rPr>
                      <w:rFonts w:cs="Times New Roman"/>
                      <w:color w:val="000000" w:themeColor="text1"/>
                      <w:sz w:val="16"/>
                      <w:szCs w:val="18"/>
                    </w:rPr>
                    <w:t>-0,3</w:t>
                  </w:r>
                </w:p>
              </w:tc>
              <w:tc>
                <w:tcPr>
                  <w:tcW w:w="1450" w:type="dxa"/>
                  <w:tcBorders>
                    <w:top w:val="nil"/>
                    <w:left w:val="nil"/>
                    <w:bottom w:val="nil"/>
                    <w:right w:val="nil"/>
                  </w:tcBorders>
                  <w:vAlign w:val="center"/>
                </w:tcPr>
                <w:p w14:paraId="6342BBA6" w14:textId="77777777" w:rsidR="003B2A65" w:rsidRPr="004A6D29" w:rsidRDefault="003B2A65" w:rsidP="000E4D54">
                  <w:pPr>
                    <w:jc w:val="center"/>
                    <w:rPr>
                      <w:rFonts w:cs="Times New Roman"/>
                      <w:color w:val="000000" w:themeColor="text1"/>
                      <w:sz w:val="16"/>
                      <w:szCs w:val="18"/>
                    </w:rPr>
                  </w:pPr>
                  <w:r w:rsidRPr="004A6D29">
                    <w:rPr>
                      <w:rFonts w:cs="Times New Roman"/>
                      <w:color w:val="000000" w:themeColor="text1"/>
                      <w:sz w:val="16"/>
                      <w:szCs w:val="18"/>
                    </w:rPr>
                    <w:t>-0,3</w:t>
                  </w:r>
                </w:p>
              </w:tc>
            </w:tr>
          </w:tbl>
          <w:p w14:paraId="4E0F917C" w14:textId="77777777" w:rsidR="003B2A65" w:rsidRPr="004A6D29" w:rsidRDefault="003B2A65" w:rsidP="000E4D54">
            <w:pPr>
              <w:spacing w:before="40" w:after="40"/>
              <w:jc w:val="center"/>
              <w:rPr>
                <w:rFonts w:cs="Arial"/>
                <w:b/>
                <w:color w:val="000000" w:themeColor="text1"/>
                <w:sz w:val="18"/>
                <w:szCs w:val="18"/>
              </w:rPr>
            </w:pPr>
          </w:p>
        </w:tc>
      </w:tr>
      <w:tr w:rsidR="003B2A65" w:rsidRPr="00D15E5B" w14:paraId="04C8FD16" w14:textId="77777777" w:rsidTr="0048570D">
        <w:trPr>
          <w:trHeight w:val="14"/>
          <w:jc w:val="center"/>
        </w:trPr>
        <w:tc>
          <w:tcPr>
            <w:tcW w:w="2657" w:type="pct"/>
            <w:tcBorders>
              <w:top w:val="single" w:sz="4" w:space="0" w:color="auto"/>
              <w:left w:val="nil"/>
              <w:bottom w:val="nil"/>
              <w:right w:val="nil"/>
            </w:tcBorders>
          </w:tcPr>
          <w:p w14:paraId="1AA33D91" w14:textId="375C921D" w:rsidR="003B2A65" w:rsidRPr="004A6D29" w:rsidRDefault="002919E7" w:rsidP="00541904">
            <w:pPr>
              <w:rPr>
                <w:rFonts w:cs="Arial"/>
                <w:i/>
                <w:sz w:val="16"/>
                <w:szCs w:val="16"/>
              </w:rPr>
            </w:pPr>
            <w:r w:rsidRPr="004A6D29">
              <w:rPr>
                <w:rFonts w:cs="Arial"/>
                <w:i/>
                <w:sz w:val="16"/>
                <w:szCs w:val="16"/>
              </w:rPr>
              <w:t xml:space="preserve">Pozn.: Prepdokladaný vplyv reformy I. piliera je </w:t>
            </w:r>
            <w:r w:rsidR="00541904" w:rsidRPr="004A6D29">
              <w:rPr>
                <w:rFonts w:cs="Arial"/>
                <w:i/>
                <w:sz w:val="16"/>
                <w:szCs w:val="16"/>
              </w:rPr>
              <w:t>zníženie</w:t>
            </w:r>
            <w:r w:rsidRPr="004A6D29">
              <w:rPr>
                <w:rFonts w:cs="Arial"/>
                <w:i/>
                <w:sz w:val="16"/>
                <w:szCs w:val="16"/>
              </w:rPr>
              <w:t xml:space="preserve"> S2 o 2,8 p.b. HDP.</w:t>
            </w:r>
          </w:p>
        </w:tc>
        <w:tc>
          <w:tcPr>
            <w:tcW w:w="2343" w:type="pct"/>
            <w:tcBorders>
              <w:top w:val="single" w:sz="4" w:space="0" w:color="auto"/>
              <w:left w:val="nil"/>
              <w:bottom w:val="nil"/>
              <w:right w:val="nil"/>
            </w:tcBorders>
          </w:tcPr>
          <w:p w14:paraId="037D9BA7" w14:textId="77777777" w:rsidR="003B2A65" w:rsidRPr="00D15E5B" w:rsidRDefault="003B2A65" w:rsidP="0048570D">
            <w:pPr>
              <w:keepNext/>
              <w:jc w:val="right"/>
              <w:rPr>
                <w:rFonts w:cs="Arial"/>
                <w:i/>
                <w:sz w:val="16"/>
                <w:szCs w:val="16"/>
              </w:rPr>
            </w:pPr>
            <w:r w:rsidRPr="004A6D29">
              <w:rPr>
                <w:i/>
                <w:iCs/>
                <w:color w:val="000000"/>
                <w:sz w:val="16"/>
                <w:szCs w:val="16"/>
              </w:rPr>
              <w:t>Zdroj: MF SR</w:t>
            </w:r>
          </w:p>
        </w:tc>
      </w:tr>
    </w:tbl>
    <w:p w14:paraId="2DA1D6F0" w14:textId="77777777" w:rsidR="003B2A65" w:rsidRDefault="003B2A65" w:rsidP="003B2A65">
      <w:pPr>
        <w:jc w:val="both"/>
        <w:rPr>
          <w:highlight w:val="yellow"/>
        </w:rPr>
      </w:pPr>
    </w:p>
    <w:p w14:paraId="34BF7387" w14:textId="77777777" w:rsidR="003B2A65" w:rsidRDefault="003B2A65" w:rsidP="003B2A65">
      <w:pPr>
        <w:jc w:val="both"/>
        <w:rPr>
          <w:b/>
          <w:bCs/>
          <w:color w:val="2C9ADC" w:themeColor="accent1"/>
          <w:sz w:val="24"/>
          <w:szCs w:val="24"/>
        </w:rPr>
      </w:pPr>
      <w:r>
        <w:rPr>
          <w:b/>
          <w:bCs/>
          <w:color w:val="2C9ADC" w:themeColor="accent1"/>
          <w:sz w:val="24"/>
          <w:szCs w:val="24"/>
        </w:rPr>
        <w:t xml:space="preserve">Prijaté </w:t>
      </w:r>
      <w:r w:rsidRPr="0082287C">
        <w:rPr>
          <w:b/>
          <w:bCs/>
          <w:color w:val="2C9ADC" w:themeColor="accent1"/>
          <w:sz w:val="24"/>
          <w:szCs w:val="24"/>
        </w:rPr>
        <w:t>zmeny v politikách citlivých na starnutie populácie</w:t>
      </w:r>
    </w:p>
    <w:p w14:paraId="2FBFE0AE" w14:textId="77777777" w:rsidR="003B2A65" w:rsidRPr="00FB52F6" w:rsidRDefault="003B2A65" w:rsidP="003B2A65">
      <w:pPr>
        <w:jc w:val="both"/>
        <w:rPr>
          <w:b/>
          <w:color w:val="2C9ADC"/>
          <w:szCs w:val="28"/>
        </w:rPr>
      </w:pPr>
    </w:p>
    <w:p w14:paraId="6F1B367E" w14:textId="77777777" w:rsidR="003B2A65" w:rsidRDefault="003B2A65" w:rsidP="003B2A65">
      <w:pPr>
        <w:jc w:val="both"/>
      </w:pPr>
      <w:r w:rsidRPr="001F6141">
        <w:rPr>
          <w:b/>
        </w:rPr>
        <w:t>Dlhodobú udržateľnosť verejných financií ovplyvnia zmeny v Ústav</w:t>
      </w:r>
      <w:r>
        <w:rPr>
          <w:b/>
        </w:rPr>
        <w:t>e</w:t>
      </w:r>
      <w:r w:rsidRPr="001F6141">
        <w:rPr>
          <w:b/>
        </w:rPr>
        <w:t xml:space="preserve"> SR, ktoré bude potrebné implementovať. </w:t>
      </w:r>
      <w:r>
        <w:t>S cieľom zlepšiť dlhodobú udržateľnosť verejných financií bola v</w:t>
      </w:r>
      <w:r w:rsidRPr="000D487A">
        <w:t xml:space="preserve"> decembri 2020 prijatá novela Ústavy SR</w:t>
      </w:r>
      <w:r w:rsidRPr="000D487A">
        <w:rPr>
          <w:vertAlign w:val="superscript"/>
        </w:rPr>
        <w:footnoteReference w:id="50"/>
      </w:r>
      <w:r w:rsidRPr="000D487A">
        <w:t>, v rámci ktorej došlo k vypusteniu stropu na dôchodkový vek. Zároveň boli do ústavy doplnené tri nové princípy: 1. možnosť odchodu do dôchodku po odpracovaní ustanoveného počtu rokov, 2. starostlivosť o dieťa nemôže mať negatívny dopad na výšku dôchodku, 3. možnosť pracujúcich detí asignovať rodičom časť svojich daní alebo odvodov (tzv. rodičovský bonus). Spolu s</w:t>
      </w:r>
      <w:r>
        <w:t> princípmi v dôchodkovom systéme</w:t>
      </w:r>
      <w:r w:rsidRPr="000D487A">
        <w:t xml:space="preserve"> bol do Ústavy</w:t>
      </w:r>
      <w:r>
        <w:t xml:space="preserve"> SR</w:t>
      </w:r>
      <w:r w:rsidRPr="000D487A">
        <w:t xml:space="preserve"> vložený</w:t>
      </w:r>
      <w:r>
        <w:t xml:space="preserve"> aj</w:t>
      </w:r>
      <w:r w:rsidRPr="000D487A">
        <w:t xml:space="preserve"> záväzok chrániť dlhodobú udržateľnosť hospodárenia SR založeného na transparentnosti a efektívnosti vynakladania verejných prostriedkov</w:t>
      </w:r>
      <w:r>
        <w:rPr>
          <w:rStyle w:val="Odkaznapoznmkupodiarou"/>
        </w:rPr>
        <w:footnoteReference w:id="51"/>
      </w:r>
      <w:r>
        <w:t>. Zmeny nadobudnú účinnosť 1. 1. 2023, preto je nutná ich implementácia v priebehu aktuálneho roka.</w:t>
      </w:r>
    </w:p>
    <w:p w14:paraId="02068453" w14:textId="77777777" w:rsidR="003B2A65" w:rsidRDefault="003B2A65" w:rsidP="003B2A65">
      <w:pPr>
        <w:jc w:val="both"/>
      </w:pPr>
    </w:p>
    <w:p w14:paraId="4F0F2411" w14:textId="77777777" w:rsidR="003B2A65" w:rsidRDefault="003B2A65" w:rsidP="003B2A65">
      <w:pPr>
        <w:jc w:val="both"/>
      </w:pPr>
      <w:r w:rsidRPr="007C7961">
        <w:rPr>
          <w:b/>
        </w:rPr>
        <w:t xml:space="preserve">Na ústavné zmeny posilňujúce udržateľnosť dôchodkového systému a verejných financií nadväzujú reformné opatrenia Plánu obnovy a odolnosti. </w:t>
      </w:r>
      <w:r w:rsidRPr="007C7961">
        <w:t xml:space="preserve">V rámci nich </w:t>
      </w:r>
      <w:r>
        <w:t>sa SR zaviazala</w:t>
      </w:r>
      <w:r w:rsidRPr="007C7961">
        <w:t xml:space="preserve"> k obnoveniu naviazania zvyšovania dôchodkového veku na predlžovanie strednej dĺžky života. Okrem toho sa zavedie aktuárne neutrálna</w:t>
      </w:r>
      <w:r w:rsidRPr="007C7961">
        <w:rPr>
          <w:rStyle w:val="Odkaznapoznmkupodiarou"/>
        </w:rPr>
        <w:footnoteReference w:id="52"/>
      </w:r>
      <w:r w:rsidRPr="007C7961">
        <w:t xml:space="preserve"> dávka predčasného dôchodku pre osoby, ktoré odpracovali zákonom stanovený minimálny počet rokov.</w:t>
      </w:r>
      <w:r>
        <w:t xml:space="preserve"> Dané reformy nadväzujú na zrušenie ústavnej garancie dôchodkového veku a prvý z ústavných princípov týkajúcich sa dôchodkového systému</w:t>
      </w:r>
      <w:r>
        <w:rPr>
          <w:rStyle w:val="Odkaznapoznmkupodiarou"/>
        </w:rPr>
        <w:footnoteReference w:id="53"/>
      </w:r>
      <w:r>
        <w:t>.</w:t>
      </w:r>
      <w:r w:rsidRPr="007C7961">
        <w:t xml:space="preserve"> Príspevok zmien v I. priebežne financovanom dôchodkovom pilieri k zlepšeniu indikátora dlhodobej finančnej udržateľnosti S2 </w:t>
      </w:r>
      <w:r>
        <w:t>by</w:t>
      </w:r>
      <w:r w:rsidRPr="007C7961">
        <w:t xml:space="preserve"> v úhrne </w:t>
      </w:r>
      <w:r>
        <w:t>zodpovedal minimálne 1,8 p.b. HDP. Potrebná legislatíva musí byť schválená s účinnosťou od 1. januára 2023.</w:t>
      </w:r>
    </w:p>
    <w:p w14:paraId="12E777B3" w14:textId="77777777" w:rsidR="003B2A65" w:rsidRDefault="003B2A65" w:rsidP="003B2A65">
      <w:pPr>
        <w:jc w:val="both"/>
      </w:pPr>
    </w:p>
    <w:p w14:paraId="54E7B823" w14:textId="77777777" w:rsidR="003B2A65" w:rsidRDefault="003B2A65" w:rsidP="003B2A65">
      <w:pPr>
        <w:jc w:val="both"/>
      </w:pPr>
      <w:r>
        <w:rPr>
          <w:b/>
        </w:rPr>
        <w:t>Väčšinu z opatrení vyplývajúcich z ústavných zmien a Plánu obnovy a odolnosti týkajúcich sa I. dôchodkového piliera</w:t>
      </w:r>
      <w:r>
        <w:rPr>
          <w:rStyle w:val="Odkaznapoznmkupodiarou"/>
        </w:rPr>
        <w:footnoteReference w:id="54"/>
      </w:r>
      <w:r>
        <w:t xml:space="preserve"> </w:t>
      </w:r>
      <w:r>
        <w:rPr>
          <w:b/>
        </w:rPr>
        <w:t>obsahuje v</w:t>
      </w:r>
      <w:r w:rsidRPr="00F96C36">
        <w:rPr>
          <w:b/>
        </w:rPr>
        <w:t xml:space="preserve">ládou </w:t>
      </w:r>
      <w:r>
        <w:rPr>
          <w:b/>
        </w:rPr>
        <w:t xml:space="preserve">v apríli </w:t>
      </w:r>
      <w:r w:rsidRPr="00F96C36">
        <w:rPr>
          <w:b/>
        </w:rPr>
        <w:t>schválená reforma I. piliera</w:t>
      </w:r>
      <w:r>
        <w:rPr>
          <w:rStyle w:val="Odkaznapoznmkupodiarou"/>
          <w:b/>
        </w:rPr>
        <w:footnoteReference w:id="55"/>
      </w:r>
      <w:r>
        <w:rPr>
          <w:b/>
        </w:rPr>
        <w:t xml:space="preserve">. </w:t>
      </w:r>
      <w:r w:rsidRPr="001315E3">
        <w:t>Hlavným cieľom reformy je zlepšenie dlhodobej finančnej udržateľnosti priebežne financovaného dôchodkového piliera.</w:t>
      </w:r>
      <w:r>
        <w:rPr>
          <w:b/>
        </w:rPr>
        <w:t xml:space="preserve"> </w:t>
      </w:r>
      <w:r>
        <w:t>Reforma v aktuálnej podobe tento cieľ pomáha napĺňať</w:t>
      </w:r>
      <w:r w:rsidRPr="001315E3">
        <w:t>, z krátkodobého hľadiska však výdavky zvyšuje.</w:t>
      </w:r>
      <w:r>
        <w:rPr>
          <w:b/>
        </w:rPr>
        <w:t xml:space="preserve"> </w:t>
      </w:r>
      <w:r w:rsidRPr="001315E3">
        <w:t xml:space="preserve">Hlavným dôvodom je okamžitý rast výdavkov z titulu zavedenia tzv. rodičovského bonusu a zároveň len postupný nábeh opatrení, ktoré </w:t>
      </w:r>
      <w:r>
        <w:t xml:space="preserve">naopak </w:t>
      </w:r>
      <w:r w:rsidRPr="001315E3">
        <w:t>výdavky na dôchodky znižujú.</w:t>
      </w:r>
      <w:r>
        <w:t xml:space="preserve"> Nosným opatrením zlepšujúcim dlhodobú udržateľnosť priebežne financovaného I. piliera dôchodkového je </w:t>
      </w:r>
      <w:r w:rsidRPr="007F4686">
        <w:t>obnovenie väzby dôchodkového veku na rast strednej dĺžky života</w:t>
      </w:r>
      <w:r>
        <w:t>. Podľa aktuálneho návrhu by sa na takýto spôsob zvyšovania dôchodkového veku malo plne prejsť po roku 2030. Novela zároveň zachováva znížený dôchodkový vek pre matky</w:t>
      </w:r>
      <w:r>
        <w:rPr>
          <w:rStyle w:val="Odkaznapoznmkupodiarou"/>
        </w:rPr>
        <w:footnoteReference w:id="56"/>
      </w:r>
      <w:r>
        <w:t>. Opatrením zlepšujúcim dlhodobú udržateľnosť je aj spomalenie rastu aktuálnej dôchodkovej hodnoty na 95 % tempa rastu priemernej mzde, ktorým sa navrhuje kompenzovať zvýšené výdavky rodičovského bonusu. Tie sú síce oproti pôvodnému návrhu nižšie</w:t>
      </w:r>
      <w:r>
        <w:rPr>
          <w:rStyle w:val="Odkaznapoznmkupodiarou"/>
        </w:rPr>
        <w:footnoteReference w:id="57"/>
      </w:r>
      <w:r>
        <w:t>, stále však povedú k zvýšeniu výdavkov o 0,2 % HDP až </w:t>
      </w:r>
      <w:r w:rsidRPr="00CF3308">
        <w:t>0,3</w:t>
      </w:r>
      <w:r>
        <w:t xml:space="preserve"> % HDP, a to na celom horizonte projekcie do roku 2070. Posledným opatrením reformy je zavedenie možnosti odchodu do predčasného dôchodku po odpracovaní 40 rokov. Aktuálny návrh ráta s krátením priznaného dôchodku o 0,3 % za každých začatých 30 dní pred dovŕšením dôchodkového veku</w:t>
      </w:r>
      <w:r>
        <w:rPr>
          <w:rStyle w:val="Odkaznapoznmkupodiarou"/>
        </w:rPr>
        <w:footnoteReference w:id="58"/>
      </w:r>
      <w:r>
        <w:t xml:space="preserve"> a v tejto podobe povedie k zvýšeniu výdavkov v 2070 o </w:t>
      </w:r>
      <w:r w:rsidRPr="00CF3308">
        <w:t>0,</w:t>
      </w:r>
      <w:r>
        <w:t>2 % HDP. Vplyvom všetkých zmien by sa indikátor S2 zlepšil o približne 2,8 p.b. HDP</w:t>
      </w:r>
    </w:p>
    <w:p w14:paraId="588FF3B3" w14:textId="77777777" w:rsidR="003B2A65" w:rsidRDefault="003B2A65" w:rsidP="003B2A65">
      <w:pPr>
        <w:jc w:val="both"/>
      </w:pPr>
    </w:p>
    <w:tbl>
      <w:tblPr>
        <w:tblW w:w="884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1E0" w:firstRow="1" w:lastRow="1" w:firstColumn="1" w:lastColumn="1" w:noHBand="0" w:noVBand="0"/>
      </w:tblPr>
      <w:tblGrid>
        <w:gridCol w:w="4280"/>
        <w:gridCol w:w="285"/>
        <w:gridCol w:w="4280"/>
      </w:tblGrid>
      <w:tr w:rsidR="003B2A65" w:rsidRPr="00C246EF" w14:paraId="16C42A47" w14:textId="77777777" w:rsidTr="00A73C13">
        <w:trPr>
          <w:trHeight w:val="167"/>
          <w:jc w:val="center"/>
        </w:trPr>
        <w:tc>
          <w:tcPr>
            <w:tcW w:w="4280" w:type="dxa"/>
            <w:tcBorders>
              <w:top w:val="nil"/>
              <w:left w:val="nil"/>
              <w:bottom w:val="single" w:sz="4" w:space="0" w:color="auto"/>
              <w:right w:val="nil"/>
            </w:tcBorders>
            <w:shd w:val="clear" w:color="auto" w:fill="auto"/>
          </w:tcPr>
          <w:p w14:paraId="258503D4" w14:textId="5AD5547C" w:rsidR="003B2A65" w:rsidRPr="00A73C13" w:rsidRDefault="00A73C13" w:rsidP="00A73C13">
            <w:pPr>
              <w:pStyle w:val="Popis"/>
              <w:spacing w:after="0"/>
              <w:rPr>
                <w:rFonts w:cs="BookAntiqua"/>
                <w:sz w:val="20"/>
                <w:szCs w:val="20"/>
              </w:rPr>
            </w:pPr>
            <w:bookmarkStart w:id="152" w:name="_Toc101881956"/>
            <w:r w:rsidRPr="00A73C13">
              <w:rPr>
                <w:rFonts w:cs="Arial"/>
                <w:color w:val="2C9ADC"/>
                <w:sz w:val="20"/>
                <w:szCs w:val="20"/>
              </w:rPr>
              <w:t xml:space="preserve">GRAF </w:t>
            </w:r>
            <w:r w:rsidRPr="00A73C13">
              <w:rPr>
                <w:rFonts w:cs="Arial"/>
                <w:color w:val="2C9ADC"/>
                <w:sz w:val="20"/>
                <w:szCs w:val="20"/>
              </w:rPr>
              <w:fldChar w:fldCharType="begin"/>
            </w:r>
            <w:r w:rsidRPr="00A73C13">
              <w:rPr>
                <w:rFonts w:cs="Arial"/>
                <w:color w:val="2C9ADC"/>
                <w:sz w:val="20"/>
                <w:szCs w:val="20"/>
              </w:rPr>
              <w:instrText xml:space="preserve"> SEQ GRAF \* ARABIC </w:instrText>
            </w:r>
            <w:r w:rsidRPr="00A73C13">
              <w:rPr>
                <w:rFonts w:cs="Arial"/>
                <w:color w:val="2C9ADC"/>
                <w:sz w:val="20"/>
                <w:szCs w:val="20"/>
              </w:rPr>
              <w:fldChar w:fldCharType="separate"/>
            </w:r>
            <w:r w:rsidR="005D3280">
              <w:rPr>
                <w:rFonts w:cs="Arial"/>
                <w:noProof/>
                <w:color w:val="2C9ADC"/>
                <w:sz w:val="20"/>
                <w:szCs w:val="20"/>
              </w:rPr>
              <w:t>32</w:t>
            </w:r>
            <w:r w:rsidRPr="00A73C13">
              <w:rPr>
                <w:rFonts w:cs="Arial"/>
                <w:color w:val="2C9ADC"/>
                <w:sz w:val="20"/>
                <w:szCs w:val="20"/>
              </w:rPr>
              <w:fldChar w:fldCharType="end"/>
            </w:r>
            <w:r w:rsidRPr="00A73C13">
              <w:rPr>
                <w:rFonts w:cs="Arial"/>
                <w:color w:val="2C9ADC"/>
                <w:sz w:val="20"/>
                <w:szCs w:val="20"/>
              </w:rPr>
              <w:t xml:space="preserve"> – </w:t>
            </w:r>
            <w:r w:rsidR="003B2A65" w:rsidRPr="00A73C13">
              <w:rPr>
                <w:rFonts w:cs="Arial"/>
                <w:bCs w:val="0"/>
                <w:sz w:val="20"/>
                <w:szCs w:val="20"/>
              </w:rPr>
              <w:t>Vplyv reformy I. piliera na výdavky dôchodkového systému (v % HDP)</w:t>
            </w:r>
            <w:bookmarkEnd w:id="152"/>
          </w:p>
        </w:tc>
        <w:tc>
          <w:tcPr>
            <w:tcW w:w="285" w:type="dxa"/>
            <w:tcBorders>
              <w:top w:val="nil"/>
              <w:left w:val="nil"/>
              <w:bottom w:val="nil"/>
              <w:right w:val="nil"/>
            </w:tcBorders>
            <w:shd w:val="clear" w:color="auto" w:fill="auto"/>
          </w:tcPr>
          <w:p w14:paraId="7AF0A1C5" w14:textId="77777777" w:rsidR="003B2A65" w:rsidRPr="00A73C13" w:rsidRDefault="003B2A65" w:rsidP="000E4D54">
            <w:pPr>
              <w:spacing w:before="60"/>
              <w:rPr>
                <w:rFonts w:cs="Arial"/>
                <w:b/>
                <w:color w:val="2C9ADC"/>
                <w:sz w:val="20"/>
                <w:szCs w:val="20"/>
              </w:rPr>
            </w:pPr>
          </w:p>
        </w:tc>
        <w:tc>
          <w:tcPr>
            <w:tcW w:w="4280" w:type="dxa"/>
            <w:tcBorders>
              <w:top w:val="nil"/>
              <w:left w:val="nil"/>
              <w:bottom w:val="single" w:sz="4" w:space="0" w:color="auto"/>
              <w:right w:val="nil"/>
            </w:tcBorders>
            <w:shd w:val="clear" w:color="auto" w:fill="auto"/>
          </w:tcPr>
          <w:p w14:paraId="7C7B06E3" w14:textId="73606BED" w:rsidR="003B2A65" w:rsidRPr="00A73C13" w:rsidRDefault="00A73C13" w:rsidP="00A73C13">
            <w:pPr>
              <w:pStyle w:val="Popis"/>
              <w:keepNext/>
              <w:spacing w:after="0"/>
              <w:rPr>
                <w:rFonts w:cs="Arial"/>
                <w:bCs w:val="0"/>
                <w:sz w:val="20"/>
                <w:szCs w:val="20"/>
              </w:rPr>
            </w:pPr>
            <w:bookmarkStart w:id="153" w:name="_Toc101881957"/>
            <w:r w:rsidRPr="00A73C13">
              <w:rPr>
                <w:rFonts w:cs="Arial"/>
                <w:color w:val="2C9ADC"/>
                <w:sz w:val="20"/>
                <w:szCs w:val="20"/>
              </w:rPr>
              <w:t xml:space="preserve">GRAF </w:t>
            </w:r>
            <w:r w:rsidRPr="00A73C13">
              <w:rPr>
                <w:rFonts w:cs="Arial"/>
                <w:color w:val="2C9ADC"/>
                <w:sz w:val="20"/>
                <w:szCs w:val="20"/>
              </w:rPr>
              <w:fldChar w:fldCharType="begin"/>
            </w:r>
            <w:r w:rsidRPr="00A73C13">
              <w:rPr>
                <w:rFonts w:cs="Arial"/>
                <w:color w:val="2C9ADC"/>
                <w:sz w:val="20"/>
                <w:szCs w:val="20"/>
              </w:rPr>
              <w:instrText xml:space="preserve"> SEQ GRAF \* ARABIC </w:instrText>
            </w:r>
            <w:r w:rsidRPr="00A73C13">
              <w:rPr>
                <w:rFonts w:cs="Arial"/>
                <w:color w:val="2C9ADC"/>
                <w:sz w:val="20"/>
                <w:szCs w:val="20"/>
              </w:rPr>
              <w:fldChar w:fldCharType="separate"/>
            </w:r>
            <w:r w:rsidR="005D3280">
              <w:rPr>
                <w:rFonts w:cs="Arial"/>
                <w:noProof/>
                <w:color w:val="2C9ADC"/>
                <w:sz w:val="20"/>
                <w:szCs w:val="20"/>
              </w:rPr>
              <w:t>33</w:t>
            </w:r>
            <w:r w:rsidRPr="00A73C13">
              <w:rPr>
                <w:rFonts w:cs="Arial"/>
                <w:color w:val="2C9ADC"/>
                <w:sz w:val="20"/>
                <w:szCs w:val="20"/>
              </w:rPr>
              <w:fldChar w:fldCharType="end"/>
            </w:r>
            <w:r w:rsidRPr="00A73C13">
              <w:rPr>
                <w:rFonts w:cs="Arial"/>
                <w:color w:val="2C9ADC"/>
                <w:sz w:val="20"/>
                <w:szCs w:val="20"/>
              </w:rPr>
              <w:t xml:space="preserve"> – </w:t>
            </w:r>
            <w:r w:rsidR="003B2A65" w:rsidRPr="00A73C13">
              <w:rPr>
                <w:rFonts w:cs="Arial"/>
                <w:bCs w:val="0"/>
                <w:sz w:val="20"/>
                <w:szCs w:val="20"/>
              </w:rPr>
              <w:t>Zmena S2 pri zavedení jednotlivých opatrení a pri zavedení reformy ako celku (v p. b. HDP)</w:t>
            </w:r>
            <w:bookmarkEnd w:id="153"/>
          </w:p>
        </w:tc>
      </w:tr>
      <w:tr w:rsidR="003B2A65" w:rsidRPr="004B127C" w14:paraId="76B84FFE" w14:textId="77777777" w:rsidTr="00C95705">
        <w:trPr>
          <w:trHeight w:val="1597"/>
          <w:jc w:val="center"/>
        </w:trPr>
        <w:tc>
          <w:tcPr>
            <w:tcW w:w="4280" w:type="dxa"/>
            <w:tcBorders>
              <w:top w:val="single" w:sz="4" w:space="0" w:color="auto"/>
              <w:left w:val="nil"/>
              <w:bottom w:val="single" w:sz="4" w:space="0" w:color="auto"/>
              <w:right w:val="nil"/>
            </w:tcBorders>
          </w:tcPr>
          <w:p w14:paraId="7E96AA59" w14:textId="77777777" w:rsidR="003B2A65" w:rsidRPr="004B127C" w:rsidRDefault="003B2A65" w:rsidP="000E4D54">
            <w:pPr>
              <w:spacing w:before="40" w:after="40"/>
              <w:jc w:val="center"/>
              <w:rPr>
                <w:b/>
                <w:sz w:val="16"/>
              </w:rPr>
            </w:pPr>
            <w:r>
              <w:rPr>
                <w:noProof/>
              </w:rPr>
              <w:drawing>
                <wp:inline distT="0" distB="0" distL="0" distR="0" wp14:anchorId="40DC4CF3" wp14:editId="5E80EF07">
                  <wp:extent cx="2628900" cy="175895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B127C" w:rsidDel="00D043AF">
              <w:rPr>
                <w:b/>
                <w:sz w:val="16"/>
              </w:rPr>
              <w:t xml:space="preserve"> </w:t>
            </w:r>
          </w:p>
        </w:tc>
        <w:tc>
          <w:tcPr>
            <w:tcW w:w="285" w:type="dxa"/>
            <w:tcBorders>
              <w:top w:val="nil"/>
              <w:left w:val="nil"/>
              <w:bottom w:val="nil"/>
              <w:right w:val="nil"/>
            </w:tcBorders>
          </w:tcPr>
          <w:p w14:paraId="75122040" w14:textId="77777777" w:rsidR="003B2A65" w:rsidRPr="004B127C" w:rsidRDefault="003B2A65" w:rsidP="000E4D54">
            <w:pPr>
              <w:spacing w:before="40" w:after="40"/>
              <w:rPr>
                <w:b/>
                <w:sz w:val="16"/>
              </w:rPr>
            </w:pPr>
          </w:p>
        </w:tc>
        <w:tc>
          <w:tcPr>
            <w:tcW w:w="4280" w:type="dxa"/>
            <w:tcBorders>
              <w:top w:val="single" w:sz="4" w:space="0" w:color="auto"/>
              <w:left w:val="nil"/>
              <w:bottom w:val="single" w:sz="4" w:space="0" w:color="auto"/>
              <w:right w:val="nil"/>
            </w:tcBorders>
          </w:tcPr>
          <w:p w14:paraId="536C2445" w14:textId="474A4BCD" w:rsidR="003B2A65" w:rsidRPr="004B127C" w:rsidRDefault="003B2A65" w:rsidP="000E4D54">
            <w:pPr>
              <w:spacing w:before="40" w:after="40"/>
              <w:jc w:val="center"/>
              <w:rPr>
                <w:b/>
                <w:sz w:val="16"/>
              </w:rPr>
            </w:pPr>
            <w:r>
              <w:rPr>
                <w:noProof/>
              </w:rPr>
              <mc:AlternateContent>
                <mc:Choice Requires="wps">
                  <w:drawing>
                    <wp:anchor distT="0" distB="0" distL="114300" distR="114300" simplePos="0" relativeHeight="251669504" behindDoc="0" locked="0" layoutInCell="1" allowOverlap="1" wp14:anchorId="135EB6D6" wp14:editId="3398FAAC">
                      <wp:simplePos x="0" y="0"/>
                      <wp:positionH relativeFrom="column">
                        <wp:posOffset>281940</wp:posOffset>
                      </wp:positionH>
                      <wp:positionV relativeFrom="paragraph">
                        <wp:posOffset>95885</wp:posOffset>
                      </wp:positionV>
                      <wp:extent cx="707666" cy="1358900"/>
                      <wp:effectExtent l="0" t="0" r="16510" b="12700"/>
                      <wp:wrapNone/>
                      <wp:docPr id="20" name="Obdĺžnik 20"/>
                      <wp:cNvGraphicFramePr/>
                      <a:graphic xmlns:a="http://schemas.openxmlformats.org/drawingml/2006/main">
                        <a:graphicData uri="http://schemas.microsoft.com/office/word/2010/wordprocessingShape">
                          <wps:wsp>
                            <wps:cNvSpPr/>
                            <wps:spPr>
                              <a:xfrm>
                                <a:off x="0" y="0"/>
                                <a:ext cx="707666" cy="1358900"/>
                              </a:xfrm>
                              <a:prstGeom prst="rect">
                                <a:avLst/>
                              </a:prstGeom>
                              <a:noFill/>
                              <a:ln>
                                <a:solidFill>
                                  <a:schemeClr val="bg1">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A31268" id="Obdĺžnik 20" o:spid="_x0000_s1026" style="position:absolute;margin-left:22.2pt;margin-top:7.55pt;width:55.7pt;height: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" filled="f" strokecolor="#bfbfbf [2412]" strokeweight="2pt">
                      <v:stroke dashstyle="1 1"/>
                    </v:rect>
                  </w:pict>
                </mc:Fallback>
              </mc:AlternateContent>
            </w:r>
            <w:r w:rsidR="00C95705">
              <w:rPr>
                <w:noProof/>
              </w:rPr>
              <w:drawing>
                <wp:inline distT="0" distB="0" distL="0" distR="0" wp14:anchorId="084AC028" wp14:editId="58D75E40">
                  <wp:extent cx="2628900" cy="175260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3B2A65" w:rsidRPr="00325F19" w14:paraId="33073E7F" w14:textId="77777777" w:rsidTr="000E4D54">
        <w:trPr>
          <w:trHeight w:val="297"/>
          <w:jc w:val="center"/>
        </w:trPr>
        <w:tc>
          <w:tcPr>
            <w:tcW w:w="4280" w:type="dxa"/>
            <w:tcBorders>
              <w:top w:val="single" w:sz="4" w:space="0" w:color="auto"/>
              <w:left w:val="nil"/>
              <w:bottom w:val="nil"/>
              <w:right w:val="nil"/>
            </w:tcBorders>
            <w:shd w:val="clear" w:color="auto" w:fill="auto"/>
          </w:tcPr>
          <w:p w14:paraId="17E1B6D1" w14:textId="77777777" w:rsidR="003B2A65" w:rsidRPr="00053F64" w:rsidRDefault="003B2A65" w:rsidP="000E4D54">
            <w:pPr>
              <w:spacing w:before="40" w:after="40"/>
              <w:jc w:val="right"/>
              <w:rPr>
                <w:i/>
                <w:sz w:val="16"/>
                <w:highlight w:val="yellow"/>
              </w:rPr>
            </w:pPr>
            <w:r w:rsidRPr="00325F19">
              <w:rPr>
                <w:i/>
                <w:sz w:val="16"/>
              </w:rPr>
              <w:t>Zdroj: IFP</w:t>
            </w:r>
          </w:p>
        </w:tc>
        <w:tc>
          <w:tcPr>
            <w:tcW w:w="285" w:type="dxa"/>
            <w:tcBorders>
              <w:top w:val="nil"/>
              <w:left w:val="nil"/>
              <w:bottom w:val="nil"/>
              <w:right w:val="nil"/>
            </w:tcBorders>
          </w:tcPr>
          <w:p w14:paraId="492F26FF" w14:textId="77777777" w:rsidR="003B2A65" w:rsidRPr="00053F64" w:rsidRDefault="003B2A65" w:rsidP="000E4D54">
            <w:pPr>
              <w:spacing w:before="40" w:after="40"/>
              <w:jc w:val="right"/>
              <w:rPr>
                <w:i/>
                <w:sz w:val="16"/>
                <w:highlight w:val="yellow"/>
              </w:rPr>
            </w:pPr>
          </w:p>
        </w:tc>
        <w:tc>
          <w:tcPr>
            <w:tcW w:w="4280" w:type="dxa"/>
            <w:tcBorders>
              <w:top w:val="single" w:sz="4" w:space="0" w:color="auto"/>
              <w:left w:val="nil"/>
              <w:bottom w:val="nil"/>
              <w:right w:val="nil"/>
            </w:tcBorders>
          </w:tcPr>
          <w:p w14:paraId="30F7F1E2" w14:textId="77777777" w:rsidR="003B2A65" w:rsidRPr="00325F19" w:rsidRDefault="003B2A65" w:rsidP="000E4D54">
            <w:pPr>
              <w:keepNext/>
              <w:spacing w:before="40" w:after="40"/>
              <w:jc w:val="right"/>
              <w:rPr>
                <w:i/>
                <w:sz w:val="16"/>
              </w:rPr>
            </w:pPr>
            <w:r w:rsidRPr="00325F19">
              <w:rPr>
                <w:i/>
                <w:sz w:val="16"/>
              </w:rPr>
              <w:t>Zdroj: IFP</w:t>
            </w:r>
          </w:p>
        </w:tc>
      </w:tr>
      <w:tr w:rsidR="003B2A65" w:rsidRPr="004B127C" w14:paraId="5D97087F" w14:textId="77777777" w:rsidTr="000E4D54">
        <w:trPr>
          <w:trHeight w:val="297"/>
          <w:jc w:val="center"/>
        </w:trPr>
        <w:tc>
          <w:tcPr>
            <w:tcW w:w="8845" w:type="dxa"/>
            <w:gridSpan w:val="3"/>
            <w:tcBorders>
              <w:top w:val="nil"/>
              <w:left w:val="nil"/>
              <w:bottom w:val="nil"/>
              <w:right w:val="nil"/>
            </w:tcBorders>
          </w:tcPr>
          <w:p w14:paraId="37F56E58" w14:textId="77777777" w:rsidR="003B2A65" w:rsidRPr="004B127C" w:rsidRDefault="003B2A65" w:rsidP="000E4D54">
            <w:pPr>
              <w:spacing w:before="40" w:after="40"/>
              <w:rPr>
                <w:i/>
                <w:sz w:val="16"/>
              </w:rPr>
            </w:pPr>
            <w:r>
              <w:rPr>
                <w:i/>
                <w:sz w:val="16"/>
              </w:rPr>
              <w:t>Pozn.: Všetky opatrenia sú počítané ako efekt voči súčasnému nastaveniu, okrem efektu skoršieho odchodu z trhu práce po 40 rokoch. Ten sa berie ako dodatočný efekt k obnoveniu rastu DV so SDŽ. Pri súčasnom nastavení DV by bol tento efekt len minimálny.</w:t>
            </w:r>
          </w:p>
        </w:tc>
      </w:tr>
    </w:tbl>
    <w:p w14:paraId="062DEAE0" w14:textId="77777777" w:rsidR="003B2A65" w:rsidRDefault="003B2A65" w:rsidP="003B2A65">
      <w:pPr>
        <w:jc w:val="both"/>
      </w:pPr>
    </w:p>
    <w:p w14:paraId="2A9834B8" w14:textId="77777777" w:rsidR="003B2A65" w:rsidRPr="0082287C" w:rsidRDefault="003B2A65" w:rsidP="003B2A65">
      <w:pPr>
        <w:jc w:val="both"/>
        <w:rPr>
          <w:b/>
          <w:bCs/>
          <w:color w:val="2C9ADC" w:themeColor="accent1"/>
          <w:sz w:val="24"/>
          <w:szCs w:val="24"/>
        </w:rPr>
      </w:pPr>
      <w:r w:rsidRPr="0082287C">
        <w:rPr>
          <w:b/>
          <w:bCs/>
          <w:color w:val="2C9ADC" w:themeColor="accent1"/>
          <w:sz w:val="24"/>
          <w:szCs w:val="24"/>
        </w:rPr>
        <w:t>Plánované opatrenia v dôchodkovom systéme</w:t>
      </w:r>
    </w:p>
    <w:p w14:paraId="2C2B4A2A" w14:textId="77777777" w:rsidR="003B2A65" w:rsidRDefault="003B2A65" w:rsidP="003B2A65">
      <w:pPr>
        <w:jc w:val="both"/>
      </w:pPr>
    </w:p>
    <w:p w14:paraId="13C90680" w14:textId="77777777" w:rsidR="003B2A65" w:rsidRPr="001978FF" w:rsidRDefault="003B2A65" w:rsidP="003B2A65">
      <w:pPr>
        <w:jc w:val="both"/>
      </w:pPr>
      <w:r w:rsidRPr="001978FF">
        <w:rPr>
          <w:b/>
        </w:rPr>
        <w:t>Zvýšenie adekvátnosti dôchodkového systému prostredníctvom efektívne fungujúceho II.</w:t>
      </w:r>
      <w:r>
        <w:rPr>
          <w:b/>
        </w:rPr>
        <w:t xml:space="preserve"> kapitalizačného</w:t>
      </w:r>
      <w:r w:rsidRPr="001978FF">
        <w:rPr>
          <w:b/>
        </w:rPr>
        <w:t xml:space="preserve"> piliera a zlepšenia informovanosti poistencov môžu pomôcť znížiť tlak na I. priebežný pilier.</w:t>
      </w:r>
      <w:r>
        <w:rPr>
          <w:b/>
        </w:rPr>
        <w:t xml:space="preserve"> </w:t>
      </w:r>
      <w:r>
        <w:t>Napriek tomu, že reforma I. piliera sleduje zlepšenie dlhodobej udržateľnosti, deficit v priebežne financovanom dôchodkovom systéme bude z dôvodu starnutia populácie narastať. Efektívne fungujúci II. kapitalizačný pilier generujúci vyššie dôchodky by mohol vytvoriť priestor na konsolidáciu v I. pilieri a prispieť tak k zlepšeniu dlhodobej udržateľnosti verejných financií. Rovnako zvýšená informovanosť poistencov o výške ich budúcich dôchodkov im môže pomôcť robiť lepšie rozhodnutia a maximalizovať tak svoj príjem na dôchodku.</w:t>
      </w:r>
    </w:p>
    <w:p w14:paraId="220B1CCA" w14:textId="77777777" w:rsidR="003B2A65" w:rsidRDefault="003B2A65" w:rsidP="003B2A65">
      <w:pPr>
        <w:jc w:val="both"/>
      </w:pPr>
    </w:p>
    <w:p w14:paraId="1F5C4561" w14:textId="77777777" w:rsidR="003B2A65" w:rsidRPr="00DC3F57" w:rsidRDefault="003B2A65" w:rsidP="003B2A65">
      <w:pPr>
        <w:jc w:val="both"/>
      </w:pPr>
      <w:r>
        <w:rPr>
          <w:b/>
        </w:rPr>
        <w:t>Plánuje sa</w:t>
      </w:r>
      <w:r w:rsidRPr="00D03710">
        <w:rPr>
          <w:b/>
        </w:rPr>
        <w:t xml:space="preserve"> komplexná reforma II. piliera, zameran</w:t>
      </w:r>
      <w:r>
        <w:rPr>
          <w:b/>
        </w:rPr>
        <w:t xml:space="preserve">á na zvýšenie jeho efektívnosti. </w:t>
      </w:r>
      <w:r w:rsidRPr="009C2E03">
        <w:t xml:space="preserve">V súvislosti s </w:t>
      </w:r>
      <w:r>
        <w:t>ňou</w:t>
      </w:r>
      <w:r w:rsidRPr="009C2E03">
        <w:t xml:space="preserve"> bola dňa 29. 6. 2021 do legislatívneho procesu predložená predbežná informácia definujúca širší okruh zmien pripravovaných v II. pilieri</w:t>
      </w:r>
      <w:r w:rsidRPr="009C2E03">
        <w:rPr>
          <w:rStyle w:val="Odkaznapoznmkupodiarou"/>
        </w:rPr>
        <w:footnoteReference w:id="59"/>
      </w:r>
      <w:r w:rsidRPr="009C2E03">
        <w:t>.</w:t>
      </w:r>
      <w:r>
        <w:t xml:space="preserve"> Nosnú reformou z pohľadu zlepšenia efektívnosti II. piliera predstavuje zavedenie </w:t>
      </w:r>
      <w:r w:rsidRPr="00DC3F57">
        <w:t>predvolenej investičnej stratégie založenej na životnom cykle, v súlade so záväzkom z Plánu obnovy a odolnosti.</w:t>
      </w:r>
      <w:r>
        <w:t xml:space="preserve"> </w:t>
      </w:r>
      <w:r w:rsidRPr="00DC3F57">
        <w:t>Legislatívna zmena bude prijatá v priebehu aktuálneho roka s účinnosťou od 1. januára 2023.</w:t>
      </w:r>
      <w:r>
        <w:t xml:space="preserve"> Dôležitými navrhovanými zmenami nad rámec Plánu obnovy a odolnosti je zavedenie automatického vstupu do II. piliera pre poistencov do 35 rokov, či zmeny v štruktúre poplatkovej politiky. </w:t>
      </w:r>
      <w:r w:rsidRPr="00DC3F57">
        <w:t>Súčasťou pripravovaných zmien bude tiež úprava výplatnej fázy s posilnením dlhodobého charakteru výplaty úspor</w:t>
      </w:r>
      <w:r>
        <w:t>. T</w:t>
      </w:r>
      <w:r w:rsidRPr="00DC3F57">
        <w:t>o umožní zvýšiť pozitívne synergie plynúce zo zavádzanej predvolenej life-cycle stratégie a prispieť tak k zlepšeniu adekvátnosti dôchodkov z II. piliera.</w:t>
      </w:r>
      <w:r>
        <w:t xml:space="preserve"> Prijatie týchto zmien nie je časovo viazané na Plán obnovy a odolnosti, ale predpokladá sa ich spoločné zavedenie. </w:t>
      </w:r>
    </w:p>
    <w:p w14:paraId="31DE6578" w14:textId="77777777" w:rsidR="003B2A65" w:rsidRDefault="003B2A65" w:rsidP="003B2A65">
      <w:pPr>
        <w:jc w:val="both"/>
        <w:rPr>
          <w:b/>
        </w:rPr>
      </w:pPr>
    </w:p>
    <w:p w14:paraId="3BE76E28" w14:textId="6342C5F3" w:rsidR="00914FA3" w:rsidRDefault="003B2A65" w:rsidP="003B2A65">
      <w:pPr>
        <w:jc w:val="both"/>
      </w:pPr>
      <w:r w:rsidRPr="001918D8">
        <w:rPr>
          <w:b/>
        </w:rPr>
        <w:t>V súlade s cieľom Plánu obnovy budú prijaté opatrenia na zlepšenie informovanosti občanov o predpokladanej výške ich budúcich dôchodkov z celého dôchodkového systému (tzv. oranžová obálka).</w:t>
      </w:r>
      <w:r w:rsidRPr="001918D8">
        <w:t xml:space="preserve"> Nevyhnutným predpokladom je realizácia potrebných opatrení v I. pilieri, ku ktorým sa Sociálna poisťovňa (SP) zaviazala v rámci Strategických zámerov činnosti Sociálnej poisťovne na obdobie rokov 2021-2026 schválených NR SR</w:t>
      </w:r>
      <w:r w:rsidRPr="001918D8">
        <w:rPr>
          <w:rStyle w:val="Odkaznapoznmkupodiarou"/>
        </w:rPr>
        <w:footnoteReference w:id="60"/>
      </w:r>
      <w:r w:rsidRPr="001918D8">
        <w:t>. Cieľom S</w:t>
      </w:r>
      <w:r>
        <w:t>ociálnej poisťovne</w:t>
      </w:r>
      <w:r w:rsidRPr="001918D8">
        <w:t xml:space="preserve"> je v prvom kroku poskytovať klientom informácie týkajúce sa predpokladaného stavu a vývoja hmotného zabezpečenia v starobe z priebežne financovaného dôchodkového systému. Tento cieľ bude naplnený prostredníctvom projektu rozvoja individuálneho účtu poistenca s plánovanou realizáciou do konca roka 2022. </w:t>
      </w:r>
      <w:r>
        <w:t>Oranžová obálka s kompletnou informáciou o budúcich dôchodkov z celého dôchodkového systému by mala byť zavedená v najbližších rokoch.</w:t>
      </w:r>
    </w:p>
    <w:p w14:paraId="3879CBE6" w14:textId="0EAB3508" w:rsidR="003B2A65" w:rsidRDefault="00914FA3" w:rsidP="00914FA3">
      <w:r>
        <w:br w:type="page"/>
      </w:r>
    </w:p>
    <w:p w14:paraId="23AD7EAF" w14:textId="77777777" w:rsidR="000C6444" w:rsidRPr="00785616" w:rsidRDefault="000C6444" w:rsidP="000C6444">
      <w:pPr>
        <w:pStyle w:val="Nadpis2"/>
        <w:keepLines/>
        <w:numPr>
          <w:ilvl w:val="1"/>
          <w:numId w:val="2"/>
        </w:numPr>
        <w:spacing w:before="240" w:after="120" w:line="276" w:lineRule="auto"/>
        <w:rPr>
          <w:b/>
          <w:color w:val="2C9ADC"/>
          <w:szCs w:val="28"/>
        </w:rPr>
      </w:pPr>
      <w:bookmarkStart w:id="154" w:name="_Toc101880672"/>
      <w:r w:rsidRPr="00785616">
        <w:rPr>
          <w:b/>
          <w:color w:val="2C9ADC"/>
          <w:szCs w:val="28"/>
        </w:rPr>
        <w:t>Porovnanie s predchádzajúcou aktualizáciou</w:t>
      </w:r>
      <w:bookmarkEnd w:id="154"/>
      <w:r w:rsidRPr="00785616">
        <w:rPr>
          <w:b/>
          <w:color w:val="2C9ADC"/>
          <w:szCs w:val="28"/>
        </w:rPr>
        <w:t xml:space="preserve"> </w:t>
      </w:r>
    </w:p>
    <w:p w14:paraId="51E1BDEA" w14:textId="77777777" w:rsidR="000C6444" w:rsidRPr="00785616" w:rsidRDefault="000C6444" w:rsidP="000C6444">
      <w:pPr>
        <w:jc w:val="both"/>
        <w:rPr>
          <w:b/>
        </w:rPr>
      </w:pPr>
      <w:r w:rsidRPr="00785616">
        <w:rPr>
          <w:rFonts w:cs="Arial"/>
          <w:b/>
          <w:color w:val="000000"/>
        </w:rPr>
        <w:t xml:space="preserve">Aktualizácia Programu stability v porovnaní s minuloročnou prognózou ukazuje priaznivejší vývoj verejných financií ako sa pôvodne očakávalo. </w:t>
      </w:r>
      <w:r w:rsidRPr="00785616">
        <w:rPr>
          <w:rFonts w:cs="Arial"/>
          <w:color w:val="000000"/>
        </w:rPr>
        <w:t>Program stability</w:t>
      </w:r>
      <w:r w:rsidRPr="00785616">
        <w:rPr>
          <w:rFonts w:cs="Arial"/>
          <w:b/>
          <w:color w:val="000000"/>
        </w:rPr>
        <w:t xml:space="preserve"> </w:t>
      </w:r>
      <w:r w:rsidRPr="00785616">
        <w:rPr>
          <w:rFonts w:cs="Arial"/>
          <w:color w:val="000000"/>
        </w:rPr>
        <w:t>v roku 2021 očakával razantnejšie oživenie ekonomiky v 2022 a postupné spomalenie rastu na celom horizonte. Aktuálny vývoj</w:t>
      </w:r>
      <w:r>
        <w:rPr>
          <w:rFonts w:cs="Arial"/>
          <w:color w:val="000000"/>
        </w:rPr>
        <w:t xml:space="preserve"> vo svete</w:t>
      </w:r>
      <w:r w:rsidRPr="00785616">
        <w:rPr>
          <w:rFonts w:cs="Arial"/>
          <w:color w:val="000000"/>
        </w:rPr>
        <w:t xml:space="preserve"> znižuje odhad rastu </w:t>
      </w:r>
      <w:r>
        <w:rPr>
          <w:rFonts w:cs="Arial"/>
          <w:color w:val="000000"/>
        </w:rPr>
        <w:t xml:space="preserve">slovenského </w:t>
      </w:r>
      <w:r w:rsidRPr="00785616">
        <w:rPr>
          <w:rFonts w:cs="Arial"/>
          <w:color w:val="000000"/>
        </w:rPr>
        <w:t>hospodárstva v tomto roku a silnejšie oživenie posúva na 2023</w:t>
      </w:r>
      <w:r>
        <w:rPr>
          <w:rFonts w:cs="Arial"/>
          <w:color w:val="000000"/>
        </w:rPr>
        <w:t>, podporené končiacim programovým obdobím čerpania fondov EÚ a Plánom obnovy</w:t>
      </w:r>
      <w:r w:rsidRPr="00785616">
        <w:rPr>
          <w:rFonts w:cs="Arial"/>
          <w:color w:val="000000"/>
        </w:rPr>
        <w:t xml:space="preserve">. </w:t>
      </w:r>
      <w:r>
        <w:rPr>
          <w:rFonts w:cs="Arial"/>
          <w:color w:val="000000"/>
        </w:rPr>
        <w:t>Výrazne nižší ako očakávaný schodok hospodárenia verejnej správy v roku 2021 sa premietol do nižšieho hrubého dlhu. Oproti predpokladom Programu stability v</w:t>
      </w:r>
      <w:r w:rsidRPr="00785616">
        <w:rPr>
          <w:rFonts w:cs="Arial"/>
          <w:color w:val="000000"/>
        </w:rPr>
        <w:t> roku 2021 sa očakáva</w:t>
      </w:r>
      <w:r>
        <w:rPr>
          <w:rFonts w:cs="Arial"/>
          <w:color w:val="000000"/>
        </w:rPr>
        <w:t xml:space="preserve"> nižšia úroveň zadlženia a stabilizácia dlhu pod 60 % HDP na horizonte prognózy.</w:t>
      </w:r>
      <w:r w:rsidRPr="00785616">
        <w:rPr>
          <w:rFonts w:cs="Arial"/>
          <w:color w:val="000000"/>
        </w:rPr>
        <w:t xml:space="preserve"> </w:t>
      </w:r>
      <w:r>
        <w:rPr>
          <w:rFonts w:cs="Arial"/>
          <w:color w:val="000000"/>
        </w:rPr>
        <w:t>Tomuto vývoju výrazne pomôže rast ekonomiky spojený s vyššou infláciou prostredníctvom efektu menovateľa, s ktorou predchádzajúca prognóza ešte nepočítala.</w:t>
      </w:r>
      <w:r w:rsidRPr="00785616">
        <w:rPr>
          <w:rFonts w:cs="Arial"/>
          <w:color w:val="000000"/>
        </w:rPr>
        <w:t xml:space="preserve"> </w:t>
      </w:r>
      <w:r w:rsidRPr="00785616">
        <w:rPr>
          <w:rFonts w:cs="Arial"/>
          <w:b/>
          <w:color w:val="000000"/>
        </w:rPr>
        <w:t xml:space="preserve"> </w:t>
      </w:r>
    </w:p>
    <w:p w14:paraId="5C3F98A4" w14:textId="77777777" w:rsidR="000C6444" w:rsidRPr="00450D9F" w:rsidRDefault="000C6444" w:rsidP="000C6444">
      <w:pPr>
        <w:jc w:val="both"/>
        <w:rPr>
          <w:highlight w:val="yellow"/>
        </w:rPr>
      </w:pPr>
    </w:p>
    <w:tbl>
      <w:tblPr>
        <w:tblW w:w="9042" w:type="dxa"/>
        <w:tblCellMar>
          <w:left w:w="70" w:type="dxa"/>
          <w:right w:w="70" w:type="dxa"/>
        </w:tblCellMar>
        <w:tblLook w:val="04A0" w:firstRow="1" w:lastRow="0" w:firstColumn="1" w:lastColumn="0" w:noHBand="0" w:noVBand="1"/>
      </w:tblPr>
      <w:tblGrid>
        <w:gridCol w:w="4392"/>
        <w:gridCol w:w="775"/>
        <w:gridCol w:w="775"/>
        <w:gridCol w:w="775"/>
        <w:gridCol w:w="775"/>
        <w:gridCol w:w="775"/>
        <w:gridCol w:w="775"/>
      </w:tblGrid>
      <w:tr w:rsidR="000C6444" w:rsidRPr="00E8018F" w14:paraId="5715D279" w14:textId="77777777" w:rsidTr="00A36664">
        <w:trPr>
          <w:trHeight w:val="268"/>
        </w:trPr>
        <w:tc>
          <w:tcPr>
            <w:tcW w:w="5942" w:type="dxa"/>
            <w:gridSpan w:val="3"/>
            <w:tcBorders>
              <w:top w:val="nil"/>
              <w:left w:val="nil"/>
              <w:bottom w:val="single" w:sz="8" w:space="0" w:color="auto"/>
              <w:right w:val="nil"/>
            </w:tcBorders>
            <w:shd w:val="clear" w:color="auto" w:fill="auto"/>
            <w:noWrap/>
            <w:vAlign w:val="center"/>
            <w:hideMark/>
          </w:tcPr>
          <w:p w14:paraId="0ECFB53B" w14:textId="0954CFA9" w:rsidR="000C6444" w:rsidRPr="00E8018F" w:rsidRDefault="000C6444" w:rsidP="00A36664">
            <w:pPr>
              <w:rPr>
                <w:rFonts w:cs="Times New Roman"/>
                <w:b/>
                <w:bCs/>
                <w:color w:val="2C9ADC"/>
                <w:sz w:val="20"/>
                <w:szCs w:val="20"/>
              </w:rPr>
            </w:pPr>
            <w:bookmarkStart w:id="155" w:name="_Toc101880694"/>
            <w:r w:rsidRPr="00E8018F">
              <w:rPr>
                <w:rFonts w:eastAsiaTheme="minorHAnsi"/>
                <w:b/>
                <w:color w:val="2C9ADC" w:themeColor="accent1"/>
                <w:sz w:val="20"/>
                <w:szCs w:val="20"/>
                <w:lang w:eastAsia="en-US"/>
              </w:rPr>
              <w:t xml:space="preserve">TABUĽKA </w:t>
            </w:r>
            <w:r w:rsidRPr="00E8018F">
              <w:rPr>
                <w:rFonts w:eastAsiaTheme="minorHAnsi"/>
                <w:b/>
                <w:color w:val="2C9ADC" w:themeColor="accent1"/>
                <w:sz w:val="20"/>
                <w:szCs w:val="20"/>
                <w:lang w:eastAsia="en-US"/>
              </w:rPr>
              <w:fldChar w:fldCharType="begin"/>
            </w:r>
            <w:r w:rsidRPr="00E8018F">
              <w:rPr>
                <w:rFonts w:eastAsiaTheme="minorHAnsi"/>
                <w:b/>
                <w:color w:val="2C9ADC" w:themeColor="accent1"/>
                <w:sz w:val="20"/>
                <w:szCs w:val="20"/>
                <w:lang w:eastAsia="en-US"/>
              </w:rPr>
              <w:instrText xml:space="preserve"> SEQ TABUĽKA \* ARABIC </w:instrText>
            </w:r>
            <w:r w:rsidRPr="00E8018F">
              <w:rPr>
                <w:rFonts w:eastAsiaTheme="minorHAnsi"/>
                <w:b/>
                <w:color w:val="2C9ADC" w:themeColor="accent1"/>
                <w:sz w:val="20"/>
                <w:szCs w:val="20"/>
                <w:lang w:eastAsia="en-US"/>
              </w:rPr>
              <w:fldChar w:fldCharType="separate"/>
            </w:r>
            <w:r w:rsidR="005D3280">
              <w:rPr>
                <w:rFonts w:eastAsiaTheme="minorHAnsi"/>
                <w:b/>
                <w:noProof/>
                <w:color w:val="2C9ADC" w:themeColor="accent1"/>
                <w:sz w:val="20"/>
                <w:szCs w:val="20"/>
                <w:lang w:eastAsia="en-US"/>
              </w:rPr>
              <w:t>15</w:t>
            </w:r>
            <w:r w:rsidRPr="00E8018F">
              <w:rPr>
                <w:rFonts w:eastAsiaTheme="minorHAnsi"/>
                <w:b/>
                <w:color w:val="2C9ADC" w:themeColor="accent1"/>
                <w:sz w:val="20"/>
                <w:szCs w:val="20"/>
                <w:lang w:eastAsia="en-US"/>
              </w:rPr>
              <w:fldChar w:fldCharType="end"/>
            </w:r>
            <w:r w:rsidRPr="00E8018F">
              <w:rPr>
                <w:rFonts w:eastAsiaTheme="minorHAnsi"/>
                <w:b/>
                <w:color w:val="2C9ADC" w:themeColor="accent1"/>
                <w:sz w:val="20"/>
                <w:szCs w:val="20"/>
                <w:lang w:eastAsia="en-US"/>
              </w:rPr>
              <w:t xml:space="preserve"> </w:t>
            </w:r>
            <w:r w:rsidRPr="00E8018F">
              <w:rPr>
                <w:rFonts w:cs="Times New Roman"/>
                <w:b/>
                <w:bCs/>
                <w:color w:val="2C9ADC"/>
                <w:sz w:val="20"/>
                <w:szCs w:val="20"/>
              </w:rPr>
              <w:t>– Porovnanie predchádzajúcej a aktualizovanej prognózy</w:t>
            </w:r>
            <w:bookmarkEnd w:id="155"/>
          </w:p>
        </w:tc>
        <w:tc>
          <w:tcPr>
            <w:tcW w:w="775" w:type="dxa"/>
            <w:tcBorders>
              <w:top w:val="nil"/>
              <w:left w:val="nil"/>
              <w:bottom w:val="single" w:sz="8" w:space="0" w:color="auto"/>
              <w:right w:val="nil"/>
            </w:tcBorders>
            <w:shd w:val="clear" w:color="auto" w:fill="auto"/>
            <w:noWrap/>
            <w:vAlign w:val="center"/>
            <w:hideMark/>
          </w:tcPr>
          <w:p w14:paraId="51685041" w14:textId="77777777" w:rsidR="000C6444" w:rsidRPr="00E8018F" w:rsidRDefault="000C6444" w:rsidP="00A36664">
            <w:pPr>
              <w:rPr>
                <w:rFonts w:cs="Times New Roman"/>
                <w:b/>
                <w:bCs/>
                <w:color w:val="2C9ADC"/>
                <w:sz w:val="20"/>
                <w:szCs w:val="20"/>
              </w:rPr>
            </w:pPr>
            <w:r w:rsidRPr="00E8018F">
              <w:rPr>
                <w:rFonts w:cs="Times New Roman"/>
                <w:b/>
                <w:bCs/>
                <w:color w:val="2C9ADC"/>
                <w:sz w:val="20"/>
                <w:szCs w:val="20"/>
              </w:rPr>
              <w:t> </w:t>
            </w:r>
          </w:p>
        </w:tc>
        <w:tc>
          <w:tcPr>
            <w:tcW w:w="775" w:type="dxa"/>
            <w:tcBorders>
              <w:top w:val="nil"/>
              <w:left w:val="nil"/>
              <w:bottom w:val="single" w:sz="8" w:space="0" w:color="auto"/>
              <w:right w:val="nil"/>
            </w:tcBorders>
            <w:shd w:val="clear" w:color="auto" w:fill="auto"/>
            <w:noWrap/>
            <w:vAlign w:val="center"/>
            <w:hideMark/>
          </w:tcPr>
          <w:p w14:paraId="29DBB3D1" w14:textId="77777777" w:rsidR="000C6444" w:rsidRPr="00E8018F" w:rsidRDefault="000C6444" w:rsidP="00A36664">
            <w:pPr>
              <w:rPr>
                <w:rFonts w:cs="Times New Roman"/>
                <w:b/>
                <w:bCs/>
                <w:color w:val="2C9ADC"/>
                <w:sz w:val="20"/>
                <w:szCs w:val="20"/>
              </w:rPr>
            </w:pPr>
            <w:r w:rsidRPr="00E8018F">
              <w:rPr>
                <w:rFonts w:cs="Times New Roman"/>
                <w:b/>
                <w:bCs/>
                <w:color w:val="2C9ADC"/>
                <w:sz w:val="20"/>
                <w:szCs w:val="20"/>
              </w:rPr>
              <w:t> </w:t>
            </w:r>
          </w:p>
        </w:tc>
        <w:tc>
          <w:tcPr>
            <w:tcW w:w="775" w:type="dxa"/>
            <w:tcBorders>
              <w:top w:val="nil"/>
              <w:left w:val="nil"/>
              <w:bottom w:val="single" w:sz="8" w:space="0" w:color="auto"/>
              <w:right w:val="nil"/>
            </w:tcBorders>
            <w:shd w:val="clear" w:color="auto" w:fill="auto"/>
            <w:noWrap/>
            <w:vAlign w:val="center"/>
            <w:hideMark/>
          </w:tcPr>
          <w:p w14:paraId="6C8E2979" w14:textId="77777777" w:rsidR="000C6444" w:rsidRPr="00E8018F" w:rsidRDefault="000C6444" w:rsidP="00A36664">
            <w:pPr>
              <w:rPr>
                <w:rFonts w:cs="Times New Roman"/>
                <w:b/>
                <w:bCs/>
                <w:color w:val="2C9ADC"/>
                <w:sz w:val="20"/>
                <w:szCs w:val="20"/>
              </w:rPr>
            </w:pPr>
            <w:r w:rsidRPr="00E8018F">
              <w:rPr>
                <w:rFonts w:cs="Times New Roman"/>
                <w:b/>
                <w:bCs/>
                <w:color w:val="2C9ADC"/>
                <w:sz w:val="20"/>
                <w:szCs w:val="20"/>
              </w:rPr>
              <w:t> </w:t>
            </w:r>
          </w:p>
        </w:tc>
        <w:tc>
          <w:tcPr>
            <w:tcW w:w="775" w:type="dxa"/>
            <w:tcBorders>
              <w:top w:val="nil"/>
              <w:left w:val="nil"/>
              <w:bottom w:val="single" w:sz="8" w:space="0" w:color="auto"/>
              <w:right w:val="nil"/>
            </w:tcBorders>
            <w:shd w:val="clear" w:color="auto" w:fill="auto"/>
            <w:noWrap/>
            <w:vAlign w:val="center"/>
            <w:hideMark/>
          </w:tcPr>
          <w:p w14:paraId="24D9EAEA" w14:textId="77777777" w:rsidR="000C6444" w:rsidRPr="00E8018F" w:rsidRDefault="000C6444" w:rsidP="00A36664">
            <w:pPr>
              <w:rPr>
                <w:rFonts w:cs="Times New Roman"/>
                <w:b/>
                <w:bCs/>
                <w:color w:val="2C9ADC"/>
                <w:sz w:val="20"/>
                <w:szCs w:val="20"/>
              </w:rPr>
            </w:pPr>
            <w:r w:rsidRPr="00E8018F">
              <w:rPr>
                <w:rFonts w:cs="Times New Roman"/>
                <w:b/>
                <w:bCs/>
                <w:color w:val="2C9ADC"/>
                <w:sz w:val="20"/>
                <w:szCs w:val="20"/>
              </w:rPr>
              <w:t> </w:t>
            </w:r>
          </w:p>
        </w:tc>
      </w:tr>
      <w:tr w:rsidR="000C6444" w:rsidRPr="00E8018F" w14:paraId="19C71AF8" w14:textId="77777777" w:rsidTr="00A36664">
        <w:trPr>
          <w:trHeight w:val="268"/>
        </w:trPr>
        <w:tc>
          <w:tcPr>
            <w:tcW w:w="4392" w:type="dxa"/>
            <w:tcBorders>
              <w:top w:val="nil"/>
              <w:left w:val="nil"/>
              <w:bottom w:val="single" w:sz="8" w:space="0" w:color="000000"/>
              <w:right w:val="nil"/>
            </w:tcBorders>
            <w:shd w:val="clear" w:color="auto" w:fill="auto"/>
            <w:vAlign w:val="center"/>
            <w:hideMark/>
          </w:tcPr>
          <w:p w14:paraId="7B384006" w14:textId="77777777" w:rsidR="000C6444" w:rsidRPr="00E8018F" w:rsidRDefault="000C6444" w:rsidP="00A36664">
            <w:pPr>
              <w:rPr>
                <w:rFonts w:cs="Times New Roman"/>
                <w:color w:val="000000"/>
                <w:sz w:val="18"/>
                <w:szCs w:val="18"/>
              </w:rPr>
            </w:pPr>
            <w:r w:rsidRPr="00E8018F">
              <w:rPr>
                <w:rFonts w:cs="Times New Roman"/>
                <w:color w:val="000000"/>
                <w:sz w:val="18"/>
                <w:szCs w:val="18"/>
              </w:rPr>
              <w:t> </w:t>
            </w:r>
          </w:p>
        </w:tc>
        <w:tc>
          <w:tcPr>
            <w:tcW w:w="775" w:type="dxa"/>
            <w:tcBorders>
              <w:top w:val="nil"/>
              <w:left w:val="nil"/>
              <w:bottom w:val="single" w:sz="8" w:space="0" w:color="000000"/>
              <w:right w:val="nil"/>
            </w:tcBorders>
            <w:shd w:val="clear" w:color="auto" w:fill="auto"/>
            <w:vAlign w:val="center"/>
            <w:hideMark/>
          </w:tcPr>
          <w:p w14:paraId="37FD1EBD" w14:textId="77777777" w:rsidR="000C6444" w:rsidRPr="00E8018F" w:rsidRDefault="000C6444" w:rsidP="00A36664">
            <w:pPr>
              <w:rPr>
                <w:rFonts w:cs="Times New Roman"/>
                <w:color w:val="000000"/>
                <w:sz w:val="18"/>
                <w:szCs w:val="18"/>
              </w:rPr>
            </w:pPr>
            <w:r w:rsidRPr="00E8018F">
              <w:rPr>
                <w:rFonts w:cs="Times New Roman"/>
                <w:color w:val="000000"/>
                <w:sz w:val="18"/>
                <w:szCs w:val="18"/>
              </w:rPr>
              <w:t xml:space="preserve">ESA kód </w:t>
            </w:r>
          </w:p>
        </w:tc>
        <w:tc>
          <w:tcPr>
            <w:tcW w:w="775" w:type="dxa"/>
            <w:tcBorders>
              <w:top w:val="nil"/>
              <w:left w:val="nil"/>
              <w:bottom w:val="single" w:sz="8" w:space="0" w:color="000000"/>
              <w:right w:val="nil"/>
            </w:tcBorders>
            <w:shd w:val="clear" w:color="auto" w:fill="auto"/>
            <w:vAlign w:val="center"/>
            <w:hideMark/>
          </w:tcPr>
          <w:p w14:paraId="04911C8B" w14:textId="77777777" w:rsidR="000C6444" w:rsidRPr="00E8018F" w:rsidRDefault="000C6444" w:rsidP="00A36664">
            <w:pPr>
              <w:jc w:val="center"/>
              <w:rPr>
                <w:rFonts w:cs="Times New Roman"/>
                <w:b/>
                <w:bCs/>
                <w:color w:val="000000"/>
                <w:sz w:val="18"/>
                <w:szCs w:val="18"/>
              </w:rPr>
            </w:pPr>
            <w:r w:rsidRPr="00E8018F">
              <w:rPr>
                <w:rFonts w:cs="Times New Roman"/>
                <w:b/>
                <w:bCs/>
                <w:color w:val="000000"/>
                <w:sz w:val="18"/>
                <w:szCs w:val="18"/>
              </w:rPr>
              <w:t>2021</w:t>
            </w:r>
          </w:p>
        </w:tc>
        <w:tc>
          <w:tcPr>
            <w:tcW w:w="775" w:type="dxa"/>
            <w:tcBorders>
              <w:top w:val="nil"/>
              <w:left w:val="nil"/>
              <w:bottom w:val="single" w:sz="8" w:space="0" w:color="000000"/>
              <w:right w:val="nil"/>
            </w:tcBorders>
            <w:shd w:val="clear" w:color="auto" w:fill="auto"/>
            <w:vAlign w:val="center"/>
          </w:tcPr>
          <w:p w14:paraId="4E00B8D7" w14:textId="77777777" w:rsidR="000C6444" w:rsidRPr="00E8018F" w:rsidRDefault="000C6444" w:rsidP="00A36664">
            <w:pPr>
              <w:jc w:val="center"/>
              <w:rPr>
                <w:rFonts w:cs="Times New Roman"/>
                <w:b/>
                <w:bCs/>
                <w:color w:val="000000"/>
                <w:sz w:val="18"/>
                <w:szCs w:val="18"/>
              </w:rPr>
            </w:pPr>
            <w:r w:rsidRPr="00E8018F">
              <w:rPr>
                <w:rFonts w:cs="Times New Roman"/>
                <w:b/>
                <w:bCs/>
                <w:color w:val="000000"/>
                <w:sz w:val="18"/>
                <w:szCs w:val="18"/>
              </w:rPr>
              <w:t>2022</w:t>
            </w:r>
          </w:p>
        </w:tc>
        <w:tc>
          <w:tcPr>
            <w:tcW w:w="775" w:type="dxa"/>
            <w:tcBorders>
              <w:top w:val="nil"/>
              <w:left w:val="nil"/>
              <w:bottom w:val="single" w:sz="8" w:space="0" w:color="000000"/>
              <w:right w:val="nil"/>
            </w:tcBorders>
            <w:shd w:val="clear" w:color="auto" w:fill="auto"/>
            <w:vAlign w:val="center"/>
          </w:tcPr>
          <w:p w14:paraId="0CC000BA" w14:textId="77777777" w:rsidR="000C6444" w:rsidRPr="00E8018F" w:rsidRDefault="000C6444" w:rsidP="00A36664">
            <w:pPr>
              <w:jc w:val="center"/>
              <w:rPr>
                <w:rFonts w:cs="Times New Roman"/>
                <w:b/>
                <w:bCs/>
                <w:color w:val="000000"/>
                <w:sz w:val="18"/>
                <w:szCs w:val="18"/>
              </w:rPr>
            </w:pPr>
            <w:r w:rsidRPr="00E8018F">
              <w:rPr>
                <w:rFonts w:cs="Times New Roman"/>
                <w:b/>
                <w:bCs/>
                <w:color w:val="000000"/>
                <w:sz w:val="18"/>
                <w:szCs w:val="18"/>
              </w:rPr>
              <w:t>2023</w:t>
            </w:r>
          </w:p>
        </w:tc>
        <w:tc>
          <w:tcPr>
            <w:tcW w:w="775" w:type="dxa"/>
            <w:tcBorders>
              <w:top w:val="nil"/>
              <w:left w:val="nil"/>
              <w:bottom w:val="single" w:sz="8" w:space="0" w:color="000000"/>
              <w:right w:val="nil"/>
            </w:tcBorders>
            <w:shd w:val="clear" w:color="auto" w:fill="auto"/>
            <w:vAlign w:val="center"/>
          </w:tcPr>
          <w:p w14:paraId="3CE89345" w14:textId="77777777" w:rsidR="000C6444" w:rsidRPr="00E8018F" w:rsidRDefault="000C6444" w:rsidP="00A36664">
            <w:pPr>
              <w:jc w:val="center"/>
              <w:rPr>
                <w:rFonts w:cs="Times New Roman"/>
                <w:b/>
                <w:bCs/>
                <w:color w:val="000000"/>
                <w:sz w:val="18"/>
                <w:szCs w:val="18"/>
              </w:rPr>
            </w:pPr>
            <w:r w:rsidRPr="00E8018F">
              <w:rPr>
                <w:rFonts w:cs="Times New Roman"/>
                <w:b/>
                <w:bCs/>
                <w:color w:val="000000"/>
                <w:sz w:val="18"/>
                <w:szCs w:val="18"/>
              </w:rPr>
              <w:t>2024</w:t>
            </w:r>
          </w:p>
        </w:tc>
        <w:tc>
          <w:tcPr>
            <w:tcW w:w="775" w:type="dxa"/>
            <w:tcBorders>
              <w:top w:val="nil"/>
              <w:left w:val="nil"/>
              <w:bottom w:val="single" w:sz="8" w:space="0" w:color="000000"/>
              <w:right w:val="nil"/>
            </w:tcBorders>
            <w:shd w:val="clear" w:color="auto" w:fill="auto"/>
            <w:vAlign w:val="center"/>
          </w:tcPr>
          <w:p w14:paraId="4166A4A5" w14:textId="77777777" w:rsidR="000C6444" w:rsidRPr="00E8018F" w:rsidRDefault="000C6444" w:rsidP="00A36664">
            <w:pPr>
              <w:jc w:val="center"/>
              <w:rPr>
                <w:rFonts w:cs="Times New Roman"/>
                <w:b/>
                <w:bCs/>
                <w:color w:val="000000"/>
                <w:sz w:val="18"/>
                <w:szCs w:val="18"/>
              </w:rPr>
            </w:pPr>
            <w:r>
              <w:rPr>
                <w:rFonts w:cs="Times New Roman"/>
                <w:b/>
                <w:bCs/>
                <w:color w:val="000000"/>
                <w:sz w:val="18"/>
                <w:szCs w:val="18"/>
              </w:rPr>
              <w:t>2025</w:t>
            </w:r>
          </w:p>
        </w:tc>
      </w:tr>
      <w:tr w:rsidR="000C6444" w:rsidRPr="00E8018F" w14:paraId="629F5389" w14:textId="77777777" w:rsidTr="00A36664">
        <w:trPr>
          <w:trHeight w:val="255"/>
        </w:trPr>
        <w:tc>
          <w:tcPr>
            <w:tcW w:w="4392" w:type="dxa"/>
            <w:tcBorders>
              <w:top w:val="nil"/>
              <w:left w:val="nil"/>
              <w:bottom w:val="nil"/>
              <w:right w:val="nil"/>
            </w:tcBorders>
            <w:shd w:val="clear" w:color="auto" w:fill="auto"/>
            <w:vAlign w:val="center"/>
            <w:hideMark/>
          </w:tcPr>
          <w:p w14:paraId="06626B72" w14:textId="77777777" w:rsidR="000C6444" w:rsidRPr="00E8018F" w:rsidRDefault="000C6444" w:rsidP="00A36664">
            <w:pPr>
              <w:rPr>
                <w:rFonts w:cs="Times New Roman"/>
                <w:b/>
                <w:bCs/>
                <w:color w:val="000000"/>
                <w:sz w:val="18"/>
                <w:szCs w:val="18"/>
              </w:rPr>
            </w:pPr>
            <w:r w:rsidRPr="00E8018F">
              <w:rPr>
                <w:rFonts w:cs="Times New Roman"/>
                <w:b/>
                <w:bCs/>
                <w:color w:val="000000"/>
                <w:sz w:val="18"/>
                <w:szCs w:val="18"/>
              </w:rPr>
              <w:t>Reálny rast HDP (%)</w:t>
            </w:r>
          </w:p>
        </w:tc>
        <w:tc>
          <w:tcPr>
            <w:tcW w:w="775" w:type="dxa"/>
            <w:tcBorders>
              <w:top w:val="nil"/>
              <w:left w:val="nil"/>
              <w:bottom w:val="nil"/>
              <w:right w:val="nil"/>
            </w:tcBorders>
            <w:shd w:val="clear" w:color="auto" w:fill="auto"/>
            <w:vAlign w:val="center"/>
            <w:hideMark/>
          </w:tcPr>
          <w:p w14:paraId="08C0B59B" w14:textId="77777777" w:rsidR="000C6444" w:rsidRPr="00E8018F" w:rsidRDefault="000C6444" w:rsidP="00A36664">
            <w:pPr>
              <w:rPr>
                <w:rFonts w:cs="Times New Roman"/>
                <w:b/>
                <w:bCs/>
                <w:color w:val="000000"/>
                <w:sz w:val="18"/>
                <w:szCs w:val="18"/>
              </w:rPr>
            </w:pPr>
          </w:p>
        </w:tc>
        <w:tc>
          <w:tcPr>
            <w:tcW w:w="775" w:type="dxa"/>
            <w:tcBorders>
              <w:top w:val="nil"/>
              <w:left w:val="nil"/>
              <w:bottom w:val="nil"/>
              <w:right w:val="nil"/>
            </w:tcBorders>
            <w:shd w:val="clear" w:color="auto" w:fill="auto"/>
            <w:vAlign w:val="center"/>
            <w:hideMark/>
          </w:tcPr>
          <w:p w14:paraId="6403AFD5" w14:textId="77777777" w:rsidR="000C6444" w:rsidRPr="00E8018F" w:rsidRDefault="000C6444" w:rsidP="00A36664">
            <w:pPr>
              <w:jc w:val="center"/>
              <w:rPr>
                <w:rFonts w:ascii="Times New Roman" w:hAnsi="Times New Roman" w:cs="Times New Roman"/>
                <w:sz w:val="20"/>
                <w:szCs w:val="20"/>
              </w:rPr>
            </w:pPr>
          </w:p>
        </w:tc>
        <w:tc>
          <w:tcPr>
            <w:tcW w:w="775" w:type="dxa"/>
            <w:tcBorders>
              <w:top w:val="nil"/>
              <w:left w:val="nil"/>
              <w:bottom w:val="nil"/>
              <w:right w:val="nil"/>
            </w:tcBorders>
            <w:shd w:val="clear" w:color="auto" w:fill="auto"/>
            <w:vAlign w:val="center"/>
          </w:tcPr>
          <w:p w14:paraId="7C7D64E1" w14:textId="77777777" w:rsidR="000C6444" w:rsidRPr="00E8018F" w:rsidRDefault="000C6444" w:rsidP="00A36664">
            <w:pPr>
              <w:jc w:val="center"/>
              <w:rPr>
                <w:rFonts w:ascii="Times New Roman" w:hAnsi="Times New Roman" w:cs="Times New Roman"/>
                <w:sz w:val="20"/>
                <w:szCs w:val="20"/>
              </w:rPr>
            </w:pPr>
          </w:p>
        </w:tc>
        <w:tc>
          <w:tcPr>
            <w:tcW w:w="775" w:type="dxa"/>
            <w:tcBorders>
              <w:top w:val="nil"/>
              <w:left w:val="nil"/>
              <w:bottom w:val="nil"/>
              <w:right w:val="nil"/>
            </w:tcBorders>
            <w:shd w:val="clear" w:color="auto" w:fill="auto"/>
            <w:vAlign w:val="center"/>
          </w:tcPr>
          <w:p w14:paraId="7193F828" w14:textId="77777777" w:rsidR="000C6444" w:rsidRPr="00E8018F" w:rsidRDefault="000C6444" w:rsidP="00A36664">
            <w:pPr>
              <w:jc w:val="center"/>
              <w:rPr>
                <w:rFonts w:ascii="Times New Roman" w:hAnsi="Times New Roman" w:cs="Times New Roman"/>
                <w:sz w:val="20"/>
                <w:szCs w:val="20"/>
              </w:rPr>
            </w:pPr>
          </w:p>
        </w:tc>
        <w:tc>
          <w:tcPr>
            <w:tcW w:w="775" w:type="dxa"/>
            <w:tcBorders>
              <w:top w:val="nil"/>
              <w:left w:val="nil"/>
              <w:bottom w:val="nil"/>
              <w:right w:val="nil"/>
            </w:tcBorders>
            <w:shd w:val="clear" w:color="auto" w:fill="auto"/>
            <w:noWrap/>
            <w:vAlign w:val="center"/>
          </w:tcPr>
          <w:p w14:paraId="54A41070" w14:textId="77777777" w:rsidR="000C6444" w:rsidRPr="00E8018F" w:rsidRDefault="000C6444" w:rsidP="00A36664">
            <w:pPr>
              <w:rPr>
                <w:rFonts w:ascii="Times New Roman" w:hAnsi="Times New Roman" w:cs="Times New Roman"/>
                <w:sz w:val="20"/>
                <w:szCs w:val="20"/>
              </w:rPr>
            </w:pPr>
          </w:p>
        </w:tc>
        <w:tc>
          <w:tcPr>
            <w:tcW w:w="775" w:type="dxa"/>
            <w:tcBorders>
              <w:top w:val="nil"/>
              <w:left w:val="nil"/>
              <w:bottom w:val="nil"/>
              <w:right w:val="nil"/>
            </w:tcBorders>
            <w:shd w:val="clear" w:color="auto" w:fill="auto"/>
            <w:noWrap/>
            <w:vAlign w:val="center"/>
          </w:tcPr>
          <w:p w14:paraId="351786E8" w14:textId="77777777" w:rsidR="000C6444" w:rsidRPr="00E8018F" w:rsidRDefault="000C6444" w:rsidP="00A36664">
            <w:pPr>
              <w:rPr>
                <w:rFonts w:ascii="Times New Roman" w:hAnsi="Times New Roman" w:cs="Times New Roman"/>
                <w:sz w:val="20"/>
                <w:szCs w:val="20"/>
              </w:rPr>
            </w:pPr>
          </w:p>
        </w:tc>
      </w:tr>
      <w:tr w:rsidR="000C6444" w:rsidRPr="00E8018F" w14:paraId="06C88148" w14:textId="77777777" w:rsidTr="00A36664">
        <w:trPr>
          <w:trHeight w:val="255"/>
        </w:trPr>
        <w:tc>
          <w:tcPr>
            <w:tcW w:w="4392" w:type="dxa"/>
            <w:tcBorders>
              <w:top w:val="nil"/>
              <w:left w:val="nil"/>
              <w:bottom w:val="nil"/>
              <w:right w:val="nil"/>
            </w:tcBorders>
            <w:shd w:val="clear" w:color="auto" w:fill="auto"/>
            <w:vAlign w:val="center"/>
            <w:hideMark/>
          </w:tcPr>
          <w:p w14:paraId="1554A622" w14:textId="77777777" w:rsidR="000C6444" w:rsidRPr="00E8018F" w:rsidRDefault="000C6444" w:rsidP="00A36664">
            <w:pPr>
              <w:ind w:firstLineChars="100" w:firstLine="180"/>
              <w:rPr>
                <w:rFonts w:cs="Times New Roman"/>
                <w:color w:val="000000"/>
                <w:sz w:val="18"/>
                <w:szCs w:val="18"/>
              </w:rPr>
            </w:pPr>
            <w:r w:rsidRPr="00E8018F">
              <w:rPr>
                <w:rFonts w:cs="Times New Roman"/>
                <w:color w:val="000000"/>
                <w:sz w:val="18"/>
                <w:szCs w:val="18"/>
              </w:rPr>
              <w:t xml:space="preserve">Predchádzajúca </w:t>
            </w:r>
            <w:r>
              <w:rPr>
                <w:rFonts w:cs="Times New Roman"/>
                <w:color w:val="000000"/>
                <w:sz w:val="18"/>
                <w:szCs w:val="18"/>
              </w:rPr>
              <w:t>prognóza</w:t>
            </w:r>
            <w:r w:rsidRPr="00E8018F">
              <w:rPr>
                <w:rFonts w:cs="Times New Roman"/>
                <w:color w:val="000000"/>
                <w:sz w:val="18"/>
                <w:szCs w:val="18"/>
              </w:rPr>
              <w:t>*</w:t>
            </w:r>
          </w:p>
        </w:tc>
        <w:tc>
          <w:tcPr>
            <w:tcW w:w="775" w:type="dxa"/>
            <w:tcBorders>
              <w:top w:val="nil"/>
              <w:left w:val="nil"/>
              <w:bottom w:val="nil"/>
              <w:right w:val="nil"/>
            </w:tcBorders>
            <w:shd w:val="clear" w:color="auto" w:fill="auto"/>
            <w:vAlign w:val="center"/>
            <w:hideMark/>
          </w:tcPr>
          <w:p w14:paraId="6B762763" w14:textId="77777777" w:rsidR="000C6444" w:rsidRPr="00E8018F" w:rsidRDefault="000C6444" w:rsidP="00A36664">
            <w:pPr>
              <w:ind w:firstLineChars="100" w:firstLine="180"/>
              <w:rPr>
                <w:rFonts w:cs="Times New Roman"/>
                <w:color w:val="000000"/>
                <w:sz w:val="18"/>
                <w:szCs w:val="18"/>
              </w:rPr>
            </w:pPr>
          </w:p>
        </w:tc>
        <w:tc>
          <w:tcPr>
            <w:tcW w:w="775" w:type="dxa"/>
            <w:tcBorders>
              <w:top w:val="nil"/>
              <w:left w:val="nil"/>
              <w:bottom w:val="nil"/>
              <w:right w:val="nil"/>
            </w:tcBorders>
            <w:shd w:val="clear" w:color="auto" w:fill="auto"/>
            <w:noWrap/>
            <w:vAlign w:val="center"/>
            <w:hideMark/>
          </w:tcPr>
          <w:p w14:paraId="2ED1F448"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3,3</w:t>
            </w:r>
          </w:p>
        </w:tc>
        <w:tc>
          <w:tcPr>
            <w:tcW w:w="775" w:type="dxa"/>
            <w:tcBorders>
              <w:top w:val="nil"/>
              <w:left w:val="nil"/>
              <w:bottom w:val="nil"/>
              <w:right w:val="nil"/>
            </w:tcBorders>
            <w:shd w:val="clear" w:color="auto" w:fill="auto"/>
            <w:noWrap/>
            <w:vAlign w:val="center"/>
          </w:tcPr>
          <w:p w14:paraId="4795369D"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6,3</w:t>
            </w:r>
          </w:p>
        </w:tc>
        <w:tc>
          <w:tcPr>
            <w:tcW w:w="775" w:type="dxa"/>
            <w:tcBorders>
              <w:top w:val="nil"/>
              <w:left w:val="nil"/>
              <w:bottom w:val="nil"/>
              <w:right w:val="nil"/>
            </w:tcBorders>
            <w:shd w:val="clear" w:color="auto" w:fill="auto"/>
            <w:noWrap/>
            <w:vAlign w:val="center"/>
          </w:tcPr>
          <w:p w14:paraId="425CF150"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2,8</w:t>
            </w:r>
          </w:p>
        </w:tc>
        <w:tc>
          <w:tcPr>
            <w:tcW w:w="775" w:type="dxa"/>
            <w:tcBorders>
              <w:top w:val="nil"/>
              <w:left w:val="nil"/>
              <w:bottom w:val="nil"/>
              <w:right w:val="nil"/>
            </w:tcBorders>
            <w:shd w:val="clear" w:color="auto" w:fill="auto"/>
            <w:noWrap/>
            <w:vAlign w:val="center"/>
          </w:tcPr>
          <w:p w14:paraId="02A26075"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0,3</w:t>
            </w:r>
          </w:p>
        </w:tc>
        <w:tc>
          <w:tcPr>
            <w:tcW w:w="775" w:type="dxa"/>
            <w:tcBorders>
              <w:top w:val="nil"/>
              <w:left w:val="nil"/>
              <w:bottom w:val="nil"/>
              <w:right w:val="nil"/>
            </w:tcBorders>
            <w:shd w:val="clear" w:color="auto" w:fill="auto"/>
            <w:noWrap/>
            <w:vAlign w:val="center"/>
          </w:tcPr>
          <w:p w14:paraId="2A5B2C8A" w14:textId="77777777" w:rsidR="000C6444" w:rsidRPr="00E8018F" w:rsidRDefault="000C6444" w:rsidP="00A36664">
            <w:pPr>
              <w:jc w:val="center"/>
              <w:rPr>
                <w:rFonts w:cs="Times New Roman"/>
                <w:color w:val="000000"/>
                <w:sz w:val="18"/>
                <w:szCs w:val="18"/>
              </w:rPr>
            </w:pPr>
            <w:r>
              <w:rPr>
                <w:rFonts w:cs="Times New Roman"/>
                <w:color w:val="000000"/>
                <w:sz w:val="18"/>
                <w:szCs w:val="18"/>
              </w:rPr>
              <w:t>-</w:t>
            </w:r>
          </w:p>
        </w:tc>
      </w:tr>
      <w:tr w:rsidR="000C6444" w:rsidRPr="00450D9F" w14:paraId="00CCEAB2" w14:textId="77777777" w:rsidTr="00A36664">
        <w:trPr>
          <w:trHeight w:val="255"/>
        </w:trPr>
        <w:tc>
          <w:tcPr>
            <w:tcW w:w="4392" w:type="dxa"/>
            <w:tcBorders>
              <w:top w:val="nil"/>
              <w:left w:val="nil"/>
              <w:bottom w:val="nil"/>
              <w:right w:val="nil"/>
            </w:tcBorders>
            <w:shd w:val="clear" w:color="auto" w:fill="auto"/>
            <w:vAlign w:val="center"/>
            <w:hideMark/>
          </w:tcPr>
          <w:p w14:paraId="551454C9" w14:textId="77777777" w:rsidR="000C6444" w:rsidRPr="00B6149B" w:rsidRDefault="000C6444" w:rsidP="00A36664">
            <w:pPr>
              <w:ind w:firstLineChars="100" w:firstLine="180"/>
              <w:rPr>
                <w:rFonts w:cs="Times New Roman"/>
                <w:color w:val="000000"/>
                <w:sz w:val="18"/>
                <w:szCs w:val="18"/>
              </w:rPr>
            </w:pPr>
            <w:r w:rsidRPr="00B6149B">
              <w:rPr>
                <w:rFonts w:cs="Times New Roman"/>
                <w:color w:val="000000"/>
                <w:sz w:val="18"/>
                <w:szCs w:val="18"/>
              </w:rPr>
              <w:t>Skutočnosť a súčasná aktualizácia</w:t>
            </w:r>
          </w:p>
        </w:tc>
        <w:tc>
          <w:tcPr>
            <w:tcW w:w="775" w:type="dxa"/>
            <w:tcBorders>
              <w:top w:val="nil"/>
              <w:left w:val="nil"/>
              <w:bottom w:val="nil"/>
              <w:right w:val="nil"/>
            </w:tcBorders>
            <w:shd w:val="clear" w:color="auto" w:fill="auto"/>
            <w:noWrap/>
            <w:vAlign w:val="center"/>
            <w:hideMark/>
          </w:tcPr>
          <w:p w14:paraId="0805949D" w14:textId="77777777" w:rsidR="000C6444" w:rsidRPr="00B6149B" w:rsidRDefault="000C6444" w:rsidP="00A36664">
            <w:pPr>
              <w:ind w:firstLineChars="100" w:firstLine="180"/>
              <w:rPr>
                <w:rFonts w:cs="Times New Roman"/>
                <w:color w:val="000000"/>
                <w:sz w:val="18"/>
                <w:szCs w:val="18"/>
              </w:rPr>
            </w:pPr>
          </w:p>
        </w:tc>
        <w:tc>
          <w:tcPr>
            <w:tcW w:w="775" w:type="dxa"/>
            <w:tcBorders>
              <w:top w:val="nil"/>
              <w:left w:val="nil"/>
              <w:bottom w:val="nil"/>
              <w:right w:val="nil"/>
            </w:tcBorders>
            <w:shd w:val="clear" w:color="auto" w:fill="auto"/>
            <w:vAlign w:val="center"/>
          </w:tcPr>
          <w:p w14:paraId="59230C99"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3,0</w:t>
            </w:r>
          </w:p>
        </w:tc>
        <w:tc>
          <w:tcPr>
            <w:tcW w:w="775" w:type="dxa"/>
            <w:tcBorders>
              <w:top w:val="nil"/>
              <w:left w:val="nil"/>
              <w:bottom w:val="nil"/>
              <w:right w:val="nil"/>
            </w:tcBorders>
            <w:shd w:val="clear" w:color="auto" w:fill="auto"/>
            <w:vAlign w:val="center"/>
          </w:tcPr>
          <w:p w14:paraId="30A720F3"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2,1</w:t>
            </w:r>
          </w:p>
        </w:tc>
        <w:tc>
          <w:tcPr>
            <w:tcW w:w="775" w:type="dxa"/>
            <w:tcBorders>
              <w:top w:val="nil"/>
              <w:left w:val="nil"/>
              <w:bottom w:val="nil"/>
              <w:right w:val="nil"/>
            </w:tcBorders>
            <w:shd w:val="clear" w:color="auto" w:fill="auto"/>
            <w:vAlign w:val="center"/>
          </w:tcPr>
          <w:p w14:paraId="16A7DC2D"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5,3</w:t>
            </w:r>
          </w:p>
        </w:tc>
        <w:tc>
          <w:tcPr>
            <w:tcW w:w="775" w:type="dxa"/>
            <w:tcBorders>
              <w:top w:val="nil"/>
              <w:left w:val="nil"/>
              <w:bottom w:val="nil"/>
              <w:right w:val="nil"/>
            </w:tcBorders>
            <w:shd w:val="clear" w:color="auto" w:fill="auto"/>
            <w:vAlign w:val="center"/>
          </w:tcPr>
          <w:p w14:paraId="40B67247"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1,8</w:t>
            </w:r>
          </w:p>
        </w:tc>
        <w:tc>
          <w:tcPr>
            <w:tcW w:w="775" w:type="dxa"/>
            <w:tcBorders>
              <w:top w:val="nil"/>
              <w:left w:val="nil"/>
              <w:bottom w:val="nil"/>
              <w:right w:val="nil"/>
            </w:tcBorders>
            <w:shd w:val="clear" w:color="auto" w:fill="auto"/>
            <w:vAlign w:val="center"/>
          </w:tcPr>
          <w:p w14:paraId="324AF605" w14:textId="77777777" w:rsidR="000C6444" w:rsidRPr="00B6149B" w:rsidRDefault="000C6444" w:rsidP="00A36664">
            <w:pPr>
              <w:jc w:val="center"/>
              <w:rPr>
                <w:rFonts w:cs="Times New Roman"/>
                <w:color w:val="000000"/>
                <w:sz w:val="18"/>
                <w:szCs w:val="18"/>
              </w:rPr>
            </w:pPr>
            <w:r>
              <w:rPr>
                <w:rFonts w:cs="Times New Roman"/>
                <w:color w:val="000000"/>
                <w:sz w:val="18"/>
                <w:szCs w:val="18"/>
              </w:rPr>
              <w:t>1,8</w:t>
            </w:r>
          </w:p>
        </w:tc>
      </w:tr>
      <w:tr w:rsidR="000C6444" w:rsidRPr="00450D9F" w14:paraId="1FA6F6BE" w14:textId="77777777" w:rsidTr="00A36664">
        <w:trPr>
          <w:trHeight w:val="268"/>
        </w:trPr>
        <w:tc>
          <w:tcPr>
            <w:tcW w:w="4392" w:type="dxa"/>
            <w:tcBorders>
              <w:top w:val="nil"/>
              <w:left w:val="nil"/>
              <w:bottom w:val="nil"/>
              <w:right w:val="nil"/>
            </w:tcBorders>
            <w:shd w:val="clear" w:color="auto" w:fill="auto"/>
            <w:vAlign w:val="center"/>
            <w:hideMark/>
          </w:tcPr>
          <w:p w14:paraId="50547013" w14:textId="77777777" w:rsidR="000C6444" w:rsidRPr="00B6149B" w:rsidRDefault="000C6444" w:rsidP="00A36664">
            <w:pPr>
              <w:ind w:firstLineChars="100" w:firstLine="180"/>
              <w:rPr>
                <w:rFonts w:cs="Times New Roman"/>
                <w:color w:val="000000"/>
                <w:sz w:val="18"/>
                <w:szCs w:val="18"/>
              </w:rPr>
            </w:pPr>
            <w:r w:rsidRPr="00B6149B">
              <w:rPr>
                <w:rFonts w:cs="Times New Roman"/>
                <w:color w:val="000000"/>
                <w:sz w:val="18"/>
                <w:szCs w:val="18"/>
              </w:rPr>
              <w:t>Rozdiel</w:t>
            </w:r>
          </w:p>
        </w:tc>
        <w:tc>
          <w:tcPr>
            <w:tcW w:w="775" w:type="dxa"/>
            <w:tcBorders>
              <w:top w:val="nil"/>
              <w:left w:val="nil"/>
              <w:bottom w:val="nil"/>
              <w:right w:val="nil"/>
            </w:tcBorders>
            <w:shd w:val="clear" w:color="auto" w:fill="auto"/>
            <w:vAlign w:val="center"/>
            <w:hideMark/>
          </w:tcPr>
          <w:p w14:paraId="525C78B2" w14:textId="77777777" w:rsidR="000C6444" w:rsidRPr="00B6149B" w:rsidRDefault="000C6444" w:rsidP="00A36664">
            <w:pPr>
              <w:ind w:firstLineChars="100" w:firstLine="180"/>
              <w:rPr>
                <w:rFonts w:cs="Times New Roman"/>
                <w:color w:val="000000"/>
                <w:sz w:val="18"/>
                <w:szCs w:val="18"/>
              </w:rPr>
            </w:pPr>
          </w:p>
        </w:tc>
        <w:tc>
          <w:tcPr>
            <w:tcW w:w="775" w:type="dxa"/>
            <w:tcBorders>
              <w:top w:val="nil"/>
              <w:left w:val="nil"/>
              <w:bottom w:val="nil"/>
              <w:right w:val="nil"/>
            </w:tcBorders>
            <w:shd w:val="clear" w:color="auto" w:fill="auto"/>
            <w:vAlign w:val="center"/>
            <w:hideMark/>
          </w:tcPr>
          <w:p w14:paraId="408F2A44"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-0,3</w:t>
            </w:r>
          </w:p>
        </w:tc>
        <w:tc>
          <w:tcPr>
            <w:tcW w:w="775" w:type="dxa"/>
            <w:tcBorders>
              <w:top w:val="nil"/>
              <w:left w:val="nil"/>
              <w:bottom w:val="nil"/>
              <w:right w:val="nil"/>
            </w:tcBorders>
            <w:shd w:val="clear" w:color="auto" w:fill="auto"/>
            <w:vAlign w:val="center"/>
          </w:tcPr>
          <w:p w14:paraId="4F55583B"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-4,2</w:t>
            </w:r>
          </w:p>
        </w:tc>
        <w:tc>
          <w:tcPr>
            <w:tcW w:w="775" w:type="dxa"/>
            <w:tcBorders>
              <w:top w:val="nil"/>
              <w:left w:val="nil"/>
              <w:bottom w:val="nil"/>
              <w:right w:val="nil"/>
            </w:tcBorders>
            <w:shd w:val="clear" w:color="auto" w:fill="auto"/>
            <w:vAlign w:val="center"/>
          </w:tcPr>
          <w:p w14:paraId="1826ADFF"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2,5</w:t>
            </w:r>
          </w:p>
        </w:tc>
        <w:tc>
          <w:tcPr>
            <w:tcW w:w="775" w:type="dxa"/>
            <w:tcBorders>
              <w:top w:val="nil"/>
              <w:left w:val="nil"/>
              <w:bottom w:val="nil"/>
              <w:right w:val="nil"/>
            </w:tcBorders>
            <w:shd w:val="clear" w:color="auto" w:fill="auto"/>
            <w:vAlign w:val="center"/>
          </w:tcPr>
          <w:p w14:paraId="1EEDCBF5" w14:textId="77777777" w:rsidR="000C6444" w:rsidRPr="00B6149B" w:rsidRDefault="000C6444" w:rsidP="00A36664">
            <w:pPr>
              <w:jc w:val="center"/>
              <w:rPr>
                <w:rFonts w:cs="Times New Roman"/>
                <w:color w:val="000000"/>
                <w:sz w:val="18"/>
                <w:szCs w:val="18"/>
              </w:rPr>
            </w:pPr>
            <w:r w:rsidRPr="00B6149B">
              <w:rPr>
                <w:rFonts w:cs="Times New Roman"/>
                <w:color w:val="000000"/>
                <w:sz w:val="18"/>
                <w:szCs w:val="18"/>
              </w:rPr>
              <w:t>1,5</w:t>
            </w:r>
          </w:p>
        </w:tc>
        <w:tc>
          <w:tcPr>
            <w:tcW w:w="775" w:type="dxa"/>
            <w:tcBorders>
              <w:top w:val="nil"/>
              <w:left w:val="nil"/>
              <w:bottom w:val="nil"/>
              <w:right w:val="nil"/>
            </w:tcBorders>
            <w:shd w:val="clear" w:color="auto" w:fill="auto"/>
            <w:vAlign w:val="center"/>
          </w:tcPr>
          <w:p w14:paraId="23B631F3" w14:textId="77777777" w:rsidR="000C6444" w:rsidRPr="00B6149B" w:rsidRDefault="000C6444" w:rsidP="00A36664">
            <w:pPr>
              <w:jc w:val="center"/>
              <w:rPr>
                <w:rFonts w:cs="Times New Roman"/>
                <w:color w:val="000000"/>
                <w:sz w:val="18"/>
                <w:szCs w:val="18"/>
              </w:rPr>
            </w:pPr>
            <w:r>
              <w:rPr>
                <w:rFonts w:cs="Times New Roman"/>
                <w:color w:val="000000"/>
                <w:sz w:val="18"/>
                <w:szCs w:val="18"/>
              </w:rPr>
              <w:t>-</w:t>
            </w:r>
          </w:p>
        </w:tc>
      </w:tr>
      <w:tr w:rsidR="000C6444" w:rsidRPr="00450D9F" w14:paraId="658C2FA8" w14:textId="77777777" w:rsidTr="00A36664">
        <w:trPr>
          <w:trHeight w:val="255"/>
        </w:trPr>
        <w:tc>
          <w:tcPr>
            <w:tcW w:w="4392" w:type="dxa"/>
            <w:tcBorders>
              <w:top w:val="single" w:sz="8" w:space="0" w:color="000000"/>
              <w:left w:val="nil"/>
              <w:bottom w:val="nil"/>
              <w:right w:val="nil"/>
            </w:tcBorders>
            <w:shd w:val="clear" w:color="auto" w:fill="auto"/>
            <w:noWrap/>
            <w:vAlign w:val="center"/>
            <w:hideMark/>
          </w:tcPr>
          <w:p w14:paraId="6354AB17" w14:textId="77777777" w:rsidR="000C6444" w:rsidRPr="00E8018F" w:rsidRDefault="000C6444" w:rsidP="00A36664">
            <w:pPr>
              <w:rPr>
                <w:rFonts w:cs="Times New Roman"/>
                <w:b/>
                <w:bCs/>
                <w:color w:val="000000"/>
                <w:sz w:val="18"/>
                <w:szCs w:val="18"/>
              </w:rPr>
            </w:pPr>
            <w:r w:rsidRPr="00E8018F">
              <w:rPr>
                <w:rFonts w:cs="Times New Roman"/>
                <w:b/>
                <w:bCs/>
                <w:color w:val="000000"/>
                <w:sz w:val="18"/>
                <w:szCs w:val="18"/>
              </w:rPr>
              <w:t>Saldo verejnej správy (% HDP)</w:t>
            </w:r>
          </w:p>
        </w:tc>
        <w:tc>
          <w:tcPr>
            <w:tcW w:w="775" w:type="dxa"/>
            <w:tcBorders>
              <w:top w:val="single" w:sz="8" w:space="0" w:color="000000"/>
              <w:left w:val="nil"/>
              <w:bottom w:val="nil"/>
              <w:right w:val="nil"/>
            </w:tcBorders>
            <w:shd w:val="clear" w:color="auto" w:fill="auto"/>
            <w:vAlign w:val="center"/>
            <w:hideMark/>
          </w:tcPr>
          <w:p w14:paraId="423489EA"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EDP B.9</w:t>
            </w:r>
          </w:p>
        </w:tc>
        <w:tc>
          <w:tcPr>
            <w:tcW w:w="775" w:type="dxa"/>
            <w:tcBorders>
              <w:top w:val="single" w:sz="8" w:space="0" w:color="000000"/>
              <w:left w:val="nil"/>
              <w:bottom w:val="nil"/>
              <w:right w:val="nil"/>
            </w:tcBorders>
            <w:shd w:val="clear" w:color="auto" w:fill="auto"/>
            <w:vAlign w:val="center"/>
            <w:hideMark/>
          </w:tcPr>
          <w:p w14:paraId="749BB9CF" w14:textId="77777777" w:rsidR="000C6444" w:rsidRPr="00E8018F" w:rsidRDefault="000C6444" w:rsidP="00A36664">
            <w:pPr>
              <w:jc w:val="center"/>
              <w:rPr>
                <w:rFonts w:cs="Times New Roman"/>
                <w:color w:val="000000"/>
                <w:sz w:val="18"/>
                <w:szCs w:val="18"/>
              </w:rPr>
            </w:pPr>
          </w:p>
        </w:tc>
        <w:tc>
          <w:tcPr>
            <w:tcW w:w="775" w:type="dxa"/>
            <w:tcBorders>
              <w:top w:val="single" w:sz="8" w:space="0" w:color="000000"/>
              <w:left w:val="nil"/>
              <w:bottom w:val="nil"/>
              <w:right w:val="nil"/>
            </w:tcBorders>
            <w:shd w:val="clear" w:color="auto" w:fill="auto"/>
            <w:vAlign w:val="center"/>
          </w:tcPr>
          <w:p w14:paraId="1534384E" w14:textId="77777777" w:rsidR="000C6444" w:rsidRPr="00E8018F" w:rsidRDefault="000C6444" w:rsidP="00A36664">
            <w:pPr>
              <w:jc w:val="center"/>
              <w:rPr>
                <w:rFonts w:cs="Times New Roman"/>
                <w:color w:val="000000"/>
                <w:sz w:val="18"/>
                <w:szCs w:val="18"/>
              </w:rPr>
            </w:pPr>
          </w:p>
        </w:tc>
        <w:tc>
          <w:tcPr>
            <w:tcW w:w="775" w:type="dxa"/>
            <w:tcBorders>
              <w:top w:val="single" w:sz="8" w:space="0" w:color="000000"/>
              <w:left w:val="nil"/>
              <w:bottom w:val="nil"/>
              <w:right w:val="nil"/>
            </w:tcBorders>
            <w:shd w:val="clear" w:color="auto" w:fill="auto"/>
            <w:vAlign w:val="center"/>
          </w:tcPr>
          <w:p w14:paraId="0F60D6CA" w14:textId="77777777" w:rsidR="000C6444" w:rsidRPr="00E8018F" w:rsidRDefault="000C6444" w:rsidP="00A36664">
            <w:pPr>
              <w:jc w:val="center"/>
              <w:rPr>
                <w:rFonts w:cs="Times New Roman"/>
                <w:color w:val="000000"/>
                <w:sz w:val="18"/>
                <w:szCs w:val="18"/>
              </w:rPr>
            </w:pPr>
          </w:p>
        </w:tc>
        <w:tc>
          <w:tcPr>
            <w:tcW w:w="775" w:type="dxa"/>
            <w:tcBorders>
              <w:top w:val="single" w:sz="8" w:space="0" w:color="000000"/>
              <w:left w:val="nil"/>
              <w:bottom w:val="nil"/>
              <w:right w:val="nil"/>
            </w:tcBorders>
            <w:shd w:val="clear" w:color="auto" w:fill="auto"/>
            <w:noWrap/>
            <w:vAlign w:val="center"/>
          </w:tcPr>
          <w:p w14:paraId="111CBDAE" w14:textId="77777777" w:rsidR="000C6444" w:rsidRPr="00E8018F" w:rsidRDefault="000C6444" w:rsidP="00A36664">
            <w:pPr>
              <w:jc w:val="center"/>
              <w:rPr>
                <w:rFonts w:cs="Times New Roman"/>
                <w:color w:val="000000"/>
                <w:sz w:val="18"/>
                <w:szCs w:val="18"/>
              </w:rPr>
            </w:pPr>
          </w:p>
        </w:tc>
        <w:tc>
          <w:tcPr>
            <w:tcW w:w="775" w:type="dxa"/>
            <w:tcBorders>
              <w:top w:val="single" w:sz="8" w:space="0" w:color="000000"/>
              <w:left w:val="nil"/>
              <w:bottom w:val="nil"/>
              <w:right w:val="nil"/>
            </w:tcBorders>
            <w:shd w:val="clear" w:color="auto" w:fill="auto"/>
            <w:noWrap/>
            <w:vAlign w:val="center"/>
          </w:tcPr>
          <w:p w14:paraId="16A57BD4" w14:textId="77777777" w:rsidR="000C6444" w:rsidRPr="00E8018F" w:rsidRDefault="000C6444" w:rsidP="00A36664">
            <w:pPr>
              <w:jc w:val="center"/>
              <w:rPr>
                <w:rFonts w:cs="Times New Roman"/>
                <w:color w:val="000000"/>
                <w:sz w:val="18"/>
                <w:szCs w:val="18"/>
              </w:rPr>
            </w:pPr>
          </w:p>
        </w:tc>
      </w:tr>
      <w:tr w:rsidR="000C6444" w:rsidRPr="00E8018F" w14:paraId="6F8179DE" w14:textId="77777777" w:rsidTr="00A36664">
        <w:trPr>
          <w:trHeight w:val="255"/>
        </w:trPr>
        <w:tc>
          <w:tcPr>
            <w:tcW w:w="4392" w:type="dxa"/>
            <w:tcBorders>
              <w:top w:val="nil"/>
              <w:left w:val="nil"/>
              <w:bottom w:val="nil"/>
              <w:right w:val="nil"/>
            </w:tcBorders>
            <w:shd w:val="clear" w:color="auto" w:fill="auto"/>
            <w:vAlign w:val="center"/>
            <w:hideMark/>
          </w:tcPr>
          <w:p w14:paraId="4E0D3059" w14:textId="77777777" w:rsidR="000C6444" w:rsidRPr="00E8018F" w:rsidRDefault="000C6444" w:rsidP="00A36664">
            <w:pPr>
              <w:ind w:firstLineChars="100" w:firstLine="180"/>
              <w:rPr>
                <w:rFonts w:cs="Times New Roman"/>
                <w:color w:val="000000"/>
                <w:sz w:val="18"/>
                <w:szCs w:val="18"/>
              </w:rPr>
            </w:pPr>
            <w:r w:rsidRPr="00E8018F">
              <w:rPr>
                <w:rFonts w:cs="Times New Roman"/>
                <w:color w:val="000000"/>
                <w:sz w:val="18"/>
                <w:szCs w:val="18"/>
              </w:rPr>
              <w:t xml:space="preserve">Predchádzajúca </w:t>
            </w:r>
            <w:r>
              <w:rPr>
                <w:rFonts w:cs="Times New Roman"/>
                <w:color w:val="000000"/>
                <w:sz w:val="18"/>
                <w:szCs w:val="18"/>
              </w:rPr>
              <w:t>prognóza</w:t>
            </w:r>
            <w:r w:rsidRPr="00E8018F">
              <w:rPr>
                <w:rFonts w:cs="Times New Roman"/>
                <w:color w:val="000000"/>
                <w:sz w:val="18"/>
                <w:szCs w:val="18"/>
              </w:rPr>
              <w:t>*</w:t>
            </w:r>
          </w:p>
        </w:tc>
        <w:tc>
          <w:tcPr>
            <w:tcW w:w="775" w:type="dxa"/>
            <w:tcBorders>
              <w:top w:val="nil"/>
              <w:left w:val="nil"/>
              <w:bottom w:val="nil"/>
              <w:right w:val="nil"/>
            </w:tcBorders>
            <w:shd w:val="clear" w:color="auto" w:fill="auto"/>
            <w:noWrap/>
            <w:vAlign w:val="center"/>
            <w:hideMark/>
          </w:tcPr>
          <w:p w14:paraId="6B04AAE2" w14:textId="77777777" w:rsidR="000C6444" w:rsidRPr="00E8018F" w:rsidRDefault="000C6444" w:rsidP="00A36664">
            <w:pPr>
              <w:ind w:firstLineChars="100" w:firstLine="180"/>
              <w:rPr>
                <w:rFonts w:cs="Times New Roman"/>
                <w:color w:val="000000"/>
                <w:sz w:val="18"/>
                <w:szCs w:val="18"/>
              </w:rPr>
            </w:pPr>
          </w:p>
        </w:tc>
        <w:tc>
          <w:tcPr>
            <w:tcW w:w="775" w:type="dxa"/>
            <w:tcBorders>
              <w:top w:val="nil"/>
              <w:left w:val="nil"/>
              <w:bottom w:val="nil"/>
              <w:right w:val="nil"/>
            </w:tcBorders>
            <w:shd w:val="clear" w:color="auto" w:fill="auto"/>
            <w:noWrap/>
            <w:vAlign w:val="center"/>
            <w:hideMark/>
          </w:tcPr>
          <w:p w14:paraId="2D1C972A"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-9,9</w:t>
            </w:r>
          </w:p>
        </w:tc>
        <w:tc>
          <w:tcPr>
            <w:tcW w:w="775" w:type="dxa"/>
            <w:tcBorders>
              <w:top w:val="nil"/>
              <w:left w:val="nil"/>
              <w:bottom w:val="nil"/>
              <w:right w:val="nil"/>
            </w:tcBorders>
            <w:shd w:val="clear" w:color="auto" w:fill="auto"/>
            <w:noWrap/>
            <w:vAlign w:val="center"/>
          </w:tcPr>
          <w:p w14:paraId="3CDFF1DC"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-5,1</w:t>
            </w:r>
          </w:p>
        </w:tc>
        <w:tc>
          <w:tcPr>
            <w:tcW w:w="775" w:type="dxa"/>
            <w:tcBorders>
              <w:top w:val="nil"/>
              <w:left w:val="nil"/>
              <w:bottom w:val="nil"/>
              <w:right w:val="nil"/>
            </w:tcBorders>
            <w:shd w:val="clear" w:color="auto" w:fill="auto"/>
            <w:noWrap/>
            <w:vAlign w:val="center"/>
          </w:tcPr>
          <w:p w14:paraId="764E6953"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-4,1</w:t>
            </w:r>
          </w:p>
        </w:tc>
        <w:tc>
          <w:tcPr>
            <w:tcW w:w="775" w:type="dxa"/>
            <w:tcBorders>
              <w:top w:val="nil"/>
              <w:left w:val="nil"/>
              <w:bottom w:val="nil"/>
              <w:right w:val="nil"/>
            </w:tcBorders>
            <w:shd w:val="clear" w:color="auto" w:fill="auto"/>
            <w:noWrap/>
            <w:vAlign w:val="center"/>
          </w:tcPr>
          <w:p w14:paraId="392B7E47"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-3,8</w:t>
            </w:r>
          </w:p>
        </w:tc>
        <w:tc>
          <w:tcPr>
            <w:tcW w:w="775" w:type="dxa"/>
            <w:tcBorders>
              <w:top w:val="nil"/>
              <w:left w:val="nil"/>
              <w:bottom w:val="nil"/>
              <w:right w:val="nil"/>
            </w:tcBorders>
            <w:shd w:val="clear" w:color="auto" w:fill="auto"/>
            <w:noWrap/>
            <w:vAlign w:val="center"/>
          </w:tcPr>
          <w:p w14:paraId="54983DA3" w14:textId="77777777" w:rsidR="000C6444" w:rsidRPr="00E8018F" w:rsidRDefault="000C6444" w:rsidP="00A36664">
            <w:pPr>
              <w:jc w:val="center"/>
              <w:rPr>
                <w:rFonts w:cs="Times New Roman"/>
                <w:color w:val="000000"/>
                <w:sz w:val="18"/>
                <w:szCs w:val="18"/>
              </w:rPr>
            </w:pPr>
            <w:r>
              <w:rPr>
                <w:rFonts w:cs="Times New Roman"/>
                <w:color w:val="000000"/>
                <w:sz w:val="18"/>
                <w:szCs w:val="18"/>
              </w:rPr>
              <w:t>-</w:t>
            </w:r>
          </w:p>
        </w:tc>
      </w:tr>
      <w:tr w:rsidR="003B4B8A" w:rsidRPr="00450D9F" w14:paraId="5E7D44C5" w14:textId="77777777" w:rsidTr="00A36664">
        <w:trPr>
          <w:trHeight w:val="255"/>
        </w:trPr>
        <w:tc>
          <w:tcPr>
            <w:tcW w:w="4392" w:type="dxa"/>
            <w:tcBorders>
              <w:top w:val="nil"/>
              <w:left w:val="nil"/>
              <w:bottom w:val="nil"/>
              <w:right w:val="nil"/>
            </w:tcBorders>
            <w:shd w:val="clear" w:color="auto" w:fill="auto"/>
            <w:vAlign w:val="center"/>
            <w:hideMark/>
          </w:tcPr>
          <w:p w14:paraId="552D29D1" w14:textId="52ADE48F" w:rsidR="003B4B8A" w:rsidRPr="00636109" w:rsidRDefault="003B4B8A" w:rsidP="003B4B8A">
            <w:pPr>
              <w:ind w:firstLineChars="100" w:firstLine="180"/>
              <w:rPr>
                <w:rFonts w:cs="Times New Roman"/>
                <w:color w:val="000000"/>
                <w:sz w:val="18"/>
                <w:szCs w:val="18"/>
              </w:rPr>
            </w:pPr>
            <w:r w:rsidRPr="00636109">
              <w:rPr>
                <w:rFonts w:cs="Times New Roman"/>
                <w:color w:val="000000"/>
                <w:sz w:val="18"/>
                <w:szCs w:val="18"/>
              </w:rPr>
              <w:t>Skutočnosť a súčasná aktualizácia</w:t>
            </w:r>
            <w:r w:rsidR="004F4FDF">
              <w:rPr>
                <w:rFonts w:cs="Times New Roman"/>
                <w:color w:val="000000"/>
                <w:sz w:val="18"/>
                <w:szCs w:val="18"/>
              </w:rPr>
              <w:t>**</w:t>
            </w:r>
          </w:p>
        </w:tc>
        <w:tc>
          <w:tcPr>
            <w:tcW w:w="775" w:type="dxa"/>
            <w:tcBorders>
              <w:top w:val="nil"/>
              <w:left w:val="nil"/>
              <w:bottom w:val="nil"/>
              <w:right w:val="nil"/>
            </w:tcBorders>
            <w:shd w:val="clear" w:color="auto" w:fill="auto"/>
            <w:noWrap/>
            <w:vAlign w:val="center"/>
            <w:hideMark/>
          </w:tcPr>
          <w:p w14:paraId="40AA0D9E" w14:textId="77777777" w:rsidR="003B4B8A" w:rsidRPr="00450D9F" w:rsidRDefault="003B4B8A" w:rsidP="003B4B8A">
            <w:pPr>
              <w:ind w:firstLineChars="100" w:firstLine="180"/>
              <w:rPr>
                <w:rFonts w:cs="Times New Roman"/>
                <w:color w:val="000000"/>
                <w:sz w:val="18"/>
                <w:szCs w:val="18"/>
                <w:highlight w:val="yellow"/>
              </w:rPr>
            </w:pPr>
          </w:p>
        </w:tc>
        <w:tc>
          <w:tcPr>
            <w:tcW w:w="775" w:type="dxa"/>
            <w:tcBorders>
              <w:top w:val="nil"/>
              <w:left w:val="nil"/>
              <w:bottom w:val="nil"/>
              <w:right w:val="nil"/>
            </w:tcBorders>
            <w:shd w:val="clear" w:color="auto" w:fill="auto"/>
            <w:noWrap/>
            <w:vAlign w:val="center"/>
          </w:tcPr>
          <w:p w14:paraId="56D9464E" w14:textId="69FB4762" w:rsidR="003B4B8A" w:rsidRPr="00B6149B" w:rsidRDefault="003B4B8A" w:rsidP="003B4B8A">
            <w:pPr>
              <w:jc w:val="center"/>
              <w:rPr>
                <w:rFonts w:cs="Times New Roman"/>
                <w:color w:val="000000"/>
                <w:sz w:val="18"/>
                <w:szCs w:val="18"/>
              </w:rPr>
            </w:pPr>
            <w:r>
              <w:rPr>
                <w:color w:val="000000"/>
                <w:sz w:val="18"/>
                <w:szCs w:val="18"/>
              </w:rPr>
              <w:t>-6,2</w:t>
            </w:r>
          </w:p>
        </w:tc>
        <w:tc>
          <w:tcPr>
            <w:tcW w:w="775" w:type="dxa"/>
            <w:tcBorders>
              <w:top w:val="nil"/>
              <w:left w:val="nil"/>
              <w:bottom w:val="nil"/>
              <w:right w:val="nil"/>
            </w:tcBorders>
            <w:shd w:val="clear" w:color="auto" w:fill="auto"/>
            <w:noWrap/>
            <w:vAlign w:val="center"/>
          </w:tcPr>
          <w:p w14:paraId="686B0B5B" w14:textId="5EEC9C70" w:rsidR="003B4B8A" w:rsidRPr="004763F5" w:rsidRDefault="003B4B8A" w:rsidP="003B4B8A">
            <w:pPr>
              <w:jc w:val="center"/>
              <w:rPr>
                <w:rFonts w:cs="Times New Roman"/>
                <w:color w:val="000000"/>
                <w:sz w:val="18"/>
                <w:szCs w:val="18"/>
                <w:highlight w:val="red"/>
              </w:rPr>
            </w:pPr>
            <w:r>
              <w:rPr>
                <w:rFonts w:cs="Calibri"/>
                <w:color w:val="000000"/>
                <w:sz w:val="18"/>
                <w:szCs w:val="18"/>
              </w:rPr>
              <w:t>-5,1</w:t>
            </w:r>
          </w:p>
        </w:tc>
        <w:tc>
          <w:tcPr>
            <w:tcW w:w="775" w:type="dxa"/>
            <w:tcBorders>
              <w:top w:val="nil"/>
              <w:left w:val="nil"/>
              <w:bottom w:val="nil"/>
              <w:right w:val="nil"/>
            </w:tcBorders>
            <w:shd w:val="clear" w:color="auto" w:fill="auto"/>
            <w:noWrap/>
            <w:vAlign w:val="center"/>
          </w:tcPr>
          <w:p w14:paraId="6D9F86E9" w14:textId="585616A1" w:rsidR="003B4B8A" w:rsidRPr="004763F5" w:rsidRDefault="008D108E" w:rsidP="003B4B8A">
            <w:pPr>
              <w:jc w:val="center"/>
              <w:rPr>
                <w:rFonts w:cs="Times New Roman"/>
                <w:color w:val="000000"/>
                <w:sz w:val="18"/>
                <w:szCs w:val="18"/>
                <w:highlight w:val="red"/>
              </w:rPr>
            </w:pPr>
            <w:r>
              <w:rPr>
                <w:rFonts w:cs="Calibri"/>
                <w:color w:val="000000"/>
                <w:sz w:val="18"/>
                <w:szCs w:val="18"/>
              </w:rPr>
              <w:t>-2,5</w:t>
            </w:r>
          </w:p>
        </w:tc>
        <w:tc>
          <w:tcPr>
            <w:tcW w:w="775" w:type="dxa"/>
            <w:tcBorders>
              <w:top w:val="nil"/>
              <w:left w:val="nil"/>
              <w:bottom w:val="nil"/>
              <w:right w:val="nil"/>
            </w:tcBorders>
            <w:shd w:val="clear" w:color="auto" w:fill="auto"/>
            <w:noWrap/>
            <w:vAlign w:val="center"/>
          </w:tcPr>
          <w:p w14:paraId="1C078538" w14:textId="538FB208" w:rsidR="003B4B8A" w:rsidRPr="004763F5" w:rsidRDefault="008D108E" w:rsidP="003B4B8A">
            <w:pPr>
              <w:jc w:val="center"/>
              <w:rPr>
                <w:rFonts w:cs="Times New Roman"/>
                <w:color w:val="000000"/>
                <w:sz w:val="18"/>
                <w:szCs w:val="18"/>
                <w:highlight w:val="red"/>
              </w:rPr>
            </w:pPr>
            <w:r>
              <w:rPr>
                <w:rFonts w:cs="Calibri"/>
                <w:color w:val="000000"/>
                <w:sz w:val="18"/>
                <w:szCs w:val="18"/>
              </w:rPr>
              <w:t>-2,5</w:t>
            </w:r>
          </w:p>
        </w:tc>
        <w:tc>
          <w:tcPr>
            <w:tcW w:w="775" w:type="dxa"/>
            <w:tcBorders>
              <w:top w:val="nil"/>
              <w:left w:val="nil"/>
              <w:bottom w:val="nil"/>
              <w:right w:val="nil"/>
            </w:tcBorders>
            <w:shd w:val="clear" w:color="auto" w:fill="auto"/>
            <w:noWrap/>
            <w:vAlign w:val="center"/>
          </w:tcPr>
          <w:p w14:paraId="678E7076" w14:textId="0186C0BB" w:rsidR="003B4B8A" w:rsidRPr="004763F5" w:rsidRDefault="008D108E" w:rsidP="003B4B8A">
            <w:pPr>
              <w:jc w:val="center"/>
              <w:rPr>
                <w:rFonts w:cs="Times New Roman"/>
                <w:color w:val="000000"/>
                <w:sz w:val="18"/>
                <w:szCs w:val="18"/>
                <w:highlight w:val="red"/>
              </w:rPr>
            </w:pPr>
            <w:r>
              <w:rPr>
                <w:rFonts w:cs="Calibri"/>
                <w:color w:val="000000"/>
                <w:sz w:val="18"/>
                <w:szCs w:val="18"/>
              </w:rPr>
              <w:t>-2,2</w:t>
            </w:r>
          </w:p>
        </w:tc>
      </w:tr>
      <w:tr w:rsidR="003B4B8A" w:rsidRPr="00450D9F" w14:paraId="76FDABB4" w14:textId="77777777" w:rsidTr="00A36664">
        <w:trPr>
          <w:trHeight w:val="268"/>
        </w:trPr>
        <w:tc>
          <w:tcPr>
            <w:tcW w:w="4392" w:type="dxa"/>
            <w:tcBorders>
              <w:top w:val="nil"/>
              <w:left w:val="nil"/>
              <w:bottom w:val="single" w:sz="8" w:space="0" w:color="auto"/>
              <w:right w:val="nil"/>
            </w:tcBorders>
            <w:shd w:val="clear" w:color="auto" w:fill="auto"/>
            <w:vAlign w:val="center"/>
            <w:hideMark/>
          </w:tcPr>
          <w:p w14:paraId="06C4149C" w14:textId="77777777" w:rsidR="003B4B8A" w:rsidRPr="00636109" w:rsidRDefault="003B4B8A" w:rsidP="003B4B8A">
            <w:pPr>
              <w:ind w:firstLineChars="100" w:firstLine="180"/>
              <w:rPr>
                <w:rFonts w:cs="Times New Roman"/>
                <w:color w:val="000000"/>
                <w:sz w:val="18"/>
                <w:szCs w:val="18"/>
              </w:rPr>
            </w:pPr>
            <w:r w:rsidRPr="00636109">
              <w:rPr>
                <w:rFonts w:cs="Times New Roman"/>
                <w:color w:val="000000"/>
                <w:sz w:val="18"/>
                <w:szCs w:val="18"/>
              </w:rPr>
              <w:t>Rozdiel</w:t>
            </w:r>
          </w:p>
        </w:tc>
        <w:tc>
          <w:tcPr>
            <w:tcW w:w="775" w:type="dxa"/>
            <w:tcBorders>
              <w:top w:val="nil"/>
              <w:left w:val="nil"/>
              <w:bottom w:val="single" w:sz="8" w:space="0" w:color="auto"/>
              <w:right w:val="nil"/>
            </w:tcBorders>
            <w:shd w:val="clear" w:color="auto" w:fill="auto"/>
            <w:vAlign w:val="center"/>
            <w:hideMark/>
          </w:tcPr>
          <w:p w14:paraId="2B574C63" w14:textId="77777777" w:rsidR="003B4B8A" w:rsidRPr="00636109" w:rsidRDefault="003B4B8A" w:rsidP="003B4B8A">
            <w:pPr>
              <w:jc w:val="center"/>
              <w:rPr>
                <w:rFonts w:cs="Times New Roman"/>
                <w:color w:val="000000"/>
                <w:sz w:val="18"/>
                <w:szCs w:val="18"/>
              </w:rPr>
            </w:pPr>
            <w:r w:rsidRPr="00636109">
              <w:rPr>
                <w:rFonts w:cs="Times New Roman"/>
                <w:color w:val="000000"/>
                <w:sz w:val="18"/>
                <w:szCs w:val="18"/>
              </w:rPr>
              <w:t> </w:t>
            </w:r>
          </w:p>
        </w:tc>
        <w:tc>
          <w:tcPr>
            <w:tcW w:w="775" w:type="dxa"/>
            <w:tcBorders>
              <w:top w:val="nil"/>
              <w:left w:val="nil"/>
              <w:bottom w:val="single" w:sz="8" w:space="0" w:color="auto"/>
              <w:right w:val="nil"/>
            </w:tcBorders>
            <w:shd w:val="clear" w:color="auto" w:fill="auto"/>
            <w:vAlign w:val="center"/>
          </w:tcPr>
          <w:p w14:paraId="4F1A2FC8" w14:textId="04AA0AAF" w:rsidR="003B4B8A" w:rsidRPr="00636109" w:rsidRDefault="003B4B8A" w:rsidP="003B4B8A">
            <w:pPr>
              <w:jc w:val="center"/>
              <w:rPr>
                <w:rFonts w:cs="Times New Roman"/>
                <w:color w:val="000000"/>
                <w:sz w:val="18"/>
                <w:szCs w:val="18"/>
              </w:rPr>
            </w:pPr>
            <w:r w:rsidRPr="003B4B8A">
              <w:rPr>
                <w:rFonts w:cs="Calibri"/>
                <w:color w:val="000000"/>
                <w:sz w:val="18"/>
                <w:szCs w:val="18"/>
              </w:rPr>
              <w:t>3,7</w:t>
            </w:r>
          </w:p>
        </w:tc>
        <w:tc>
          <w:tcPr>
            <w:tcW w:w="775" w:type="dxa"/>
            <w:tcBorders>
              <w:top w:val="nil"/>
              <w:left w:val="nil"/>
              <w:bottom w:val="single" w:sz="8" w:space="0" w:color="auto"/>
              <w:right w:val="nil"/>
            </w:tcBorders>
            <w:shd w:val="clear" w:color="auto" w:fill="auto"/>
            <w:vAlign w:val="center"/>
          </w:tcPr>
          <w:p w14:paraId="3AA7DFE0" w14:textId="0A689C3E" w:rsidR="003B4B8A" w:rsidRPr="004763F5" w:rsidRDefault="003B4B8A" w:rsidP="003B4B8A">
            <w:pPr>
              <w:jc w:val="center"/>
              <w:rPr>
                <w:rFonts w:cs="Times New Roman"/>
                <w:color w:val="000000"/>
                <w:sz w:val="18"/>
                <w:szCs w:val="18"/>
                <w:highlight w:val="red"/>
              </w:rPr>
            </w:pPr>
            <w:r>
              <w:rPr>
                <w:rFonts w:cs="Calibri"/>
                <w:color w:val="000000"/>
                <w:sz w:val="18"/>
                <w:szCs w:val="18"/>
              </w:rPr>
              <w:t>0</w:t>
            </w:r>
          </w:p>
        </w:tc>
        <w:tc>
          <w:tcPr>
            <w:tcW w:w="775" w:type="dxa"/>
            <w:tcBorders>
              <w:top w:val="nil"/>
              <w:left w:val="nil"/>
              <w:bottom w:val="single" w:sz="8" w:space="0" w:color="auto"/>
              <w:right w:val="nil"/>
            </w:tcBorders>
            <w:shd w:val="clear" w:color="auto" w:fill="auto"/>
            <w:vAlign w:val="center"/>
          </w:tcPr>
          <w:p w14:paraId="55447482" w14:textId="3E31823A" w:rsidR="003B4B8A" w:rsidRPr="004763F5" w:rsidRDefault="008D108E" w:rsidP="003B4B8A">
            <w:pPr>
              <w:jc w:val="center"/>
              <w:rPr>
                <w:rFonts w:cs="Times New Roman"/>
                <w:color w:val="000000"/>
                <w:sz w:val="18"/>
                <w:szCs w:val="18"/>
                <w:highlight w:val="red"/>
              </w:rPr>
            </w:pPr>
            <w:r>
              <w:rPr>
                <w:rFonts w:cs="Calibri"/>
                <w:color w:val="000000"/>
                <w:sz w:val="18"/>
                <w:szCs w:val="18"/>
              </w:rPr>
              <w:t>1,6</w:t>
            </w:r>
          </w:p>
        </w:tc>
        <w:tc>
          <w:tcPr>
            <w:tcW w:w="775" w:type="dxa"/>
            <w:tcBorders>
              <w:top w:val="nil"/>
              <w:left w:val="nil"/>
              <w:bottom w:val="single" w:sz="8" w:space="0" w:color="auto"/>
              <w:right w:val="nil"/>
            </w:tcBorders>
            <w:shd w:val="clear" w:color="auto" w:fill="auto"/>
            <w:vAlign w:val="center"/>
          </w:tcPr>
          <w:p w14:paraId="3E367ACA" w14:textId="76460A45" w:rsidR="003B4B8A" w:rsidRPr="004763F5" w:rsidRDefault="008D108E" w:rsidP="003B4B8A">
            <w:pPr>
              <w:jc w:val="center"/>
              <w:rPr>
                <w:rFonts w:cs="Times New Roman"/>
                <w:color w:val="000000"/>
                <w:sz w:val="18"/>
                <w:szCs w:val="18"/>
                <w:highlight w:val="red"/>
              </w:rPr>
            </w:pPr>
            <w:r>
              <w:rPr>
                <w:rFonts w:cs="Calibri"/>
                <w:color w:val="000000"/>
                <w:sz w:val="18"/>
                <w:szCs w:val="18"/>
              </w:rPr>
              <w:t>1,3</w:t>
            </w:r>
          </w:p>
        </w:tc>
        <w:tc>
          <w:tcPr>
            <w:tcW w:w="775" w:type="dxa"/>
            <w:tcBorders>
              <w:top w:val="nil"/>
              <w:left w:val="nil"/>
              <w:bottom w:val="single" w:sz="8" w:space="0" w:color="auto"/>
              <w:right w:val="nil"/>
            </w:tcBorders>
            <w:shd w:val="clear" w:color="auto" w:fill="auto"/>
            <w:vAlign w:val="center"/>
          </w:tcPr>
          <w:p w14:paraId="4B116FDF" w14:textId="0228528C" w:rsidR="003B4B8A" w:rsidRPr="004763F5" w:rsidRDefault="003B4B8A" w:rsidP="003B4B8A">
            <w:pPr>
              <w:jc w:val="center"/>
              <w:rPr>
                <w:rFonts w:cs="Times New Roman"/>
                <w:color w:val="000000"/>
                <w:sz w:val="18"/>
                <w:szCs w:val="18"/>
                <w:highlight w:val="red"/>
              </w:rPr>
            </w:pPr>
            <w:r>
              <w:rPr>
                <w:rFonts w:cs="Calibri"/>
                <w:color w:val="000000"/>
                <w:sz w:val="18"/>
                <w:szCs w:val="18"/>
              </w:rPr>
              <w:t>-</w:t>
            </w:r>
          </w:p>
        </w:tc>
      </w:tr>
      <w:tr w:rsidR="000C6444" w:rsidRPr="00450D9F" w14:paraId="565C81E7" w14:textId="77777777" w:rsidTr="00A36664">
        <w:trPr>
          <w:trHeight w:val="255"/>
        </w:trPr>
        <w:tc>
          <w:tcPr>
            <w:tcW w:w="4392" w:type="dxa"/>
            <w:tcBorders>
              <w:top w:val="nil"/>
              <w:left w:val="nil"/>
              <w:bottom w:val="nil"/>
              <w:right w:val="nil"/>
            </w:tcBorders>
            <w:shd w:val="clear" w:color="auto" w:fill="auto"/>
            <w:vAlign w:val="center"/>
            <w:hideMark/>
          </w:tcPr>
          <w:p w14:paraId="7CB11598" w14:textId="77777777" w:rsidR="000C6444" w:rsidRPr="00E8018F" w:rsidRDefault="000C6444" w:rsidP="00A36664">
            <w:pPr>
              <w:rPr>
                <w:rFonts w:cs="Times New Roman"/>
                <w:b/>
                <w:bCs/>
                <w:color w:val="000000"/>
                <w:sz w:val="18"/>
                <w:szCs w:val="18"/>
              </w:rPr>
            </w:pPr>
            <w:r w:rsidRPr="00E8018F">
              <w:rPr>
                <w:rFonts w:cs="Times New Roman"/>
                <w:b/>
                <w:bCs/>
                <w:color w:val="000000"/>
                <w:sz w:val="18"/>
                <w:szCs w:val="18"/>
              </w:rPr>
              <w:t>Hrubý dlh verejnej správy (% HDP)</w:t>
            </w:r>
          </w:p>
        </w:tc>
        <w:tc>
          <w:tcPr>
            <w:tcW w:w="775" w:type="dxa"/>
            <w:tcBorders>
              <w:top w:val="nil"/>
              <w:left w:val="nil"/>
              <w:bottom w:val="nil"/>
              <w:right w:val="nil"/>
            </w:tcBorders>
            <w:shd w:val="clear" w:color="auto" w:fill="auto"/>
            <w:vAlign w:val="center"/>
            <w:hideMark/>
          </w:tcPr>
          <w:p w14:paraId="30965624" w14:textId="77777777" w:rsidR="000C6444" w:rsidRPr="00E8018F" w:rsidRDefault="000C6444" w:rsidP="00A36664">
            <w:pPr>
              <w:rPr>
                <w:rFonts w:cs="Times New Roman"/>
                <w:b/>
                <w:bCs/>
                <w:color w:val="000000"/>
                <w:sz w:val="18"/>
                <w:szCs w:val="18"/>
              </w:rPr>
            </w:pPr>
          </w:p>
        </w:tc>
        <w:tc>
          <w:tcPr>
            <w:tcW w:w="775" w:type="dxa"/>
            <w:tcBorders>
              <w:top w:val="nil"/>
              <w:left w:val="nil"/>
              <w:bottom w:val="nil"/>
              <w:right w:val="nil"/>
            </w:tcBorders>
            <w:shd w:val="clear" w:color="auto" w:fill="auto"/>
            <w:vAlign w:val="center"/>
            <w:hideMark/>
          </w:tcPr>
          <w:p w14:paraId="1273688A" w14:textId="77777777" w:rsidR="000C6444" w:rsidRPr="00E8018F" w:rsidRDefault="000C6444" w:rsidP="00A36664">
            <w:pPr>
              <w:jc w:val="center"/>
              <w:rPr>
                <w:rFonts w:ascii="Times New Roman" w:hAnsi="Times New Roman" w:cs="Times New Roman"/>
                <w:sz w:val="20"/>
                <w:szCs w:val="20"/>
              </w:rPr>
            </w:pPr>
          </w:p>
        </w:tc>
        <w:tc>
          <w:tcPr>
            <w:tcW w:w="775" w:type="dxa"/>
            <w:tcBorders>
              <w:top w:val="nil"/>
              <w:left w:val="nil"/>
              <w:bottom w:val="nil"/>
              <w:right w:val="nil"/>
            </w:tcBorders>
            <w:shd w:val="clear" w:color="auto" w:fill="auto"/>
            <w:vAlign w:val="center"/>
          </w:tcPr>
          <w:p w14:paraId="707E3838" w14:textId="77777777" w:rsidR="000C6444" w:rsidRPr="00E8018F" w:rsidRDefault="000C6444" w:rsidP="00A36664">
            <w:pPr>
              <w:jc w:val="center"/>
              <w:rPr>
                <w:rFonts w:ascii="Times New Roman" w:hAnsi="Times New Roman" w:cs="Times New Roman"/>
                <w:sz w:val="20"/>
                <w:szCs w:val="20"/>
              </w:rPr>
            </w:pPr>
          </w:p>
        </w:tc>
        <w:tc>
          <w:tcPr>
            <w:tcW w:w="775" w:type="dxa"/>
            <w:tcBorders>
              <w:top w:val="nil"/>
              <w:left w:val="nil"/>
              <w:bottom w:val="nil"/>
              <w:right w:val="nil"/>
            </w:tcBorders>
            <w:shd w:val="clear" w:color="auto" w:fill="auto"/>
            <w:vAlign w:val="center"/>
          </w:tcPr>
          <w:p w14:paraId="353F9E20" w14:textId="77777777" w:rsidR="000C6444" w:rsidRPr="00E8018F" w:rsidRDefault="000C6444" w:rsidP="00A36664">
            <w:pPr>
              <w:jc w:val="center"/>
              <w:rPr>
                <w:rFonts w:ascii="Times New Roman" w:hAnsi="Times New Roman" w:cs="Times New Roman"/>
                <w:sz w:val="20"/>
                <w:szCs w:val="20"/>
              </w:rPr>
            </w:pPr>
          </w:p>
        </w:tc>
        <w:tc>
          <w:tcPr>
            <w:tcW w:w="775" w:type="dxa"/>
            <w:tcBorders>
              <w:top w:val="nil"/>
              <w:left w:val="nil"/>
              <w:bottom w:val="nil"/>
              <w:right w:val="nil"/>
            </w:tcBorders>
            <w:shd w:val="clear" w:color="auto" w:fill="auto"/>
            <w:noWrap/>
            <w:vAlign w:val="center"/>
          </w:tcPr>
          <w:p w14:paraId="64A20D1C" w14:textId="77777777" w:rsidR="000C6444" w:rsidRPr="00E8018F" w:rsidRDefault="000C6444" w:rsidP="00A36664">
            <w:pPr>
              <w:jc w:val="center"/>
              <w:rPr>
                <w:rFonts w:ascii="Times New Roman" w:hAnsi="Times New Roman" w:cs="Times New Roman"/>
                <w:sz w:val="20"/>
                <w:szCs w:val="20"/>
              </w:rPr>
            </w:pPr>
          </w:p>
        </w:tc>
        <w:tc>
          <w:tcPr>
            <w:tcW w:w="775" w:type="dxa"/>
            <w:tcBorders>
              <w:top w:val="nil"/>
              <w:left w:val="nil"/>
              <w:bottom w:val="nil"/>
              <w:right w:val="nil"/>
            </w:tcBorders>
            <w:shd w:val="clear" w:color="auto" w:fill="auto"/>
            <w:noWrap/>
            <w:vAlign w:val="center"/>
          </w:tcPr>
          <w:p w14:paraId="37DDE30F" w14:textId="77777777" w:rsidR="000C6444" w:rsidRPr="00E8018F" w:rsidRDefault="000C6444" w:rsidP="00A36664">
            <w:pPr>
              <w:jc w:val="center"/>
              <w:rPr>
                <w:rFonts w:ascii="Times New Roman" w:hAnsi="Times New Roman" w:cs="Times New Roman"/>
                <w:sz w:val="20"/>
                <w:szCs w:val="20"/>
              </w:rPr>
            </w:pPr>
          </w:p>
        </w:tc>
      </w:tr>
      <w:tr w:rsidR="000C6444" w:rsidRPr="00450D9F" w14:paraId="320D99C8" w14:textId="77777777" w:rsidTr="00A36664">
        <w:trPr>
          <w:trHeight w:val="255"/>
        </w:trPr>
        <w:tc>
          <w:tcPr>
            <w:tcW w:w="4392" w:type="dxa"/>
            <w:tcBorders>
              <w:top w:val="nil"/>
              <w:left w:val="nil"/>
              <w:bottom w:val="nil"/>
              <w:right w:val="nil"/>
            </w:tcBorders>
            <w:shd w:val="clear" w:color="auto" w:fill="auto"/>
            <w:vAlign w:val="center"/>
            <w:hideMark/>
          </w:tcPr>
          <w:p w14:paraId="35F05163" w14:textId="77777777" w:rsidR="000C6444" w:rsidRPr="00E8018F" w:rsidRDefault="000C6444" w:rsidP="00A36664">
            <w:pPr>
              <w:ind w:firstLineChars="100" w:firstLine="180"/>
              <w:rPr>
                <w:rFonts w:cs="Times New Roman"/>
                <w:color w:val="000000"/>
                <w:sz w:val="18"/>
                <w:szCs w:val="18"/>
              </w:rPr>
            </w:pPr>
            <w:r w:rsidRPr="00E8018F">
              <w:rPr>
                <w:rFonts w:cs="Times New Roman"/>
                <w:color w:val="000000"/>
                <w:sz w:val="18"/>
                <w:szCs w:val="18"/>
              </w:rPr>
              <w:t xml:space="preserve">Predchádzajúca </w:t>
            </w:r>
            <w:r>
              <w:rPr>
                <w:rFonts w:cs="Times New Roman"/>
                <w:color w:val="000000"/>
                <w:sz w:val="18"/>
                <w:szCs w:val="18"/>
              </w:rPr>
              <w:t>prognóza</w:t>
            </w:r>
            <w:r w:rsidRPr="00E8018F">
              <w:rPr>
                <w:rFonts w:cs="Times New Roman"/>
                <w:color w:val="000000"/>
                <w:sz w:val="18"/>
                <w:szCs w:val="18"/>
              </w:rPr>
              <w:t>*</w:t>
            </w:r>
          </w:p>
        </w:tc>
        <w:tc>
          <w:tcPr>
            <w:tcW w:w="775" w:type="dxa"/>
            <w:tcBorders>
              <w:top w:val="nil"/>
              <w:left w:val="nil"/>
              <w:bottom w:val="nil"/>
              <w:right w:val="nil"/>
            </w:tcBorders>
            <w:shd w:val="clear" w:color="auto" w:fill="auto"/>
            <w:noWrap/>
            <w:vAlign w:val="center"/>
            <w:hideMark/>
          </w:tcPr>
          <w:p w14:paraId="5F6F0DF7" w14:textId="77777777" w:rsidR="000C6444" w:rsidRPr="00E8018F" w:rsidRDefault="000C6444" w:rsidP="00A36664">
            <w:pPr>
              <w:ind w:firstLineChars="100" w:firstLine="180"/>
              <w:rPr>
                <w:rFonts w:cs="Times New Roman"/>
                <w:color w:val="000000"/>
                <w:sz w:val="18"/>
                <w:szCs w:val="18"/>
              </w:rPr>
            </w:pPr>
          </w:p>
        </w:tc>
        <w:tc>
          <w:tcPr>
            <w:tcW w:w="775" w:type="dxa"/>
            <w:tcBorders>
              <w:top w:val="nil"/>
              <w:left w:val="nil"/>
              <w:bottom w:val="nil"/>
              <w:right w:val="nil"/>
            </w:tcBorders>
            <w:shd w:val="clear" w:color="auto" w:fill="auto"/>
            <w:noWrap/>
            <w:vAlign w:val="center"/>
            <w:hideMark/>
          </w:tcPr>
          <w:p w14:paraId="4277B61D"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64,1</w:t>
            </w:r>
          </w:p>
        </w:tc>
        <w:tc>
          <w:tcPr>
            <w:tcW w:w="775" w:type="dxa"/>
            <w:tcBorders>
              <w:top w:val="nil"/>
              <w:left w:val="nil"/>
              <w:bottom w:val="nil"/>
              <w:right w:val="nil"/>
            </w:tcBorders>
            <w:shd w:val="clear" w:color="auto" w:fill="auto"/>
            <w:noWrap/>
            <w:vAlign w:val="center"/>
          </w:tcPr>
          <w:p w14:paraId="05925A45"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65,5</w:t>
            </w:r>
          </w:p>
        </w:tc>
        <w:tc>
          <w:tcPr>
            <w:tcW w:w="775" w:type="dxa"/>
            <w:tcBorders>
              <w:top w:val="nil"/>
              <w:left w:val="nil"/>
              <w:bottom w:val="nil"/>
              <w:right w:val="nil"/>
            </w:tcBorders>
            <w:shd w:val="clear" w:color="auto" w:fill="auto"/>
            <w:noWrap/>
            <w:vAlign w:val="center"/>
          </w:tcPr>
          <w:p w14:paraId="5A9DB379"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64,6</w:t>
            </w:r>
          </w:p>
        </w:tc>
        <w:tc>
          <w:tcPr>
            <w:tcW w:w="775" w:type="dxa"/>
            <w:tcBorders>
              <w:top w:val="nil"/>
              <w:left w:val="nil"/>
              <w:bottom w:val="nil"/>
              <w:right w:val="nil"/>
            </w:tcBorders>
            <w:shd w:val="clear" w:color="auto" w:fill="auto"/>
            <w:noWrap/>
            <w:vAlign w:val="center"/>
          </w:tcPr>
          <w:p w14:paraId="6EFB21D0" w14:textId="77777777" w:rsidR="000C6444" w:rsidRPr="00E8018F" w:rsidRDefault="000C6444" w:rsidP="00A36664">
            <w:pPr>
              <w:jc w:val="center"/>
              <w:rPr>
                <w:rFonts w:cs="Times New Roman"/>
                <w:color w:val="000000"/>
                <w:sz w:val="18"/>
                <w:szCs w:val="18"/>
              </w:rPr>
            </w:pPr>
            <w:r w:rsidRPr="00E8018F">
              <w:rPr>
                <w:rFonts w:cs="Times New Roman"/>
                <w:color w:val="000000"/>
                <w:sz w:val="18"/>
                <w:szCs w:val="18"/>
              </w:rPr>
              <w:t>65,8</w:t>
            </w:r>
          </w:p>
        </w:tc>
        <w:tc>
          <w:tcPr>
            <w:tcW w:w="775" w:type="dxa"/>
            <w:tcBorders>
              <w:top w:val="nil"/>
              <w:left w:val="nil"/>
              <w:bottom w:val="nil"/>
              <w:right w:val="nil"/>
            </w:tcBorders>
            <w:shd w:val="clear" w:color="auto" w:fill="auto"/>
            <w:noWrap/>
            <w:vAlign w:val="center"/>
          </w:tcPr>
          <w:p w14:paraId="334D283E" w14:textId="77777777" w:rsidR="000C6444" w:rsidRPr="00E8018F" w:rsidRDefault="000C6444" w:rsidP="00A36664">
            <w:pPr>
              <w:jc w:val="center"/>
              <w:rPr>
                <w:rFonts w:cs="Times New Roman"/>
                <w:color w:val="000000"/>
                <w:sz w:val="18"/>
                <w:szCs w:val="18"/>
              </w:rPr>
            </w:pPr>
            <w:r>
              <w:rPr>
                <w:rFonts w:cs="Times New Roman"/>
                <w:color w:val="000000"/>
                <w:sz w:val="18"/>
                <w:szCs w:val="18"/>
              </w:rPr>
              <w:t>-</w:t>
            </w:r>
          </w:p>
        </w:tc>
      </w:tr>
      <w:tr w:rsidR="000C6444" w:rsidRPr="00450D9F" w14:paraId="0769050E" w14:textId="77777777" w:rsidTr="00A36664">
        <w:trPr>
          <w:trHeight w:val="255"/>
        </w:trPr>
        <w:tc>
          <w:tcPr>
            <w:tcW w:w="4392" w:type="dxa"/>
            <w:tcBorders>
              <w:top w:val="nil"/>
              <w:left w:val="nil"/>
              <w:bottom w:val="nil"/>
              <w:right w:val="nil"/>
            </w:tcBorders>
            <w:shd w:val="clear" w:color="auto" w:fill="auto"/>
            <w:vAlign w:val="center"/>
            <w:hideMark/>
          </w:tcPr>
          <w:p w14:paraId="4ED15D87" w14:textId="77777777" w:rsidR="000C6444" w:rsidRPr="005304BD" w:rsidRDefault="000C6444" w:rsidP="00A36664">
            <w:pPr>
              <w:ind w:firstLineChars="100" w:firstLine="180"/>
              <w:rPr>
                <w:rFonts w:cs="Times New Roman"/>
                <w:color w:val="000000"/>
                <w:sz w:val="18"/>
                <w:szCs w:val="18"/>
              </w:rPr>
            </w:pPr>
            <w:r w:rsidRPr="005304BD">
              <w:rPr>
                <w:rFonts w:cs="Times New Roman"/>
                <w:color w:val="000000"/>
                <w:sz w:val="18"/>
                <w:szCs w:val="18"/>
              </w:rPr>
              <w:t>Skutočnosť a súčasná aktualizácia</w:t>
            </w:r>
          </w:p>
        </w:tc>
        <w:tc>
          <w:tcPr>
            <w:tcW w:w="775" w:type="dxa"/>
            <w:tcBorders>
              <w:top w:val="nil"/>
              <w:left w:val="nil"/>
              <w:bottom w:val="nil"/>
              <w:right w:val="nil"/>
            </w:tcBorders>
            <w:shd w:val="clear" w:color="auto" w:fill="auto"/>
            <w:noWrap/>
            <w:vAlign w:val="center"/>
            <w:hideMark/>
          </w:tcPr>
          <w:p w14:paraId="50FDF602" w14:textId="77777777" w:rsidR="000C6444" w:rsidRPr="005304BD" w:rsidRDefault="000C6444" w:rsidP="00A36664">
            <w:pPr>
              <w:ind w:firstLineChars="100" w:firstLine="180"/>
              <w:rPr>
                <w:rFonts w:cs="Times New Roman"/>
                <w:color w:val="000000"/>
                <w:sz w:val="18"/>
                <w:szCs w:val="18"/>
              </w:rPr>
            </w:pPr>
          </w:p>
        </w:tc>
        <w:tc>
          <w:tcPr>
            <w:tcW w:w="775" w:type="dxa"/>
            <w:tcBorders>
              <w:top w:val="nil"/>
              <w:left w:val="nil"/>
              <w:bottom w:val="nil"/>
              <w:right w:val="nil"/>
            </w:tcBorders>
            <w:shd w:val="clear" w:color="auto" w:fill="auto"/>
            <w:noWrap/>
            <w:vAlign w:val="center"/>
          </w:tcPr>
          <w:p w14:paraId="39D38F22" w14:textId="77777777" w:rsidR="000C6444" w:rsidRPr="005304BD" w:rsidRDefault="000C6444" w:rsidP="00A36664">
            <w:pPr>
              <w:jc w:val="center"/>
              <w:rPr>
                <w:rFonts w:cs="Times New Roman"/>
                <w:color w:val="000000"/>
                <w:sz w:val="18"/>
                <w:szCs w:val="18"/>
              </w:rPr>
            </w:pPr>
            <w:r w:rsidRPr="005304BD">
              <w:rPr>
                <w:rFonts w:cs="Times New Roman"/>
                <w:color w:val="000000"/>
                <w:sz w:val="18"/>
                <w:szCs w:val="18"/>
              </w:rPr>
              <w:t>63,1</w:t>
            </w:r>
          </w:p>
        </w:tc>
        <w:tc>
          <w:tcPr>
            <w:tcW w:w="775" w:type="dxa"/>
            <w:tcBorders>
              <w:top w:val="nil"/>
              <w:left w:val="nil"/>
              <w:bottom w:val="nil"/>
              <w:right w:val="nil"/>
            </w:tcBorders>
            <w:shd w:val="clear" w:color="auto" w:fill="auto"/>
            <w:noWrap/>
            <w:vAlign w:val="center"/>
          </w:tcPr>
          <w:p w14:paraId="0426CE1E" w14:textId="77777777" w:rsidR="000C6444" w:rsidRPr="005304BD" w:rsidRDefault="000C6444" w:rsidP="00A36664">
            <w:pPr>
              <w:jc w:val="center"/>
              <w:rPr>
                <w:rFonts w:cs="Times New Roman"/>
                <w:color w:val="000000"/>
                <w:sz w:val="18"/>
                <w:szCs w:val="18"/>
              </w:rPr>
            </w:pPr>
            <w:r w:rsidRPr="005304BD">
              <w:rPr>
                <w:rFonts w:cs="Times New Roman"/>
                <w:color w:val="000000"/>
                <w:sz w:val="18"/>
                <w:szCs w:val="18"/>
              </w:rPr>
              <w:t>61,6</w:t>
            </w:r>
          </w:p>
        </w:tc>
        <w:tc>
          <w:tcPr>
            <w:tcW w:w="775" w:type="dxa"/>
            <w:tcBorders>
              <w:top w:val="nil"/>
              <w:left w:val="nil"/>
              <w:bottom w:val="nil"/>
              <w:right w:val="nil"/>
            </w:tcBorders>
            <w:shd w:val="clear" w:color="auto" w:fill="auto"/>
            <w:noWrap/>
            <w:vAlign w:val="center"/>
          </w:tcPr>
          <w:p w14:paraId="5FBE024E" w14:textId="66CE26DD" w:rsidR="000C6444" w:rsidRPr="005304BD" w:rsidRDefault="00033A21" w:rsidP="00A36664">
            <w:pPr>
              <w:jc w:val="center"/>
              <w:rPr>
                <w:rFonts w:cs="Times New Roman"/>
                <w:color w:val="000000"/>
                <w:sz w:val="18"/>
                <w:szCs w:val="18"/>
              </w:rPr>
            </w:pPr>
            <w:r>
              <w:rPr>
                <w:rFonts w:cs="Times New Roman"/>
                <w:color w:val="000000"/>
                <w:sz w:val="18"/>
                <w:szCs w:val="18"/>
              </w:rPr>
              <w:t>58,0</w:t>
            </w:r>
          </w:p>
        </w:tc>
        <w:tc>
          <w:tcPr>
            <w:tcW w:w="775" w:type="dxa"/>
            <w:tcBorders>
              <w:top w:val="nil"/>
              <w:left w:val="nil"/>
              <w:bottom w:val="nil"/>
              <w:right w:val="nil"/>
            </w:tcBorders>
            <w:shd w:val="clear" w:color="auto" w:fill="auto"/>
            <w:noWrap/>
            <w:vAlign w:val="center"/>
          </w:tcPr>
          <w:p w14:paraId="176B4706" w14:textId="50486A37" w:rsidR="000C6444" w:rsidRPr="005304BD" w:rsidRDefault="00033A21" w:rsidP="00A36664">
            <w:pPr>
              <w:jc w:val="center"/>
              <w:rPr>
                <w:rFonts w:cs="Times New Roman"/>
                <w:color w:val="000000"/>
                <w:sz w:val="18"/>
                <w:szCs w:val="18"/>
              </w:rPr>
            </w:pPr>
            <w:r>
              <w:rPr>
                <w:rFonts w:cs="Times New Roman"/>
                <w:color w:val="000000"/>
                <w:sz w:val="18"/>
                <w:szCs w:val="18"/>
              </w:rPr>
              <w:t>58,2</w:t>
            </w:r>
          </w:p>
        </w:tc>
        <w:tc>
          <w:tcPr>
            <w:tcW w:w="775" w:type="dxa"/>
            <w:tcBorders>
              <w:top w:val="nil"/>
              <w:left w:val="nil"/>
              <w:bottom w:val="nil"/>
              <w:right w:val="nil"/>
            </w:tcBorders>
            <w:shd w:val="clear" w:color="auto" w:fill="auto"/>
            <w:noWrap/>
            <w:vAlign w:val="center"/>
          </w:tcPr>
          <w:p w14:paraId="09907F1C" w14:textId="1FF22523" w:rsidR="000C6444" w:rsidRPr="005304BD" w:rsidRDefault="00033A21" w:rsidP="00A36664">
            <w:pPr>
              <w:jc w:val="center"/>
              <w:rPr>
                <w:rFonts w:cs="Times New Roman"/>
                <w:color w:val="000000"/>
                <w:sz w:val="18"/>
                <w:szCs w:val="18"/>
              </w:rPr>
            </w:pPr>
            <w:r>
              <w:rPr>
                <w:rFonts w:cs="Times New Roman"/>
                <w:color w:val="000000"/>
                <w:sz w:val="18"/>
                <w:szCs w:val="18"/>
              </w:rPr>
              <w:t>57,3</w:t>
            </w:r>
          </w:p>
        </w:tc>
      </w:tr>
      <w:tr w:rsidR="000C6444" w:rsidRPr="00450D9F" w14:paraId="40B02E87" w14:textId="77777777" w:rsidTr="00A36664">
        <w:trPr>
          <w:trHeight w:val="268"/>
        </w:trPr>
        <w:tc>
          <w:tcPr>
            <w:tcW w:w="4392" w:type="dxa"/>
            <w:tcBorders>
              <w:top w:val="nil"/>
              <w:left w:val="nil"/>
              <w:bottom w:val="single" w:sz="8" w:space="0" w:color="auto"/>
              <w:right w:val="nil"/>
            </w:tcBorders>
            <w:shd w:val="clear" w:color="auto" w:fill="auto"/>
            <w:vAlign w:val="center"/>
            <w:hideMark/>
          </w:tcPr>
          <w:p w14:paraId="62F3A02F" w14:textId="77777777" w:rsidR="000C6444" w:rsidRPr="004763F5" w:rsidRDefault="000C6444" w:rsidP="00A36664">
            <w:pPr>
              <w:ind w:firstLineChars="100" w:firstLine="180"/>
              <w:rPr>
                <w:rFonts w:cs="Times New Roman"/>
                <w:color w:val="000000"/>
                <w:sz w:val="18"/>
                <w:szCs w:val="18"/>
              </w:rPr>
            </w:pPr>
            <w:r w:rsidRPr="004763F5">
              <w:rPr>
                <w:rFonts w:cs="Times New Roman"/>
                <w:color w:val="000000"/>
                <w:sz w:val="18"/>
                <w:szCs w:val="18"/>
              </w:rPr>
              <w:t>Rozdiel</w:t>
            </w:r>
          </w:p>
        </w:tc>
        <w:tc>
          <w:tcPr>
            <w:tcW w:w="775" w:type="dxa"/>
            <w:tcBorders>
              <w:top w:val="nil"/>
              <w:left w:val="nil"/>
              <w:bottom w:val="single" w:sz="8" w:space="0" w:color="auto"/>
              <w:right w:val="nil"/>
            </w:tcBorders>
            <w:shd w:val="clear" w:color="auto" w:fill="auto"/>
            <w:vAlign w:val="center"/>
            <w:hideMark/>
          </w:tcPr>
          <w:p w14:paraId="37550A75" w14:textId="77777777" w:rsidR="000C6444" w:rsidRPr="004763F5" w:rsidRDefault="000C6444" w:rsidP="00A36664">
            <w:pPr>
              <w:rPr>
                <w:rFonts w:cs="Times New Roman"/>
                <w:color w:val="000000"/>
                <w:sz w:val="18"/>
                <w:szCs w:val="18"/>
              </w:rPr>
            </w:pPr>
            <w:r w:rsidRPr="004763F5">
              <w:rPr>
                <w:rFonts w:cs="Times New Roman"/>
                <w:color w:val="000000"/>
                <w:sz w:val="18"/>
                <w:szCs w:val="18"/>
              </w:rPr>
              <w:t> </w:t>
            </w:r>
          </w:p>
        </w:tc>
        <w:tc>
          <w:tcPr>
            <w:tcW w:w="775" w:type="dxa"/>
            <w:tcBorders>
              <w:top w:val="nil"/>
              <w:left w:val="nil"/>
              <w:bottom w:val="single" w:sz="8" w:space="0" w:color="auto"/>
              <w:right w:val="nil"/>
            </w:tcBorders>
            <w:shd w:val="clear" w:color="auto" w:fill="auto"/>
            <w:vAlign w:val="center"/>
            <w:hideMark/>
          </w:tcPr>
          <w:p w14:paraId="547F0D1C" w14:textId="77777777" w:rsidR="000C6444" w:rsidRPr="004763F5" w:rsidRDefault="000C6444" w:rsidP="00A36664">
            <w:pPr>
              <w:jc w:val="center"/>
              <w:rPr>
                <w:rFonts w:cs="Times New Roman"/>
                <w:color w:val="000000"/>
                <w:sz w:val="18"/>
                <w:szCs w:val="18"/>
              </w:rPr>
            </w:pPr>
            <w:r w:rsidRPr="004763F5">
              <w:rPr>
                <w:rFonts w:cs="Times New Roman"/>
                <w:color w:val="000000"/>
                <w:sz w:val="18"/>
                <w:szCs w:val="18"/>
              </w:rPr>
              <w:t>-1,0</w:t>
            </w:r>
          </w:p>
        </w:tc>
        <w:tc>
          <w:tcPr>
            <w:tcW w:w="775" w:type="dxa"/>
            <w:tcBorders>
              <w:top w:val="nil"/>
              <w:left w:val="nil"/>
              <w:bottom w:val="single" w:sz="8" w:space="0" w:color="auto"/>
              <w:right w:val="nil"/>
            </w:tcBorders>
            <w:shd w:val="clear" w:color="auto" w:fill="auto"/>
            <w:vAlign w:val="center"/>
          </w:tcPr>
          <w:p w14:paraId="2926C683" w14:textId="77777777" w:rsidR="000C6444" w:rsidRPr="004763F5" w:rsidRDefault="000C6444" w:rsidP="00A36664">
            <w:pPr>
              <w:jc w:val="center"/>
              <w:rPr>
                <w:rFonts w:cs="Times New Roman"/>
                <w:color w:val="000000"/>
                <w:sz w:val="18"/>
                <w:szCs w:val="18"/>
              </w:rPr>
            </w:pPr>
            <w:r w:rsidRPr="004763F5">
              <w:rPr>
                <w:rFonts w:cs="Times New Roman"/>
                <w:color w:val="000000"/>
                <w:sz w:val="18"/>
                <w:szCs w:val="18"/>
              </w:rPr>
              <w:t>-3,9</w:t>
            </w:r>
          </w:p>
        </w:tc>
        <w:tc>
          <w:tcPr>
            <w:tcW w:w="775" w:type="dxa"/>
            <w:tcBorders>
              <w:top w:val="nil"/>
              <w:left w:val="nil"/>
              <w:bottom w:val="single" w:sz="8" w:space="0" w:color="auto"/>
              <w:right w:val="nil"/>
            </w:tcBorders>
            <w:shd w:val="clear" w:color="auto" w:fill="auto"/>
            <w:vAlign w:val="center"/>
          </w:tcPr>
          <w:p w14:paraId="4F9A532D" w14:textId="1400C1B3" w:rsidR="000C6444" w:rsidRPr="004763F5" w:rsidRDefault="00033A21" w:rsidP="00A36664">
            <w:pPr>
              <w:jc w:val="center"/>
              <w:rPr>
                <w:rFonts w:cs="Times New Roman"/>
                <w:color w:val="000000"/>
                <w:sz w:val="18"/>
                <w:szCs w:val="18"/>
              </w:rPr>
            </w:pPr>
            <w:r>
              <w:rPr>
                <w:rFonts w:cs="Times New Roman"/>
                <w:color w:val="000000"/>
                <w:sz w:val="18"/>
                <w:szCs w:val="18"/>
              </w:rPr>
              <w:t>-6,6</w:t>
            </w:r>
          </w:p>
        </w:tc>
        <w:tc>
          <w:tcPr>
            <w:tcW w:w="775" w:type="dxa"/>
            <w:tcBorders>
              <w:top w:val="nil"/>
              <w:left w:val="nil"/>
              <w:bottom w:val="single" w:sz="8" w:space="0" w:color="auto"/>
              <w:right w:val="nil"/>
            </w:tcBorders>
            <w:shd w:val="clear" w:color="auto" w:fill="auto"/>
            <w:vAlign w:val="center"/>
          </w:tcPr>
          <w:p w14:paraId="6E75B90A" w14:textId="15ADA994" w:rsidR="000C6444" w:rsidRPr="004763F5" w:rsidRDefault="00033A21" w:rsidP="00A36664">
            <w:pPr>
              <w:jc w:val="center"/>
              <w:rPr>
                <w:rFonts w:cs="Times New Roman"/>
                <w:color w:val="000000"/>
                <w:sz w:val="18"/>
                <w:szCs w:val="18"/>
              </w:rPr>
            </w:pPr>
            <w:r>
              <w:rPr>
                <w:rFonts w:cs="Times New Roman"/>
                <w:color w:val="000000"/>
                <w:sz w:val="18"/>
                <w:szCs w:val="18"/>
              </w:rPr>
              <w:t>-7,6</w:t>
            </w:r>
          </w:p>
        </w:tc>
        <w:tc>
          <w:tcPr>
            <w:tcW w:w="775" w:type="dxa"/>
            <w:tcBorders>
              <w:top w:val="nil"/>
              <w:left w:val="nil"/>
              <w:bottom w:val="single" w:sz="8" w:space="0" w:color="auto"/>
              <w:right w:val="nil"/>
            </w:tcBorders>
            <w:shd w:val="clear" w:color="auto" w:fill="auto"/>
            <w:vAlign w:val="center"/>
          </w:tcPr>
          <w:p w14:paraId="3548B0B7" w14:textId="77777777" w:rsidR="000C6444" w:rsidRPr="004763F5" w:rsidRDefault="000C6444" w:rsidP="00A36664">
            <w:pPr>
              <w:jc w:val="center"/>
              <w:rPr>
                <w:rFonts w:cs="Times New Roman"/>
                <w:color w:val="000000"/>
                <w:sz w:val="18"/>
                <w:szCs w:val="18"/>
              </w:rPr>
            </w:pPr>
            <w:r w:rsidRPr="004763F5">
              <w:rPr>
                <w:rFonts w:cs="Times New Roman"/>
                <w:color w:val="000000"/>
                <w:sz w:val="18"/>
                <w:szCs w:val="18"/>
              </w:rPr>
              <w:t>-</w:t>
            </w:r>
          </w:p>
        </w:tc>
      </w:tr>
      <w:tr w:rsidR="008D108E" w:rsidRPr="00FF64C2" w14:paraId="55C9B034" w14:textId="77777777" w:rsidTr="00154F40">
        <w:trPr>
          <w:trHeight w:val="255"/>
        </w:trPr>
        <w:tc>
          <w:tcPr>
            <w:tcW w:w="7492" w:type="dxa"/>
            <w:gridSpan w:val="5"/>
            <w:tcBorders>
              <w:top w:val="nil"/>
              <w:left w:val="nil"/>
              <w:bottom w:val="nil"/>
              <w:right w:val="nil"/>
            </w:tcBorders>
            <w:shd w:val="clear" w:color="auto" w:fill="auto"/>
            <w:noWrap/>
            <w:vAlign w:val="center"/>
            <w:hideMark/>
          </w:tcPr>
          <w:p w14:paraId="7C9348A5" w14:textId="2DB9EE06" w:rsidR="008D108E" w:rsidRPr="007516E8" w:rsidRDefault="008D108E">
            <w:pPr>
              <w:rPr>
                <w:rFonts w:ascii="Times New Roman" w:hAnsi="Times New Roman" w:cs="Times New Roman"/>
                <w:sz w:val="16"/>
                <w:szCs w:val="20"/>
              </w:rPr>
            </w:pPr>
            <w:r w:rsidRPr="007516E8">
              <w:rPr>
                <w:rFonts w:cs="Times New Roman"/>
                <w:i/>
                <w:iCs/>
                <w:color w:val="000000"/>
                <w:sz w:val="16"/>
                <w:szCs w:val="18"/>
              </w:rPr>
              <w:t xml:space="preserve">Pozn.: * Program stability </w:t>
            </w:r>
            <w:r w:rsidRPr="008D108E">
              <w:rPr>
                <w:rFonts w:cs="Times New Roman"/>
                <w:i/>
                <w:iCs/>
                <w:color w:val="000000"/>
                <w:sz w:val="16"/>
                <w:szCs w:val="18"/>
              </w:rPr>
              <w:t xml:space="preserve">SR na roky 2021 až 2024. ** </w:t>
            </w:r>
            <w:r w:rsidRPr="00636109">
              <w:rPr>
                <w:rFonts w:cs="Times New Roman"/>
                <w:i/>
                <w:iCs/>
                <w:color w:val="000000"/>
                <w:sz w:val="16"/>
                <w:szCs w:val="18"/>
              </w:rPr>
              <w:t>Deficity VS podľa cieľov rozpočtu 2023 až 2025.</w:t>
            </w:r>
            <w:r w:rsidRPr="008D108E">
              <w:rPr>
                <w:rFonts w:cs="Times New Roman"/>
                <w:i/>
                <w:iCs/>
                <w:color w:val="000000"/>
                <w:sz w:val="16"/>
                <w:szCs w:val="18"/>
              </w:rPr>
              <w:t>.</w:t>
            </w:r>
          </w:p>
        </w:tc>
        <w:tc>
          <w:tcPr>
            <w:tcW w:w="1550" w:type="dxa"/>
            <w:gridSpan w:val="2"/>
            <w:tcBorders>
              <w:top w:val="single" w:sz="8" w:space="0" w:color="auto"/>
              <w:left w:val="nil"/>
              <w:bottom w:val="nil"/>
              <w:right w:val="nil"/>
            </w:tcBorders>
            <w:shd w:val="clear" w:color="auto" w:fill="auto"/>
            <w:noWrap/>
            <w:vAlign w:val="center"/>
            <w:hideMark/>
          </w:tcPr>
          <w:p w14:paraId="3956E631" w14:textId="5AB654E0" w:rsidR="008D108E" w:rsidRPr="007516E8" w:rsidRDefault="008D108E" w:rsidP="007516E8">
            <w:pPr>
              <w:jc w:val="right"/>
              <w:rPr>
                <w:rFonts w:cs="Times New Roman"/>
                <w:i/>
                <w:iCs/>
                <w:color w:val="000000"/>
                <w:sz w:val="16"/>
                <w:szCs w:val="18"/>
              </w:rPr>
            </w:pPr>
            <w:r w:rsidRPr="007516E8">
              <w:rPr>
                <w:rFonts w:cs="Times New Roman"/>
                <w:i/>
                <w:iCs/>
                <w:color w:val="000000"/>
                <w:sz w:val="16"/>
                <w:szCs w:val="18"/>
              </w:rPr>
              <w:t>Zdroj: MF SR</w:t>
            </w:r>
          </w:p>
        </w:tc>
      </w:tr>
    </w:tbl>
    <w:p w14:paraId="3579A2E4" w14:textId="77777777" w:rsidR="000C6444" w:rsidRDefault="000C6444" w:rsidP="000C6444"/>
    <w:p w14:paraId="49A9C1B7" w14:textId="77777777" w:rsidR="000C6444" w:rsidRPr="00D06FAB" w:rsidRDefault="000C6444" w:rsidP="003B2A65">
      <w:pPr>
        <w:jc w:val="both"/>
      </w:pPr>
    </w:p>
    <w:p w14:paraId="33900874" w14:textId="77777777" w:rsidR="003B2A65" w:rsidRPr="00656B8A" w:rsidRDefault="003B2A65" w:rsidP="003B2A65">
      <w:pPr>
        <w:jc w:val="both"/>
        <w:rPr>
          <w:highlight w:val="yellow"/>
        </w:rPr>
      </w:pPr>
    </w:p>
    <w:p w14:paraId="37A11213" w14:textId="77777777" w:rsidR="003B2A65" w:rsidRPr="00656B8A" w:rsidRDefault="003B2A65" w:rsidP="003B2A65">
      <w:pPr>
        <w:jc w:val="both"/>
        <w:rPr>
          <w:highlight w:val="yellow"/>
        </w:rPr>
      </w:pPr>
    </w:p>
    <w:p w14:paraId="4E646EB6" w14:textId="1D3B2882" w:rsidR="006D0D3B" w:rsidRDefault="006D0D3B">
      <w:pPr>
        <w:rPr>
          <w:b/>
        </w:rPr>
      </w:pPr>
      <w:r>
        <w:rPr>
          <w:b/>
        </w:rPr>
        <w:br w:type="page"/>
      </w:r>
    </w:p>
    <w:p w14:paraId="0D59E380" w14:textId="77777777" w:rsidR="006D0D3B" w:rsidRPr="006D0D3B" w:rsidRDefault="006D0D3B" w:rsidP="006D0D3B">
      <w:pPr>
        <w:pStyle w:val="Nadpis1"/>
        <w:keepLines/>
        <w:numPr>
          <w:ilvl w:val="0"/>
          <w:numId w:val="2"/>
        </w:numPr>
        <w:spacing w:after="360"/>
        <w:rPr>
          <w:rFonts w:cs="Arial Narrow"/>
          <w:color w:val="2C9ADC"/>
          <w:szCs w:val="28"/>
        </w:rPr>
      </w:pPr>
      <w:bookmarkStart w:id="156" w:name="_Toc70700340"/>
      <w:bookmarkStart w:id="157" w:name="_Toc101880673"/>
      <w:r w:rsidRPr="006D0D3B">
        <w:rPr>
          <w:rFonts w:cs="Arial Narrow"/>
          <w:color w:val="2C9ADC"/>
          <w:szCs w:val="28"/>
        </w:rPr>
        <w:t>KVALITA VEREJNÝCH FINANCIÍ</w:t>
      </w:r>
      <w:bookmarkEnd w:id="156"/>
      <w:bookmarkEnd w:id="157"/>
      <w:r w:rsidRPr="006D0D3B">
        <w:rPr>
          <w:rFonts w:cs="Arial Narrow"/>
          <w:color w:val="2C9ADC"/>
          <w:szCs w:val="28"/>
        </w:rPr>
        <w:t xml:space="preserve"> </w:t>
      </w:r>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D0D3B" w:rsidRPr="00896F6F" w14:paraId="683FEA81" w14:textId="77777777" w:rsidTr="000E4D54">
        <w:tc>
          <w:tcPr>
            <w:tcW w:w="9072" w:type="dxa"/>
          </w:tcPr>
          <w:p w14:paraId="4C7965B7" w14:textId="15488C6D" w:rsidR="006D0D3B" w:rsidRPr="00F00012" w:rsidRDefault="006D0D3B" w:rsidP="00614C05">
            <w:pPr>
              <w:spacing w:before="120" w:after="120"/>
              <w:jc w:val="both"/>
              <w:rPr>
                <w:i/>
              </w:rPr>
            </w:pPr>
            <w:bookmarkStart w:id="158" w:name="_Toc64769604"/>
            <w:bookmarkStart w:id="159" w:name="_Toc251855809"/>
            <w:bookmarkStart w:id="160" w:name="_Toc385764240"/>
            <w:r w:rsidRPr="00F00012">
              <w:rPr>
                <w:i/>
              </w:rPr>
              <w:t xml:space="preserve">Na príjmovej strane ostáva výzvou </w:t>
            </w:r>
            <w:r w:rsidR="009E432D" w:rsidRPr="00F00012">
              <w:rPr>
                <w:i/>
              </w:rPr>
              <w:t>vylepšiť štruktúru daňového mixu tak aby pôsobila viac prorastovo na ekonomiku</w:t>
            </w:r>
            <w:r w:rsidRPr="00F00012">
              <w:rPr>
                <w:i/>
              </w:rPr>
              <w:t xml:space="preserve">. </w:t>
            </w:r>
            <w:r w:rsidR="009E432D" w:rsidRPr="00F00012">
              <w:rPr>
                <w:i/>
              </w:rPr>
              <w:t xml:space="preserve">Pozitívnou správou je zatváranie daňovej medzery na DPH, ktorý za rok 2021 </w:t>
            </w:r>
            <w:r w:rsidR="009E432D" w:rsidRPr="009E432D">
              <w:rPr>
                <w:i/>
              </w:rPr>
              <w:t xml:space="preserve">indikuje zlepšenie úspešnosti výberu o 4,7 percentuálneho bodu, čo predstavuje historicky najlepšie medziročné zlepšenie. </w:t>
            </w:r>
            <w:r w:rsidRPr="009E432D">
              <w:t xml:space="preserve"> </w:t>
            </w:r>
            <w:r w:rsidR="00D3313F" w:rsidRPr="00F00012">
              <w:rPr>
                <w:i/>
              </w:rPr>
              <w:t>Dodatočným nástro</w:t>
            </w:r>
            <w:r w:rsidR="00ED5B1B">
              <w:rPr>
                <w:i/>
              </w:rPr>
              <w:t>jo</w:t>
            </w:r>
            <w:r w:rsidR="00D3313F" w:rsidRPr="00F00012">
              <w:rPr>
                <w:i/>
              </w:rPr>
              <w:t>m na zlepšenie daňovej disciplíny je zavedenie e-faktúry.</w:t>
            </w:r>
            <w:r w:rsidRPr="009E432D">
              <w:rPr>
                <w:i/>
              </w:rPr>
              <w:t xml:space="preserve"> Od aktuálneho roku sa tiež naplno spustia investície z Plánu obnovy a odolnosti, vďaka ktorým </w:t>
            </w:r>
            <w:r w:rsidR="00914FA3">
              <w:rPr>
                <w:i/>
              </w:rPr>
              <w:t>sa zmenší</w:t>
            </w:r>
            <w:r w:rsidRPr="009E432D">
              <w:rPr>
                <w:i/>
              </w:rPr>
              <w:t xml:space="preserve"> investičný dlh v oblasti vedy, výskumu a vzdelávania, zdravotníctva, </w:t>
            </w:r>
            <w:r w:rsidR="00914FA3">
              <w:rPr>
                <w:i/>
              </w:rPr>
              <w:t>a </w:t>
            </w:r>
            <w:r w:rsidRPr="009E432D">
              <w:rPr>
                <w:i/>
              </w:rPr>
              <w:t>podporí</w:t>
            </w:r>
            <w:r w:rsidR="00914FA3">
              <w:rPr>
                <w:i/>
              </w:rPr>
              <w:t xml:space="preserve"> sa aj</w:t>
            </w:r>
            <w:r w:rsidRPr="009E432D">
              <w:rPr>
                <w:i/>
              </w:rPr>
              <w:t xml:space="preserve"> digitalizáci</w:t>
            </w:r>
            <w:r w:rsidR="00914FA3">
              <w:rPr>
                <w:i/>
              </w:rPr>
              <w:t>a</w:t>
            </w:r>
            <w:r w:rsidRPr="009E432D">
              <w:rPr>
                <w:i/>
              </w:rPr>
              <w:t xml:space="preserve"> verejnej správy a zelen</w:t>
            </w:r>
            <w:r w:rsidR="00914FA3">
              <w:rPr>
                <w:i/>
              </w:rPr>
              <w:t>á</w:t>
            </w:r>
            <w:r w:rsidRPr="009E432D">
              <w:rPr>
                <w:i/>
              </w:rPr>
              <w:t xml:space="preserve"> transformáciu ekonomiky. </w:t>
            </w:r>
            <w:r w:rsidRPr="009E432D">
              <w:rPr>
                <w:i/>
                <w:szCs w:val="32"/>
              </w:rPr>
              <w:t>Prebiehajúca reforma riadenia investícií má za cieľ zvýšiť ekonomickú hodnotu novo-realizovaných investičných projektov a získať z každého eura vyššiu návratnosť.</w:t>
            </w:r>
            <w:r w:rsidR="00ED5B1B">
              <w:rPr>
                <w:i/>
                <w:szCs w:val="32"/>
              </w:rPr>
              <w:t xml:space="preserve"> </w:t>
            </w:r>
          </w:p>
        </w:tc>
      </w:tr>
    </w:tbl>
    <w:p w14:paraId="77144C93" w14:textId="77777777" w:rsidR="006D0D3B" w:rsidRPr="009B0276" w:rsidRDefault="006D0D3B" w:rsidP="006D0D3B">
      <w:pPr>
        <w:pStyle w:val="Nadpis2"/>
        <w:keepLines/>
        <w:numPr>
          <w:ilvl w:val="1"/>
          <w:numId w:val="14"/>
        </w:numPr>
        <w:spacing w:before="240" w:after="240"/>
        <w:rPr>
          <w:rFonts w:cs="Arial"/>
          <w:b/>
          <w:bCs/>
          <w:iCs/>
          <w:color w:val="2C9ADC"/>
        </w:rPr>
      </w:pPr>
      <w:bookmarkStart w:id="161" w:name="_Toc463861267"/>
      <w:bookmarkStart w:id="162" w:name="_Toc463861705"/>
      <w:bookmarkStart w:id="163" w:name="_Toc463997287"/>
      <w:bookmarkStart w:id="164" w:name="_Toc511823986"/>
      <w:bookmarkStart w:id="165" w:name="_Toc70700341"/>
      <w:bookmarkStart w:id="166" w:name="_Toc101880674"/>
      <w:bookmarkStart w:id="167" w:name="_Toc449430186"/>
      <w:r w:rsidRPr="009B0276">
        <w:rPr>
          <w:rFonts w:cs="Arial"/>
          <w:b/>
          <w:bCs/>
          <w:iCs/>
          <w:color w:val="2C9ADC"/>
        </w:rPr>
        <w:t>Príjmové ciele rozpočtu verejnej správy</w:t>
      </w:r>
      <w:bookmarkEnd w:id="161"/>
      <w:bookmarkEnd w:id="162"/>
      <w:bookmarkEnd w:id="163"/>
      <w:bookmarkEnd w:id="164"/>
      <w:bookmarkEnd w:id="165"/>
      <w:bookmarkEnd w:id="166"/>
      <w:r w:rsidRPr="009B0276">
        <w:rPr>
          <w:rFonts w:cs="Arial"/>
          <w:b/>
          <w:bCs/>
          <w:iCs/>
          <w:color w:val="2C9ADC"/>
        </w:rPr>
        <w:t xml:space="preserve"> </w:t>
      </w:r>
    </w:p>
    <w:p w14:paraId="60CA8AF4" w14:textId="11663A6A" w:rsidR="006D0D3B" w:rsidRPr="009B0276" w:rsidRDefault="006D0D3B" w:rsidP="006D0D3B">
      <w:pPr>
        <w:pStyle w:val="NormalList"/>
        <w:spacing w:after="240"/>
      </w:pPr>
      <w:r>
        <w:t>D</w:t>
      </w:r>
      <w:r w:rsidRPr="009B0276">
        <w:t xml:space="preserve">aňové príjmy </w:t>
      </w:r>
      <w:r>
        <w:t xml:space="preserve">dosiahli </w:t>
      </w:r>
      <w:r w:rsidRPr="009B0276">
        <w:t>v roku 2020</w:t>
      </w:r>
      <w:r>
        <w:t xml:space="preserve"> </w:t>
      </w:r>
      <w:r w:rsidRPr="00F14B89">
        <w:t>úroveň 35 % HDP (</w:t>
      </w:r>
      <w:r w:rsidRPr="00636109">
        <w:rPr>
          <w:b/>
          <w:color w:val="2C9ADC" w:themeColor="accent1"/>
        </w:rPr>
        <w:t xml:space="preserve">GRAF </w:t>
      </w:r>
      <w:r w:rsidR="007B0A4D" w:rsidRPr="00636109">
        <w:rPr>
          <w:b/>
          <w:color w:val="2C9ADC" w:themeColor="accent1"/>
        </w:rPr>
        <w:t>34</w:t>
      </w:r>
      <w:r w:rsidRPr="00F14B89">
        <w:t>). Výškou daňového zaťaženia tak Slovensko patrí medzi krajiny s nižšou úrovňou daní na HDP v porovnaní s krajinami EÚ. V</w:t>
      </w:r>
      <w:r w:rsidRPr="009B0276">
        <w:t xml:space="preserve"> poslednom desaťročí však </w:t>
      </w:r>
      <w:r>
        <w:t>zaťaženie</w:t>
      </w:r>
      <w:r w:rsidRPr="009B0276">
        <w:t xml:space="preserve"> rástl</w:t>
      </w:r>
      <w:r>
        <w:t>o</w:t>
      </w:r>
      <w:r w:rsidRPr="009B0276">
        <w:t xml:space="preserve"> najrýchlejším tempom (</w:t>
      </w:r>
      <w:r w:rsidRPr="007B0A4D">
        <w:rPr>
          <w:b/>
          <w:color w:val="2C9ADC" w:themeColor="accent1"/>
        </w:rPr>
        <w:t xml:space="preserve">GRAF </w:t>
      </w:r>
      <w:r w:rsidR="007B0A4D" w:rsidRPr="007B0A4D">
        <w:rPr>
          <w:b/>
          <w:color w:val="2C9ADC" w:themeColor="accent1"/>
        </w:rPr>
        <w:t>35</w:t>
      </w:r>
      <w:r w:rsidRPr="009B0276">
        <w:t>).</w:t>
      </w:r>
    </w:p>
    <w:tbl>
      <w:tblPr>
        <w:tblW w:w="90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547"/>
        <w:gridCol w:w="160"/>
        <w:gridCol w:w="4365"/>
      </w:tblGrid>
      <w:tr w:rsidR="006D0D3B" w:rsidRPr="009B0276" w14:paraId="785B153E" w14:textId="77777777" w:rsidTr="000E4D54">
        <w:trPr>
          <w:trHeight w:val="283"/>
          <w:jc w:val="center"/>
        </w:trPr>
        <w:tc>
          <w:tcPr>
            <w:tcW w:w="4547" w:type="dxa"/>
            <w:tcBorders>
              <w:top w:val="nil"/>
              <w:left w:val="nil"/>
              <w:bottom w:val="single" w:sz="4" w:space="0" w:color="000000"/>
              <w:right w:val="nil"/>
            </w:tcBorders>
            <w:shd w:val="clear" w:color="auto" w:fill="auto"/>
          </w:tcPr>
          <w:p w14:paraId="55418DAD" w14:textId="6A6AFA5D" w:rsidR="006D0D3B" w:rsidRPr="009B0276" w:rsidRDefault="00A73C13">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bookmarkStart w:id="168" w:name="_Toc101881958"/>
            <w:r w:rsidRPr="00A73C13">
              <w:rPr>
                <w:rFonts w:cs="Arial"/>
                <w:color w:val="2C9ADC"/>
                <w:szCs w:val="18"/>
              </w:rPr>
              <w:t xml:space="preserve">GRAF </w:t>
            </w:r>
            <w:r w:rsidRPr="00A73C13">
              <w:rPr>
                <w:rFonts w:eastAsia="Times New Roman" w:cs="Arial"/>
                <w:color w:val="2C9ADC"/>
                <w:szCs w:val="18"/>
              </w:rPr>
              <w:fldChar w:fldCharType="begin"/>
            </w:r>
            <w:r w:rsidRPr="00A73C13">
              <w:rPr>
                <w:rFonts w:eastAsia="Times New Roman" w:cs="Arial"/>
                <w:color w:val="2C9ADC"/>
                <w:szCs w:val="18"/>
              </w:rPr>
              <w:instrText xml:space="preserve"> SEQ GRAF \* ARABIC </w:instrText>
            </w:r>
            <w:r w:rsidRPr="00A73C13">
              <w:rPr>
                <w:rFonts w:eastAsia="Times New Roman" w:cs="Arial"/>
                <w:color w:val="2C9ADC"/>
                <w:szCs w:val="18"/>
              </w:rPr>
              <w:fldChar w:fldCharType="separate"/>
            </w:r>
            <w:r w:rsidR="005D3280">
              <w:rPr>
                <w:rFonts w:eastAsia="Times New Roman" w:cs="Arial"/>
                <w:noProof/>
                <w:color w:val="2C9ADC"/>
                <w:szCs w:val="18"/>
              </w:rPr>
              <w:t>34</w:t>
            </w:r>
            <w:r w:rsidRPr="00A73C13">
              <w:rPr>
                <w:rFonts w:eastAsia="Times New Roman" w:cs="Arial"/>
                <w:color w:val="2C9ADC"/>
                <w:szCs w:val="18"/>
              </w:rPr>
              <w:fldChar w:fldCharType="end"/>
            </w:r>
            <w:r w:rsidRPr="00A73C13">
              <w:rPr>
                <w:rFonts w:cs="Arial"/>
                <w:color w:val="2C9ADC"/>
                <w:szCs w:val="18"/>
              </w:rPr>
              <w:t xml:space="preserve"> – </w:t>
            </w:r>
            <w:r w:rsidR="006D0D3B" w:rsidRPr="00A73C13">
              <w:t>Daňové</w:t>
            </w:r>
            <w:r w:rsidR="006D0D3B" w:rsidRPr="009B0276">
              <w:t xml:space="preserve"> príjm</w:t>
            </w:r>
            <w:r w:rsidR="006D0D3B">
              <w:t>y</w:t>
            </w:r>
            <w:r w:rsidR="006D0D3B" w:rsidRPr="009B0276">
              <w:t xml:space="preserve"> VS </w:t>
            </w:r>
            <w:r w:rsidR="006D0D3B">
              <w:t xml:space="preserve">2020 v </w:t>
            </w:r>
            <w:r w:rsidR="006D0D3B" w:rsidRPr="009B0276">
              <w:t>% HDP</w:t>
            </w:r>
            <w:bookmarkEnd w:id="168"/>
          </w:p>
        </w:tc>
        <w:tc>
          <w:tcPr>
            <w:tcW w:w="160" w:type="dxa"/>
            <w:tcBorders>
              <w:top w:val="nil"/>
              <w:left w:val="nil"/>
              <w:bottom w:val="nil"/>
              <w:right w:val="nil"/>
            </w:tcBorders>
            <w:shd w:val="clear" w:color="auto" w:fill="auto"/>
            <w:vAlign w:val="center"/>
          </w:tcPr>
          <w:p w14:paraId="4EE51A49" w14:textId="77777777" w:rsidR="006D0D3B" w:rsidRPr="009B0276" w:rsidRDefault="006D0D3B" w:rsidP="000E4D5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4365" w:type="dxa"/>
            <w:tcBorders>
              <w:top w:val="nil"/>
              <w:left w:val="nil"/>
              <w:bottom w:val="single" w:sz="4" w:space="0" w:color="000000"/>
              <w:right w:val="nil"/>
            </w:tcBorders>
            <w:shd w:val="clear" w:color="auto" w:fill="auto"/>
            <w:vAlign w:val="center"/>
          </w:tcPr>
          <w:p w14:paraId="462E46B3" w14:textId="2055A3D0" w:rsidR="006D0D3B" w:rsidRPr="009B0276" w:rsidRDefault="006D0D3B" w:rsidP="000E4D5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jc w:val="both"/>
            </w:pPr>
            <w:bookmarkStart w:id="169" w:name="_Toc101881959"/>
            <w:r w:rsidRPr="009B0276">
              <w:rPr>
                <w:rFonts w:eastAsiaTheme="minorHAnsi"/>
                <w:color w:val="2C9ADC"/>
                <w:lang w:eastAsia="en-US"/>
              </w:rPr>
              <w:t xml:space="preserve">GRAF </w:t>
            </w:r>
            <w:r w:rsidRPr="009B0276">
              <w:rPr>
                <w:rFonts w:eastAsiaTheme="minorHAnsi"/>
                <w:color w:val="2C9ADC"/>
                <w:lang w:eastAsia="en-US"/>
              </w:rPr>
              <w:fldChar w:fldCharType="begin"/>
            </w:r>
            <w:r w:rsidRPr="009B0276">
              <w:rPr>
                <w:rFonts w:eastAsiaTheme="minorHAnsi"/>
                <w:color w:val="2C9ADC"/>
                <w:lang w:eastAsia="en-US"/>
              </w:rPr>
              <w:instrText xml:space="preserve"> SEQ GRAF \* ARABIC </w:instrText>
            </w:r>
            <w:r w:rsidRPr="009B0276">
              <w:rPr>
                <w:rFonts w:eastAsiaTheme="minorHAnsi"/>
                <w:color w:val="2C9ADC"/>
                <w:lang w:eastAsia="en-US"/>
              </w:rPr>
              <w:fldChar w:fldCharType="separate"/>
            </w:r>
            <w:r w:rsidR="005D3280">
              <w:rPr>
                <w:rFonts w:eastAsiaTheme="minorHAnsi"/>
                <w:noProof/>
                <w:color w:val="2C9ADC"/>
                <w:lang w:eastAsia="en-US"/>
              </w:rPr>
              <w:t>35</w:t>
            </w:r>
            <w:r w:rsidRPr="009B0276">
              <w:rPr>
                <w:rFonts w:eastAsiaTheme="minorHAnsi"/>
                <w:color w:val="2C9ADC"/>
                <w:lang w:eastAsia="en-US"/>
              </w:rPr>
              <w:fldChar w:fldCharType="end"/>
            </w:r>
            <w:r w:rsidRPr="009B0276">
              <w:rPr>
                <w:rFonts w:eastAsiaTheme="minorHAnsi"/>
                <w:color w:val="2C9ADC"/>
                <w:lang w:eastAsia="en-US"/>
              </w:rPr>
              <w:t xml:space="preserve"> </w:t>
            </w:r>
            <w:r w:rsidRPr="009B0276">
              <w:t>– Zmena daňového zaťaženia 20</w:t>
            </w:r>
            <w:r>
              <w:t>20 vs.</w:t>
            </w:r>
            <w:r w:rsidRPr="009B0276">
              <w:t xml:space="preserve"> 2012 (% zmena daňového zaťaženia v pomere k HDP)</w:t>
            </w:r>
            <w:bookmarkEnd w:id="169"/>
          </w:p>
        </w:tc>
      </w:tr>
      <w:tr w:rsidR="006D0D3B" w:rsidRPr="009B0276" w14:paraId="226BE128" w14:textId="77777777" w:rsidTr="000E4D54">
        <w:trPr>
          <w:trHeight w:val="920"/>
          <w:jc w:val="center"/>
        </w:trPr>
        <w:tc>
          <w:tcPr>
            <w:tcW w:w="4547" w:type="dxa"/>
            <w:tcBorders>
              <w:top w:val="single" w:sz="4" w:space="0" w:color="000000"/>
              <w:left w:val="nil"/>
              <w:bottom w:val="single" w:sz="4" w:space="0" w:color="auto"/>
              <w:right w:val="nil"/>
            </w:tcBorders>
            <w:shd w:val="clear" w:color="auto" w:fill="auto"/>
            <w:vAlign w:val="center"/>
          </w:tcPr>
          <w:p w14:paraId="594AF205" w14:textId="77777777" w:rsidR="006D0D3B" w:rsidRPr="009B0276" w:rsidRDefault="006D0D3B" w:rsidP="000E4D54">
            <w:pPr>
              <w:spacing w:before="40" w:after="40"/>
              <w:jc w:val="center"/>
            </w:pPr>
            <w:r>
              <w:rPr>
                <w:noProof/>
              </w:rPr>
              <w:drawing>
                <wp:inline distT="0" distB="0" distL="0" distR="0" wp14:anchorId="324CE9B4" wp14:editId="4BAE68F2">
                  <wp:extent cx="2790481" cy="1674056"/>
                  <wp:effectExtent l="0" t="0" r="0" b="254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07944" cy="1684532"/>
                          </a:xfrm>
                          <a:prstGeom prst="rect">
                            <a:avLst/>
                          </a:prstGeom>
                          <a:noFill/>
                        </pic:spPr>
                      </pic:pic>
                    </a:graphicData>
                  </a:graphic>
                </wp:inline>
              </w:drawing>
            </w:r>
          </w:p>
        </w:tc>
        <w:tc>
          <w:tcPr>
            <w:tcW w:w="160" w:type="dxa"/>
            <w:tcBorders>
              <w:top w:val="nil"/>
              <w:left w:val="nil"/>
              <w:bottom w:val="single" w:sz="4" w:space="0" w:color="auto"/>
              <w:right w:val="nil"/>
            </w:tcBorders>
            <w:shd w:val="clear" w:color="auto" w:fill="auto"/>
            <w:vAlign w:val="center"/>
          </w:tcPr>
          <w:p w14:paraId="2B338575" w14:textId="77777777" w:rsidR="006D0D3B" w:rsidRPr="009B0276" w:rsidRDefault="006D0D3B" w:rsidP="000E4D54">
            <w:pPr>
              <w:spacing w:before="40" w:after="40"/>
              <w:jc w:val="center"/>
            </w:pPr>
          </w:p>
        </w:tc>
        <w:tc>
          <w:tcPr>
            <w:tcW w:w="4365" w:type="dxa"/>
            <w:tcBorders>
              <w:top w:val="single" w:sz="4" w:space="0" w:color="000000"/>
              <w:left w:val="nil"/>
              <w:bottom w:val="single" w:sz="4" w:space="0" w:color="auto"/>
              <w:right w:val="nil"/>
            </w:tcBorders>
            <w:shd w:val="clear" w:color="auto" w:fill="auto"/>
            <w:vAlign w:val="center"/>
          </w:tcPr>
          <w:p w14:paraId="72939299" w14:textId="77777777" w:rsidR="006D0D3B" w:rsidRPr="009B0276" w:rsidRDefault="006D0D3B" w:rsidP="000E4D54">
            <w:pPr>
              <w:spacing w:before="40" w:after="40"/>
            </w:pPr>
            <w:r>
              <w:rPr>
                <w:noProof/>
              </w:rPr>
              <w:drawing>
                <wp:inline distT="0" distB="0" distL="0" distR="0" wp14:anchorId="7CFCDB7C" wp14:editId="0B7D2082">
                  <wp:extent cx="2743581" cy="1645920"/>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64723" cy="1658603"/>
                          </a:xfrm>
                          <a:prstGeom prst="rect">
                            <a:avLst/>
                          </a:prstGeom>
                          <a:noFill/>
                        </pic:spPr>
                      </pic:pic>
                    </a:graphicData>
                  </a:graphic>
                </wp:inline>
              </w:drawing>
            </w:r>
          </w:p>
        </w:tc>
      </w:tr>
      <w:tr w:rsidR="006D0D3B" w:rsidRPr="009B0276" w14:paraId="1259B791" w14:textId="77777777" w:rsidTr="000E4D54">
        <w:trPr>
          <w:trHeight w:val="227"/>
          <w:jc w:val="center"/>
        </w:trPr>
        <w:tc>
          <w:tcPr>
            <w:tcW w:w="4547" w:type="dxa"/>
            <w:tcBorders>
              <w:top w:val="single" w:sz="4" w:space="0" w:color="auto"/>
              <w:left w:val="nil"/>
              <w:bottom w:val="nil"/>
              <w:right w:val="nil"/>
            </w:tcBorders>
            <w:shd w:val="clear" w:color="auto" w:fill="auto"/>
            <w:vAlign w:val="center"/>
          </w:tcPr>
          <w:p w14:paraId="1FA992D3" w14:textId="275E704D" w:rsidR="006D0D3B" w:rsidRPr="009B0276" w:rsidRDefault="007516E8" w:rsidP="007516E8">
            <w:pPr>
              <w:jc w:val="right"/>
            </w:pPr>
            <w:r>
              <w:rPr>
                <w:i/>
                <w:sz w:val="16"/>
                <w:szCs w:val="16"/>
              </w:rPr>
              <w:t>Zdroj: Eurostat</w:t>
            </w:r>
          </w:p>
        </w:tc>
        <w:tc>
          <w:tcPr>
            <w:tcW w:w="160" w:type="dxa"/>
            <w:tcBorders>
              <w:top w:val="single" w:sz="4" w:space="0" w:color="auto"/>
              <w:left w:val="nil"/>
              <w:bottom w:val="nil"/>
              <w:right w:val="nil"/>
            </w:tcBorders>
            <w:shd w:val="clear" w:color="auto" w:fill="auto"/>
            <w:vAlign w:val="center"/>
          </w:tcPr>
          <w:p w14:paraId="47727395" w14:textId="77777777" w:rsidR="006D0D3B" w:rsidRPr="009B0276" w:rsidRDefault="006D0D3B" w:rsidP="000E4D54">
            <w:pPr>
              <w:jc w:val="center"/>
            </w:pPr>
          </w:p>
        </w:tc>
        <w:tc>
          <w:tcPr>
            <w:tcW w:w="4365" w:type="dxa"/>
            <w:tcBorders>
              <w:top w:val="single" w:sz="4" w:space="0" w:color="auto"/>
              <w:left w:val="nil"/>
              <w:bottom w:val="nil"/>
              <w:right w:val="nil"/>
            </w:tcBorders>
            <w:shd w:val="clear" w:color="auto" w:fill="auto"/>
            <w:vAlign w:val="center"/>
          </w:tcPr>
          <w:p w14:paraId="0CC8E72F" w14:textId="77777777" w:rsidR="006D0D3B" w:rsidRPr="009B0276" w:rsidRDefault="006D0D3B" w:rsidP="007516E8">
            <w:pPr>
              <w:jc w:val="right"/>
            </w:pPr>
            <w:r w:rsidRPr="009B0276">
              <w:rPr>
                <w:i/>
                <w:sz w:val="16"/>
                <w:szCs w:val="16"/>
              </w:rPr>
              <w:t>Zdroj: Eurostat</w:t>
            </w:r>
          </w:p>
        </w:tc>
      </w:tr>
    </w:tbl>
    <w:p w14:paraId="16E3DFB7" w14:textId="77777777" w:rsidR="006D0D3B" w:rsidRDefault="006D0D3B" w:rsidP="006D0D3B">
      <w:pPr>
        <w:pStyle w:val="NormalList"/>
        <w:spacing w:after="240"/>
        <w:rPr>
          <w:b/>
        </w:rPr>
      </w:pPr>
    </w:p>
    <w:p w14:paraId="3F0A1F23" w14:textId="77777777" w:rsidR="006D0D3B" w:rsidRDefault="006D0D3B" w:rsidP="006D0D3B">
      <w:pPr>
        <w:pStyle w:val="NormalList"/>
        <w:spacing w:after="240"/>
      </w:pPr>
      <w:r w:rsidRPr="0034407A">
        <w:rPr>
          <w:b/>
        </w:rPr>
        <w:t>Z pohľadu štruktúry daňového mixu rástli najmä dane z</w:t>
      </w:r>
      <w:r>
        <w:rPr>
          <w:b/>
        </w:rPr>
        <w:t xml:space="preserve"> práce všeobecne považované za najviac škodlivé pre ekonomickú aktivitu. </w:t>
      </w:r>
      <w:r>
        <w:t xml:space="preserve">Na úrovni mzdovej distribúcie rástlo zdanenie </w:t>
      </w:r>
      <w:r w:rsidRPr="00A02CE4">
        <w:t>najvýraznejšie u vysokopríjmových a nízkopríjmových zamestnancov</w:t>
      </w:r>
      <w:r w:rsidRPr="000358EA">
        <w:rPr>
          <w:b/>
        </w:rPr>
        <w:t xml:space="preserve">. </w:t>
      </w:r>
      <w:r w:rsidRPr="00A02CE4">
        <w:t xml:space="preserve">V porovnaní s medzinárodnou </w:t>
      </w:r>
      <w:r>
        <w:t>literatúrou</w:t>
      </w:r>
      <w:r>
        <w:rPr>
          <w:b/>
        </w:rPr>
        <w:t xml:space="preserve">, </w:t>
      </w:r>
      <w:r>
        <w:t>rast zaťaženia práce nemá významný vplyv na počet odpracovaných hodín (</w:t>
      </w:r>
      <w:hyperlink r:id="rId55" w:history="1">
        <w:r w:rsidRPr="00C36733">
          <w:rPr>
            <w:rStyle w:val="Hypertextovprepojenie"/>
          </w:rPr>
          <w:t>IFP, 2021</w:t>
        </w:r>
      </w:hyperlink>
      <w:r>
        <w:t>) tzv. intensive margin.</w:t>
      </w:r>
      <w:r w:rsidRPr="009B0276">
        <w:t xml:space="preserve"> </w:t>
      </w:r>
      <w:r>
        <w:t>Z pohľadu možnosti zamestnať sa, tzv. extensive margin, môže byť v</w:t>
      </w:r>
      <w:r w:rsidRPr="009B0276">
        <w:t>ysoká cena práce pre ľudí s nízkymi pracovnými zručnosťami bariérou</w:t>
      </w:r>
      <w:r>
        <w:t>.</w:t>
      </w:r>
    </w:p>
    <w:p w14:paraId="02594947" w14:textId="6515E018" w:rsidR="006D0D3B" w:rsidRPr="009B0276" w:rsidRDefault="006D0D3B" w:rsidP="006D0D3B">
      <w:pPr>
        <w:pStyle w:val="NormalList"/>
        <w:spacing w:after="240"/>
      </w:pPr>
      <w:r>
        <w:rPr>
          <w:b/>
        </w:rPr>
        <w:t>Fiškálne neutrálna daňová r</w:t>
      </w:r>
      <w:r w:rsidRPr="00C6743B">
        <w:rPr>
          <w:b/>
        </w:rPr>
        <w:t>eforma od daní z práce k</w:t>
      </w:r>
      <w:r>
        <w:rPr>
          <w:b/>
        </w:rPr>
        <w:t> </w:t>
      </w:r>
      <w:r w:rsidRPr="00C6743B">
        <w:rPr>
          <w:b/>
        </w:rPr>
        <w:t>majetkovým</w:t>
      </w:r>
      <w:r>
        <w:rPr>
          <w:b/>
        </w:rPr>
        <w:t xml:space="preserve"> a zeleným</w:t>
      </w:r>
      <w:r w:rsidRPr="00C6743B">
        <w:rPr>
          <w:b/>
        </w:rPr>
        <w:t xml:space="preserve"> daniam</w:t>
      </w:r>
      <w:r>
        <w:rPr>
          <w:b/>
        </w:rPr>
        <w:t xml:space="preserve"> (</w:t>
      </w:r>
      <w:r w:rsidR="00D26FB1" w:rsidRPr="00D353ED">
        <w:rPr>
          <w:rFonts w:eastAsia="Calibri" w:cs="Arial"/>
          <w:b/>
          <w:bCs/>
          <w:color w:val="2C9ADC"/>
        </w:rPr>
        <w:t>GRAF 36</w:t>
      </w:r>
      <w:r>
        <w:rPr>
          <w:b/>
        </w:rPr>
        <w:t>)</w:t>
      </w:r>
      <w:r w:rsidRPr="00C6743B">
        <w:rPr>
          <w:b/>
        </w:rPr>
        <w:t xml:space="preserve"> má potenciál zvýšiť rast ekonomiky</w:t>
      </w:r>
      <w:r>
        <w:rPr>
          <w:b/>
        </w:rPr>
        <w:t xml:space="preserve"> o 0,2 až 1 % (</w:t>
      </w:r>
      <w:hyperlink r:id="rId56" w:history="1">
        <w:r w:rsidRPr="00C36733">
          <w:rPr>
            <w:rStyle w:val="Hypertextovprepojenie"/>
            <w:b/>
          </w:rPr>
          <w:t>Heady a kol. 2009</w:t>
        </w:r>
      </w:hyperlink>
      <w:r>
        <w:rPr>
          <w:b/>
        </w:rPr>
        <w:t xml:space="preserve">; </w:t>
      </w:r>
      <w:hyperlink r:id="rId57" w:history="1">
        <w:r w:rsidRPr="00C36733">
          <w:rPr>
            <w:rStyle w:val="Hypertextovprepojenie"/>
            <w:b/>
          </w:rPr>
          <w:t>IMF 2012</w:t>
        </w:r>
      </w:hyperlink>
      <w:r>
        <w:rPr>
          <w:b/>
        </w:rPr>
        <w:t xml:space="preserve">; </w:t>
      </w:r>
      <w:hyperlink r:id="rId58" w:history="1">
        <w:r w:rsidRPr="0023228F">
          <w:rPr>
            <w:rStyle w:val="Hypertextovprepojenie"/>
            <w:b/>
          </w:rPr>
          <w:t>IMF 2015</w:t>
        </w:r>
      </w:hyperlink>
      <w:r>
        <w:rPr>
          <w:b/>
        </w:rPr>
        <w:t xml:space="preserve">). </w:t>
      </w:r>
      <w:r w:rsidRPr="003E3B00">
        <w:t xml:space="preserve">Rovnako by pomohla zvýšiť udržateľnosť verejných financií v dlhom období vzhľadom na starnutie obyvateľstva a pokles pracujúcej populácie. </w:t>
      </w:r>
      <w:r>
        <w:t>Slovenský daňový systém</w:t>
      </w:r>
      <w:r w:rsidRPr="009B0276">
        <w:t xml:space="preserve"> </w:t>
      </w:r>
      <w:r>
        <w:t>ne</w:t>
      </w:r>
      <w:r w:rsidRPr="009B0276">
        <w:t>vyu</w:t>
      </w:r>
      <w:r>
        <w:t>žíva</w:t>
      </w:r>
      <w:r w:rsidRPr="009B0276">
        <w:t xml:space="preserve"> </w:t>
      </w:r>
      <w:r>
        <w:t xml:space="preserve">dostatočne </w:t>
      </w:r>
      <w:r w:rsidRPr="009B0276">
        <w:t>potenciál majetkových daní</w:t>
      </w:r>
      <w:r>
        <w:t xml:space="preserve"> (najmä daní z nehnuteľností), ktoré majú nižšie negatívne vplyvy na</w:t>
      </w:r>
      <w:r w:rsidRPr="009B0276">
        <w:t xml:space="preserve"> ekonomickú aktivitu</w:t>
      </w:r>
      <w:r>
        <w:t>. Technickou prekážkou pre využitie potenciálu daní z nehnuteľností sú chýbajúce cenové mapy poskytujúce informácie o tržnej cene nehnuteľností, nevyhnutné pre efektívne nastavenie systému. Zároveň nevytvára slovenský d</w:t>
      </w:r>
      <w:r w:rsidRPr="009B0276">
        <w:t xml:space="preserve">aňový systém </w:t>
      </w:r>
      <w:r>
        <w:t xml:space="preserve">dostatočné </w:t>
      </w:r>
      <w:r w:rsidRPr="009B0276">
        <w:t xml:space="preserve">motivácie na transformáciu ekonomiky k zelenším alternatívam. </w:t>
      </w:r>
    </w:p>
    <w:p w14:paraId="365CC7D0" w14:textId="498903F7" w:rsidR="006D0D3B" w:rsidRDefault="006D0D3B" w:rsidP="006D0D3B">
      <w:pPr>
        <w:pStyle w:val="NormalList"/>
        <w:spacing w:after="240"/>
      </w:pPr>
      <w:r w:rsidRPr="0034407A">
        <w:rPr>
          <w:b/>
        </w:rPr>
        <w:t>Úroveň spotrebných daní z minerálnych olejov a energií zaťažujúcich znečistenie je pod priemerom krajín EÚ</w:t>
      </w:r>
      <w:r w:rsidRPr="0034407A">
        <w:t xml:space="preserve"> </w:t>
      </w:r>
      <w:r w:rsidRPr="0034407A">
        <w:rPr>
          <w:b/>
        </w:rPr>
        <w:t>ak zohľadníme platby za výrobu elektrin</w:t>
      </w:r>
      <w:r w:rsidR="007B0A4D">
        <w:rPr>
          <w:b/>
        </w:rPr>
        <w:t xml:space="preserve">y z obnoviteľných </w:t>
      </w:r>
      <w:r w:rsidR="007B0A4D" w:rsidRPr="00D26FB1">
        <w:rPr>
          <w:b/>
        </w:rPr>
        <w:t>zdrojov (</w:t>
      </w:r>
      <w:r w:rsidR="007B0A4D" w:rsidRPr="00636109">
        <w:rPr>
          <w:rFonts w:eastAsia="Calibri" w:cs="Arial"/>
          <w:b/>
          <w:bCs/>
          <w:color w:val="2C9ADC"/>
        </w:rPr>
        <w:t>GRAF 36</w:t>
      </w:r>
      <w:r w:rsidRPr="00D26FB1">
        <w:rPr>
          <w:b/>
        </w:rPr>
        <w:t>).</w:t>
      </w:r>
      <w:r w:rsidRPr="00D26FB1">
        <w:t xml:space="preserve"> Tie</w:t>
      </w:r>
      <w:r w:rsidRPr="0034407A">
        <w:t xml:space="preserve"> sú v </w:t>
      </w:r>
      <w:r>
        <w:t>národných účtoch</w:t>
      </w:r>
      <w:r w:rsidRPr="0034407A">
        <w:t xml:space="preserve"> zaradené </w:t>
      </w:r>
      <w:r>
        <w:t xml:space="preserve">pod spotrebnými daňami ako </w:t>
      </w:r>
      <w:r w:rsidRPr="0034407A">
        <w:t xml:space="preserve">zelené dane. </w:t>
      </w:r>
      <w:r>
        <w:t>Napriek tomu nedošlo ku konkrétnym legislatívnym zmenám, ktoré by viedli k vyššiemu daňovému zaťaženiu znečisťovania. Naopak, v</w:t>
      </w:r>
      <w:r w:rsidRPr="0034407A">
        <w:t> niektorých prípadoch daňový systém podporuje fosílne paliva</w:t>
      </w:r>
      <w:r>
        <w:t>,</w:t>
      </w:r>
      <w:r w:rsidRPr="0034407A">
        <w:t xml:space="preserve"> najmä vo forme tzv. fakultatívnych výnimiek na uhlie a plyn. Z dôvodu chýbajúcej indexácie daňových sadzieb, daňové zaťaženie v čase klesá v porovnaní s rastom príjmov. </w:t>
      </w:r>
    </w:p>
    <w:p w14:paraId="206A580C" w14:textId="77777777" w:rsidR="006D0D3B" w:rsidRPr="0034407A" w:rsidRDefault="006D0D3B" w:rsidP="006D0D3B">
      <w:pPr>
        <w:pStyle w:val="NormalList"/>
        <w:spacing w:after="240"/>
      </w:pPr>
      <w:r w:rsidRPr="0034407A">
        <w:rPr>
          <w:b/>
        </w:rPr>
        <w:t>Tieto nedostatky daňového systému sa zaväzuje odstrániť návrh Energetickej Smernice z dielne Európskej komisie</w:t>
      </w:r>
      <w:r>
        <w:t xml:space="preserve">. Energetická smernica </w:t>
      </w:r>
      <w:r w:rsidRPr="0034407A">
        <w:t>je jedným z prvkov balíka na zníženie emisií v EÚ do roku 2030 o 55 % v porovnaní s rokom 1990.</w:t>
      </w:r>
      <w:r>
        <w:t xml:space="preserve"> Návrh ruší možnosť daňových výnimiek zo zdanenia a zvyšuje úroveň minimálnych sadzieb z minerálnych olejov a energií v závislosti od ich energetického obsahu naprieč krajinami EÚ. Návrh tiež zavádza indexáciu sadzieb s cieľom udržať efektívnu úroveň zdanenia v čase.</w:t>
      </w:r>
      <w:r w:rsidRPr="0034407A">
        <w:t xml:space="preserve"> Významnou súčasťou balíka je dôraz na potrebu kompenzácií nízkopríjmových domácností a vybraných sektorov ekonomiky. V súlade s programovým vyhlásením vlády je potrebné pre adresnú pomoc potrebné vypracovať koncept energetickej chudoby.</w:t>
      </w:r>
    </w:p>
    <w:p w14:paraId="2AC09AE7" w14:textId="18DC7B99" w:rsidR="006D0D3B" w:rsidRDefault="006D0D3B" w:rsidP="006D0D3B">
      <w:pPr>
        <w:pStyle w:val="NormalList"/>
        <w:spacing w:before="120" w:after="120"/>
      </w:pPr>
      <w:r w:rsidRPr="00293D03">
        <w:rPr>
          <w:b/>
        </w:rPr>
        <w:t xml:space="preserve">Aktualizácia </w:t>
      </w:r>
      <w:r>
        <w:rPr>
          <w:b/>
        </w:rPr>
        <w:t xml:space="preserve">odhadu </w:t>
      </w:r>
      <w:r w:rsidRPr="00293D03">
        <w:rPr>
          <w:b/>
        </w:rPr>
        <w:t xml:space="preserve">daňovej medzery na DPH indikuje zlepšenie úspešnosti výberu </w:t>
      </w:r>
      <w:r>
        <w:rPr>
          <w:b/>
        </w:rPr>
        <w:t xml:space="preserve">o 4,7 percentuálneho bodu </w:t>
      </w:r>
      <w:r w:rsidRPr="00293D03">
        <w:rPr>
          <w:b/>
        </w:rPr>
        <w:t>na úroveň 12,1 % čo predstavuje historicky najlepšie</w:t>
      </w:r>
      <w:r>
        <w:rPr>
          <w:b/>
        </w:rPr>
        <w:t xml:space="preserve"> medziročné</w:t>
      </w:r>
      <w:r w:rsidRPr="00293D03">
        <w:rPr>
          <w:b/>
        </w:rPr>
        <w:t xml:space="preserve"> zlepšenie o 360 </w:t>
      </w:r>
      <w:r w:rsidRPr="001D2CDE">
        <w:rPr>
          <w:b/>
        </w:rPr>
        <w:t>mil. eur</w:t>
      </w:r>
      <w:r w:rsidRPr="001D2CDE">
        <w:t xml:space="preserve"> (</w:t>
      </w:r>
      <w:r w:rsidR="007B0A4D" w:rsidRPr="00636109">
        <w:rPr>
          <w:rFonts w:eastAsia="Calibri" w:cs="Arial"/>
          <w:b/>
          <w:bCs/>
          <w:color w:val="2C9ADC"/>
        </w:rPr>
        <w:t>GRAF 37</w:t>
      </w:r>
      <w:r w:rsidRPr="001D2CDE">
        <w:t>).</w:t>
      </w:r>
      <w:r w:rsidRPr="0052274D">
        <w:t xml:space="preserve"> Finančná správa pokračuje v boji s daňovými únikmi</w:t>
      </w:r>
      <w:r>
        <w:t xml:space="preserve">. Kontrolná a preventívna činnosť sa zameriava aj na </w:t>
      </w:r>
      <w:r w:rsidRPr="0052274D">
        <w:t xml:space="preserve">čistenie </w:t>
      </w:r>
      <w:r>
        <w:t xml:space="preserve">registra </w:t>
      </w:r>
      <w:r w:rsidRPr="0052274D">
        <w:t>platcov DPH s cieľom znížiť neaktívne subjekty. V súlade s odporúčaniami projektu TADAT</w:t>
      </w:r>
      <w:r>
        <w:rPr>
          <w:rStyle w:val="Odkaznapoznmkupodiarou"/>
        </w:rPr>
        <w:footnoteReference w:id="61"/>
      </w:r>
      <w:r w:rsidRPr="0052274D">
        <w:t xml:space="preserve"> sa upravuje cielenie kontrol, s cieľom znížiť výskyt kontrol neaktívnych subjektov. K zníženiu medzery pozitívne prispieva </w:t>
      </w:r>
      <w:r w:rsidRPr="00882E1E">
        <w:t xml:space="preserve">rozmach online predaja spojený s odklonom od hotovostných platieb k platbám kartou či mobilom, ktoré neumožňujú </w:t>
      </w:r>
      <w:r>
        <w:t>tak výrazný rozsah únikov</w:t>
      </w:r>
      <w:r w:rsidRPr="00882E1E">
        <w:t xml:space="preserve"> v podobe nepriznania tržieb</w:t>
      </w:r>
      <w:r>
        <w:t xml:space="preserve"> ako pri platbe v hotovosti</w:t>
      </w:r>
      <w:r>
        <w:rPr>
          <w:rStyle w:val="Odkaznapoznmkupodiarou"/>
        </w:rPr>
        <w:footnoteReference w:id="62"/>
      </w:r>
      <w:r>
        <w:t>. Pandémia zároveň spôsobila</w:t>
      </w:r>
      <w:r w:rsidRPr="00882E1E">
        <w:t xml:space="preserve"> prechod spotreby od sektorov s tradične vysokou medzerou na DPH ako reštau</w:t>
      </w:r>
      <w:r>
        <w:t>rácie či hotely do maloobchodu. V medzinárodnom kontexte je Slovensko stále nad priemernou úrovňou v EÚ</w:t>
      </w:r>
      <w:r>
        <w:rPr>
          <w:rStyle w:val="Odkaznapoznmkupodiarou"/>
        </w:rPr>
        <w:footnoteReference w:id="63"/>
      </w:r>
      <w:r>
        <w:t xml:space="preserve"> (10,3 % na posledných dostupných údajoch z roku 2019), pričom dodatočné zníženie na priemernú úroveň EÚ by zvýšilo výnos DPH o približne ďalších150 mil. eur. Aktuálny odhad daňovej medzery bude počas roka 2022 ešte podliehať zmenám, ak Štatistický úrad reviduje makroekonomické údaje v národných účtoch.</w:t>
      </w:r>
    </w:p>
    <w:p w14:paraId="3A0361E4" w14:textId="63CE4EB5" w:rsidR="006D0D3B" w:rsidRPr="009B03C5" w:rsidRDefault="006D0D3B" w:rsidP="006D0D3B">
      <w:pPr>
        <w:pStyle w:val="NormalList"/>
        <w:spacing w:before="120" w:after="120"/>
      </w:pPr>
      <w:r w:rsidRPr="009B03C5">
        <w:rPr>
          <w:b/>
        </w:rPr>
        <w:t xml:space="preserve">Ďalším míľnikom v boji s daňovými únikmi na DPH je zavedenie elektronickej faktúry, tzv. e-faktúry. </w:t>
      </w:r>
      <w:r w:rsidRPr="009B03C5">
        <w:t xml:space="preserve">Termín zavedenia z júna 2022 bol posunutý z dôvodu prác na príprave legislatívy a vytvorenie časového priestoru pre prípravu </w:t>
      </w:r>
      <w:r>
        <w:t>podnikateľského sektora na zavedenie e-faktúry.</w:t>
      </w:r>
    </w:p>
    <w:p w14:paraId="2ECF36BB" w14:textId="5F7AC51C" w:rsidR="006D0D3B" w:rsidRPr="009A703A" w:rsidRDefault="006D0D3B" w:rsidP="00F00012">
      <w:pPr>
        <w:pStyle w:val="NormalList"/>
        <w:rPr>
          <w:b/>
          <w:highlight w:val="yellow"/>
        </w:rPr>
      </w:pPr>
    </w:p>
    <w:tbl>
      <w:tblPr>
        <w:tblW w:w="90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547"/>
        <w:gridCol w:w="160"/>
        <w:gridCol w:w="4365"/>
      </w:tblGrid>
      <w:tr w:rsidR="006D0D3B" w:rsidRPr="000068CF" w14:paraId="0619E46F" w14:textId="77777777" w:rsidTr="00A73C13">
        <w:trPr>
          <w:trHeight w:val="283"/>
          <w:jc w:val="center"/>
        </w:trPr>
        <w:tc>
          <w:tcPr>
            <w:tcW w:w="4547" w:type="dxa"/>
            <w:tcBorders>
              <w:top w:val="nil"/>
              <w:left w:val="nil"/>
              <w:bottom w:val="single" w:sz="4" w:space="0" w:color="000000"/>
              <w:right w:val="nil"/>
            </w:tcBorders>
            <w:shd w:val="clear" w:color="auto" w:fill="auto"/>
          </w:tcPr>
          <w:p w14:paraId="5E7361AC" w14:textId="283DD504" w:rsidR="006D0D3B" w:rsidRPr="000068CF" w:rsidRDefault="006D0D3B" w:rsidP="00A73C13">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bookmarkStart w:id="170" w:name="_Toc101881960"/>
            <w:r w:rsidRPr="000068CF">
              <w:rPr>
                <w:rFonts w:eastAsiaTheme="minorHAnsi"/>
                <w:color w:val="2C9ADC"/>
                <w:lang w:eastAsia="en-US"/>
              </w:rPr>
              <w:t xml:space="preserve">GRAF </w:t>
            </w:r>
            <w:r w:rsidRPr="000068CF">
              <w:rPr>
                <w:rFonts w:eastAsiaTheme="minorHAnsi"/>
                <w:color w:val="2C9ADC"/>
                <w:lang w:eastAsia="en-US"/>
              </w:rPr>
              <w:fldChar w:fldCharType="begin"/>
            </w:r>
            <w:r w:rsidRPr="000068CF">
              <w:rPr>
                <w:rFonts w:eastAsiaTheme="minorHAnsi"/>
                <w:color w:val="2C9ADC"/>
                <w:lang w:eastAsia="en-US"/>
              </w:rPr>
              <w:instrText xml:space="preserve"> SEQ GRAF \* ARABIC </w:instrText>
            </w:r>
            <w:r w:rsidRPr="000068CF">
              <w:rPr>
                <w:rFonts w:eastAsiaTheme="minorHAnsi"/>
                <w:color w:val="2C9ADC"/>
                <w:lang w:eastAsia="en-US"/>
              </w:rPr>
              <w:fldChar w:fldCharType="separate"/>
            </w:r>
            <w:r w:rsidR="005D3280">
              <w:rPr>
                <w:rFonts w:eastAsiaTheme="minorHAnsi"/>
                <w:noProof/>
                <w:color w:val="2C9ADC"/>
                <w:lang w:eastAsia="en-US"/>
              </w:rPr>
              <w:t>36</w:t>
            </w:r>
            <w:r w:rsidRPr="000068CF">
              <w:rPr>
                <w:rFonts w:eastAsiaTheme="minorHAnsi"/>
                <w:color w:val="2C9ADC"/>
                <w:lang w:eastAsia="en-US"/>
              </w:rPr>
              <w:fldChar w:fldCharType="end"/>
            </w:r>
            <w:r w:rsidR="00A73C13">
              <w:rPr>
                <w:rFonts w:eastAsiaTheme="minorHAnsi"/>
                <w:color w:val="2C9ADC"/>
                <w:lang w:eastAsia="en-US"/>
              </w:rPr>
              <w:t xml:space="preserve"> – P</w:t>
            </w:r>
            <w:r w:rsidRPr="000068CF">
              <w:t>riestor pre zmenu daňového mixu</w:t>
            </w:r>
            <w:bookmarkEnd w:id="170"/>
          </w:p>
        </w:tc>
        <w:tc>
          <w:tcPr>
            <w:tcW w:w="160" w:type="dxa"/>
            <w:tcBorders>
              <w:top w:val="nil"/>
              <w:left w:val="nil"/>
              <w:bottom w:val="nil"/>
              <w:right w:val="nil"/>
            </w:tcBorders>
            <w:shd w:val="clear" w:color="auto" w:fill="auto"/>
            <w:vAlign w:val="center"/>
          </w:tcPr>
          <w:p w14:paraId="0B76F71A" w14:textId="77777777" w:rsidR="006D0D3B" w:rsidRPr="000068CF" w:rsidRDefault="006D0D3B" w:rsidP="000E4D54">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4365" w:type="dxa"/>
            <w:tcBorders>
              <w:top w:val="nil"/>
              <w:left w:val="nil"/>
              <w:bottom w:val="single" w:sz="4" w:space="0" w:color="000000"/>
              <w:right w:val="nil"/>
            </w:tcBorders>
            <w:shd w:val="clear" w:color="auto" w:fill="auto"/>
          </w:tcPr>
          <w:p w14:paraId="6DF25E55" w14:textId="22313012" w:rsidR="006D0D3B" w:rsidRPr="000068CF" w:rsidRDefault="006D0D3B" w:rsidP="00A73C13">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bookmarkStart w:id="171" w:name="_Toc101881961"/>
            <w:r w:rsidRPr="000068CF">
              <w:rPr>
                <w:rFonts w:eastAsiaTheme="minorHAnsi"/>
                <w:color w:val="2C9ADC"/>
                <w:lang w:eastAsia="en-US"/>
              </w:rPr>
              <w:t xml:space="preserve">GRAF </w:t>
            </w:r>
            <w:r w:rsidRPr="000068CF">
              <w:rPr>
                <w:rFonts w:eastAsiaTheme="minorHAnsi"/>
                <w:color w:val="2C9ADC"/>
                <w:lang w:eastAsia="en-US"/>
              </w:rPr>
              <w:fldChar w:fldCharType="begin"/>
            </w:r>
            <w:r w:rsidRPr="000068CF">
              <w:rPr>
                <w:rFonts w:eastAsiaTheme="minorHAnsi"/>
                <w:color w:val="2C9ADC"/>
                <w:lang w:eastAsia="en-US"/>
              </w:rPr>
              <w:instrText xml:space="preserve"> SEQ GRAF \* ARABIC </w:instrText>
            </w:r>
            <w:r w:rsidRPr="000068CF">
              <w:rPr>
                <w:rFonts w:eastAsiaTheme="minorHAnsi"/>
                <w:color w:val="2C9ADC"/>
                <w:lang w:eastAsia="en-US"/>
              </w:rPr>
              <w:fldChar w:fldCharType="separate"/>
            </w:r>
            <w:r w:rsidR="005D3280">
              <w:rPr>
                <w:rFonts w:eastAsiaTheme="minorHAnsi"/>
                <w:noProof/>
                <w:color w:val="2C9ADC"/>
                <w:lang w:eastAsia="en-US"/>
              </w:rPr>
              <w:t>37</w:t>
            </w:r>
            <w:r w:rsidRPr="000068CF">
              <w:rPr>
                <w:rFonts w:eastAsiaTheme="minorHAnsi"/>
                <w:color w:val="2C9ADC"/>
                <w:lang w:eastAsia="en-US"/>
              </w:rPr>
              <w:fldChar w:fldCharType="end"/>
            </w:r>
            <w:r w:rsidRPr="000068CF">
              <w:rPr>
                <w:rFonts w:eastAsiaTheme="minorHAnsi"/>
                <w:color w:val="2C9ADC"/>
                <w:lang w:eastAsia="en-US"/>
              </w:rPr>
              <w:t xml:space="preserve"> </w:t>
            </w:r>
            <w:r w:rsidRPr="000068CF">
              <w:t>– Daňová medzera na DPH (% z pot. výberu)</w:t>
            </w:r>
            <w:bookmarkEnd w:id="171"/>
          </w:p>
        </w:tc>
      </w:tr>
      <w:tr w:rsidR="006D0D3B" w:rsidRPr="000068CF" w14:paraId="658F9AAF" w14:textId="77777777" w:rsidTr="000E4D54">
        <w:trPr>
          <w:trHeight w:val="920"/>
          <w:jc w:val="center"/>
        </w:trPr>
        <w:tc>
          <w:tcPr>
            <w:tcW w:w="4547" w:type="dxa"/>
            <w:tcBorders>
              <w:top w:val="single" w:sz="4" w:space="0" w:color="000000"/>
              <w:left w:val="nil"/>
              <w:bottom w:val="single" w:sz="4" w:space="0" w:color="000000"/>
              <w:right w:val="nil"/>
            </w:tcBorders>
            <w:shd w:val="clear" w:color="auto" w:fill="auto"/>
            <w:vAlign w:val="center"/>
          </w:tcPr>
          <w:p w14:paraId="2A5D2C0D" w14:textId="77777777" w:rsidR="006D0D3B" w:rsidRPr="000068CF" w:rsidRDefault="006D0D3B" w:rsidP="000E4D54">
            <w:pPr>
              <w:spacing w:before="40" w:after="40"/>
              <w:jc w:val="center"/>
            </w:pPr>
            <w:r>
              <w:rPr>
                <w:noProof/>
              </w:rPr>
              <w:drawing>
                <wp:inline distT="0" distB="0" distL="0" distR="0" wp14:anchorId="5A54C376" wp14:editId="00DB7477">
                  <wp:extent cx="2849104" cy="1709225"/>
                  <wp:effectExtent l="0" t="0" r="8890" b="571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870928" cy="1722317"/>
                          </a:xfrm>
                          <a:prstGeom prst="rect">
                            <a:avLst/>
                          </a:prstGeom>
                          <a:noFill/>
                        </pic:spPr>
                      </pic:pic>
                    </a:graphicData>
                  </a:graphic>
                </wp:inline>
              </w:drawing>
            </w:r>
          </w:p>
        </w:tc>
        <w:tc>
          <w:tcPr>
            <w:tcW w:w="160" w:type="dxa"/>
            <w:tcBorders>
              <w:top w:val="nil"/>
              <w:left w:val="nil"/>
              <w:bottom w:val="nil"/>
              <w:right w:val="nil"/>
            </w:tcBorders>
            <w:shd w:val="clear" w:color="auto" w:fill="auto"/>
            <w:vAlign w:val="center"/>
          </w:tcPr>
          <w:p w14:paraId="536FAB44" w14:textId="77777777" w:rsidR="006D0D3B" w:rsidRPr="000068CF" w:rsidRDefault="006D0D3B" w:rsidP="000E4D54">
            <w:pPr>
              <w:spacing w:before="40" w:after="40"/>
              <w:jc w:val="center"/>
            </w:pPr>
          </w:p>
        </w:tc>
        <w:tc>
          <w:tcPr>
            <w:tcW w:w="4365" w:type="dxa"/>
            <w:tcBorders>
              <w:top w:val="single" w:sz="4" w:space="0" w:color="000000"/>
              <w:left w:val="nil"/>
              <w:bottom w:val="single" w:sz="4" w:space="0" w:color="000000"/>
              <w:right w:val="nil"/>
            </w:tcBorders>
            <w:shd w:val="clear" w:color="auto" w:fill="auto"/>
            <w:vAlign w:val="center"/>
          </w:tcPr>
          <w:p w14:paraId="7E0A208C" w14:textId="77777777" w:rsidR="006D0D3B" w:rsidRPr="000068CF" w:rsidRDefault="006D0D3B" w:rsidP="000E4D54">
            <w:pPr>
              <w:spacing w:before="40" w:after="40"/>
            </w:pPr>
            <w:r>
              <w:rPr>
                <w:noProof/>
              </w:rPr>
              <w:drawing>
                <wp:inline distT="0" distB="0" distL="0" distR="0" wp14:anchorId="7E0FB099" wp14:editId="3AF6E6B4">
                  <wp:extent cx="2708406" cy="1624818"/>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24935" cy="1634734"/>
                          </a:xfrm>
                          <a:prstGeom prst="rect">
                            <a:avLst/>
                          </a:prstGeom>
                          <a:noFill/>
                        </pic:spPr>
                      </pic:pic>
                    </a:graphicData>
                  </a:graphic>
                </wp:inline>
              </w:drawing>
            </w:r>
          </w:p>
        </w:tc>
      </w:tr>
      <w:tr w:rsidR="006D0D3B" w:rsidRPr="00896F6F" w14:paraId="2169C266" w14:textId="77777777" w:rsidTr="000E4D54">
        <w:trPr>
          <w:trHeight w:val="227"/>
          <w:jc w:val="center"/>
        </w:trPr>
        <w:tc>
          <w:tcPr>
            <w:tcW w:w="4547" w:type="dxa"/>
            <w:tcBorders>
              <w:top w:val="single" w:sz="4" w:space="0" w:color="000000"/>
              <w:left w:val="nil"/>
              <w:bottom w:val="nil"/>
              <w:right w:val="nil"/>
            </w:tcBorders>
            <w:shd w:val="clear" w:color="auto" w:fill="auto"/>
            <w:vAlign w:val="center"/>
          </w:tcPr>
          <w:p w14:paraId="512E2748" w14:textId="6BBE9C7B" w:rsidR="006D0D3B" w:rsidRPr="000068CF" w:rsidRDefault="006D0D3B" w:rsidP="000E4D54">
            <w:pPr>
              <w:jc w:val="right"/>
            </w:pPr>
            <w:r w:rsidRPr="000068CF">
              <w:rPr>
                <w:i/>
                <w:sz w:val="16"/>
                <w:szCs w:val="16"/>
              </w:rPr>
              <w:t xml:space="preserve">Zdroj: </w:t>
            </w:r>
            <w:r w:rsidR="009E432D">
              <w:rPr>
                <w:i/>
                <w:sz w:val="16"/>
                <w:szCs w:val="16"/>
              </w:rPr>
              <w:t xml:space="preserve">IFP, </w:t>
            </w:r>
            <w:r>
              <w:rPr>
                <w:i/>
                <w:sz w:val="16"/>
                <w:szCs w:val="16"/>
              </w:rPr>
              <w:t>Eurostat</w:t>
            </w:r>
          </w:p>
        </w:tc>
        <w:tc>
          <w:tcPr>
            <w:tcW w:w="160" w:type="dxa"/>
            <w:tcBorders>
              <w:top w:val="nil"/>
              <w:left w:val="nil"/>
              <w:bottom w:val="nil"/>
              <w:right w:val="nil"/>
            </w:tcBorders>
            <w:shd w:val="clear" w:color="auto" w:fill="auto"/>
            <w:vAlign w:val="center"/>
          </w:tcPr>
          <w:p w14:paraId="72A5CAB9" w14:textId="77777777" w:rsidR="006D0D3B" w:rsidRPr="000068CF" w:rsidRDefault="006D0D3B" w:rsidP="000E4D54">
            <w:pPr>
              <w:jc w:val="center"/>
            </w:pPr>
          </w:p>
        </w:tc>
        <w:tc>
          <w:tcPr>
            <w:tcW w:w="4365" w:type="dxa"/>
            <w:tcBorders>
              <w:top w:val="single" w:sz="4" w:space="0" w:color="000000"/>
              <w:left w:val="nil"/>
              <w:bottom w:val="nil"/>
              <w:right w:val="nil"/>
            </w:tcBorders>
            <w:shd w:val="clear" w:color="auto" w:fill="auto"/>
            <w:vAlign w:val="center"/>
          </w:tcPr>
          <w:p w14:paraId="5D5F05AE" w14:textId="77777777" w:rsidR="006D0D3B" w:rsidRPr="000068CF" w:rsidRDefault="006D0D3B" w:rsidP="000E4D54">
            <w:pPr>
              <w:jc w:val="right"/>
            </w:pPr>
            <w:r>
              <w:rPr>
                <w:i/>
                <w:sz w:val="16"/>
                <w:szCs w:val="16"/>
              </w:rPr>
              <w:t>Zdroj: FRSR</w:t>
            </w:r>
          </w:p>
        </w:tc>
      </w:tr>
    </w:tbl>
    <w:p w14:paraId="715382E4" w14:textId="77777777" w:rsidR="006D0D3B" w:rsidRPr="00C21FC8" w:rsidRDefault="006D0D3B" w:rsidP="006D0D3B">
      <w:pPr>
        <w:pStyle w:val="Nadpis2"/>
        <w:keepLines/>
        <w:numPr>
          <w:ilvl w:val="1"/>
          <w:numId w:val="14"/>
        </w:numPr>
        <w:spacing w:before="240" w:after="240"/>
        <w:rPr>
          <w:rFonts w:cs="Arial"/>
          <w:b/>
          <w:bCs/>
          <w:iCs/>
          <w:color w:val="2C9ADC"/>
        </w:rPr>
      </w:pPr>
      <w:bookmarkStart w:id="172" w:name="_28h4qwu" w:colFirst="0" w:colLast="0"/>
      <w:bookmarkStart w:id="173" w:name="_Toc511410028"/>
      <w:bookmarkStart w:id="174" w:name="_Toc526682966"/>
      <w:bookmarkStart w:id="175" w:name="_Toc526786902"/>
      <w:bookmarkStart w:id="176" w:name="_Toc53422695"/>
      <w:bookmarkStart w:id="177" w:name="_Toc70700342"/>
      <w:bookmarkStart w:id="178" w:name="_Toc101880675"/>
      <w:bookmarkEnd w:id="158"/>
      <w:bookmarkEnd w:id="159"/>
      <w:bookmarkEnd w:id="160"/>
      <w:bookmarkEnd w:id="167"/>
      <w:bookmarkEnd w:id="172"/>
      <w:bookmarkEnd w:id="173"/>
      <w:r w:rsidRPr="00C21FC8">
        <w:rPr>
          <w:rFonts w:cs="Arial"/>
          <w:b/>
          <w:bCs/>
          <w:iCs/>
          <w:color w:val="2C9ADC"/>
        </w:rPr>
        <w:t>Výdavkové ciele rozpočtu verejnej správy podľa ich funkcie</w:t>
      </w:r>
      <w:bookmarkEnd w:id="174"/>
      <w:bookmarkEnd w:id="175"/>
      <w:bookmarkEnd w:id="176"/>
      <w:bookmarkEnd w:id="177"/>
      <w:bookmarkEnd w:id="178"/>
    </w:p>
    <w:p w14:paraId="619270A5" w14:textId="4B10E80B" w:rsidR="00164FAA" w:rsidRDefault="006D0D3B" w:rsidP="001C0575">
      <w:pPr>
        <w:pStyle w:val="NormalList"/>
        <w:spacing w:before="240" w:after="120"/>
      </w:pPr>
      <w:r w:rsidRPr="0066756C">
        <w:rPr>
          <w:b/>
        </w:rPr>
        <w:t xml:space="preserve">Pandemická a ekonomická kríza sa spolu pretavili do silného nárastu celkových výdavkov VS v rokoch 2020 a 2021. </w:t>
      </w:r>
      <w:r w:rsidRPr="0066756C">
        <w:t>Od roku 2017 podiel výdavkov na HDP mierne rastie, výrazný skok však spôsobila najmä koronakríza v</w:t>
      </w:r>
      <w:r w:rsidR="008644B2">
        <w:t xml:space="preserve"> roku </w:t>
      </w:r>
      <w:r w:rsidRPr="0066756C">
        <w:t xml:space="preserve">2020. </w:t>
      </w:r>
      <w:r w:rsidRPr="00680F34">
        <w:t xml:space="preserve">Tento nárast zapríčinili nielen podporné opatrenia na zvládnutie krízy, ale tiež silný prepad HDP. </w:t>
      </w:r>
      <w:r w:rsidRPr="00164FAA">
        <w:t>Podiel celkových výdavkov na HDP bude na horizonte rámca postupne klesať, aj napriek dočerpávaniu aktuálneho programového obdobia eurofondov a investíciám z Plánu obnovy a odolnosti.</w:t>
      </w:r>
    </w:p>
    <w:p w14:paraId="4A8B2A99" w14:textId="3617D9EE" w:rsidR="001C0575" w:rsidRDefault="001C0575" w:rsidP="001C0575">
      <w:pPr>
        <w:pStyle w:val="NormalList"/>
        <w:spacing w:before="240" w:after="120"/>
      </w:pPr>
    </w:p>
    <w:p w14:paraId="4C1054BB" w14:textId="77777777" w:rsidR="001C0575" w:rsidRPr="00164FAA" w:rsidRDefault="001C0575" w:rsidP="001C0575">
      <w:pPr>
        <w:pStyle w:val="NormalList"/>
        <w:spacing w:before="240" w:after="120"/>
      </w:pPr>
    </w:p>
    <w:tbl>
      <w:tblPr>
        <w:tblW w:w="90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547"/>
        <w:gridCol w:w="160"/>
        <w:gridCol w:w="4365"/>
      </w:tblGrid>
      <w:tr w:rsidR="006D0D3B" w:rsidRPr="000068CF" w14:paraId="5CF3AC40" w14:textId="77777777" w:rsidTr="00A73C13">
        <w:trPr>
          <w:trHeight w:val="283"/>
          <w:jc w:val="center"/>
        </w:trPr>
        <w:tc>
          <w:tcPr>
            <w:tcW w:w="4547" w:type="dxa"/>
            <w:tcBorders>
              <w:top w:val="nil"/>
              <w:left w:val="nil"/>
              <w:bottom w:val="single" w:sz="4" w:space="0" w:color="000000"/>
              <w:right w:val="nil"/>
            </w:tcBorders>
            <w:shd w:val="clear" w:color="auto" w:fill="auto"/>
          </w:tcPr>
          <w:p w14:paraId="73B35D95" w14:textId="0A7C0633" w:rsidR="006D0D3B" w:rsidRPr="00A73C13" w:rsidRDefault="00A73C13" w:rsidP="00A73C13">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bookmarkStart w:id="179" w:name="_Toc101881962"/>
            <w:r w:rsidRPr="00A73C13">
              <w:rPr>
                <w:rFonts w:cs="Arial"/>
                <w:color w:val="2C9ADC"/>
                <w:szCs w:val="18"/>
              </w:rPr>
              <w:t xml:space="preserve">GRAF </w:t>
            </w:r>
            <w:r w:rsidRPr="00A73C13">
              <w:rPr>
                <w:rFonts w:eastAsia="Times New Roman" w:cs="Arial"/>
                <w:color w:val="2C9ADC"/>
                <w:szCs w:val="18"/>
              </w:rPr>
              <w:fldChar w:fldCharType="begin"/>
            </w:r>
            <w:r w:rsidRPr="00A73C13">
              <w:rPr>
                <w:rFonts w:eastAsia="Times New Roman" w:cs="Arial"/>
                <w:color w:val="2C9ADC"/>
                <w:szCs w:val="18"/>
              </w:rPr>
              <w:instrText xml:space="preserve"> SEQ GRAF \* ARABIC </w:instrText>
            </w:r>
            <w:r w:rsidRPr="00A73C13">
              <w:rPr>
                <w:rFonts w:eastAsia="Times New Roman" w:cs="Arial"/>
                <w:color w:val="2C9ADC"/>
                <w:szCs w:val="18"/>
              </w:rPr>
              <w:fldChar w:fldCharType="separate"/>
            </w:r>
            <w:r w:rsidR="005D3280">
              <w:rPr>
                <w:rFonts w:eastAsia="Times New Roman" w:cs="Arial"/>
                <w:noProof/>
                <w:color w:val="2C9ADC"/>
                <w:szCs w:val="18"/>
              </w:rPr>
              <w:t>38</w:t>
            </w:r>
            <w:r w:rsidRPr="00A73C13">
              <w:rPr>
                <w:rFonts w:eastAsia="Times New Roman" w:cs="Arial"/>
                <w:color w:val="2C9ADC"/>
                <w:szCs w:val="18"/>
              </w:rPr>
              <w:fldChar w:fldCharType="end"/>
            </w:r>
            <w:r w:rsidRPr="00A73C13">
              <w:rPr>
                <w:rFonts w:cs="Arial"/>
                <w:color w:val="2C9ADC"/>
                <w:szCs w:val="18"/>
              </w:rPr>
              <w:t xml:space="preserve"> – </w:t>
            </w:r>
            <w:r w:rsidR="006D0D3B" w:rsidRPr="00A73C13">
              <w:t>Vývoj celkových výdavkov verejnej správy (% HDP)</w:t>
            </w:r>
            <w:bookmarkEnd w:id="179"/>
          </w:p>
        </w:tc>
        <w:tc>
          <w:tcPr>
            <w:tcW w:w="160" w:type="dxa"/>
            <w:tcBorders>
              <w:top w:val="nil"/>
              <w:left w:val="nil"/>
              <w:bottom w:val="nil"/>
              <w:right w:val="nil"/>
            </w:tcBorders>
            <w:shd w:val="clear" w:color="auto" w:fill="auto"/>
          </w:tcPr>
          <w:p w14:paraId="431A0581" w14:textId="77777777" w:rsidR="006D0D3B" w:rsidRPr="00A73C13" w:rsidRDefault="006D0D3B" w:rsidP="00A73C13">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p>
        </w:tc>
        <w:tc>
          <w:tcPr>
            <w:tcW w:w="4365" w:type="dxa"/>
            <w:tcBorders>
              <w:top w:val="nil"/>
              <w:left w:val="nil"/>
              <w:bottom w:val="single" w:sz="4" w:space="0" w:color="000000"/>
              <w:right w:val="nil"/>
            </w:tcBorders>
            <w:shd w:val="clear" w:color="auto" w:fill="auto"/>
          </w:tcPr>
          <w:p w14:paraId="585200C0" w14:textId="25685EC1" w:rsidR="006D0D3B" w:rsidRPr="00A73C13" w:rsidRDefault="00A73C13" w:rsidP="00A73C13">
            <w:pPr>
              <w:pStyle w:val="Tabuka"/>
              <w:pBdr>
                <w:top w:val="none" w:sz="0" w:space="0" w:color="auto"/>
                <w:left w:val="none" w:sz="0" w:space="0" w:color="auto"/>
                <w:bottom w:val="none" w:sz="0" w:space="0" w:color="auto"/>
                <w:right w:val="none" w:sz="0" w:space="0" w:color="auto"/>
                <w:between w:val="none" w:sz="0" w:space="0" w:color="auto"/>
                <w:bar w:val="none" w:sz="0" w:color="auto"/>
              </w:pBdr>
              <w:spacing w:after="0"/>
            </w:pPr>
            <w:bookmarkStart w:id="180" w:name="_Toc101881963"/>
            <w:r w:rsidRPr="00A73C13">
              <w:rPr>
                <w:rFonts w:cs="Arial"/>
                <w:color w:val="2C9ADC"/>
                <w:szCs w:val="18"/>
              </w:rPr>
              <w:t xml:space="preserve">GRAF </w:t>
            </w:r>
            <w:r w:rsidRPr="00A73C13">
              <w:rPr>
                <w:rFonts w:eastAsia="Times New Roman" w:cs="Arial"/>
                <w:color w:val="2C9ADC"/>
                <w:szCs w:val="18"/>
              </w:rPr>
              <w:fldChar w:fldCharType="begin"/>
            </w:r>
            <w:r w:rsidRPr="00A73C13">
              <w:rPr>
                <w:rFonts w:eastAsia="Times New Roman" w:cs="Arial"/>
                <w:color w:val="2C9ADC"/>
                <w:szCs w:val="18"/>
              </w:rPr>
              <w:instrText xml:space="preserve"> SEQ GRAF \* ARABIC </w:instrText>
            </w:r>
            <w:r w:rsidRPr="00A73C13">
              <w:rPr>
                <w:rFonts w:eastAsia="Times New Roman" w:cs="Arial"/>
                <w:color w:val="2C9ADC"/>
                <w:szCs w:val="18"/>
              </w:rPr>
              <w:fldChar w:fldCharType="separate"/>
            </w:r>
            <w:r w:rsidR="005D3280">
              <w:rPr>
                <w:rFonts w:eastAsia="Times New Roman" w:cs="Arial"/>
                <w:noProof/>
                <w:color w:val="2C9ADC"/>
                <w:szCs w:val="18"/>
              </w:rPr>
              <w:t>39</w:t>
            </w:r>
            <w:r w:rsidRPr="00A73C13">
              <w:rPr>
                <w:rFonts w:eastAsia="Times New Roman" w:cs="Arial"/>
                <w:color w:val="2C9ADC"/>
                <w:szCs w:val="18"/>
              </w:rPr>
              <w:fldChar w:fldCharType="end"/>
            </w:r>
            <w:r w:rsidRPr="00A73C13">
              <w:rPr>
                <w:rFonts w:cs="Arial"/>
                <w:color w:val="2C9ADC"/>
                <w:szCs w:val="18"/>
              </w:rPr>
              <w:t xml:space="preserve"> – </w:t>
            </w:r>
            <w:r w:rsidR="006D0D3B" w:rsidRPr="00A73C13">
              <w:t>Celkové výdavky verejnej správy v 2020 (% HDP)</w:t>
            </w:r>
            <w:bookmarkEnd w:id="180"/>
          </w:p>
        </w:tc>
      </w:tr>
      <w:tr w:rsidR="006D0D3B" w:rsidRPr="000068CF" w14:paraId="4EFD8769" w14:textId="77777777" w:rsidTr="00EE34FE">
        <w:trPr>
          <w:trHeight w:val="2502"/>
          <w:jc w:val="center"/>
        </w:trPr>
        <w:tc>
          <w:tcPr>
            <w:tcW w:w="4547" w:type="dxa"/>
            <w:tcBorders>
              <w:top w:val="single" w:sz="4" w:space="0" w:color="000000"/>
              <w:left w:val="nil"/>
              <w:bottom w:val="single" w:sz="4" w:space="0" w:color="000000"/>
              <w:right w:val="nil"/>
            </w:tcBorders>
            <w:shd w:val="clear" w:color="auto" w:fill="auto"/>
            <w:vAlign w:val="center"/>
          </w:tcPr>
          <w:p w14:paraId="0B23FFAD" w14:textId="77777777" w:rsidR="006D0D3B" w:rsidRPr="000068CF" w:rsidRDefault="006D0D3B" w:rsidP="000E4D54">
            <w:pPr>
              <w:spacing w:before="40" w:after="40"/>
              <w:jc w:val="center"/>
            </w:pPr>
            <w:r>
              <w:rPr>
                <w:noProof/>
              </w:rPr>
              <w:drawing>
                <wp:inline distT="0" distB="0" distL="0" distR="0" wp14:anchorId="2CFD55D8" wp14:editId="252CE4E6">
                  <wp:extent cx="2798445" cy="1543050"/>
                  <wp:effectExtent l="0" t="0" r="1905"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160" w:type="dxa"/>
            <w:tcBorders>
              <w:top w:val="nil"/>
              <w:left w:val="nil"/>
              <w:bottom w:val="nil"/>
              <w:right w:val="nil"/>
            </w:tcBorders>
            <w:shd w:val="clear" w:color="auto" w:fill="auto"/>
            <w:vAlign w:val="center"/>
          </w:tcPr>
          <w:p w14:paraId="7F143CF3" w14:textId="77777777" w:rsidR="006D0D3B" w:rsidRPr="000068CF" w:rsidRDefault="006D0D3B" w:rsidP="000E4D54">
            <w:pPr>
              <w:spacing w:before="40" w:after="40"/>
              <w:jc w:val="center"/>
            </w:pPr>
          </w:p>
        </w:tc>
        <w:tc>
          <w:tcPr>
            <w:tcW w:w="4365" w:type="dxa"/>
            <w:tcBorders>
              <w:top w:val="single" w:sz="4" w:space="0" w:color="000000"/>
              <w:left w:val="nil"/>
              <w:bottom w:val="single" w:sz="4" w:space="0" w:color="000000"/>
              <w:right w:val="nil"/>
            </w:tcBorders>
            <w:shd w:val="clear" w:color="auto" w:fill="auto"/>
            <w:vAlign w:val="center"/>
          </w:tcPr>
          <w:p w14:paraId="467343D1" w14:textId="77777777" w:rsidR="006D0D3B" w:rsidRPr="000068CF" w:rsidRDefault="006D0D3B" w:rsidP="000E4D54">
            <w:pPr>
              <w:spacing w:before="40" w:after="40"/>
            </w:pPr>
            <w:r>
              <w:rPr>
                <w:noProof/>
              </w:rPr>
              <w:drawing>
                <wp:inline distT="0" distB="0" distL="0" distR="0" wp14:anchorId="71C493D1" wp14:editId="7E8BEE94">
                  <wp:extent cx="2682875" cy="1549400"/>
                  <wp:effectExtent l="0" t="0" r="3175"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r w:rsidR="006D0D3B" w:rsidRPr="00896F6F" w14:paraId="525FF576" w14:textId="77777777" w:rsidTr="000E4D54">
        <w:trPr>
          <w:trHeight w:val="227"/>
          <w:jc w:val="center"/>
        </w:trPr>
        <w:tc>
          <w:tcPr>
            <w:tcW w:w="4547" w:type="dxa"/>
            <w:tcBorders>
              <w:top w:val="single" w:sz="4" w:space="0" w:color="000000"/>
              <w:left w:val="nil"/>
              <w:bottom w:val="nil"/>
              <w:right w:val="nil"/>
            </w:tcBorders>
            <w:shd w:val="clear" w:color="auto" w:fill="auto"/>
            <w:vAlign w:val="center"/>
          </w:tcPr>
          <w:p w14:paraId="6F40A2DB" w14:textId="77777777" w:rsidR="006D0D3B" w:rsidRPr="000068CF" w:rsidRDefault="006D0D3B" w:rsidP="000E4D54">
            <w:pPr>
              <w:jc w:val="right"/>
            </w:pPr>
            <w:r>
              <w:rPr>
                <w:i/>
                <w:sz w:val="16"/>
                <w:szCs w:val="16"/>
              </w:rPr>
              <w:t>Z</w:t>
            </w:r>
            <w:r w:rsidRPr="000068CF">
              <w:rPr>
                <w:i/>
                <w:sz w:val="16"/>
                <w:szCs w:val="16"/>
              </w:rPr>
              <w:t xml:space="preserve">droj: </w:t>
            </w:r>
            <w:r>
              <w:rPr>
                <w:i/>
                <w:sz w:val="16"/>
                <w:szCs w:val="16"/>
              </w:rPr>
              <w:t>Eurostat</w:t>
            </w:r>
          </w:p>
        </w:tc>
        <w:tc>
          <w:tcPr>
            <w:tcW w:w="160" w:type="dxa"/>
            <w:tcBorders>
              <w:top w:val="nil"/>
              <w:left w:val="nil"/>
              <w:bottom w:val="nil"/>
              <w:right w:val="nil"/>
            </w:tcBorders>
            <w:shd w:val="clear" w:color="auto" w:fill="auto"/>
            <w:vAlign w:val="center"/>
          </w:tcPr>
          <w:p w14:paraId="1DB491FD" w14:textId="77777777" w:rsidR="006D0D3B" w:rsidRPr="000068CF" w:rsidRDefault="006D0D3B" w:rsidP="000E4D54">
            <w:pPr>
              <w:jc w:val="center"/>
            </w:pPr>
          </w:p>
        </w:tc>
        <w:tc>
          <w:tcPr>
            <w:tcW w:w="4365" w:type="dxa"/>
            <w:tcBorders>
              <w:top w:val="single" w:sz="4" w:space="0" w:color="000000"/>
              <w:left w:val="nil"/>
              <w:bottom w:val="nil"/>
              <w:right w:val="nil"/>
            </w:tcBorders>
            <w:shd w:val="clear" w:color="auto" w:fill="auto"/>
            <w:vAlign w:val="center"/>
          </w:tcPr>
          <w:p w14:paraId="33515613" w14:textId="77777777" w:rsidR="006D0D3B" w:rsidRPr="000068CF" w:rsidRDefault="006D0D3B" w:rsidP="000E4D54">
            <w:pPr>
              <w:jc w:val="right"/>
            </w:pPr>
            <w:r>
              <w:rPr>
                <w:i/>
                <w:sz w:val="16"/>
                <w:szCs w:val="16"/>
              </w:rPr>
              <w:t>Zdroj: Eurostat</w:t>
            </w:r>
          </w:p>
        </w:tc>
      </w:tr>
    </w:tbl>
    <w:p w14:paraId="076C01DB" w14:textId="77777777" w:rsidR="001C0575" w:rsidRDefault="001C0575" w:rsidP="006D0D3B">
      <w:pPr>
        <w:spacing w:before="120"/>
        <w:jc w:val="both"/>
      </w:pPr>
      <w:r w:rsidRPr="00687D35">
        <w:rPr>
          <w:b/>
        </w:rPr>
        <w:t>Porovnanie štruktúry výdavkov ukazuje, že Slovensko vynakladá dlhodobo nižší podiel výdavkov najmä na sociálne zabezpečenie.</w:t>
      </w:r>
      <w:r w:rsidRPr="00687D35">
        <w:t xml:space="preserve"> Keďže</w:t>
      </w:r>
      <w:r w:rsidRPr="003E2123">
        <w:t xml:space="preserve"> v súčasnosti patríme medzi mladšie krajiny </w:t>
      </w:r>
      <w:r>
        <w:t>EÚ</w:t>
      </w:r>
      <w:r w:rsidRPr="003E2123">
        <w:t xml:space="preserve">, </w:t>
      </w:r>
      <w:r>
        <w:t xml:space="preserve">v porovnaní s EÚ priemerom </w:t>
      </w:r>
      <w:r w:rsidRPr="003E2123">
        <w:t xml:space="preserve"> </w:t>
      </w:r>
      <w:r>
        <w:t xml:space="preserve">sú </w:t>
      </w:r>
      <w:r w:rsidRPr="003E2123">
        <w:t xml:space="preserve">výdavky na sociálne zabezpečenie </w:t>
      </w:r>
      <w:r>
        <w:t xml:space="preserve">v starobe </w:t>
      </w:r>
      <w:r w:rsidRPr="003E2123">
        <w:t xml:space="preserve">na Slovensku nižšie. V budúcnosti sa očakáva </w:t>
      </w:r>
      <w:r>
        <w:t xml:space="preserve">ich </w:t>
      </w:r>
      <w:r w:rsidRPr="003E2123">
        <w:t xml:space="preserve">silný nárast, ktorý bude spojený so starnutím populácie. </w:t>
      </w:r>
      <w:r>
        <w:t>V porovnaní s EÚ však zaostávame aj pri výdavkoch na sociálne zabezpečenie pozostalých, rodín a detí, v nezamestnanosti, bývania či na sociálnu pomoc v hmotnej a sociálnej núdzi. Naopak, výrazne vyššie výdavky vynakladá Slovensko na finančnú pomoc pri chorobe, invalidite či ťažkom zdravotnom postihnutí.</w:t>
      </w:r>
    </w:p>
    <w:p w14:paraId="4EFAE72A" w14:textId="3C222F57" w:rsidR="006D0D3B" w:rsidRDefault="006D0D3B" w:rsidP="006D0D3B">
      <w:pPr>
        <w:spacing w:before="120"/>
        <w:jc w:val="both"/>
      </w:pPr>
      <w:r w:rsidRPr="0004594E">
        <w:rPr>
          <w:b/>
        </w:rPr>
        <w:t xml:space="preserve">Menšie rozdiely v štruktúre výdavkov sa týkajú všeobecných verejných služieb, verejného poriadku a bezpečnosti a ekonomickej oblasti. </w:t>
      </w:r>
      <w:r w:rsidRPr="0008182E">
        <w:t>V porovnaní s priemerom EÚ</w:t>
      </w:r>
      <w:r>
        <w:t xml:space="preserve"> vynakladáme viac zdrojov na bežný chod verejnej správy a jej úradov</w:t>
      </w:r>
      <w:r>
        <w:rPr>
          <w:rStyle w:val="Odkaznapoznmkupodiarou"/>
        </w:rPr>
        <w:footnoteReference w:id="64"/>
      </w:r>
      <w:r>
        <w:t>, kompenzované to je nižšími výdavkami na zahraničnú ekonomickú pomoc alebo na obsluhu dlhu. Aj napriek porovnateľným výdavkom na políciu</w:t>
      </w:r>
      <w:r w:rsidR="00360EBA">
        <w:rPr>
          <w:rStyle w:val="Odkaznapoznmkupodiarou"/>
        </w:rPr>
        <w:footnoteReference w:id="65"/>
      </w:r>
      <w:r>
        <w:t>, hasičov a súdy vynakladáme ako jedna z mála krajín významné dodatočné financie v oblasti verejného poriadku a bezpečnosti inde neklasifikovanej. V ekonomickej oblasti viac podporujeme dopravu a projekty na zabezpečenie dostatočného množstva palív a energie, zaostávame naopak pri podpore výskumu a inovácií a pri všeobecnej ekonomickej, obchodnej a pracovnej oblasti</w:t>
      </w:r>
      <w:r>
        <w:rPr>
          <w:rStyle w:val="Odkaznapoznmkupodiarou"/>
        </w:rPr>
        <w:footnoteReference w:id="66"/>
      </w:r>
      <w:r>
        <w:t>.</w:t>
      </w:r>
    </w:p>
    <w:p w14:paraId="6F9D3487" w14:textId="0847267C" w:rsidR="006D0D3B" w:rsidRDefault="006D0D3B" w:rsidP="00164FAA">
      <w:pPr>
        <w:spacing w:before="120"/>
        <w:jc w:val="both"/>
      </w:pPr>
      <w:r>
        <w:rPr>
          <w:b/>
        </w:rPr>
        <w:t>Investičný dlh ostáva aj v oblasti zdravotníctva, vzdelávania a bývania no i</w:t>
      </w:r>
      <w:r w:rsidRPr="00DD5F6F">
        <w:rPr>
          <w:b/>
        </w:rPr>
        <w:t>nvestície z plánu obnovy a</w:t>
      </w:r>
      <w:r>
        <w:rPr>
          <w:b/>
        </w:rPr>
        <w:t> </w:t>
      </w:r>
      <w:r w:rsidRPr="00DD5F6F">
        <w:rPr>
          <w:b/>
        </w:rPr>
        <w:t>odolnosti</w:t>
      </w:r>
      <w:r>
        <w:rPr>
          <w:b/>
        </w:rPr>
        <w:t xml:space="preserve"> ho</w:t>
      </w:r>
      <w:r w:rsidRPr="00DD5F6F">
        <w:rPr>
          <w:b/>
        </w:rPr>
        <w:t xml:space="preserve"> pomôžu </w:t>
      </w:r>
      <w:r>
        <w:rPr>
          <w:b/>
        </w:rPr>
        <w:t xml:space="preserve">zmenšiť. </w:t>
      </w:r>
      <w:r>
        <w:t xml:space="preserve">Na všetky tieto oblasti vynakladáme v porovnaní s priemerom EÚ menší podiel výdavkov na HDP. </w:t>
      </w:r>
      <w:r w:rsidRPr="00B43C1C">
        <w:t>Nosnou reformou zdravotníctva bude optimalizácia siete nemocníc</w:t>
      </w:r>
      <w:r>
        <w:t>, pričom na ňu bude nadväzovať aj reforma záchrannej zdravotnej služby a poskytovateľov ambulantnej starostlivosti</w:t>
      </w:r>
      <w:r w:rsidRPr="00B43C1C">
        <w:t>.</w:t>
      </w:r>
      <w:r>
        <w:t xml:space="preserve"> V oblasti vzdelávania sa počíta s budovaním kapacít materských aj základných škôl, prebehnú aj rozsiahle rekonštrukcie, debarierizácia a dovybavenie digitálnymi technológiami. Dostupnosť bývania by mala zvýšiť vďaka efektívnejšiemu stavebnému zákonu a rozšíreniu kapacít nájomného bývania. Okrem toho sa výrazná časť investícií rozloží naprieč oblasťami, a to najmä v prípade digitalizácie verejnej správy či zelenej transformácie ekonomiky.</w:t>
      </w:r>
    </w:p>
    <w:tbl>
      <w:tblPr>
        <w:tblW w:w="9052" w:type="dxa"/>
        <w:jc w:val="center"/>
        <w:tblLayout w:type="fixed"/>
        <w:tblCellMar>
          <w:left w:w="70" w:type="dxa"/>
          <w:right w:w="70" w:type="dxa"/>
        </w:tblCellMar>
        <w:tblLook w:val="04A0" w:firstRow="1" w:lastRow="0" w:firstColumn="1" w:lastColumn="0" w:noHBand="0" w:noVBand="1"/>
      </w:tblPr>
      <w:tblGrid>
        <w:gridCol w:w="2835"/>
        <w:gridCol w:w="850"/>
        <w:gridCol w:w="1843"/>
        <w:gridCol w:w="1843"/>
        <w:gridCol w:w="1681"/>
      </w:tblGrid>
      <w:tr w:rsidR="00164FAA" w:rsidRPr="00164FAA" w14:paraId="0872EA6D" w14:textId="77777777" w:rsidTr="00164FAA">
        <w:trPr>
          <w:trHeight w:val="14"/>
          <w:jc w:val="center"/>
        </w:trPr>
        <w:tc>
          <w:tcPr>
            <w:tcW w:w="9052" w:type="dxa"/>
            <w:gridSpan w:val="5"/>
            <w:tcBorders>
              <w:top w:val="nil"/>
              <w:left w:val="nil"/>
              <w:bottom w:val="single" w:sz="8" w:space="0" w:color="auto"/>
              <w:right w:val="nil"/>
            </w:tcBorders>
            <w:shd w:val="clear" w:color="auto" w:fill="auto"/>
          </w:tcPr>
          <w:p w14:paraId="0D6C2277" w14:textId="77777777" w:rsidR="00164FAA" w:rsidRPr="00164FAA" w:rsidRDefault="00164FAA" w:rsidP="00164FAA">
            <w:pPr>
              <w:pStyle w:val="Tabuka"/>
              <w:spacing w:before="120" w:after="0"/>
              <w:rPr>
                <w:highlight w:val="yellow"/>
              </w:rPr>
            </w:pPr>
            <w:bookmarkStart w:id="181" w:name="RANGE!A1"/>
            <w:r w:rsidRPr="00164FAA">
              <w:t>TABUĽKA 16 – Výdavky verejnej správy podľa klasifikácie COFOG</w:t>
            </w:r>
            <w:bookmarkEnd w:id="181"/>
          </w:p>
        </w:tc>
      </w:tr>
      <w:tr w:rsidR="00164FAA" w:rsidRPr="00164FAA" w14:paraId="60A64B92" w14:textId="77777777" w:rsidTr="00164FAA">
        <w:tblPrEx>
          <w:jc w:val="left"/>
        </w:tblPrEx>
        <w:trPr>
          <w:trHeight w:val="247"/>
        </w:trPr>
        <w:tc>
          <w:tcPr>
            <w:tcW w:w="2835" w:type="dxa"/>
            <w:vMerge w:val="restart"/>
            <w:tcBorders>
              <w:top w:val="nil"/>
              <w:left w:val="nil"/>
              <w:bottom w:val="single" w:sz="8" w:space="0" w:color="000000"/>
              <w:right w:val="nil"/>
            </w:tcBorders>
            <w:shd w:val="clear" w:color="auto" w:fill="auto"/>
            <w:noWrap/>
            <w:vAlign w:val="center"/>
            <w:hideMark/>
          </w:tcPr>
          <w:p w14:paraId="3B981E1B" w14:textId="77777777" w:rsidR="00164FAA" w:rsidRPr="00164FAA" w:rsidRDefault="00164FAA" w:rsidP="00164FAA">
            <w:pPr>
              <w:rPr>
                <w:rFonts w:cs="Calibri"/>
                <w:b/>
                <w:bCs/>
                <w:color w:val="000000"/>
                <w:sz w:val="18"/>
                <w:szCs w:val="18"/>
              </w:rPr>
            </w:pPr>
            <w:r w:rsidRPr="00164FAA">
              <w:rPr>
                <w:rFonts w:cs="Times New Roman"/>
                <w:b/>
                <w:bCs/>
                <w:color w:val="000000"/>
                <w:sz w:val="18"/>
                <w:szCs w:val="18"/>
              </w:rPr>
              <w:t>Funkcie</w:t>
            </w:r>
            <w:r w:rsidRPr="00164FAA">
              <w:rPr>
                <w:rFonts w:cs="Times New Roman"/>
                <w:color w:val="000000"/>
                <w:sz w:val="18"/>
                <w:szCs w:val="18"/>
              </w:rPr>
              <w:t> </w:t>
            </w:r>
          </w:p>
        </w:tc>
        <w:tc>
          <w:tcPr>
            <w:tcW w:w="850" w:type="dxa"/>
            <w:tcBorders>
              <w:top w:val="nil"/>
              <w:left w:val="nil"/>
              <w:bottom w:val="nil"/>
              <w:right w:val="single" w:sz="8" w:space="0" w:color="auto"/>
            </w:tcBorders>
            <w:shd w:val="clear" w:color="auto" w:fill="auto"/>
            <w:vAlign w:val="center"/>
            <w:hideMark/>
          </w:tcPr>
          <w:p w14:paraId="55C7C8B9" w14:textId="77777777" w:rsidR="00164FAA" w:rsidRPr="00164FAA" w:rsidRDefault="00164FAA" w:rsidP="00164FAA">
            <w:pPr>
              <w:jc w:val="center"/>
              <w:rPr>
                <w:rFonts w:cs="Calibri"/>
                <w:b/>
                <w:bCs/>
                <w:color w:val="000000"/>
                <w:sz w:val="18"/>
                <w:szCs w:val="18"/>
              </w:rPr>
            </w:pPr>
            <w:r w:rsidRPr="00164FAA">
              <w:rPr>
                <w:rFonts w:cs="Times New Roman"/>
                <w:b/>
                <w:bCs/>
                <w:color w:val="000000"/>
                <w:sz w:val="18"/>
                <w:szCs w:val="18"/>
              </w:rPr>
              <w:t xml:space="preserve">COFOG </w:t>
            </w:r>
          </w:p>
        </w:tc>
        <w:tc>
          <w:tcPr>
            <w:tcW w:w="1843" w:type="dxa"/>
            <w:tcBorders>
              <w:top w:val="nil"/>
              <w:left w:val="nil"/>
              <w:bottom w:val="single" w:sz="8" w:space="0" w:color="auto"/>
              <w:right w:val="nil"/>
            </w:tcBorders>
            <w:shd w:val="clear" w:color="auto" w:fill="auto"/>
            <w:noWrap/>
            <w:vAlign w:val="center"/>
            <w:hideMark/>
          </w:tcPr>
          <w:p w14:paraId="6C6C5605" w14:textId="129134C4" w:rsidR="00164FAA" w:rsidRPr="00164FAA" w:rsidRDefault="00164FAA" w:rsidP="00164FAA">
            <w:pPr>
              <w:jc w:val="center"/>
              <w:rPr>
                <w:rFonts w:cs="Calibri"/>
                <w:b/>
                <w:bCs/>
                <w:color w:val="000000"/>
                <w:sz w:val="18"/>
                <w:szCs w:val="18"/>
              </w:rPr>
            </w:pPr>
            <w:r>
              <w:rPr>
                <w:rFonts w:cs="Times New Roman"/>
                <w:b/>
                <w:bCs/>
                <w:color w:val="000000"/>
                <w:sz w:val="18"/>
                <w:szCs w:val="18"/>
              </w:rPr>
              <w:t xml:space="preserve">SK </w:t>
            </w:r>
            <w:r w:rsidRPr="00164FAA">
              <w:rPr>
                <w:rFonts w:cs="Times New Roman"/>
                <w:b/>
                <w:bCs/>
                <w:color w:val="000000"/>
                <w:sz w:val="18"/>
                <w:szCs w:val="18"/>
              </w:rPr>
              <w:t>(2020)</w:t>
            </w:r>
          </w:p>
        </w:tc>
        <w:tc>
          <w:tcPr>
            <w:tcW w:w="1843" w:type="dxa"/>
            <w:tcBorders>
              <w:top w:val="nil"/>
              <w:left w:val="nil"/>
              <w:bottom w:val="single" w:sz="8" w:space="0" w:color="auto"/>
              <w:right w:val="single" w:sz="8" w:space="0" w:color="auto"/>
            </w:tcBorders>
            <w:shd w:val="clear" w:color="auto" w:fill="auto"/>
            <w:noWrap/>
            <w:vAlign w:val="center"/>
            <w:hideMark/>
          </w:tcPr>
          <w:p w14:paraId="132CDE7A" w14:textId="5C59CF45" w:rsidR="00164FAA" w:rsidRPr="00164FAA" w:rsidRDefault="00164FAA" w:rsidP="00164FAA">
            <w:pPr>
              <w:jc w:val="center"/>
              <w:rPr>
                <w:rFonts w:cs="Calibri"/>
                <w:b/>
                <w:bCs/>
                <w:color w:val="000000"/>
                <w:sz w:val="18"/>
                <w:szCs w:val="18"/>
              </w:rPr>
            </w:pPr>
            <w:r>
              <w:rPr>
                <w:rFonts w:cs="Times New Roman"/>
                <w:b/>
                <w:bCs/>
                <w:color w:val="000000"/>
                <w:sz w:val="18"/>
                <w:szCs w:val="18"/>
              </w:rPr>
              <w:t>V3 (2</w:t>
            </w:r>
            <w:r w:rsidRPr="00164FAA">
              <w:rPr>
                <w:rFonts w:cs="Times New Roman"/>
                <w:b/>
                <w:bCs/>
                <w:color w:val="000000"/>
                <w:sz w:val="18"/>
                <w:szCs w:val="18"/>
              </w:rPr>
              <w:t>020)</w:t>
            </w:r>
          </w:p>
        </w:tc>
        <w:tc>
          <w:tcPr>
            <w:tcW w:w="1681" w:type="dxa"/>
            <w:tcBorders>
              <w:top w:val="nil"/>
              <w:left w:val="nil"/>
              <w:bottom w:val="single" w:sz="8" w:space="0" w:color="auto"/>
              <w:right w:val="nil"/>
            </w:tcBorders>
            <w:shd w:val="clear" w:color="auto" w:fill="auto"/>
            <w:vAlign w:val="center"/>
            <w:hideMark/>
          </w:tcPr>
          <w:p w14:paraId="3B5FAE16" w14:textId="6E5A0125" w:rsidR="00164FAA" w:rsidRPr="00164FAA" w:rsidRDefault="00164FAA" w:rsidP="00164FAA">
            <w:pPr>
              <w:jc w:val="center"/>
              <w:rPr>
                <w:rFonts w:cs="Calibri"/>
                <w:b/>
                <w:bCs/>
                <w:color w:val="000000"/>
                <w:sz w:val="18"/>
                <w:szCs w:val="18"/>
              </w:rPr>
            </w:pPr>
            <w:r>
              <w:rPr>
                <w:rFonts w:cs="Times New Roman"/>
                <w:b/>
                <w:bCs/>
                <w:color w:val="000000"/>
                <w:sz w:val="18"/>
                <w:szCs w:val="18"/>
              </w:rPr>
              <w:t xml:space="preserve">EU 27 </w:t>
            </w:r>
            <w:r w:rsidRPr="00164FAA">
              <w:rPr>
                <w:rFonts w:cs="Times New Roman"/>
                <w:b/>
                <w:bCs/>
                <w:color w:val="000000"/>
                <w:sz w:val="18"/>
                <w:szCs w:val="18"/>
              </w:rPr>
              <w:t>(2020)</w:t>
            </w:r>
          </w:p>
        </w:tc>
      </w:tr>
      <w:tr w:rsidR="00164FAA" w:rsidRPr="00164FAA" w14:paraId="63C12E87" w14:textId="77777777" w:rsidTr="00164FAA">
        <w:tblPrEx>
          <w:jc w:val="left"/>
        </w:tblPrEx>
        <w:trPr>
          <w:trHeight w:val="247"/>
        </w:trPr>
        <w:tc>
          <w:tcPr>
            <w:tcW w:w="2835" w:type="dxa"/>
            <w:vMerge/>
            <w:tcBorders>
              <w:top w:val="nil"/>
              <w:left w:val="nil"/>
              <w:bottom w:val="single" w:sz="8" w:space="0" w:color="000000"/>
              <w:right w:val="nil"/>
            </w:tcBorders>
            <w:vAlign w:val="center"/>
            <w:hideMark/>
          </w:tcPr>
          <w:p w14:paraId="66AE081D" w14:textId="77777777" w:rsidR="00164FAA" w:rsidRPr="00164FAA" w:rsidRDefault="00164FAA" w:rsidP="00164FAA">
            <w:pPr>
              <w:rPr>
                <w:rFonts w:cs="Calibri"/>
                <w:b/>
                <w:bCs/>
                <w:color w:val="000000"/>
                <w:sz w:val="18"/>
                <w:szCs w:val="18"/>
              </w:rPr>
            </w:pPr>
          </w:p>
        </w:tc>
        <w:tc>
          <w:tcPr>
            <w:tcW w:w="850" w:type="dxa"/>
            <w:tcBorders>
              <w:top w:val="nil"/>
              <w:left w:val="nil"/>
              <w:bottom w:val="single" w:sz="8" w:space="0" w:color="auto"/>
              <w:right w:val="single" w:sz="8" w:space="0" w:color="auto"/>
            </w:tcBorders>
            <w:shd w:val="clear" w:color="auto" w:fill="auto"/>
            <w:vAlign w:val="center"/>
            <w:hideMark/>
          </w:tcPr>
          <w:p w14:paraId="3D7A25D7" w14:textId="77777777" w:rsidR="00164FAA" w:rsidRPr="00164FAA" w:rsidRDefault="00164FAA" w:rsidP="00164FAA">
            <w:pPr>
              <w:jc w:val="center"/>
              <w:rPr>
                <w:rFonts w:cs="Calibri"/>
                <w:b/>
                <w:bCs/>
                <w:color w:val="000000"/>
                <w:sz w:val="18"/>
                <w:szCs w:val="18"/>
              </w:rPr>
            </w:pPr>
            <w:r w:rsidRPr="00164FAA">
              <w:rPr>
                <w:rFonts w:cs="Times New Roman"/>
                <w:b/>
                <w:bCs/>
                <w:color w:val="000000"/>
                <w:sz w:val="18"/>
                <w:szCs w:val="18"/>
              </w:rPr>
              <w:t>kód</w:t>
            </w:r>
            <w:r w:rsidRPr="00164FAA">
              <w:rPr>
                <w:rFonts w:cs="Times New Roman"/>
                <w:color w:val="000000"/>
                <w:sz w:val="18"/>
                <w:szCs w:val="18"/>
              </w:rPr>
              <w:t> </w:t>
            </w:r>
          </w:p>
        </w:tc>
        <w:tc>
          <w:tcPr>
            <w:tcW w:w="1843" w:type="dxa"/>
            <w:tcBorders>
              <w:top w:val="nil"/>
              <w:left w:val="nil"/>
              <w:bottom w:val="single" w:sz="8" w:space="0" w:color="auto"/>
              <w:right w:val="nil"/>
            </w:tcBorders>
            <w:shd w:val="clear" w:color="auto" w:fill="auto"/>
            <w:noWrap/>
            <w:vAlign w:val="center"/>
            <w:hideMark/>
          </w:tcPr>
          <w:p w14:paraId="120A72C3" w14:textId="77777777" w:rsidR="00164FAA" w:rsidRPr="00164FAA" w:rsidRDefault="00164FAA" w:rsidP="00164FAA">
            <w:pPr>
              <w:jc w:val="center"/>
              <w:rPr>
                <w:rFonts w:cs="Calibri"/>
                <w:b/>
                <w:bCs/>
                <w:color w:val="000000"/>
                <w:sz w:val="18"/>
                <w:szCs w:val="18"/>
              </w:rPr>
            </w:pPr>
            <w:r w:rsidRPr="00164FAA">
              <w:rPr>
                <w:rFonts w:cs="Times New Roman"/>
                <w:b/>
                <w:bCs/>
                <w:color w:val="000000"/>
                <w:sz w:val="18"/>
                <w:szCs w:val="18"/>
              </w:rPr>
              <w:t>% HDP</w:t>
            </w:r>
          </w:p>
        </w:tc>
        <w:tc>
          <w:tcPr>
            <w:tcW w:w="1843" w:type="dxa"/>
            <w:tcBorders>
              <w:top w:val="nil"/>
              <w:left w:val="nil"/>
              <w:bottom w:val="single" w:sz="8" w:space="0" w:color="auto"/>
              <w:right w:val="single" w:sz="8" w:space="0" w:color="auto"/>
            </w:tcBorders>
            <w:shd w:val="clear" w:color="auto" w:fill="auto"/>
            <w:noWrap/>
            <w:vAlign w:val="center"/>
            <w:hideMark/>
          </w:tcPr>
          <w:p w14:paraId="35E16B85" w14:textId="77777777" w:rsidR="00164FAA" w:rsidRPr="00164FAA" w:rsidRDefault="00164FAA" w:rsidP="00164FAA">
            <w:pPr>
              <w:jc w:val="center"/>
              <w:rPr>
                <w:rFonts w:cs="Calibri"/>
                <w:b/>
                <w:bCs/>
                <w:color w:val="000000"/>
                <w:sz w:val="18"/>
                <w:szCs w:val="18"/>
              </w:rPr>
            </w:pPr>
            <w:r w:rsidRPr="00164FAA">
              <w:rPr>
                <w:rFonts w:cs="Times New Roman"/>
                <w:b/>
                <w:bCs/>
                <w:color w:val="000000"/>
                <w:sz w:val="18"/>
                <w:szCs w:val="18"/>
              </w:rPr>
              <w:t>% HDP</w:t>
            </w:r>
          </w:p>
        </w:tc>
        <w:tc>
          <w:tcPr>
            <w:tcW w:w="1681" w:type="dxa"/>
            <w:tcBorders>
              <w:top w:val="nil"/>
              <w:left w:val="nil"/>
              <w:bottom w:val="single" w:sz="8" w:space="0" w:color="auto"/>
              <w:right w:val="nil"/>
            </w:tcBorders>
            <w:shd w:val="clear" w:color="auto" w:fill="auto"/>
            <w:vAlign w:val="center"/>
            <w:hideMark/>
          </w:tcPr>
          <w:p w14:paraId="23E6AE80" w14:textId="77777777" w:rsidR="00164FAA" w:rsidRPr="00164FAA" w:rsidRDefault="00164FAA" w:rsidP="00164FAA">
            <w:pPr>
              <w:jc w:val="center"/>
              <w:rPr>
                <w:rFonts w:cs="Calibri"/>
                <w:b/>
                <w:bCs/>
                <w:color w:val="000000"/>
                <w:sz w:val="18"/>
                <w:szCs w:val="18"/>
              </w:rPr>
            </w:pPr>
            <w:r w:rsidRPr="00164FAA">
              <w:rPr>
                <w:rFonts w:cs="Times New Roman"/>
                <w:b/>
                <w:bCs/>
                <w:color w:val="000000"/>
                <w:sz w:val="18"/>
                <w:szCs w:val="18"/>
              </w:rPr>
              <w:t>% HDP</w:t>
            </w:r>
          </w:p>
        </w:tc>
      </w:tr>
      <w:tr w:rsidR="00164FAA" w:rsidRPr="00164FAA" w14:paraId="31716E3A"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0522DC92" w14:textId="77777777" w:rsidR="00164FAA" w:rsidRPr="00164FAA" w:rsidRDefault="00164FAA" w:rsidP="00164FAA">
            <w:pPr>
              <w:rPr>
                <w:rFonts w:cs="Calibri"/>
                <w:color w:val="000000"/>
                <w:sz w:val="18"/>
                <w:szCs w:val="18"/>
              </w:rPr>
            </w:pPr>
            <w:r w:rsidRPr="00164FAA">
              <w:rPr>
                <w:rFonts w:cs="Times New Roman"/>
                <w:color w:val="000000"/>
                <w:sz w:val="18"/>
                <w:szCs w:val="18"/>
              </w:rPr>
              <w:t>1. Všeobecné verejné služby</w:t>
            </w:r>
          </w:p>
        </w:tc>
        <w:tc>
          <w:tcPr>
            <w:tcW w:w="850" w:type="dxa"/>
            <w:tcBorders>
              <w:top w:val="nil"/>
              <w:left w:val="nil"/>
              <w:bottom w:val="nil"/>
              <w:right w:val="single" w:sz="8" w:space="0" w:color="auto"/>
            </w:tcBorders>
            <w:shd w:val="clear" w:color="auto" w:fill="auto"/>
            <w:vAlign w:val="center"/>
            <w:hideMark/>
          </w:tcPr>
          <w:p w14:paraId="25747341"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w:t>
            </w:r>
          </w:p>
        </w:tc>
        <w:tc>
          <w:tcPr>
            <w:tcW w:w="1843" w:type="dxa"/>
            <w:tcBorders>
              <w:top w:val="nil"/>
              <w:left w:val="nil"/>
              <w:bottom w:val="nil"/>
              <w:right w:val="nil"/>
            </w:tcBorders>
            <w:shd w:val="clear" w:color="auto" w:fill="auto"/>
            <w:noWrap/>
            <w:vAlign w:val="center"/>
            <w:hideMark/>
          </w:tcPr>
          <w:p w14:paraId="7F765083" w14:textId="77777777" w:rsidR="00164FAA" w:rsidRPr="00164FAA" w:rsidRDefault="00164FAA" w:rsidP="00164FAA">
            <w:pPr>
              <w:jc w:val="center"/>
              <w:rPr>
                <w:rFonts w:cs="Calibri"/>
                <w:color w:val="000000"/>
                <w:sz w:val="18"/>
                <w:szCs w:val="18"/>
              </w:rPr>
            </w:pPr>
            <w:r w:rsidRPr="00164FAA">
              <w:rPr>
                <w:rFonts w:cs="Calibri"/>
                <w:color w:val="000000"/>
                <w:sz w:val="18"/>
                <w:szCs w:val="18"/>
              </w:rPr>
              <w:t>6,2</w:t>
            </w:r>
          </w:p>
        </w:tc>
        <w:tc>
          <w:tcPr>
            <w:tcW w:w="1843" w:type="dxa"/>
            <w:tcBorders>
              <w:top w:val="nil"/>
              <w:left w:val="nil"/>
              <w:bottom w:val="nil"/>
              <w:right w:val="single" w:sz="8" w:space="0" w:color="auto"/>
            </w:tcBorders>
            <w:shd w:val="clear" w:color="auto" w:fill="auto"/>
            <w:noWrap/>
            <w:vAlign w:val="center"/>
            <w:hideMark/>
          </w:tcPr>
          <w:p w14:paraId="78FBB1DD"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5,9</w:t>
            </w:r>
          </w:p>
        </w:tc>
        <w:tc>
          <w:tcPr>
            <w:tcW w:w="1681" w:type="dxa"/>
            <w:tcBorders>
              <w:top w:val="nil"/>
              <w:left w:val="nil"/>
              <w:bottom w:val="nil"/>
              <w:right w:val="nil"/>
            </w:tcBorders>
            <w:shd w:val="clear" w:color="auto" w:fill="auto"/>
            <w:vAlign w:val="center"/>
            <w:hideMark/>
          </w:tcPr>
          <w:p w14:paraId="6AE36A49"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6,2</w:t>
            </w:r>
          </w:p>
        </w:tc>
      </w:tr>
      <w:tr w:rsidR="00164FAA" w:rsidRPr="00164FAA" w14:paraId="22C3C5F4"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679E7CB6" w14:textId="77777777" w:rsidR="00164FAA" w:rsidRPr="00164FAA" w:rsidRDefault="00164FAA" w:rsidP="00164FAA">
            <w:pPr>
              <w:rPr>
                <w:rFonts w:cs="Calibri"/>
                <w:color w:val="000000"/>
                <w:sz w:val="18"/>
                <w:szCs w:val="18"/>
              </w:rPr>
            </w:pPr>
            <w:r w:rsidRPr="00164FAA">
              <w:rPr>
                <w:rFonts w:cs="Times New Roman"/>
                <w:color w:val="000000"/>
                <w:sz w:val="18"/>
                <w:szCs w:val="18"/>
              </w:rPr>
              <w:t>2. Obrana</w:t>
            </w:r>
          </w:p>
        </w:tc>
        <w:tc>
          <w:tcPr>
            <w:tcW w:w="850" w:type="dxa"/>
            <w:tcBorders>
              <w:top w:val="nil"/>
              <w:left w:val="nil"/>
              <w:bottom w:val="nil"/>
              <w:right w:val="single" w:sz="8" w:space="0" w:color="auto"/>
            </w:tcBorders>
            <w:shd w:val="clear" w:color="auto" w:fill="auto"/>
            <w:vAlign w:val="center"/>
            <w:hideMark/>
          </w:tcPr>
          <w:p w14:paraId="4623438F"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2</w:t>
            </w:r>
          </w:p>
        </w:tc>
        <w:tc>
          <w:tcPr>
            <w:tcW w:w="1843" w:type="dxa"/>
            <w:tcBorders>
              <w:top w:val="nil"/>
              <w:left w:val="nil"/>
              <w:bottom w:val="nil"/>
              <w:right w:val="nil"/>
            </w:tcBorders>
            <w:shd w:val="clear" w:color="auto" w:fill="auto"/>
            <w:noWrap/>
            <w:vAlign w:val="center"/>
            <w:hideMark/>
          </w:tcPr>
          <w:p w14:paraId="51E39EF0" w14:textId="77777777" w:rsidR="00164FAA" w:rsidRPr="00164FAA" w:rsidRDefault="00164FAA" w:rsidP="00164FAA">
            <w:pPr>
              <w:jc w:val="center"/>
              <w:rPr>
                <w:rFonts w:cs="Calibri"/>
                <w:color w:val="000000"/>
                <w:sz w:val="18"/>
                <w:szCs w:val="18"/>
              </w:rPr>
            </w:pPr>
            <w:r w:rsidRPr="00164FAA">
              <w:rPr>
                <w:rFonts w:cs="Calibri"/>
                <w:color w:val="000000"/>
                <w:sz w:val="18"/>
                <w:szCs w:val="18"/>
              </w:rPr>
              <w:t>1,4</w:t>
            </w:r>
          </w:p>
        </w:tc>
        <w:tc>
          <w:tcPr>
            <w:tcW w:w="1843" w:type="dxa"/>
            <w:tcBorders>
              <w:top w:val="nil"/>
              <w:left w:val="nil"/>
              <w:bottom w:val="nil"/>
              <w:right w:val="single" w:sz="8" w:space="0" w:color="auto"/>
            </w:tcBorders>
            <w:shd w:val="clear" w:color="auto" w:fill="auto"/>
            <w:noWrap/>
            <w:vAlign w:val="center"/>
            <w:hideMark/>
          </w:tcPr>
          <w:p w14:paraId="24553CCC"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1,3</w:t>
            </w:r>
          </w:p>
        </w:tc>
        <w:tc>
          <w:tcPr>
            <w:tcW w:w="1681" w:type="dxa"/>
            <w:tcBorders>
              <w:top w:val="nil"/>
              <w:left w:val="nil"/>
              <w:bottom w:val="nil"/>
              <w:right w:val="nil"/>
            </w:tcBorders>
            <w:shd w:val="clear" w:color="auto" w:fill="auto"/>
            <w:vAlign w:val="center"/>
            <w:hideMark/>
          </w:tcPr>
          <w:p w14:paraId="750A2F41"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1,3</w:t>
            </w:r>
          </w:p>
        </w:tc>
      </w:tr>
      <w:tr w:rsidR="00164FAA" w:rsidRPr="00164FAA" w14:paraId="0D3CEC13"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4B8DE680" w14:textId="77777777" w:rsidR="00164FAA" w:rsidRPr="00164FAA" w:rsidRDefault="00164FAA" w:rsidP="00164FAA">
            <w:pPr>
              <w:rPr>
                <w:rFonts w:cs="Calibri"/>
                <w:color w:val="000000"/>
                <w:sz w:val="18"/>
                <w:szCs w:val="18"/>
              </w:rPr>
            </w:pPr>
            <w:r w:rsidRPr="00164FAA">
              <w:rPr>
                <w:rFonts w:cs="Times New Roman"/>
                <w:color w:val="000000"/>
                <w:sz w:val="18"/>
                <w:szCs w:val="18"/>
              </w:rPr>
              <w:t>3. Verejný poriadok a bezpečnosť</w:t>
            </w:r>
          </w:p>
        </w:tc>
        <w:tc>
          <w:tcPr>
            <w:tcW w:w="850" w:type="dxa"/>
            <w:tcBorders>
              <w:top w:val="nil"/>
              <w:left w:val="nil"/>
              <w:bottom w:val="nil"/>
              <w:right w:val="single" w:sz="8" w:space="0" w:color="auto"/>
            </w:tcBorders>
            <w:shd w:val="clear" w:color="auto" w:fill="auto"/>
            <w:vAlign w:val="center"/>
            <w:hideMark/>
          </w:tcPr>
          <w:p w14:paraId="1DD09392"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3</w:t>
            </w:r>
          </w:p>
        </w:tc>
        <w:tc>
          <w:tcPr>
            <w:tcW w:w="1843" w:type="dxa"/>
            <w:tcBorders>
              <w:top w:val="nil"/>
              <w:left w:val="nil"/>
              <w:bottom w:val="nil"/>
              <w:right w:val="nil"/>
            </w:tcBorders>
            <w:shd w:val="clear" w:color="auto" w:fill="auto"/>
            <w:noWrap/>
            <w:vAlign w:val="center"/>
            <w:hideMark/>
          </w:tcPr>
          <w:p w14:paraId="65B9FE0F" w14:textId="77777777" w:rsidR="00164FAA" w:rsidRPr="00164FAA" w:rsidRDefault="00164FAA" w:rsidP="00164FAA">
            <w:pPr>
              <w:jc w:val="center"/>
              <w:rPr>
                <w:rFonts w:cs="Calibri"/>
                <w:color w:val="000000"/>
                <w:sz w:val="18"/>
                <w:szCs w:val="18"/>
              </w:rPr>
            </w:pPr>
            <w:r w:rsidRPr="00164FAA">
              <w:rPr>
                <w:rFonts w:cs="Calibri"/>
                <w:color w:val="000000"/>
                <w:sz w:val="18"/>
                <w:szCs w:val="18"/>
              </w:rPr>
              <w:t>2,5</w:t>
            </w:r>
          </w:p>
        </w:tc>
        <w:tc>
          <w:tcPr>
            <w:tcW w:w="1843" w:type="dxa"/>
            <w:tcBorders>
              <w:top w:val="nil"/>
              <w:left w:val="nil"/>
              <w:bottom w:val="nil"/>
              <w:right w:val="single" w:sz="8" w:space="0" w:color="auto"/>
            </w:tcBorders>
            <w:shd w:val="clear" w:color="auto" w:fill="auto"/>
            <w:noWrap/>
            <w:vAlign w:val="center"/>
            <w:hideMark/>
          </w:tcPr>
          <w:p w14:paraId="2B54843B"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2,2</w:t>
            </w:r>
          </w:p>
        </w:tc>
        <w:tc>
          <w:tcPr>
            <w:tcW w:w="1681" w:type="dxa"/>
            <w:tcBorders>
              <w:top w:val="nil"/>
              <w:left w:val="nil"/>
              <w:bottom w:val="nil"/>
              <w:right w:val="nil"/>
            </w:tcBorders>
            <w:shd w:val="clear" w:color="auto" w:fill="auto"/>
            <w:vAlign w:val="center"/>
            <w:hideMark/>
          </w:tcPr>
          <w:p w14:paraId="64618BCC"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1,8</w:t>
            </w:r>
          </w:p>
        </w:tc>
      </w:tr>
      <w:tr w:rsidR="00164FAA" w:rsidRPr="00164FAA" w14:paraId="60276C1C"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75395C02" w14:textId="77777777" w:rsidR="00164FAA" w:rsidRPr="00164FAA" w:rsidRDefault="00164FAA" w:rsidP="00164FAA">
            <w:pPr>
              <w:rPr>
                <w:rFonts w:cs="Calibri"/>
                <w:color w:val="000000"/>
                <w:sz w:val="18"/>
                <w:szCs w:val="18"/>
              </w:rPr>
            </w:pPr>
            <w:r w:rsidRPr="00164FAA">
              <w:rPr>
                <w:rFonts w:cs="Times New Roman"/>
                <w:color w:val="000000"/>
                <w:sz w:val="18"/>
                <w:szCs w:val="18"/>
              </w:rPr>
              <w:t>4. Ekonomická oblasť</w:t>
            </w:r>
          </w:p>
        </w:tc>
        <w:tc>
          <w:tcPr>
            <w:tcW w:w="850" w:type="dxa"/>
            <w:tcBorders>
              <w:top w:val="nil"/>
              <w:left w:val="nil"/>
              <w:bottom w:val="nil"/>
              <w:right w:val="single" w:sz="8" w:space="0" w:color="auto"/>
            </w:tcBorders>
            <w:shd w:val="clear" w:color="auto" w:fill="auto"/>
            <w:vAlign w:val="center"/>
            <w:hideMark/>
          </w:tcPr>
          <w:p w14:paraId="348BA107"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4</w:t>
            </w:r>
          </w:p>
        </w:tc>
        <w:tc>
          <w:tcPr>
            <w:tcW w:w="1843" w:type="dxa"/>
            <w:tcBorders>
              <w:top w:val="nil"/>
              <w:left w:val="nil"/>
              <w:bottom w:val="nil"/>
              <w:right w:val="nil"/>
            </w:tcBorders>
            <w:shd w:val="clear" w:color="auto" w:fill="auto"/>
            <w:noWrap/>
            <w:vAlign w:val="center"/>
            <w:hideMark/>
          </w:tcPr>
          <w:p w14:paraId="6BAD5D63"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5,8</w:t>
            </w:r>
          </w:p>
        </w:tc>
        <w:tc>
          <w:tcPr>
            <w:tcW w:w="1843" w:type="dxa"/>
            <w:tcBorders>
              <w:top w:val="nil"/>
              <w:left w:val="nil"/>
              <w:bottom w:val="nil"/>
              <w:right w:val="single" w:sz="8" w:space="0" w:color="auto"/>
            </w:tcBorders>
            <w:shd w:val="clear" w:color="auto" w:fill="auto"/>
            <w:noWrap/>
            <w:vAlign w:val="center"/>
            <w:hideMark/>
          </w:tcPr>
          <w:p w14:paraId="74E4829E"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8,6</w:t>
            </w:r>
          </w:p>
        </w:tc>
        <w:tc>
          <w:tcPr>
            <w:tcW w:w="1681" w:type="dxa"/>
            <w:tcBorders>
              <w:top w:val="nil"/>
              <w:left w:val="nil"/>
              <w:bottom w:val="nil"/>
              <w:right w:val="nil"/>
            </w:tcBorders>
            <w:shd w:val="clear" w:color="auto" w:fill="auto"/>
            <w:vAlign w:val="center"/>
            <w:hideMark/>
          </w:tcPr>
          <w:p w14:paraId="7D73D7B6"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6,1</w:t>
            </w:r>
          </w:p>
        </w:tc>
      </w:tr>
      <w:tr w:rsidR="00164FAA" w:rsidRPr="00164FAA" w14:paraId="7A6A8266"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636B45E9" w14:textId="77777777" w:rsidR="00164FAA" w:rsidRPr="00164FAA" w:rsidRDefault="00164FAA" w:rsidP="00164FAA">
            <w:pPr>
              <w:rPr>
                <w:rFonts w:cs="Calibri"/>
                <w:color w:val="000000"/>
                <w:sz w:val="18"/>
                <w:szCs w:val="18"/>
              </w:rPr>
            </w:pPr>
            <w:r w:rsidRPr="00164FAA">
              <w:rPr>
                <w:rFonts w:cs="Times New Roman"/>
                <w:color w:val="000000"/>
                <w:sz w:val="18"/>
                <w:szCs w:val="18"/>
              </w:rPr>
              <w:t>5. Ochrana životného prostredia</w:t>
            </w:r>
          </w:p>
        </w:tc>
        <w:tc>
          <w:tcPr>
            <w:tcW w:w="850" w:type="dxa"/>
            <w:tcBorders>
              <w:top w:val="nil"/>
              <w:left w:val="nil"/>
              <w:bottom w:val="nil"/>
              <w:right w:val="single" w:sz="8" w:space="0" w:color="auto"/>
            </w:tcBorders>
            <w:shd w:val="clear" w:color="auto" w:fill="auto"/>
            <w:vAlign w:val="center"/>
            <w:hideMark/>
          </w:tcPr>
          <w:p w14:paraId="2565F062"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5</w:t>
            </w:r>
          </w:p>
        </w:tc>
        <w:tc>
          <w:tcPr>
            <w:tcW w:w="1843" w:type="dxa"/>
            <w:tcBorders>
              <w:top w:val="nil"/>
              <w:left w:val="nil"/>
              <w:bottom w:val="nil"/>
              <w:right w:val="nil"/>
            </w:tcBorders>
            <w:shd w:val="clear" w:color="auto" w:fill="auto"/>
            <w:noWrap/>
            <w:vAlign w:val="center"/>
            <w:hideMark/>
          </w:tcPr>
          <w:p w14:paraId="52C3B94A"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0,9</w:t>
            </w:r>
          </w:p>
        </w:tc>
        <w:tc>
          <w:tcPr>
            <w:tcW w:w="1843" w:type="dxa"/>
            <w:tcBorders>
              <w:top w:val="nil"/>
              <w:left w:val="nil"/>
              <w:bottom w:val="nil"/>
              <w:right w:val="single" w:sz="8" w:space="0" w:color="auto"/>
            </w:tcBorders>
            <w:shd w:val="clear" w:color="auto" w:fill="auto"/>
            <w:noWrap/>
            <w:vAlign w:val="center"/>
            <w:hideMark/>
          </w:tcPr>
          <w:p w14:paraId="39A835FB"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0,8</w:t>
            </w:r>
          </w:p>
        </w:tc>
        <w:tc>
          <w:tcPr>
            <w:tcW w:w="1681" w:type="dxa"/>
            <w:tcBorders>
              <w:top w:val="nil"/>
              <w:left w:val="nil"/>
              <w:bottom w:val="nil"/>
              <w:right w:val="nil"/>
            </w:tcBorders>
            <w:shd w:val="clear" w:color="auto" w:fill="auto"/>
            <w:vAlign w:val="center"/>
            <w:hideMark/>
          </w:tcPr>
          <w:p w14:paraId="052BBFD2"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0,9</w:t>
            </w:r>
          </w:p>
        </w:tc>
      </w:tr>
      <w:tr w:rsidR="00164FAA" w:rsidRPr="00164FAA" w14:paraId="424F3745"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63197C36" w14:textId="77777777" w:rsidR="00164FAA" w:rsidRPr="00164FAA" w:rsidRDefault="00164FAA" w:rsidP="00164FAA">
            <w:pPr>
              <w:rPr>
                <w:rFonts w:cs="Calibri"/>
                <w:color w:val="000000"/>
                <w:sz w:val="18"/>
                <w:szCs w:val="18"/>
              </w:rPr>
            </w:pPr>
            <w:r w:rsidRPr="00164FAA">
              <w:rPr>
                <w:rFonts w:cs="Times New Roman"/>
                <w:color w:val="000000"/>
                <w:sz w:val="18"/>
                <w:szCs w:val="18"/>
              </w:rPr>
              <w:t>6. Bývanie a občianska vybavenosť</w:t>
            </w:r>
          </w:p>
        </w:tc>
        <w:tc>
          <w:tcPr>
            <w:tcW w:w="850" w:type="dxa"/>
            <w:tcBorders>
              <w:top w:val="nil"/>
              <w:left w:val="nil"/>
              <w:bottom w:val="nil"/>
              <w:right w:val="single" w:sz="8" w:space="0" w:color="auto"/>
            </w:tcBorders>
            <w:shd w:val="clear" w:color="auto" w:fill="auto"/>
            <w:vAlign w:val="center"/>
            <w:hideMark/>
          </w:tcPr>
          <w:p w14:paraId="63BF18E1"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6</w:t>
            </w:r>
          </w:p>
        </w:tc>
        <w:tc>
          <w:tcPr>
            <w:tcW w:w="1843" w:type="dxa"/>
            <w:tcBorders>
              <w:top w:val="nil"/>
              <w:left w:val="nil"/>
              <w:bottom w:val="nil"/>
              <w:right w:val="nil"/>
            </w:tcBorders>
            <w:shd w:val="clear" w:color="auto" w:fill="auto"/>
            <w:noWrap/>
            <w:vAlign w:val="center"/>
            <w:hideMark/>
          </w:tcPr>
          <w:p w14:paraId="352A53D8"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0,5</w:t>
            </w:r>
          </w:p>
        </w:tc>
        <w:tc>
          <w:tcPr>
            <w:tcW w:w="1843" w:type="dxa"/>
            <w:tcBorders>
              <w:top w:val="nil"/>
              <w:left w:val="nil"/>
              <w:bottom w:val="nil"/>
              <w:right w:val="single" w:sz="8" w:space="0" w:color="auto"/>
            </w:tcBorders>
            <w:shd w:val="clear" w:color="auto" w:fill="auto"/>
            <w:noWrap/>
            <w:vAlign w:val="center"/>
            <w:hideMark/>
          </w:tcPr>
          <w:p w14:paraId="33DF52B9"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0,7</w:t>
            </w:r>
          </w:p>
        </w:tc>
        <w:tc>
          <w:tcPr>
            <w:tcW w:w="1681" w:type="dxa"/>
            <w:tcBorders>
              <w:top w:val="nil"/>
              <w:left w:val="nil"/>
              <w:bottom w:val="nil"/>
              <w:right w:val="nil"/>
            </w:tcBorders>
            <w:shd w:val="clear" w:color="auto" w:fill="auto"/>
            <w:vAlign w:val="center"/>
            <w:hideMark/>
          </w:tcPr>
          <w:p w14:paraId="1975411A"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0,6</w:t>
            </w:r>
          </w:p>
        </w:tc>
      </w:tr>
      <w:tr w:rsidR="00164FAA" w:rsidRPr="00164FAA" w14:paraId="2E034951"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74082E13" w14:textId="77777777" w:rsidR="00164FAA" w:rsidRPr="00164FAA" w:rsidRDefault="00164FAA" w:rsidP="00164FAA">
            <w:pPr>
              <w:rPr>
                <w:rFonts w:cs="Calibri"/>
                <w:color w:val="000000"/>
                <w:sz w:val="18"/>
                <w:szCs w:val="18"/>
              </w:rPr>
            </w:pPr>
            <w:r w:rsidRPr="00164FAA">
              <w:rPr>
                <w:rFonts w:cs="Times New Roman"/>
                <w:color w:val="000000"/>
                <w:sz w:val="18"/>
                <w:szCs w:val="18"/>
              </w:rPr>
              <w:t>7. Zdravotníctvo</w:t>
            </w:r>
          </w:p>
        </w:tc>
        <w:tc>
          <w:tcPr>
            <w:tcW w:w="850" w:type="dxa"/>
            <w:tcBorders>
              <w:top w:val="nil"/>
              <w:left w:val="nil"/>
              <w:bottom w:val="nil"/>
              <w:right w:val="single" w:sz="8" w:space="0" w:color="auto"/>
            </w:tcBorders>
            <w:shd w:val="clear" w:color="auto" w:fill="auto"/>
            <w:vAlign w:val="center"/>
            <w:hideMark/>
          </w:tcPr>
          <w:p w14:paraId="78DC9133"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7</w:t>
            </w:r>
          </w:p>
        </w:tc>
        <w:tc>
          <w:tcPr>
            <w:tcW w:w="1843" w:type="dxa"/>
            <w:tcBorders>
              <w:top w:val="nil"/>
              <w:left w:val="nil"/>
              <w:bottom w:val="nil"/>
              <w:right w:val="nil"/>
            </w:tcBorders>
            <w:shd w:val="clear" w:color="auto" w:fill="auto"/>
            <w:noWrap/>
            <w:vAlign w:val="center"/>
            <w:hideMark/>
          </w:tcPr>
          <w:p w14:paraId="40BB4CEF"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6,3</w:t>
            </w:r>
          </w:p>
        </w:tc>
        <w:tc>
          <w:tcPr>
            <w:tcW w:w="1843" w:type="dxa"/>
            <w:tcBorders>
              <w:top w:val="nil"/>
              <w:left w:val="nil"/>
              <w:bottom w:val="nil"/>
              <w:right w:val="single" w:sz="8" w:space="0" w:color="auto"/>
            </w:tcBorders>
            <w:shd w:val="clear" w:color="auto" w:fill="auto"/>
            <w:noWrap/>
            <w:vAlign w:val="center"/>
            <w:hideMark/>
          </w:tcPr>
          <w:p w14:paraId="6C834CF4"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7</w:t>
            </w:r>
          </w:p>
        </w:tc>
        <w:tc>
          <w:tcPr>
            <w:tcW w:w="1681" w:type="dxa"/>
            <w:tcBorders>
              <w:top w:val="nil"/>
              <w:left w:val="nil"/>
              <w:bottom w:val="nil"/>
              <w:right w:val="nil"/>
            </w:tcBorders>
            <w:shd w:val="clear" w:color="auto" w:fill="auto"/>
            <w:vAlign w:val="center"/>
            <w:hideMark/>
          </w:tcPr>
          <w:p w14:paraId="042C2E92"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8</w:t>
            </w:r>
          </w:p>
        </w:tc>
      </w:tr>
      <w:tr w:rsidR="00164FAA" w:rsidRPr="00164FAA" w14:paraId="0BF88CAB"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4F207DB2" w14:textId="77777777" w:rsidR="00164FAA" w:rsidRPr="00164FAA" w:rsidRDefault="00164FAA" w:rsidP="00164FAA">
            <w:pPr>
              <w:rPr>
                <w:rFonts w:cs="Calibri"/>
                <w:color w:val="000000"/>
                <w:sz w:val="18"/>
                <w:szCs w:val="18"/>
              </w:rPr>
            </w:pPr>
            <w:r w:rsidRPr="00164FAA">
              <w:rPr>
                <w:rFonts w:cs="Times New Roman"/>
                <w:color w:val="000000"/>
                <w:sz w:val="18"/>
                <w:szCs w:val="18"/>
              </w:rPr>
              <w:t>8. Rekreácia, kultúra a náboženstvo</w:t>
            </w:r>
          </w:p>
        </w:tc>
        <w:tc>
          <w:tcPr>
            <w:tcW w:w="850" w:type="dxa"/>
            <w:tcBorders>
              <w:top w:val="nil"/>
              <w:left w:val="nil"/>
              <w:bottom w:val="nil"/>
              <w:right w:val="single" w:sz="8" w:space="0" w:color="auto"/>
            </w:tcBorders>
            <w:shd w:val="clear" w:color="auto" w:fill="auto"/>
            <w:vAlign w:val="center"/>
            <w:hideMark/>
          </w:tcPr>
          <w:p w14:paraId="2C82E444"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8</w:t>
            </w:r>
          </w:p>
        </w:tc>
        <w:tc>
          <w:tcPr>
            <w:tcW w:w="1843" w:type="dxa"/>
            <w:tcBorders>
              <w:top w:val="nil"/>
              <w:left w:val="nil"/>
              <w:bottom w:val="nil"/>
              <w:right w:val="nil"/>
            </w:tcBorders>
            <w:shd w:val="clear" w:color="auto" w:fill="auto"/>
            <w:noWrap/>
            <w:vAlign w:val="center"/>
            <w:hideMark/>
          </w:tcPr>
          <w:p w14:paraId="347BCCEF"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1,2</w:t>
            </w:r>
          </w:p>
        </w:tc>
        <w:tc>
          <w:tcPr>
            <w:tcW w:w="1843" w:type="dxa"/>
            <w:tcBorders>
              <w:top w:val="nil"/>
              <w:left w:val="nil"/>
              <w:bottom w:val="nil"/>
              <w:right w:val="single" w:sz="8" w:space="0" w:color="auto"/>
            </w:tcBorders>
            <w:shd w:val="clear" w:color="auto" w:fill="auto"/>
            <w:noWrap/>
            <w:vAlign w:val="center"/>
            <w:hideMark/>
          </w:tcPr>
          <w:p w14:paraId="0C71CA90"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2,2</w:t>
            </w:r>
          </w:p>
        </w:tc>
        <w:tc>
          <w:tcPr>
            <w:tcW w:w="1681" w:type="dxa"/>
            <w:tcBorders>
              <w:top w:val="nil"/>
              <w:left w:val="nil"/>
              <w:bottom w:val="nil"/>
              <w:right w:val="nil"/>
            </w:tcBorders>
            <w:shd w:val="clear" w:color="auto" w:fill="auto"/>
            <w:vAlign w:val="center"/>
            <w:hideMark/>
          </w:tcPr>
          <w:p w14:paraId="0474B2B5"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1,2</w:t>
            </w:r>
          </w:p>
        </w:tc>
      </w:tr>
      <w:tr w:rsidR="00164FAA" w:rsidRPr="00164FAA" w14:paraId="5EA34B20" w14:textId="77777777" w:rsidTr="00164FAA">
        <w:tblPrEx>
          <w:jc w:val="left"/>
        </w:tblPrEx>
        <w:trPr>
          <w:trHeight w:val="247"/>
        </w:trPr>
        <w:tc>
          <w:tcPr>
            <w:tcW w:w="2835" w:type="dxa"/>
            <w:tcBorders>
              <w:top w:val="nil"/>
              <w:left w:val="nil"/>
              <w:bottom w:val="nil"/>
              <w:right w:val="nil"/>
            </w:tcBorders>
            <w:shd w:val="clear" w:color="auto" w:fill="auto"/>
            <w:noWrap/>
            <w:vAlign w:val="center"/>
            <w:hideMark/>
          </w:tcPr>
          <w:p w14:paraId="59393777" w14:textId="77777777" w:rsidR="00164FAA" w:rsidRPr="00164FAA" w:rsidRDefault="00164FAA" w:rsidP="00164FAA">
            <w:pPr>
              <w:rPr>
                <w:rFonts w:cs="Calibri"/>
                <w:color w:val="000000"/>
                <w:sz w:val="18"/>
                <w:szCs w:val="18"/>
              </w:rPr>
            </w:pPr>
            <w:r w:rsidRPr="00164FAA">
              <w:rPr>
                <w:rFonts w:cs="Times New Roman"/>
                <w:color w:val="000000"/>
                <w:sz w:val="18"/>
                <w:szCs w:val="18"/>
              </w:rPr>
              <w:t>9. Vzdelávanie</w:t>
            </w:r>
          </w:p>
        </w:tc>
        <w:tc>
          <w:tcPr>
            <w:tcW w:w="850" w:type="dxa"/>
            <w:tcBorders>
              <w:top w:val="nil"/>
              <w:left w:val="nil"/>
              <w:bottom w:val="nil"/>
              <w:right w:val="single" w:sz="8" w:space="0" w:color="auto"/>
            </w:tcBorders>
            <w:shd w:val="clear" w:color="auto" w:fill="auto"/>
            <w:vAlign w:val="center"/>
            <w:hideMark/>
          </w:tcPr>
          <w:p w14:paraId="0311A4AE"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9</w:t>
            </w:r>
          </w:p>
        </w:tc>
        <w:tc>
          <w:tcPr>
            <w:tcW w:w="1843" w:type="dxa"/>
            <w:tcBorders>
              <w:top w:val="nil"/>
              <w:left w:val="nil"/>
              <w:bottom w:val="nil"/>
              <w:right w:val="nil"/>
            </w:tcBorders>
            <w:shd w:val="clear" w:color="auto" w:fill="auto"/>
            <w:noWrap/>
            <w:vAlign w:val="center"/>
            <w:hideMark/>
          </w:tcPr>
          <w:p w14:paraId="56E74F85"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4,6</w:t>
            </w:r>
          </w:p>
        </w:tc>
        <w:tc>
          <w:tcPr>
            <w:tcW w:w="1843" w:type="dxa"/>
            <w:tcBorders>
              <w:top w:val="nil"/>
              <w:left w:val="nil"/>
              <w:bottom w:val="nil"/>
              <w:right w:val="single" w:sz="8" w:space="0" w:color="auto"/>
            </w:tcBorders>
            <w:shd w:val="clear" w:color="auto" w:fill="auto"/>
            <w:noWrap/>
            <w:vAlign w:val="center"/>
            <w:hideMark/>
          </w:tcPr>
          <w:p w14:paraId="02E296E3"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5</w:t>
            </w:r>
          </w:p>
        </w:tc>
        <w:tc>
          <w:tcPr>
            <w:tcW w:w="1681" w:type="dxa"/>
            <w:tcBorders>
              <w:top w:val="nil"/>
              <w:left w:val="nil"/>
              <w:bottom w:val="nil"/>
              <w:right w:val="nil"/>
            </w:tcBorders>
            <w:shd w:val="clear" w:color="auto" w:fill="auto"/>
            <w:vAlign w:val="center"/>
            <w:hideMark/>
          </w:tcPr>
          <w:p w14:paraId="49C3265B"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5</w:t>
            </w:r>
          </w:p>
        </w:tc>
      </w:tr>
      <w:tr w:rsidR="00164FAA" w:rsidRPr="00164FAA" w14:paraId="0BFEB573" w14:textId="77777777" w:rsidTr="00164FAA">
        <w:tblPrEx>
          <w:jc w:val="left"/>
        </w:tblPrEx>
        <w:trPr>
          <w:trHeight w:val="247"/>
        </w:trPr>
        <w:tc>
          <w:tcPr>
            <w:tcW w:w="2835" w:type="dxa"/>
            <w:tcBorders>
              <w:top w:val="nil"/>
              <w:left w:val="nil"/>
              <w:bottom w:val="single" w:sz="8" w:space="0" w:color="auto"/>
              <w:right w:val="nil"/>
            </w:tcBorders>
            <w:shd w:val="clear" w:color="auto" w:fill="auto"/>
            <w:noWrap/>
            <w:vAlign w:val="center"/>
            <w:hideMark/>
          </w:tcPr>
          <w:p w14:paraId="3985E1D8" w14:textId="77777777" w:rsidR="00164FAA" w:rsidRPr="00164FAA" w:rsidRDefault="00164FAA" w:rsidP="00164FAA">
            <w:pPr>
              <w:rPr>
                <w:rFonts w:cs="Calibri"/>
                <w:color w:val="000000"/>
                <w:sz w:val="18"/>
                <w:szCs w:val="18"/>
              </w:rPr>
            </w:pPr>
            <w:r w:rsidRPr="00164FAA">
              <w:rPr>
                <w:rFonts w:cs="Times New Roman"/>
                <w:color w:val="000000"/>
                <w:sz w:val="18"/>
                <w:szCs w:val="18"/>
              </w:rPr>
              <w:t>10. Sociálne zabezpečenie</w:t>
            </w:r>
          </w:p>
        </w:tc>
        <w:tc>
          <w:tcPr>
            <w:tcW w:w="850" w:type="dxa"/>
            <w:tcBorders>
              <w:top w:val="nil"/>
              <w:left w:val="nil"/>
              <w:bottom w:val="single" w:sz="8" w:space="0" w:color="auto"/>
              <w:right w:val="single" w:sz="8" w:space="0" w:color="auto"/>
            </w:tcBorders>
            <w:shd w:val="clear" w:color="auto" w:fill="auto"/>
            <w:vAlign w:val="center"/>
            <w:hideMark/>
          </w:tcPr>
          <w:p w14:paraId="6035DF6D"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10</w:t>
            </w:r>
          </w:p>
        </w:tc>
        <w:tc>
          <w:tcPr>
            <w:tcW w:w="1843" w:type="dxa"/>
            <w:tcBorders>
              <w:top w:val="nil"/>
              <w:left w:val="nil"/>
              <w:bottom w:val="single" w:sz="8" w:space="0" w:color="auto"/>
              <w:right w:val="nil"/>
            </w:tcBorders>
            <w:shd w:val="clear" w:color="auto" w:fill="auto"/>
            <w:noWrap/>
            <w:vAlign w:val="center"/>
            <w:hideMark/>
          </w:tcPr>
          <w:p w14:paraId="0DC94F23"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16,3</w:t>
            </w:r>
          </w:p>
        </w:tc>
        <w:tc>
          <w:tcPr>
            <w:tcW w:w="1843" w:type="dxa"/>
            <w:tcBorders>
              <w:top w:val="nil"/>
              <w:left w:val="nil"/>
              <w:bottom w:val="single" w:sz="8" w:space="0" w:color="auto"/>
              <w:right w:val="single" w:sz="8" w:space="0" w:color="auto"/>
            </w:tcBorders>
            <w:shd w:val="clear" w:color="auto" w:fill="auto"/>
            <w:noWrap/>
            <w:vAlign w:val="center"/>
            <w:hideMark/>
          </w:tcPr>
          <w:p w14:paraId="7EEDB2D3" w14:textId="77777777" w:rsidR="00164FAA" w:rsidRPr="00164FAA" w:rsidRDefault="00164FAA" w:rsidP="00164FAA">
            <w:pPr>
              <w:jc w:val="center"/>
              <w:rPr>
                <w:rFonts w:cs="Calibri"/>
                <w:color w:val="000000"/>
                <w:sz w:val="18"/>
                <w:szCs w:val="18"/>
              </w:rPr>
            </w:pPr>
            <w:r w:rsidRPr="00164FAA">
              <w:rPr>
                <w:rFonts w:cs="Times New Roman"/>
                <w:color w:val="000000"/>
                <w:sz w:val="18"/>
                <w:szCs w:val="18"/>
              </w:rPr>
              <w:t>15,4</w:t>
            </w:r>
          </w:p>
        </w:tc>
        <w:tc>
          <w:tcPr>
            <w:tcW w:w="1681" w:type="dxa"/>
            <w:tcBorders>
              <w:top w:val="nil"/>
              <w:left w:val="nil"/>
              <w:bottom w:val="single" w:sz="8" w:space="0" w:color="auto"/>
              <w:right w:val="nil"/>
            </w:tcBorders>
            <w:shd w:val="clear" w:color="auto" w:fill="auto"/>
            <w:vAlign w:val="center"/>
            <w:hideMark/>
          </w:tcPr>
          <w:p w14:paraId="7FF242EF" w14:textId="75794DC5" w:rsidR="00164FAA" w:rsidRPr="00164FAA" w:rsidRDefault="00EC3A6D" w:rsidP="00164FAA">
            <w:pPr>
              <w:jc w:val="center"/>
              <w:rPr>
                <w:rFonts w:cs="Calibri"/>
                <w:color w:val="000000"/>
                <w:sz w:val="18"/>
                <w:szCs w:val="18"/>
              </w:rPr>
            </w:pPr>
            <w:r>
              <w:rPr>
                <w:rFonts w:cs="Times New Roman"/>
                <w:color w:val="000000"/>
                <w:sz w:val="18"/>
                <w:szCs w:val="18"/>
              </w:rPr>
              <w:t>21,9</w:t>
            </w:r>
          </w:p>
        </w:tc>
      </w:tr>
      <w:tr w:rsidR="00164FAA" w:rsidRPr="00164FAA" w14:paraId="2AA20C3F" w14:textId="77777777" w:rsidTr="00164FAA">
        <w:tblPrEx>
          <w:jc w:val="left"/>
        </w:tblPrEx>
        <w:trPr>
          <w:trHeight w:val="247"/>
        </w:trPr>
        <w:tc>
          <w:tcPr>
            <w:tcW w:w="2835" w:type="dxa"/>
            <w:tcBorders>
              <w:top w:val="single" w:sz="8" w:space="0" w:color="auto"/>
              <w:left w:val="nil"/>
              <w:bottom w:val="single" w:sz="4" w:space="0" w:color="auto"/>
              <w:right w:val="nil"/>
            </w:tcBorders>
            <w:shd w:val="clear" w:color="auto" w:fill="auto"/>
            <w:noWrap/>
            <w:vAlign w:val="center"/>
            <w:hideMark/>
          </w:tcPr>
          <w:p w14:paraId="4583C289" w14:textId="77777777" w:rsidR="00164FAA" w:rsidRPr="00164FAA" w:rsidRDefault="00164FAA" w:rsidP="00164FAA">
            <w:pPr>
              <w:rPr>
                <w:rFonts w:cs="Calibri"/>
                <w:b/>
                <w:bCs/>
                <w:color w:val="000000"/>
                <w:sz w:val="18"/>
                <w:szCs w:val="18"/>
              </w:rPr>
            </w:pPr>
            <w:r w:rsidRPr="00164FAA">
              <w:rPr>
                <w:rFonts w:cs="Times New Roman"/>
                <w:b/>
                <w:bCs/>
                <w:color w:val="000000"/>
                <w:sz w:val="18"/>
                <w:szCs w:val="18"/>
              </w:rPr>
              <w:t>Celkové výdavky</w:t>
            </w:r>
          </w:p>
        </w:tc>
        <w:tc>
          <w:tcPr>
            <w:tcW w:w="850" w:type="dxa"/>
            <w:tcBorders>
              <w:top w:val="single" w:sz="8" w:space="0" w:color="auto"/>
              <w:left w:val="nil"/>
              <w:bottom w:val="single" w:sz="4" w:space="0" w:color="auto"/>
              <w:right w:val="single" w:sz="8" w:space="0" w:color="auto"/>
            </w:tcBorders>
            <w:shd w:val="clear" w:color="auto" w:fill="auto"/>
            <w:vAlign w:val="center"/>
            <w:hideMark/>
          </w:tcPr>
          <w:p w14:paraId="6ACADFBA" w14:textId="77777777" w:rsidR="00164FAA" w:rsidRPr="00164FAA" w:rsidRDefault="00164FAA" w:rsidP="00164FAA">
            <w:pPr>
              <w:jc w:val="center"/>
              <w:rPr>
                <w:rFonts w:cs="Calibri"/>
                <w:b/>
                <w:bCs/>
                <w:color w:val="000000"/>
                <w:sz w:val="18"/>
                <w:szCs w:val="18"/>
              </w:rPr>
            </w:pPr>
            <w:r w:rsidRPr="00164FAA">
              <w:rPr>
                <w:rFonts w:cs="Times New Roman"/>
                <w:b/>
                <w:bCs/>
                <w:color w:val="000000"/>
                <w:sz w:val="18"/>
                <w:szCs w:val="18"/>
              </w:rPr>
              <w:t>TE</w:t>
            </w:r>
          </w:p>
        </w:tc>
        <w:tc>
          <w:tcPr>
            <w:tcW w:w="1843" w:type="dxa"/>
            <w:tcBorders>
              <w:top w:val="single" w:sz="8" w:space="0" w:color="auto"/>
              <w:left w:val="nil"/>
              <w:bottom w:val="single" w:sz="4" w:space="0" w:color="auto"/>
              <w:right w:val="nil"/>
            </w:tcBorders>
            <w:shd w:val="clear" w:color="auto" w:fill="auto"/>
            <w:noWrap/>
            <w:vAlign w:val="center"/>
            <w:hideMark/>
          </w:tcPr>
          <w:p w14:paraId="03F5DA3C" w14:textId="77777777" w:rsidR="00164FAA" w:rsidRPr="00164FAA" w:rsidRDefault="00164FAA" w:rsidP="00164FAA">
            <w:pPr>
              <w:jc w:val="center"/>
              <w:rPr>
                <w:rFonts w:cs="Calibri"/>
                <w:b/>
                <w:bCs/>
                <w:color w:val="000000"/>
                <w:sz w:val="18"/>
                <w:szCs w:val="18"/>
              </w:rPr>
            </w:pPr>
            <w:r w:rsidRPr="00164FAA">
              <w:rPr>
                <w:rFonts w:cs="Calibri"/>
                <w:b/>
                <w:bCs/>
                <w:color w:val="000000"/>
                <w:sz w:val="18"/>
                <w:szCs w:val="18"/>
              </w:rPr>
              <w:t>45,6</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14:paraId="09C1E66C" w14:textId="77777777" w:rsidR="00164FAA" w:rsidRPr="00164FAA" w:rsidRDefault="00164FAA" w:rsidP="00164FAA">
            <w:pPr>
              <w:jc w:val="center"/>
              <w:rPr>
                <w:rFonts w:cs="Calibri"/>
                <w:b/>
                <w:bCs/>
                <w:color w:val="000000"/>
                <w:sz w:val="18"/>
                <w:szCs w:val="18"/>
              </w:rPr>
            </w:pPr>
            <w:r w:rsidRPr="00164FAA">
              <w:rPr>
                <w:rFonts w:cs="Calibri"/>
                <w:b/>
                <w:bCs/>
                <w:color w:val="000000"/>
                <w:sz w:val="18"/>
                <w:szCs w:val="18"/>
              </w:rPr>
              <w:t>49,2</w:t>
            </w:r>
          </w:p>
        </w:tc>
        <w:tc>
          <w:tcPr>
            <w:tcW w:w="1681" w:type="dxa"/>
            <w:tcBorders>
              <w:top w:val="single" w:sz="8" w:space="0" w:color="auto"/>
              <w:left w:val="nil"/>
              <w:bottom w:val="single" w:sz="4" w:space="0" w:color="auto"/>
              <w:right w:val="nil"/>
            </w:tcBorders>
            <w:shd w:val="clear" w:color="auto" w:fill="auto"/>
            <w:vAlign w:val="center"/>
            <w:hideMark/>
          </w:tcPr>
          <w:p w14:paraId="6EB180AB" w14:textId="77777777" w:rsidR="00164FAA" w:rsidRPr="00164FAA" w:rsidRDefault="00164FAA" w:rsidP="00164FAA">
            <w:pPr>
              <w:jc w:val="center"/>
              <w:rPr>
                <w:rFonts w:cs="Calibri"/>
                <w:b/>
                <w:bCs/>
                <w:color w:val="000000"/>
                <w:sz w:val="18"/>
                <w:szCs w:val="18"/>
              </w:rPr>
            </w:pPr>
            <w:r w:rsidRPr="00164FAA">
              <w:rPr>
                <w:rFonts w:cs="Calibri"/>
                <w:b/>
                <w:bCs/>
                <w:color w:val="000000"/>
                <w:sz w:val="18"/>
                <w:szCs w:val="18"/>
              </w:rPr>
              <w:t>53,1</w:t>
            </w:r>
          </w:p>
        </w:tc>
      </w:tr>
      <w:tr w:rsidR="00164FAA" w:rsidRPr="00164FAA" w14:paraId="65ED2B0E" w14:textId="77777777" w:rsidTr="00164FAA">
        <w:tblPrEx>
          <w:jc w:val="left"/>
        </w:tblPrEx>
        <w:trPr>
          <w:trHeight w:val="247"/>
        </w:trPr>
        <w:tc>
          <w:tcPr>
            <w:tcW w:w="9052" w:type="dxa"/>
            <w:gridSpan w:val="5"/>
            <w:tcBorders>
              <w:top w:val="single" w:sz="4" w:space="0" w:color="auto"/>
              <w:left w:val="nil"/>
              <w:right w:val="nil"/>
            </w:tcBorders>
            <w:shd w:val="clear" w:color="auto" w:fill="auto"/>
            <w:noWrap/>
            <w:vAlign w:val="center"/>
          </w:tcPr>
          <w:p w14:paraId="5DA033B9" w14:textId="0A16CE82" w:rsidR="00164FAA" w:rsidRPr="00164FAA" w:rsidRDefault="00164FAA" w:rsidP="00B821A4">
            <w:pPr>
              <w:jc w:val="right"/>
              <w:rPr>
                <w:rFonts w:cs="Calibri"/>
                <w:b/>
                <w:bCs/>
                <w:color w:val="000000"/>
                <w:sz w:val="18"/>
                <w:szCs w:val="18"/>
              </w:rPr>
            </w:pPr>
            <w:r w:rsidRPr="00164FAA">
              <w:rPr>
                <w:rFonts w:cs="Times New Roman"/>
                <w:i/>
                <w:iCs/>
                <w:color w:val="000000"/>
                <w:sz w:val="16"/>
                <w:szCs w:val="16"/>
              </w:rPr>
              <w:t>Zdroj: Eurostat</w:t>
            </w:r>
          </w:p>
        </w:tc>
      </w:tr>
    </w:tbl>
    <w:p w14:paraId="269EB427" w14:textId="77777777" w:rsidR="006D0D3B" w:rsidRPr="008204CD" w:rsidRDefault="006D0D3B" w:rsidP="007C5A02">
      <w:pPr>
        <w:pStyle w:val="Nadpis2"/>
        <w:keepNext/>
        <w:keepLines/>
        <w:widowControl w:val="0"/>
        <w:numPr>
          <w:ilvl w:val="1"/>
          <w:numId w:val="14"/>
        </w:numPr>
        <w:spacing w:before="240" w:after="240"/>
        <w:rPr>
          <w:rFonts w:cs="Arial"/>
          <w:b/>
          <w:bCs/>
          <w:iCs/>
          <w:color w:val="2C9ADC"/>
        </w:rPr>
      </w:pPr>
      <w:bookmarkStart w:id="182" w:name="_Toc526530292"/>
      <w:bookmarkStart w:id="183" w:name="_Toc526530359"/>
      <w:bookmarkStart w:id="184" w:name="_Toc526530451"/>
      <w:bookmarkStart w:id="185" w:name="_Toc526530484"/>
      <w:bookmarkStart w:id="186" w:name="_Toc526530706"/>
      <w:bookmarkStart w:id="187" w:name="_Toc526530898"/>
      <w:bookmarkStart w:id="188" w:name="_Toc526531106"/>
      <w:bookmarkStart w:id="189" w:name="_Toc526531354"/>
      <w:bookmarkStart w:id="190" w:name="_Toc526530293"/>
      <w:bookmarkStart w:id="191" w:name="_Toc526530360"/>
      <w:bookmarkStart w:id="192" w:name="_Toc526530452"/>
      <w:bookmarkStart w:id="193" w:name="_Toc526530485"/>
      <w:bookmarkStart w:id="194" w:name="_Toc526530707"/>
      <w:bookmarkStart w:id="195" w:name="_Toc526530899"/>
      <w:bookmarkStart w:id="196" w:name="_Toc526531107"/>
      <w:bookmarkStart w:id="197" w:name="_Toc526531355"/>
      <w:bookmarkStart w:id="198" w:name="_Toc101880676"/>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8204CD">
        <w:rPr>
          <w:rFonts w:cs="Arial"/>
          <w:b/>
          <w:bCs/>
          <w:iCs/>
          <w:color w:val="2C9ADC"/>
        </w:rPr>
        <w:t>Investície v súlade s hodnotou za peniaze</w:t>
      </w:r>
      <w:bookmarkEnd w:id="198"/>
    </w:p>
    <w:p w14:paraId="31720A2B" w14:textId="77777777" w:rsidR="006D0D3B" w:rsidRPr="00096946" w:rsidRDefault="006D0D3B" w:rsidP="007C5A02">
      <w:pPr>
        <w:keepNext/>
        <w:keepLines/>
        <w:widowControl w:val="0"/>
        <w:spacing w:after="160"/>
        <w:jc w:val="both"/>
        <w:rPr>
          <w:rFonts w:cs="Times New Roman"/>
          <w:bCs/>
          <w:iCs/>
        </w:rPr>
      </w:pPr>
      <w:r w:rsidRPr="00096946">
        <w:rPr>
          <w:rFonts w:cs="Arial Narrow"/>
          <w:b/>
          <w:bCs/>
        </w:rPr>
        <w:t xml:space="preserve">Prebiehajúca reforma riadenia investícií má za cieľ zvýšiť ekonomickú hodnotu novo-realizovaných investičných projektov a získať z každého eura vyššiu návratnosť. </w:t>
      </w:r>
      <w:r>
        <w:t xml:space="preserve">Hlavnými časťami reformy sú ekonomické hodnotenia projektov pred ich realizáciou, nastavenie priorít a investičných plánov rezortov a zaraďovanie iba pripravených a návratných projektov do rozpočtu verejnej správy. </w:t>
      </w:r>
    </w:p>
    <w:p w14:paraId="7EFCF0D4" w14:textId="77777777" w:rsidR="006D0D3B" w:rsidRPr="00096946" w:rsidRDefault="006D0D3B" w:rsidP="007C5A02">
      <w:pPr>
        <w:keepNext/>
        <w:keepLines/>
        <w:widowControl w:val="0"/>
        <w:jc w:val="both"/>
        <w:rPr>
          <w:rFonts w:cs="Arial Narrow"/>
        </w:rPr>
      </w:pPr>
      <w:r w:rsidRPr="00096946">
        <w:rPr>
          <w:rFonts w:cs="Arial Narrow"/>
        </w:rPr>
        <w:t>Za účelom lepšieho plánovania a plnenia rozpočtu sa už zrealizovali alebo realizujú uvedené aktivity:</w:t>
      </w:r>
    </w:p>
    <w:p w14:paraId="48AFF3B8" w14:textId="77777777" w:rsidR="006D0D3B" w:rsidRPr="00616C61" w:rsidRDefault="006D0D3B" w:rsidP="007C5A02">
      <w:pPr>
        <w:pStyle w:val="Odsekzoznamu"/>
        <w:keepNext/>
        <w:keepLines/>
        <w:widowControl w:val="0"/>
        <w:numPr>
          <w:ilvl w:val="0"/>
          <w:numId w:val="30"/>
        </w:numPr>
        <w:spacing w:after="160"/>
        <w:ind w:left="426"/>
        <w:jc w:val="both"/>
        <w:rPr>
          <w:rFonts w:cs="Arial Narrow"/>
        </w:rPr>
      </w:pPr>
      <w:r w:rsidRPr="00067277">
        <w:rPr>
          <w:rFonts w:cs="Arial Narrow"/>
          <w:b/>
          <w:bCs/>
        </w:rPr>
        <w:t xml:space="preserve">Transparentnosť a kvalita diskusie </w:t>
      </w:r>
      <w:r>
        <w:rPr>
          <w:rFonts w:cs="Arial Narrow"/>
          <w:b/>
          <w:bCs/>
        </w:rPr>
        <w:t xml:space="preserve">o investičných projektoch </w:t>
      </w:r>
      <w:r w:rsidRPr="00067277">
        <w:rPr>
          <w:rFonts w:cs="Arial Narrow"/>
          <w:b/>
          <w:bCs/>
        </w:rPr>
        <w:t>sa zlepšili vďaka zverejňovaniu štúdií uskutočniteľnosti.</w:t>
      </w:r>
      <w:r w:rsidRPr="00067277">
        <w:rPr>
          <w:rFonts w:cs="Arial Narrow"/>
          <w:bCs/>
        </w:rPr>
        <w:t xml:space="preserve"> Vypracované štúdie pre všetky veľké projekty nad 40 mil. eur (resp. nad 10 mil. eur v IT sektore) sú od roku 2019 zo zákona</w:t>
      </w:r>
      <w:r w:rsidRPr="00067277">
        <w:rPr>
          <w:rStyle w:val="Odkaznapoznmkupodiarou"/>
          <w:bCs/>
        </w:rPr>
        <w:footnoteReference w:id="67"/>
      </w:r>
      <w:r w:rsidRPr="00067277">
        <w:rPr>
          <w:rFonts w:cs="Arial Narrow"/>
          <w:bCs/>
        </w:rPr>
        <w:t xml:space="preserve"> povinne zverejňované online. Na ich základe následne MF SR zverejňuje hodnotenia a odporúčania k projektom.</w:t>
      </w:r>
      <w:r w:rsidRPr="00067277">
        <w:rPr>
          <w:rFonts w:cs="Arial Narrow"/>
        </w:rPr>
        <w:t xml:space="preserve"> Investor je povinný zverejniť štúdiu na začiatku investičného procesu </w:t>
      </w:r>
      <w:r>
        <w:rPr>
          <w:rFonts w:cs="Arial Narrow"/>
        </w:rPr>
        <w:t>a aktualizovať</w:t>
      </w:r>
      <w:r w:rsidRPr="00067277">
        <w:rPr>
          <w:rFonts w:cs="Arial Narrow"/>
        </w:rPr>
        <w:t xml:space="preserve"> pred jeho najbližším významným pokračovaním</w:t>
      </w:r>
      <w:r w:rsidRPr="00B855EC">
        <w:rPr>
          <w:rFonts w:cs="Arial Narrow"/>
        </w:rPr>
        <w:t xml:space="preserve">. </w:t>
      </w:r>
    </w:p>
    <w:p w14:paraId="2125B9AE" w14:textId="77777777" w:rsidR="006D0D3B" w:rsidRPr="00096946" w:rsidRDefault="006D0D3B" w:rsidP="007C5A02">
      <w:pPr>
        <w:pStyle w:val="Odsekzoznamu"/>
        <w:keepNext/>
        <w:keepLines/>
        <w:widowControl w:val="0"/>
        <w:numPr>
          <w:ilvl w:val="0"/>
          <w:numId w:val="30"/>
        </w:numPr>
        <w:spacing w:after="160"/>
        <w:ind w:left="426"/>
        <w:jc w:val="both"/>
        <w:rPr>
          <w:rFonts w:cs="Arial Narrow"/>
        </w:rPr>
      </w:pPr>
      <w:r w:rsidRPr="00096946">
        <w:rPr>
          <w:rFonts w:cs="Arial Narrow"/>
          <w:b/>
          <w:bCs/>
        </w:rPr>
        <w:t>Vláda SR zároveň formou uznesenia</w:t>
      </w:r>
      <w:r>
        <w:rPr>
          <w:rStyle w:val="Odkaznapoznmkupodiarou"/>
          <w:b/>
          <w:bCs/>
        </w:rPr>
        <w:footnoteReference w:id="68"/>
      </w:r>
      <w:r>
        <w:rPr>
          <w:rFonts w:cs="Arial Narrow"/>
          <w:b/>
          <w:bCs/>
        </w:rPr>
        <w:t xml:space="preserve"> </w:t>
      </w:r>
      <w:r w:rsidRPr="00096946">
        <w:rPr>
          <w:rFonts w:cs="Arial Narrow"/>
          <w:b/>
          <w:bCs/>
        </w:rPr>
        <w:t xml:space="preserve">zaviedla povinné posudzovanie investícií s predpokladanými celkovými výdavkami vyššími ako 1 mil. eur s DPH Ministerstvom financií SR (MF SR). </w:t>
      </w:r>
      <w:r w:rsidRPr="00096946">
        <w:rPr>
          <w:rFonts w:cs="Arial Narrow"/>
        </w:rPr>
        <w:t>Subjekty verejnej správy, okrem územnej samosprávy a ňou zriadenými organizáciami, sú povinné MF SR predložiť na posúdenie minimálne detailný rozpočet projektu a dokumenty preukazujúce súlad projektu so sektorovou stratégiou</w:t>
      </w:r>
      <w:r>
        <w:rPr>
          <w:rFonts w:cs="Arial Narrow"/>
        </w:rPr>
        <w:t>, resp. jasne preukázať potrebu (dopyt) projektu.</w:t>
      </w:r>
    </w:p>
    <w:p w14:paraId="3F5107E6" w14:textId="77777777" w:rsidR="006D0D3B" w:rsidRPr="00096946" w:rsidRDefault="006D0D3B" w:rsidP="007C5A02">
      <w:pPr>
        <w:pStyle w:val="Odsekzoznamu"/>
        <w:keepNext/>
        <w:keepLines/>
        <w:widowControl w:val="0"/>
        <w:ind w:left="425"/>
        <w:jc w:val="both"/>
        <w:rPr>
          <w:rFonts w:cs="Arial Narrow"/>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AD3F2"/>
        <w:tblLook w:val="04A0" w:firstRow="1" w:lastRow="0" w:firstColumn="1" w:lastColumn="0" w:noHBand="0" w:noVBand="1"/>
      </w:tblPr>
      <w:tblGrid>
        <w:gridCol w:w="9062"/>
      </w:tblGrid>
      <w:tr w:rsidR="006D0D3B" w:rsidRPr="00096946" w14:paraId="7219C825" w14:textId="77777777" w:rsidTr="000E4D54">
        <w:tc>
          <w:tcPr>
            <w:tcW w:w="9062" w:type="dxa"/>
            <w:shd w:val="clear" w:color="auto" w:fill="AAD3F2"/>
          </w:tcPr>
          <w:p w14:paraId="22A8EB88" w14:textId="4C4FC9BB" w:rsidR="006D0D3B" w:rsidRPr="009A3055" w:rsidRDefault="009A3055" w:rsidP="007C5A02">
            <w:pPr>
              <w:keepNext/>
              <w:keepLines/>
              <w:widowControl w:val="0"/>
              <w:spacing w:after="160"/>
              <w:jc w:val="both"/>
              <w:rPr>
                <w:rFonts w:cs="Times New Roman"/>
                <w:b/>
                <w:bCs/>
                <w:iCs/>
              </w:rPr>
            </w:pPr>
            <w:bookmarkStart w:id="199" w:name="_Toc101880479"/>
            <w:r w:rsidRPr="009A3055">
              <w:rPr>
                <w:b/>
                <w:color w:val="2C9ADC" w:themeColor="accent1"/>
              </w:rPr>
              <w:t xml:space="preserve">BOX </w:t>
            </w:r>
            <w:r w:rsidRPr="009A3055">
              <w:rPr>
                <w:b/>
                <w:color w:val="2C9ADC" w:themeColor="accent1"/>
              </w:rPr>
              <w:fldChar w:fldCharType="begin"/>
            </w:r>
            <w:r w:rsidRPr="009A3055">
              <w:rPr>
                <w:b/>
                <w:color w:val="2C9ADC" w:themeColor="accent1"/>
              </w:rPr>
              <w:instrText xml:space="preserve"> SEQ BOX \* ARABIC </w:instrText>
            </w:r>
            <w:r w:rsidRPr="009A3055">
              <w:rPr>
                <w:b/>
                <w:color w:val="2C9ADC" w:themeColor="accent1"/>
              </w:rPr>
              <w:fldChar w:fldCharType="separate"/>
            </w:r>
            <w:r w:rsidR="005D3280">
              <w:rPr>
                <w:b/>
                <w:noProof/>
                <w:color w:val="2C9ADC" w:themeColor="accent1"/>
              </w:rPr>
              <w:t>8</w:t>
            </w:r>
            <w:r w:rsidRPr="009A3055">
              <w:rPr>
                <w:b/>
                <w:color w:val="2C9ADC" w:themeColor="accent1"/>
              </w:rPr>
              <w:fldChar w:fldCharType="end"/>
            </w:r>
            <w:r w:rsidR="00F67903">
              <w:rPr>
                <w:b/>
                <w:color w:val="2C9ADC" w:themeColor="accent1"/>
              </w:rPr>
              <w:t xml:space="preserve"> </w:t>
            </w:r>
            <w:r w:rsidR="006D0D3B" w:rsidRPr="009A3055">
              <w:rPr>
                <w:rFonts w:cs="Arial Narrow"/>
                <w:b/>
                <w:color w:val="2C9ADC" w:themeColor="accent1"/>
              </w:rPr>
              <w:t>– Prehľad hodnotených projektov v roku 2021</w:t>
            </w:r>
            <w:bookmarkEnd w:id="199"/>
            <w:r w:rsidR="006D0D3B" w:rsidRPr="009A3055">
              <w:rPr>
                <w:rFonts w:cs="Times New Roman"/>
                <w:b/>
                <w:bCs/>
                <w:iCs/>
              </w:rPr>
              <w:t xml:space="preserve"> </w:t>
            </w:r>
          </w:p>
          <w:p w14:paraId="4560863D" w14:textId="77777777" w:rsidR="006D0D3B" w:rsidRDefault="006D0D3B" w:rsidP="007C5A02">
            <w:pPr>
              <w:keepNext/>
              <w:keepLines/>
              <w:widowControl w:val="0"/>
              <w:shd w:val="clear" w:color="auto" w:fill="AAD3F2"/>
              <w:spacing w:after="160"/>
              <w:jc w:val="both"/>
              <w:rPr>
                <w:rFonts w:cs="Times New Roman"/>
                <w:iCs/>
                <w:sz w:val="20"/>
              </w:rPr>
            </w:pPr>
            <w:r w:rsidRPr="42F61C2F">
              <w:rPr>
                <w:b/>
                <w:bCs/>
              </w:rPr>
              <w:t xml:space="preserve">V roku 2021 MF SR zhodnotilo </w:t>
            </w:r>
            <w:r>
              <w:rPr>
                <w:b/>
                <w:bCs/>
              </w:rPr>
              <w:t>251</w:t>
            </w:r>
            <w:r w:rsidRPr="42F61C2F">
              <w:rPr>
                <w:b/>
                <w:bCs/>
              </w:rPr>
              <w:t xml:space="preserve"> projektov </w:t>
            </w:r>
            <w:r>
              <w:rPr>
                <w:b/>
                <w:bCs/>
              </w:rPr>
              <w:t>s identifikovanou úsporou 489 mil. eur</w:t>
            </w:r>
            <w:r>
              <w:t>. Hodnotenia za celkovo 6,3 mld. eur priniesli odporúčania smerom k optimalizácií technického riešenia, či zlacneniu projektov. Medián úspory hodnotených projektov je 7</w:t>
            </w:r>
            <w:r w:rsidRPr="00AA6B44">
              <w:t xml:space="preserve"> % odhadovaných nákladov.</w:t>
            </w:r>
          </w:p>
          <w:p w14:paraId="230AB717" w14:textId="3D01CB0B" w:rsidR="006D0D3B" w:rsidRPr="00FD35CB" w:rsidRDefault="00B304DF" w:rsidP="007C5A02">
            <w:pPr>
              <w:pStyle w:val="Popis"/>
              <w:keepNext/>
              <w:keepLines/>
              <w:widowControl w:val="0"/>
              <w:spacing w:after="0"/>
              <w:rPr>
                <w:sz w:val="22"/>
                <w:szCs w:val="22"/>
              </w:rPr>
            </w:pPr>
            <w:bookmarkStart w:id="200" w:name="_Toc95324195"/>
            <w:bookmarkStart w:id="201" w:name="_Toc96090786"/>
            <w:bookmarkStart w:id="202" w:name="_Toc101880695"/>
            <w:r w:rsidRPr="00B304DF">
              <w:rPr>
                <w:rFonts w:eastAsiaTheme="minorHAnsi"/>
                <w:sz w:val="20"/>
                <w:szCs w:val="20"/>
              </w:rPr>
              <w:t xml:space="preserve">TABUĽKA </w:t>
            </w:r>
            <w:r w:rsidRPr="00B304DF">
              <w:rPr>
                <w:rFonts w:eastAsiaTheme="minorHAnsi"/>
                <w:sz w:val="20"/>
                <w:szCs w:val="20"/>
              </w:rPr>
              <w:fldChar w:fldCharType="begin"/>
            </w:r>
            <w:r w:rsidRPr="00B304DF">
              <w:rPr>
                <w:rFonts w:eastAsiaTheme="minorHAnsi"/>
                <w:sz w:val="20"/>
                <w:szCs w:val="20"/>
              </w:rPr>
              <w:instrText xml:space="preserve"> SEQ TABUĽKA \* ARABIC </w:instrText>
            </w:r>
            <w:r w:rsidRPr="00B304DF">
              <w:rPr>
                <w:rFonts w:eastAsiaTheme="minorHAnsi"/>
                <w:sz w:val="20"/>
                <w:szCs w:val="20"/>
              </w:rPr>
              <w:fldChar w:fldCharType="separate"/>
            </w:r>
            <w:r w:rsidR="005D3280">
              <w:rPr>
                <w:rFonts w:eastAsiaTheme="minorHAnsi"/>
                <w:noProof/>
                <w:sz w:val="20"/>
                <w:szCs w:val="20"/>
              </w:rPr>
              <w:t>16</w:t>
            </w:r>
            <w:r w:rsidRPr="00B304DF">
              <w:rPr>
                <w:rFonts w:eastAsiaTheme="minorHAnsi"/>
                <w:sz w:val="20"/>
                <w:szCs w:val="20"/>
              </w:rPr>
              <w:fldChar w:fldCharType="end"/>
            </w:r>
            <w:r w:rsidRPr="00B304DF">
              <w:rPr>
                <w:sz w:val="20"/>
                <w:szCs w:val="20"/>
              </w:rPr>
              <w:t xml:space="preserve"> </w:t>
            </w:r>
            <w:r w:rsidRPr="00B304DF">
              <w:rPr>
                <w:rFonts w:eastAsiaTheme="minorHAnsi"/>
                <w:color w:val="2C9ADC"/>
                <w:sz w:val="20"/>
                <w:szCs w:val="20"/>
              </w:rPr>
              <w:t>–</w:t>
            </w:r>
            <w:r w:rsidRPr="00B304DF">
              <w:rPr>
                <w:sz w:val="20"/>
                <w:szCs w:val="20"/>
              </w:rPr>
              <w:t xml:space="preserve"> </w:t>
            </w:r>
            <w:r w:rsidR="006D0D3B" w:rsidRPr="00B304DF">
              <w:rPr>
                <w:sz w:val="20"/>
                <w:szCs w:val="20"/>
              </w:rPr>
              <w:t>Hodnotené projekty v roku 2021 po rezortoch (mil. eur)</w:t>
            </w:r>
            <w:bookmarkEnd w:id="200"/>
            <w:bookmarkEnd w:id="201"/>
            <w:bookmarkEnd w:id="202"/>
          </w:p>
          <w:tbl>
            <w:tblPr>
              <w:tblW w:w="4975" w:type="pct"/>
              <w:tblCellMar>
                <w:left w:w="70" w:type="dxa"/>
                <w:right w:w="70" w:type="dxa"/>
              </w:tblCellMar>
              <w:tblLook w:val="04A0" w:firstRow="1" w:lastRow="0" w:firstColumn="1" w:lastColumn="0" w:noHBand="0" w:noVBand="1"/>
            </w:tblPr>
            <w:tblGrid>
              <w:gridCol w:w="3033"/>
              <w:gridCol w:w="965"/>
              <w:gridCol w:w="966"/>
              <w:gridCol w:w="1106"/>
              <w:gridCol w:w="1364"/>
              <w:gridCol w:w="1357"/>
              <w:gridCol w:w="11"/>
            </w:tblGrid>
            <w:tr w:rsidR="006D0D3B" w:rsidRPr="00DC6A83" w14:paraId="4AE93B4F" w14:textId="77777777" w:rsidTr="000E4D54">
              <w:trPr>
                <w:trHeight w:val="261"/>
                <w:tblHeader/>
              </w:trPr>
              <w:tc>
                <w:tcPr>
                  <w:tcW w:w="1723" w:type="pct"/>
                  <w:vMerge w:val="restart"/>
                  <w:tcBorders>
                    <w:top w:val="single" w:sz="4" w:space="0" w:color="auto"/>
                  </w:tcBorders>
                  <w:shd w:val="clear" w:color="auto" w:fill="auto"/>
                  <w:noWrap/>
                  <w:vAlign w:val="bottom"/>
                  <w:hideMark/>
                </w:tcPr>
                <w:p w14:paraId="6D1EBA87" w14:textId="77777777" w:rsidR="006D0D3B" w:rsidRPr="00DC6A83" w:rsidRDefault="006D0D3B" w:rsidP="007C5A02">
                  <w:pPr>
                    <w:keepNext/>
                    <w:keepLines/>
                    <w:widowControl w:val="0"/>
                    <w:rPr>
                      <w:rFonts w:cs="Calibri"/>
                      <w:color w:val="000000"/>
                      <w:sz w:val="20"/>
                      <w:szCs w:val="20"/>
                    </w:rPr>
                  </w:pPr>
                  <w:r w:rsidRPr="00DC6A83">
                    <w:rPr>
                      <w:rFonts w:cs="Calibri"/>
                      <w:color w:val="000000"/>
                      <w:sz w:val="20"/>
                      <w:szCs w:val="20"/>
                    </w:rPr>
                    <w:t> </w:t>
                  </w:r>
                </w:p>
              </w:tc>
              <w:tc>
                <w:tcPr>
                  <w:tcW w:w="548" w:type="pct"/>
                  <w:vMerge w:val="restart"/>
                  <w:tcBorders>
                    <w:top w:val="single" w:sz="4" w:space="0" w:color="auto"/>
                  </w:tcBorders>
                  <w:shd w:val="clear" w:color="auto" w:fill="auto"/>
                  <w:vAlign w:val="center"/>
                  <w:hideMark/>
                </w:tcPr>
                <w:p w14:paraId="4EE6D0B1" w14:textId="77777777" w:rsidR="006D0D3B" w:rsidRPr="00B224E6" w:rsidRDefault="006D0D3B" w:rsidP="007C5A02">
                  <w:pPr>
                    <w:keepNext/>
                    <w:keepLines/>
                    <w:widowControl w:val="0"/>
                    <w:jc w:val="center"/>
                    <w:rPr>
                      <w:rFonts w:cs="Calibri"/>
                      <w:b/>
                      <w:bCs/>
                      <w:color w:val="000000"/>
                      <w:sz w:val="20"/>
                      <w:szCs w:val="20"/>
                    </w:rPr>
                  </w:pPr>
                  <w:r w:rsidRPr="00B224E6">
                    <w:rPr>
                      <w:rFonts w:cs="Calibri"/>
                      <w:b/>
                      <w:bCs/>
                      <w:color w:val="000000"/>
                      <w:sz w:val="20"/>
                      <w:szCs w:val="20"/>
                    </w:rPr>
                    <w:t>Počet projektov</w:t>
                  </w:r>
                </w:p>
              </w:tc>
              <w:tc>
                <w:tcPr>
                  <w:tcW w:w="549" w:type="pct"/>
                  <w:vMerge w:val="restart"/>
                  <w:tcBorders>
                    <w:top w:val="single" w:sz="4" w:space="0" w:color="auto"/>
                  </w:tcBorders>
                  <w:shd w:val="clear" w:color="auto" w:fill="auto"/>
                  <w:vAlign w:val="center"/>
                  <w:hideMark/>
                </w:tcPr>
                <w:p w14:paraId="07E0F5B0" w14:textId="77777777" w:rsidR="006D0D3B" w:rsidRPr="00B224E6" w:rsidRDefault="006D0D3B" w:rsidP="007C5A02">
                  <w:pPr>
                    <w:keepNext/>
                    <w:keepLines/>
                    <w:widowControl w:val="0"/>
                    <w:jc w:val="center"/>
                    <w:rPr>
                      <w:rFonts w:cs="Calibri"/>
                      <w:b/>
                      <w:bCs/>
                      <w:color w:val="000000"/>
                      <w:sz w:val="20"/>
                      <w:szCs w:val="20"/>
                    </w:rPr>
                  </w:pPr>
                  <w:r w:rsidRPr="00B224E6">
                    <w:rPr>
                      <w:rFonts w:cs="Calibri"/>
                      <w:b/>
                      <w:bCs/>
                      <w:color w:val="000000"/>
                      <w:sz w:val="20"/>
                      <w:szCs w:val="20"/>
                    </w:rPr>
                    <w:t>Investičné náklady</w:t>
                  </w:r>
                </w:p>
              </w:tc>
              <w:tc>
                <w:tcPr>
                  <w:tcW w:w="628" w:type="pct"/>
                  <w:vMerge w:val="restart"/>
                  <w:tcBorders>
                    <w:top w:val="single" w:sz="4" w:space="0" w:color="auto"/>
                    <w:right w:val="single" w:sz="4" w:space="0" w:color="auto"/>
                  </w:tcBorders>
                  <w:vAlign w:val="center"/>
                </w:tcPr>
                <w:p w14:paraId="5C3E1D2E" w14:textId="77777777" w:rsidR="006D0D3B" w:rsidRPr="00E437BB" w:rsidRDefault="006D0D3B" w:rsidP="007C5A02">
                  <w:pPr>
                    <w:keepNext/>
                    <w:keepLines/>
                    <w:widowControl w:val="0"/>
                    <w:jc w:val="center"/>
                    <w:rPr>
                      <w:rFonts w:eastAsia="Arial Narrow" w:cs="Arial Narrow"/>
                      <w:b/>
                      <w:color w:val="000000"/>
                      <w:sz w:val="20"/>
                      <w:szCs w:val="20"/>
                    </w:rPr>
                  </w:pPr>
                  <w:r w:rsidRPr="00E437BB">
                    <w:rPr>
                      <w:rFonts w:eastAsia="Arial Narrow" w:cs="Arial Narrow"/>
                      <w:b/>
                      <w:color w:val="000000" w:themeColor="text1"/>
                      <w:sz w:val="20"/>
                      <w:szCs w:val="20"/>
                    </w:rPr>
                    <w:t>Potenciál úspory</w:t>
                  </w:r>
                </w:p>
              </w:tc>
              <w:tc>
                <w:tcPr>
                  <w:tcW w:w="1552" w:type="pct"/>
                  <w:gridSpan w:val="3"/>
                  <w:tcBorders>
                    <w:top w:val="single" w:sz="4" w:space="0" w:color="auto"/>
                    <w:left w:val="single" w:sz="4" w:space="0" w:color="auto"/>
                  </w:tcBorders>
                  <w:shd w:val="clear" w:color="auto" w:fill="auto"/>
                  <w:vAlign w:val="center"/>
                  <w:hideMark/>
                </w:tcPr>
                <w:p w14:paraId="55F2490C" w14:textId="77777777" w:rsidR="006D0D3B" w:rsidRPr="000C29F9" w:rsidRDefault="006D0D3B" w:rsidP="007C5A02">
                  <w:pPr>
                    <w:keepNext/>
                    <w:keepLines/>
                    <w:widowControl w:val="0"/>
                    <w:jc w:val="center"/>
                    <w:rPr>
                      <w:rFonts w:cs="Calibri"/>
                      <w:b/>
                      <w:bCs/>
                      <w:i/>
                      <w:iCs/>
                      <w:color w:val="000000"/>
                      <w:sz w:val="20"/>
                      <w:szCs w:val="20"/>
                    </w:rPr>
                  </w:pPr>
                  <w:r w:rsidRPr="000C29F9">
                    <w:rPr>
                      <w:rFonts w:cs="Calibri"/>
                      <w:b/>
                      <w:bCs/>
                      <w:i/>
                      <w:iCs/>
                      <w:color w:val="000000"/>
                      <w:sz w:val="18"/>
                      <w:szCs w:val="18"/>
                    </w:rPr>
                    <w:t xml:space="preserve">Z </w:t>
                  </w:r>
                  <w:r>
                    <w:rPr>
                      <w:rFonts w:cs="Calibri"/>
                      <w:b/>
                      <w:bCs/>
                      <w:i/>
                      <w:iCs/>
                      <w:color w:val="000000"/>
                      <w:sz w:val="18"/>
                      <w:szCs w:val="18"/>
                    </w:rPr>
                    <w:t>toho úspora</w:t>
                  </w:r>
                  <w:r w:rsidRPr="000C29F9">
                    <w:rPr>
                      <w:rFonts w:cs="Calibri"/>
                      <w:b/>
                      <w:bCs/>
                      <w:i/>
                      <w:iCs/>
                      <w:color w:val="000000"/>
                      <w:sz w:val="18"/>
                      <w:szCs w:val="18"/>
                    </w:rPr>
                    <w:t>:</w:t>
                  </w:r>
                </w:p>
              </w:tc>
            </w:tr>
            <w:tr w:rsidR="006D0D3B" w:rsidRPr="00DC6A83" w14:paraId="42128FED" w14:textId="77777777" w:rsidTr="000E4D54">
              <w:trPr>
                <w:trHeight w:val="74"/>
                <w:tblHeader/>
              </w:trPr>
              <w:tc>
                <w:tcPr>
                  <w:tcW w:w="1723" w:type="pct"/>
                  <w:vMerge/>
                  <w:noWrap/>
                  <w:vAlign w:val="bottom"/>
                </w:tcPr>
                <w:p w14:paraId="70951964" w14:textId="77777777" w:rsidR="006D0D3B" w:rsidRDefault="006D0D3B" w:rsidP="007C5A02">
                  <w:pPr>
                    <w:keepNext/>
                    <w:keepLines/>
                    <w:widowControl w:val="0"/>
                    <w:rPr>
                      <w:rFonts w:cs="Calibri"/>
                      <w:color w:val="000000"/>
                      <w:sz w:val="20"/>
                      <w:szCs w:val="20"/>
                    </w:rPr>
                  </w:pPr>
                </w:p>
              </w:tc>
              <w:tc>
                <w:tcPr>
                  <w:tcW w:w="548" w:type="pct"/>
                  <w:vMerge/>
                  <w:vAlign w:val="center"/>
                </w:tcPr>
                <w:p w14:paraId="22FC0D69" w14:textId="77777777" w:rsidR="006D0D3B" w:rsidRDefault="006D0D3B" w:rsidP="007C5A02">
                  <w:pPr>
                    <w:keepNext/>
                    <w:keepLines/>
                    <w:widowControl w:val="0"/>
                    <w:jc w:val="center"/>
                    <w:rPr>
                      <w:rFonts w:cs="Calibri"/>
                      <w:b/>
                      <w:bCs/>
                      <w:color w:val="000000"/>
                      <w:sz w:val="20"/>
                      <w:szCs w:val="20"/>
                    </w:rPr>
                  </w:pPr>
                </w:p>
              </w:tc>
              <w:tc>
                <w:tcPr>
                  <w:tcW w:w="549" w:type="pct"/>
                  <w:vMerge/>
                  <w:vAlign w:val="center"/>
                </w:tcPr>
                <w:p w14:paraId="3A9B4731" w14:textId="77777777" w:rsidR="006D0D3B" w:rsidRDefault="006D0D3B" w:rsidP="007C5A02">
                  <w:pPr>
                    <w:keepNext/>
                    <w:keepLines/>
                    <w:widowControl w:val="0"/>
                    <w:jc w:val="center"/>
                    <w:rPr>
                      <w:rFonts w:cs="Calibri"/>
                      <w:b/>
                      <w:bCs/>
                      <w:color w:val="000000"/>
                      <w:sz w:val="20"/>
                      <w:szCs w:val="20"/>
                    </w:rPr>
                  </w:pPr>
                </w:p>
              </w:tc>
              <w:tc>
                <w:tcPr>
                  <w:tcW w:w="628" w:type="pct"/>
                  <w:vMerge/>
                  <w:vAlign w:val="center"/>
                </w:tcPr>
                <w:p w14:paraId="7206F8AA" w14:textId="77777777" w:rsidR="006D0D3B" w:rsidRDefault="006D0D3B" w:rsidP="007C5A02">
                  <w:pPr>
                    <w:keepNext/>
                    <w:keepLines/>
                    <w:widowControl w:val="0"/>
                    <w:jc w:val="center"/>
                    <w:rPr>
                      <w:rFonts w:cs="Calibri"/>
                      <w:b/>
                      <w:bCs/>
                      <w:color w:val="000000"/>
                      <w:sz w:val="20"/>
                      <w:szCs w:val="20"/>
                    </w:rPr>
                  </w:pPr>
                </w:p>
              </w:tc>
              <w:tc>
                <w:tcPr>
                  <w:tcW w:w="775" w:type="pct"/>
                  <w:tcBorders>
                    <w:left w:val="single" w:sz="4" w:space="0" w:color="auto"/>
                    <w:bottom w:val="single" w:sz="4" w:space="0" w:color="auto"/>
                  </w:tcBorders>
                  <w:shd w:val="clear" w:color="auto" w:fill="auto"/>
                  <w:vAlign w:val="center"/>
                </w:tcPr>
                <w:p w14:paraId="107E981C" w14:textId="77777777" w:rsidR="006D0D3B" w:rsidRPr="000C29F9" w:rsidDel="000C2A10" w:rsidRDefault="006D0D3B" w:rsidP="007C5A02">
                  <w:pPr>
                    <w:keepNext/>
                    <w:keepLines/>
                    <w:widowControl w:val="0"/>
                    <w:jc w:val="center"/>
                    <w:rPr>
                      <w:rFonts w:cs="Calibri"/>
                      <w:b/>
                      <w:bCs/>
                      <w:i/>
                      <w:iCs/>
                      <w:color w:val="000000"/>
                      <w:sz w:val="20"/>
                      <w:szCs w:val="20"/>
                    </w:rPr>
                  </w:pPr>
                  <w:r w:rsidRPr="000C29F9">
                    <w:rPr>
                      <w:rFonts w:cs="Calibri"/>
                      <w:b/>
                      <w:bCs/>
                      <w:i/>
                      <w:iCs/>
                      <w:color w:val="000000"/>
                      <w:sz w:val="18"/>
                      <w:szCs w:val="18"/>
                    </w:rPr>
                    <w:t xml:space="preserve">identifikovaná na začiatku </w:t>
                  </w:r>
                  <w:r>
                    <w:rPr>
                      <w:rFonts w:cs="Calibri"/>
                      <w:b/>
                      <w:bCs/>
                      <w:i/>
                      <w:iCs/>
                      <w:color w:val="000000"/>
                      <w:sz w:val="18"/>
                      <w:szCs w:val="18"/>
                    </w:rPr>
                    <w:t xml:space="preserve">prípravy </w:t>
                  </w:r>
                  <w:r w:rsidRPr="000C29F9">
                    <w:rPr>
                      <w:rFonts w:cs="Calibri"/>
                      <w:b/>
                      <w:bCs/>
                      <w:i/>
                      <w:iCs/>
                      <w:color w:val="000000"/>
                      <w:sz w:val="18"/>
                      <w:szCs w:val="18"/>
                    </w:rPr>
                    <w:t xml:space="preserve">v ŠU </w:t>
                  </w:r>
                </w:p>
              </w:tc>
              <w:tc>
                <w:tcPr>
                  <w:tcW w:w="777" w:type="pct"/>
                  <w:gridSpan w:val="2"/>
                  <w:tcBorders>
                    <w:bottom w:val="single" w:sz="4" w:space="0" w:color="auto"/>
                  </w:tcBorders>
                  <w:vAlign w:val="center"/>
                </w:tcPr>
                <w:p w14:paraId="639E1182" w14:textId="77777777" w:rsidR="006D0D3B" w:rsidRPr="000C29F9" w:rsidDel="000C2A10" w:rsidRDefault="006D0D3B" w:rsidP="007C5A02">
                  <w:pPr>
                    <w:keepNext/>
                    <w:keepLines/>
                    <w:widowControl w:val="0"/>
                    <w:jc w:val="center"/>
                    <w:rPr>
                      <w:rFonts w:cs="Calibri"/>
                      <w:b/>
                      <w:bCs/>
                      <w:i/>
                      <w:iCs/>
                      <w:color w:val="000000"/>
                      <w:sz w:val="20"/>
                      <w:szCs w:val="20"/>
                    </w:rPr>
                  </w:pPr>
                  <w:r w:rsidRPr="000C29F9">
                    <w:rPr>
                      <w:rFonts w:cs="Calibri"/>
                      <w:b/>
                      <w:bCs/>
                      <w:i/>
                      <w:iCs/>
                      <w:color w:val="000000"/>
                      <w:sz w:val="18"/>
                      <w:szCs w:val="18"/>
                    </w:rPr>
                    <w:t>identifikovaná pred VO</w:t>
                  </w:r>
                </w:p>
              </w:tc>
            </w:tr>
            <w:tr w:rsidR="006D0D3B" w:rsidRPr="00DC6A83" w14:paraId="6CFEC8AA" w14:textId="77777777" w:rsidTr="000E4D54">
              <w:trPr>
                <w:trHeight w:val="13"/>
                <w:tblHeader/>
              </w:trPr>
              <w:tc>
                <w:tcPr>
                  <w:tcW w:w="1723" w:type="pct"/>
                  <w:tcBorders>
                    <w:top w:val="single" w:sz="4" w:space="0" w:color="auto"/>
                  </w:tcBorders>
                  <w:shd w:val="clear" w:color="auto" w:fill="auto"/>
                  <w:noWrap/>
                  <w:vAlign w:val="bottom"/>
                </w:tcPr>
                <w:p w14:paraId="5D285FEC" w14:textId="77777777" w:rsidR="006D0D3B" w:rsidRPr="00433219" w:rsidRDefault="006D0D3B" w:rsidP="007C5A02">
                  <w:pPr>
                    <w:keepNext/>
                    <w:keepLines/>
                    <w:widowControl w:val="0"/>
                    <w:rPr>
                      <w:rFonts w:cs="Calibri"/>
                      <w:i/>
                      <w:color w:val="000000"/>
                      <w:sz w:val="20"/>
                      <w:szCs w:val="20"/>
                    </w:rPr>
                  </w:pPr>
                  <w:r>
                    <w:rPr>
                      <w:rFonts w:cs="Calibri"/>
                      <w:b/>
                      <w:color w:val="000000"/>
                      <w:sz w:val="20"/>
                      <w:szCs w:val="20"/>
                    </w:rPr>
                    <w:t>Celkom</w:t>
                  </w:r>
                </w:p>
              </w:tc>
              <w:tc>
                <w:tcPr>
                  <w:tcW w:w="548" w:type="pct"/>
                  <w:tcBorders>
                    <w:top w:val="single" w:sz="4" w:space="0" w:color="auto"/>
                  </w:tcBorders>
                  <w:shd w:val="clear" w:color="auto" w:fill="auto"/>
                  <w:noWrap/>
                  <w:vAlign w:val="center"/>
                </w:tcPr>
                <w:p w14:paraId="70F4BEFE" w14:textId="77777777" w:rsidR="006D0D3B" w:rsidRPr="00433219" w:rsidRDefault="006D0D3B" w:rsidP="007C5A02">
                  <w:pPr>
                    <w:keepNext/>
                    <w:keepLines/>
                    <w:widowControl w:val="0"/>
                    <w:jc w:val="center"/>
                    <w:rPr>
                      <w:rFonts w:cs="Calibri"/>
                      <w:i/>
                      <w:color w:val="000000"/>
                      <w:sz w:val="20"/>
                      <w:szCs w:val="20"/>
                    </w:rPr>
                  </w:pPr>
                  <w:r w:rsidRPr="0A36CEEB">
                    <w:rPr>
                      <w:rFonts w:eastAsia="Arial Narrow" w:cs="Arial Narrow"/>
                      <w:b/>
                      <w:bCs/>
                      <w:color w:val="000000" w:themeColor="text1"/>
                      <w:sz w:val="20"/>
                      <w:szCs w:val="20"/>
                    </w:rPr>
                    <w:t>251</w:t>
                  </w:r>
                </w:p>
              </w:tc>
              <w:tc>
                <w:tcPr>
                  <w:tcW w:w="549" w:type="pct"/>
                  <w:tcBorders>
                    <w:top w:val="single" w:sz="4" w:space="0" w:color="auto"/>
                  </w:tcBorders>
                  <w:shd w:val="clear" w:color="auto" w:fill="auto"/>
                  <w:noWrap/>
                  <w:vAlign w:val="center"/>
                </w:tcPr>
                <w:p w14:paraId="78500371" w14:textId="77777777" w:rsidR="006D0D3B" w:rsidRPr="00433219" w:rsidRDefault="006D0D3B" w:rsidP="007C5A02">
                  <w:pPr>
                    <w:keepNext/>
                    <w:keepLines/>
                    <w:widowControl w:val="0"/>
                    <w:jc w:val="center"/>
                    <w:rPr>
                      <w:rFonts w:cs="Calibri"/>
                      <w:i/>
                      <w:color w:val="000000"/>
                      <w:sz w:val="20"/>
                      <w:szCs w:val="20"/>
                    </w:rPr>
                  </w:pPr>
                  <w:r w:rsidRPr="0A36CEEB">
                    <w:rPr>
                      <w:rFonts w:eastAsia="Arial Narrow" w:cs="Arial Narrow"/>
                      <w:b/>
                      <w:bCs/>
                      <w:color w:val="000000" w:themeColor="text1"/>
                      <w:sz w:val="20"/>
                      <w:szCs w:val="20"/>
                    </w:rPr>
                    <w:t>6302</w:t>
                  </w:r>
                </w:p>
              </w:tc>
              <w:tc>
                <w:tcPr>
                  <w:tcW w:w="628" w:type="pct"/>
                  <w:tcBorders>
                    <w:top w:val="single" w:sz="4" w:space="0" w:color="auto"/>
                    <w:right w:val="single" w:sz="4" w:space="0" w:color="auto"/>
                  </w:tcBorders>
                  <w:shd w:val="clear" w:color="auto" w:fill="auto"/>
                  <w:vAlign w:val="center"/>
                </w:tcPr>
                <w:p w14:paraId="30A0F8EB" w14:textId="77777777" w:rsidR="006D0D3B" w:rsidRDefault="006D0D3B" w:rsidP="007C5A02">
                  <w:pPr>
                    <w:keepNext/>
                    <w:keepLines/>
                    <w:widowControl w:val="0"/>
                    <w:jc w:val="center"/>
                    <w:rPr>
                      <w:rFonts w:cs="Calibri"/>
                      <w:b/>
                      <w:color w:val="000000"/>
                      <w:sz w:val="20"/>
                      <w:szCs w:val="20"/>
                    </w:rPr>
                  </w:pPr>
                  <w:r w:rsidRPr="0A36CEEB">
                    <w:rPr>
                      <w:rFonts w:eastAsia="Arial Narrow" w:cs="Arial Narrow"/>
                      <w:b/>
                      <w:bCs/>
                      <w:color w:val="000000" w:themeColor="text1"/>
                      <w:sz w:val="20"/>
                      <w:szCs w:val="20"/>
                    </w:rPr>
                    <w:t>489</w:t>
                  </w:r>
                </w:p>
              </w:tc>
              <w:tc>
                <w:tcPr>
                  <w:tcW w:w="775" w:type="pct"/>
                  <w:tcBorders>
                    <w:top w:val="single" w:sz="4" w:space="0" w:color="auto"/>
                    <w:left w:val="single" w:sz="4" w:space="0" w:color="auto"/>
                  </w:tcBorders>
                  <w:shd w:val="clear" w:color="auto" w:fill="auto"/>
                  <w:noWrap/>
                  <w:vAlign w:val="center"/>
                </w:tcPr>
                <w:p w14:paraId="2A7A1462" w14:textId="77777777" w:rsidR="006D0D3B" w:rsidRPr="00433219" w:rsidRDefault="006D0D3B" w:rsidP="007C5A02">
                  <w:pPr>
                    <w:keepNext/>
                    <w:keepLines/>
                    <w:widowControl w:val="0"/>
                    <w:jc w:val="center"/>
                    <w:rPr>
                      <w:rFonts w:cs="Calibri"/>
                      <w:i/>
                      <w:color w:val="000000"/>
                      <w:sz w:val="20"/>
                      <w:szCs w:val="20"/>
                    </w:rPr>
                  </w:pPr>
                  <w:r w:rsidRPr="0A36CEEB">
                    <w:rPr>
                      <w:rFonts w:eastAsia="Arial Narrow" w:cs="Arial Narrow"/>
                      <w:b/>
                      <w:bCs/>
                      <w:color w:val="000000" w:themeColor="text1"/>
                      <w:sz w:val="20"/>
                      <w:szCs w:val="20"/>
                    </w:rPr>
                    <w:t>176</w:t>
                  </w:r>
                </w:p>
              </w:tc>
              <w:tc>
                <w:tcPr>
                  <w:tcW w:w="777" w:type="pct"/>
                  <w:gridSpan w:val="2"/>
                  <w:tcBorders>
                    <w:top w:val="single" w:sz="4" w:space="0" w:color="auto"/>
                  </w:tcBorders>
                  <w:shd w:val="clear" w:color="auto" w:fill="auto"/>
                  <w:vAlign w:val="center"/>
                </w:tcPr>
                <w:p w14:paraId="286CB23E" w14:textId="77777777" w:rsidR="006D0D3B" w:rsidRDefault="006D0D3B" w:rsidP="007C5A02">
                  <w:pPr>
                    <w:keepNext/>
                    <w:keepLines/>
                    <w:widowControl w:val="0"/>
                    <w:jc w:val="center"/>
                    <w:rPr>
                      <w:rFonts w:cs="Calibri"/>
                      <w:b/>
                      <w:color w:val="000000"/>
                      <w:sz w:val="20"/>
                      <w:szCs w:val="20"/>
                    </w:rPr>
                  </w:pPr>
                  <w:r w:rsidRPr="0A36CEEB">
                    <w:rPr>
                      <w:rFonts w:eastAsia="Arial Narrow" w:cs="Arial Narrow"/>
                      <w:b/>
                      <w:bCs/>
                      <w:color w:val="000000" w:themeColor="text1"/>
                      <w:sz w:val="20"/>
                      <w:szCs w:val="20"/>
                    </w:rPr>
                    <w:t>313</w:t>
                  </w:r>
                </w:p>
              </w:tc>
            </w:tr>
            <w:tr w:rsidR="006D0D3B" w:rsidRPr="00DC6A83" w14:paraId="4A52E4DC" w14:textId="77777777" w:rsidTr="000E4D54">
              <w:trPr>
                <w:trHeight w:val="13"/>
                <w:tblHeader/>
              </w:trPr>
              <w:tc>
                <w:tcPr>
                  <w:tcW w:w="1723" w:type="pct"/>
                  <w:shd w:val="clear" w:color="auto" w:fill="auto"/>
                  <w:noWrap/>
                  <w:vAlign w:val="bottom"/>
                </w:tcPr>
                <w:p w14:paraId="0565214A" w14:textId="77777777" w:rsidR="006D0D3B" w:rsidRPr="000C2A10" w:rsidRDefault="006D0D3B" w:rsidP="007C5A02">
                  <w:pPr>
                    <w:keepNext/>
                    <w:keepLines/>
                    <w:widowControl w:val="0"/>
                    <w:ind w:firstLineChars="100" w:firstLine="200"/>
                    <w:rPr>
                      <w:rFonts w:cs="Calibri"/>
                      <w:i/>
                      <w:color w:val="000000"/>
                      <w:sz w:val="20"/>
                      <w:szCs w:val="20"/>
                    </w:rPr>
                  </w:pPr>
                  <w:r w:rsidRPr="000C2A10">
                    <w:rPr>
                      <w:rFonts w:cs="Calibri"/>
                      <w:i/>
                      <w:color w:val="000000"/>
                      <w:sz w:val="20"/>
                      <w:szCs w:val="20"/>
                    </w:rPr>
                    <w:t>Z toho nad 1 mil. eur do 40 mil. eur</w:t>
                  </w:r>
                </w:p>
              </w:tc>
              <w:tc>
                <w:tcPr>
                  <w:tcW w:w="548" w:type="pct"/>
                  <w:shd w:val="clear" w:color="auto" w:fill="auto"/>
                  <w:noWrap/>
                  <w:vAlign w:val="center"/>
                </w:tcPr>
                <w:p w14:paraId="13BACD5B" w14:textId="77777777" w:rsidR="006D0D3B" w:rsidRPr="000C2A10"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227</w:t>
                  </w:r>
                </w:p>
              </w:tc>
              <w:tc>
                <w:tcPr>
                  <w:tcW w:w="549" w:type="pct"/>
                  <w:shd w:val="clear" w:color="auto" w:fill="auto"/>
                  <w:noWrap/>
                  <w:vAlign w:val="center"/>
                </w:tcPr>
                <w:p w14:paraId="0064DBC0" w14:textId="77777777" w:rsidR="006D0D3B" w:rsidRPr="000C2A10"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1323</w:t>
                  </w:r>
                </w:p>
              </w:tc>
              <w:tc>
                <w:tcPr>
                  <w:tcW w:w="628" w:type="pct"/>
                  <w:tcBorders>
                    <w:right w:val="single" w:sz="4" w:space="0" w:color="auto"/>
                  </w:tcBorders>
                  <w:shd w:val="clear" w:color="auto" w:fill="auto"/>
                  <w:vAlign w:val="center"/>
                </w:tcPr>
                <w:p w14:paraId="384F175D" w14:textId="77777777" w:rsidR="006D0D3B" w:rsidRPr="000C2A10"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304</w:t>
                  </w:r>
                </w:p>
              </w:tc>
              <w:tc>
                <w:tcPr>
                  <w:tcW w:w="775" w:type="pct"/>
                  <w:tcBorders>
                    <w:left w:val="single" w:sz="4" w:space="0" w:color="auto"/>
                  </w:tcBorders>
                  <w:shd w:val="clear" w:color="auto" w:fill="auto"/>
                  <w:noWrap/>
                  <w:vAlign w:val="center"/>
                </w:tcPr>
                <w:p w14:paraId="4D40109F" w14:textId="77777777" w:rsidR="006D0D3B" w:rsidRPr="000C2A10"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N/A</w:t>
                  </w:r>
                </w:p>
              </w:tc>
              <w:tc>
                <w:tcPr>
                  <w:tcW w:w="777" w:type="pct"/>
                  <w:gridSpan w:val="2"/>
                  <w:shd w:val="clear" w:color="auto" w:fill="auto"/>
                  <w:vAlign w:val="center"/>
                </w:tcPr>
                <w:p w14:paraId="2DCA70B7" w14:textId="77777777" w:rsidR="006D0D3B" w:rsidRPr="000C2A10"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304</w:t>
                  </w:r>
                </w:p>
              </w:tc>
            </w:tr>
            <w:tr w:rsidR="006D0D3B" w:rsidRPr="00DC6A83" w14:paraId="7810074A" w14:textId="77777777" w:rsidTr="000E4D54">
              <w:trPr>
                <w:trHeight w:val="13"/>
                <w:tblHeader/>
              </w:trPr>
              <w:tc>
                <w:tcPr>
                  <w:tcW w:w="1723" w:type="pct"/>
                  <w:tcBorders>
                    <w:bottom w:val="single" w:sz="4" w:space="0" w:color="auto"/>
                  </w:tcBorders>
                  <w:shd w:val="clear" w:color="auto" w:fill="auto"/>
                  <w:noWrap/>
                  <w:vAlign w:val="bottom"/>
                </w:tcPr>
                <w:p w14:paraId="6922B797" w14:textId="77777777" w:rsidR="006D0D3B" w:rsidRPr="00433219" w:rsidRDefault="006D0D3B" w:rsidP="007C5A02">
                  <w:pPr>
                    <w:keepNext/>
                    <w:keepLines/>
                    <w:widowControl w:val="0"/>
                    <w:ind w:firstLineChars="100" w:firstLine="200"/>
                    <w:rPr>
                      <w:rFonts w:cs="Calibri"/>
                      <w:i/>
                      <w:color w:val="000000"/>
                      <w:sz w:val="20"/>
                      <w:szCs w:val="20"/>
                    </w:rPr>
                  </w:pPr>
                  <w:r w:rsidRPr="00433219">
                    <w:rPr>
                      <w:rFonts w:cs="Calibri"/>
                      <w:i/>
                      <w:color w:val="000000"/>
                      <w:sz w:val="20"/>
                      <w:szCs w:val="20"/>
                    </w:rPr>
                    <w:t>Z toho nad 40 mil. eur</w:t>
                  </w:r>
                </w:p>
              </w:tc>
              <w:tc>
                <w:tcPr>
                  <w:tcW w:w="548" w:type="pct"/>
                  <w:tcBorders>
                    <w:bottom w:val="single" w:sz="4" w:space="0" w:color="auto"/>
                  </w:tcBorders>
                  <w:shd w:val="clear" w:color="auto" w:fill="auto"/>
                  <w:noWrap/>
                  <w:vAlign w:val="center"/>
                </w:tcPr>
                <w:p w14:paraId="73EA1CBB" w14:textId="77777777" w:rsidR="006D0D3B" w:rsidRPr="00433219"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24</w:t>
                  </w:r>
                </w:p>
              </w:tc>
              <w:tc>
                <w:tcPr>
                  <w:tcW w:w="549" w:type="pct"/>
                  <w:tcBorders>
                    <w:bottom w:val="single" w:sz="4" w:space="0" w:color="auto"/>
                  </w:tcBorders>
                  <w:shd w:val="clear" w:color="auto" w:fill="auto"/>
                  <w:noWrap/>
                  <w:vAlign w:val="center"/>
                </w:tcPr>
                <w:p w14:paraId="775D1BF4" w14:textId="77777777" w:rsidR="006D0D3B" w:rsidRPr="00433219"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4979</w:t>
                  </w:r>
                </w:p>
              </w:tc>
              <w:tc>
                <w:tcPr>
                  <w:tcW w:w="628" w:type="pct"/>
                  <w:tcBorders>
                    <w:bottom w:val="single" w:sz="4" w:space="0" w:color="auto"/>
                    <w:right w:val="single" w:sz="4" w:space="0" w:color="auto"/>
                  </w:tcBorders>
                  <w:shd w:val="clear" w:color="auto" w:fill="auto"/>
                  <w:vAlign w:val="center"/>
                </w:tcPr>
                <w:p w14:paraId="4A0660BE" w14:textId="77777777" w:rsidR="006D0D3B"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185</w:t>
                  </w:r>
                </w:p>
              </w:tc>
              <w:tc>
                <w:tcPr>
                  <w:tcW w:w="775" w:type="pct"/>
                  <w:tcBorders>
                    <w:left w:val="single" w:sz="4" w:space="0" w:color="auto"/>
                    <w:bottom w:val="single" w:sz="4" w:space="0" w:color="auto"/>
                  </w:tcBorders>
                  <w:shd w:val="clear" w:color="auto" w:fill="auto"/>
                  <w:noWrap/>
                  <w:vAlign w:val="center"/>
                </w:tcPr>
                <w:p w14:paraId="71BA31A9" w14:textId="77777777" w:rsidR="006D0D3B" w:rsidRPr="00433219"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176</w:t>
                  </w:r>
                </w:p>
              </w:tc>
              <w:tc>
                <w:tcPr>
                  <w:tcW w:w="777" w:type="pct"/>
                  <w:gridSpan w:val="2"/>
                  <w:tcBorders>
                    <w:bottom w:val="single" w:sz="4" w:space="0" w:color="auto"/>
                  </w:tcBorders>
                  <w:shd w:val="clear" w:color="auto" w:fill="auto"/>
                  <w:vAlign w:val="center"/>
                </w:tcPr>
                <w:p w14:paraId="0F101C08" w14:textId="77777777" w:rsidR="006D0D3B" w:rsidRDefault="006D0D3B" w:rsidP="007C5A02">
                  <w:pPr>
                    <w:keepNext/>
                    <w:keepLines/>
                    <w:widowControl w:val="0"/>
                    <w:jc w:val="center"/>
                    <w:rPr>
                      <w:rFonts w:cs="Calibri"/>
                      <w:i/>
                      <w:color w:val="000000"/>
                      <w:sz w:val="20"/>
                      <w:szCs w:val="20"/>
                    </w:rPr>
                  </w:pPr>
                  <w:r w:rsidRPr="0A36CEEB">
                    <w:rPr>
                      <w:rFonts w:eastAsia="Arial Narrow" w:cs="Arial Narrow"/>
                      <w:i/>
                      <w:iCs/>
                      <w:color w:val="000000" w:themeColor="text1"/>
                      <w:sz w:val="20"/>
                      <w:szCs w:val="20"/>
                    </w:rPr>
                    <w:t>9</w:t>
                  </w:r>
                </w:p>
              </w:tc>
            </w:tr>
            <w:tr w:rsidR="006D0D3B" w:rsidRPr="00DC6A83" w14:paraId="37AA7AA4" w14:textId="77777777" w:rsidTr="000E4D54">
              <w:trPr>
                <w:trHeight w:val="13"/>
                <w:tblHeader/>
              </w:trPr>
              <w:tc>
                <w:tcPr>
                  <w:tcW w:w="1723" w:type="pct"/>
                  <w:tcBorders>
                    <w:top w:val="single" w:sz="4" w:space="0" w:color="auto"/>
                  </w:tcBorders>
                  <w:shd w:val="clear" w:color="auto" w:fill="auto"/>
                  <w:noWrap/>
                  <w:vAlign w:val="bottom"/>
                </w:tcPr>
                <w:p w14:paraId="19F49E6B" w14:textId="77777777" w:rsidR="006D0D3B" w:rsidRDefault="006D0D3B" w:rsidP="007C5A02">
                  <w:pPr>
                    <w:keepNext/>
                    <w:keepLines/>
                    <w:widowControl w:val="0"/>
                    <w:rPr>
                      <w:rFonts w:cs="Calibri"/>
                      <w:i/>
                      <w:iCs/>
                      <w:color w:val="000000"/>
                      <w:sz w:val="20"/>
                      <w:szCs w:val="20"/>
                    </w:rPr>
                  </w:pPr>
                  <w:r w:rsidRPr="00B224E6">
                    <w:rPr>
                      <w:rFonts w:cs="Calibri"/>
                      <w:b/>
                      <w:bCs/>
                      <w:color w:val="000000"/>
                      <w:sz w:val="20"/>
                      <w:szCs w:val="20"/>
                    </w:rPr>
                    <w:t>Doprava</w:t>
                  </w:r>
                </w:p>
              </w:tc>
              <w:tc>
                <w:tcPr>
                  <w:tcW w:w="548" w:type="pct"/>
                  <w:tcBorders>
                    <w:top w:val="single" w:sz="4" w:space="0" w:color="auto"/>
                  </w:tcBorders>
                  <w:shd w:val="clear" w:color="auto" w:fill="auto"/>
                  <w:noWrap/>
                  <w:vAlign w:val="center"/>
                </w:tcPr>
                <w:p w14:paraId="586E1E26" w14:textId="77777777" w:rsidR="006D0D3B" w:rsidRPr="00433219" w:rsidRDefault="006D0D3B" w:rsidP="007C5A02">
                  <w:pPr>
                    <w:keepNext/>
                    <w:keepLines/>
                    <w:widowControl w:val="0"/>
                    <w:jc w:val="center"/>
                    <w:rPr>
                      <w:rFonts w:cs="Calibri"/>
                      <w:i/>
                      <w:iCs/>
                      <w:color w:val="000000"/>
                      <w:sz w:val="20"/>
                      <w:szCs w:val="20"/>
                    </w:rPr>
                  </w:pPr>
                  <w:r w:rsidRPr="0A36CEEB">
                    <w:rPr>
                      <w:rFonts w:eastAsia="Arial Narrow" w:cs="Arial Narrow"/>
                      <w:b/>
                      <w:bCs/>
                      <w:color w:val="000000" w:themeColor="text1"/>
                      <w:sz w:val="20"/>
                      <w:szCs w:val="20"/>
                    </w:rPr>
                    <w:t>76</w:t>
                  </w:r>
                </w:p>
              </w:tc>
              <w:tc>
                <w:tcPr>
                  <w:tcW w:w="549" w:type="pct"/>
                  <w:tcBorders>
                    <w:top w:val="single" w:sz="4" w:space="0" w:color="auto"/>
                  </w:tcBorders>
                  <w:shd w:val="clear" w:color="auto" w:fill="auto"/>
                  <w:noWrap/>
                  <w:vAlign w:val="center"/>
                </w:tcPr>
                <w:p w14:paraId="13878940" w14:textId="77777777" w:rsidR="006D0D3B" w:rsidRPr="00433219" w:rsidRDefault="006D0D3B" w:rsidP="007C5A02">
                  <w:pPr>
                    <w:keepNext/>
                    <w:keepLines/>
                    <w:widowControl w:val="0"/>
                    <w:jc w:val="center"/>
                    <w:rPr>
                      <w:rFonts w:cs="Calibri"/>
                      <w:i/>
                      <w:iCs/>
                      <w:color w:val="000000"/>
                      <w:sz w:val="20"/>
                      <w:szCs w:val="20"/>
                    </w:rPr>
                  </w:pPr>
                  <w:r w:rsidRPr="0A36CEEB">
                    <w:rPr>
                      <w:rFonts w:eastAsia="Arial Narrow" w:cs="Arial Narrow"/>
                      <w:b/>
                      <w:bCs/>
                      <w:color w:val="000000" w:themeColor="text1"/>
                      <w:sz w:val="20"/>
                      <w:szCs w:val="20"/>
                    </w:rPr>
                    <w:t>2947</w:t>
                  </w:r>
                </w:p>
              </w:tc>
              <w:tc>
                <w:tcPr>
                  <w:tcW w:w="628" w:type="pct"/>
                  <w:tcBorders>
                    <w:top w:val="single" w:sz="4" w:space="0" w:color="auto"/>
                    <w:right w:val="single" w:sz="4" w:space="0" w:color="auto"/>
                  </w:tcBorders>
                  <w:vAlign w:val="center"/>
                </w:tcPr>
                <w:p w14:paraId="51A90FE0"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372</w:t>
                  </w:r>
                </w:p>
              </w:tc>
              <w:tc>
                <w:tcPr>
                  <w:tcW w:w="775" w:type="pct"/>
                  <w:tcBorders>
                    <w:top w:val="single" w:sz="4" w:space="0" w:color="auto"/>
                    <w:left w:val="single" w:sz="4" w:space="0" w:color="auto"/>
                  </w:tcBorders>
                  <w:shd w:val="clear" w:color="auto" w:fill="auto"/>
                  <w:noWrap/>
                  <w:vAlign w:val="center"/>
                </w:tcPr>
                <w:p w14:paraId="5DD2E3FB"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b/>
                      <w:bCs/>
                      <w:color w:val="000000" w:themeColor="text1"/>
                      <w:sz w:val="20"/>
                      <w:szCs w:val="20"/>
                    </w:rPr>
                    <w:t>151</w:t>
                  </w:r>
                </w:p>
              </w:tc>
              <w:tc>
                <w:tcPr>
                  <w:tcW w:w="777" w:type="pct"/>
                  <w:gridSpan w:val="2"/>
                  <w:tcBorders>
                    <w:top w:val="single" w:sz="4" w:space="0" w:color="auto"/>
                  </w:tcBorders>
                  <w:vAlign w:val="center"/>
                </w:tcPr>
                <w:p w14:paraId="7E810BB1"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b/>
                      <w:bCs/>
                      <w:color w:val="000000" w:themeColor="text1"/>
                      <w:sz w:val="20"/>
                      <w:szCs w:val="20"/>
                    </w:rPr>
                    <w:t>221</w:t>
                  </w:r>
                </w:p>
              </w:tc>
            </w:tr>
            <w:tr w:rsidR="006D0D3B" w:rsidRPr="00DC6A83" w14:paraId="65EB5E51" w14:textId="77777777" w:rsidTr="000E4D54">
              <w:trPr>
                <w:trHeight w:val="13"/>
                <w:tblHeader/>
              </w:trPr>
              <w:tc>
                <w:tcPr>
                  <w:tcW w:w="1723" w:type="pct"/>
                  <w:shd w:val="clear" w:color="auto" w:fill="auto"/>
                  <w:noWrap/>
                  <w:vAlign w:val="bottom"/>
                </w:tcPr>
                <w:p w14:paraId="222FAA70" w14:textId="77777777" w:rsidR="006D0D3B" w:rsidRDefault="006D0D3B" w:rsidP="007C5A02">
                  <w:pPr>
                    <w:keepNext/>
                    <w:keepLines/>
                    <w:widowControl w:val="0"/>
                    <w:ind w:firstLineChars="100" w:firstLine="200"/>
                    <w:rPr>
                      <w:rFonts w:cs="Calibri"/>
                      <w:i/>
                      <w:iCs/>
                      <w:color w:val="000000"/>
                      <w:sz w:val="20"/>
                      <w:szCs w:val="20"/>
                    </w:rPr>
                  </w:pPr>
                  <w:r w:rsidRPr="00433219">
                    <w:rPr>
                      <w:rFonts w:cs="Calibri"/>
                      <w:i/>
                      <w:iCs/>
                      <w:color w:val="000000"/>
                      <w:sz w:val="20"/>
                      <w:szCs w:val="20"/>
                    </w:rPr>
                    <w:t>Z toho nad 1 mil. eur do 40 mil. eur</w:t>
                  </w:r>
                </w:p>
              </w:tc>
              <w:tc>
                <w:tcPr>
                  <w:tcW w:w="548" w:type="pct"/>
                  <w:shd w:val="clear" w:color="auto" w:fill="auto"/>
                  <w:noWrap/>
                  <w:vAlign w:val="center"/>
                </w:tcPr>
                <w:p w14:paraId="19AA61C2" w14:textId="77777777" w:rsidR="006D0D3B" w:rsidRPr="00433219"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65</w:t>
                  </w:r>
                </w:p>
              </w:tc>
              <w:tc>
                <w:tcPr>
                  <w:tcW w:w="549" w:type="pct"/>
                  <w:shd w:val="clear" w:color="auto" w:fill="auto"/>
                  <w:noWrap/>
                  <w:vAlign w:val="center"/>
                </w:tcPr>
                <w:p w14:paraId="38750580" w14:textId="77777777" w:rsidR="006D0D3B" w:rsidRPr="00433219"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634</w:t>
                  </w:r>
                </w:p>
              </w:tc>
              <w:tc>
                <w:tcPr>
                  <w:tcW w:w="628" w:type="pct"/>
                  <w:tcBorders>
                    <w:right w:val="single" w:sz="4" w:space="0" w:color="auto"/>
                  </w:tcBorders>
                  <w:vAlign w:val="center"/>
                </w:tcPr>
                <w:p w14:paraId="7C60D7E9"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212</w:t>
                  </w:r>
                </w:p>
              </w:tc>
              <w:tc>
                <w:tcPr>
                  <w:tcW w:w="775" w:type="pct"/>
                  <w:tcBorders>
                    <w:left w:val="single" w:sz="4" w:space="0" w:color="auto"/>
                  </w:tcBorders>
                  <w:shd w:val="clear" w:color="auto" w:fill="auto"/>
                  <w:noWrap/>
                  <w:vAlign w:val="center"/>
                </w:tcPr>
                <w:p w14:paraId="2A4812BC"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vAlign w:val="center"/>
                </w:tcPr>
                <w:p w14:paraId="2A039156"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212</w:t>
                  </w:r>
                </w:p>
              </w:tc>
            </w:tr>
            <w:tr w:rsidR="006D0D3B" w:rsidRPr="00DC6A83" w14:paraId="3ADF4F34" w14:textId="77777777" w:rsidTr="000E4D54">
              <w:trPr>
                <w:trHeight w:val="13"/>
                <w:tblHeader/>
              </w:trPr>
              <w:tc>
                <w:tcPr>
                  <w:tcW w:w="1723" w:type="pct"/>
                  <w:tcBorders>
                    <w:bottom w:val="single" w:sz="4" w:space="0" w:color="auto"/>
                  </w:tcBorders>
                  <w:shd w:val="clear" w:color="auto" w:fill="auto"/>
                  <w:noWrap/>
                  <w:vAlign w:val="bottom"/>
                </w:tcPr>
                <w:p w14:paraId="118E2D9C" w14:textId="77777777" w:rsidR="006D0D3B" w:rsidRPr="00433219" w:rsidRDefault="006D0D3B" w:rsidP="007C5A02">
                  <w:pPr>
                    <w:keepNext/>
                    <w:keepLines/>
                    <w:widowControl w:val="0"/>
                    <w:ind w:firstLineChars="100" w:firstLine="200"/>
                    <w:rPr>
                      <w:rFonts w:cs="Calibri"/>
                      <w:i/>
                      <w:iCs/>
                      <w:color w:val="000000"/>
                      <w:sz w:val="20"/>
                      <w:szCs w:val="20"/>
                    </w:rPr>
                  </w:pPr>
                  <w:r w:rsidRPr="00433219">
                    <w:rPr>
                      <w:rFonts w:cs="Calibri"/>
                      <w:i/>
                      <w:iCs/>
                      <w:color w:val="000000"/>
                      <w:sz w:val="20"/>
                      <w:szCs w:val="20"/>
                    </w:rPr>
                    <w:t>Z toho nad 40 mil. eur</w:t>
                  </w:r>
                </w:p>
              </w:tc>
              <w:tc>
                <w:tcPr>
                  <w:tcW w:w="548" w:type="pct"/>
                  <w:tcBorders>
                    <w:bottom w:val="single" w:sz="4" w:space="0" w:color="auto"/>
                  </w:tcBorders>
                  <w:shd w:val="clear" w:color="auto" w:fill="auto"/>
                  <w:noWrap/>
                  <w:vAlign w:val="center"/>
                </w:tcPr>
                <w:p w14:paraId="16786788" w14:textId="77777777" w:rsidR="006D0D3B" w:rsidRPr="00433219"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24</w:t>
                  </w:r>
                </w:p>
              </w:tc>
              <w:tc>
                <w:tcPr>
                  <w:tcW w:w="549" w:type="pct"/>
                  <w:tcBorders>
                    <w:bottom w:val="single" w:sz="4" w:space="0" w:color="auto"/>
                  </w:tcBorders>
                  <w:shd w:val="clear" w:color="auto" w:fill="auto"/>
                  <w:noWrap/>
                  <w:vAlign w:val="center"/>
                </w:tcPr>
                <w:p w14:paraId="2428862E" w14:textId="77777777" w:rsidR="006D0D3B" w:rsidRPr="00433219"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2313</w:t>
                  </w:r>
                </w:p>
              </w:tc>
              <w:tc>
                <w:tcPr>
                  <w:tcW w:w="628" w:type="pct"/>
                  <w:tcBorders>
                    <w:bottom w:val="single" w:sz="4" w:space="0" w:color="auto"/>
                    <w:right w:val="single" w:sz="4" w:space="0" w:color="auto"/>
                  </w:tcBorders>
                  <w:vAlign w:val="center"/>
                </w:tcPr>
                <w:p w14:paraId="41B047E9"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160</w:t>
                  </w:r>
                </w:p>
              </w:tc>
              <w:tc>
                <w:tcPr>
                  <w:tcW w:w="775" w:type="pct"/>
                  <w:tcBorders>
                    <w:left w:val="single" w:sz="4" w:space="0" w:color="auto"/>
                    <w:bottom w:val="single" w:sz="4" w:space="0" w:color="auto"/>
                  </w:tcBorders>
                  <w:shd w:val="clear" w:color="auto" w:fill="auto"/>
                  <w:noWrap/>
                  <w:vAlign w:val="center"/>
                </w:tcPr>
                <w:p w14:paraId="22C38E23"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151</w:t>
                  </w:r>
                </w:p>
              </w:tc>
              <w:tc>
                <w:tcPr>
                  <w:tcW w:w="777" w:type="pct"/>
                  <w:gridSpan w:val="2"/>
                  <w:tcBorders>
                    <w:bottom w:val="single" w:sz="4" w:space="0" w:color="auto"/>
                  </w:tcBorders>
                  <w:vAlign w:val="center"/>
                </w:tcPr>
                <w:p w14:paraId="43309C0C"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9</w:t>
                  </w:r>
                </w:p>
              </w:tc>
            </w:tr>
            <w:tr w:rsidR="006D0D3B" w:rsidRPr="00DC6A83" w14:paraId="22ACA3AB" w14:textId="77777777" w:rsidTr="000E4D54">
              <w:trPr>
                <w:trHeight w:val="13"/>
                <w:tblHeader/>
              </w:trPr>
              <w:tc>
                <w:tcPr>
                  <w:tcW w:w="1723" w:type="pct"/>
                  <w:tcBorders>
                    <w:top w:val="single" w:sz="4" w:space="0" w:color="auto"/>
                  </w:tcBorders>
                  <w:shd w:val="clear" w:color="auto" w:fill="auto"/>
                  <w:noWrap/>
                  <w:vAlign w:val="bottom"/>
                  <w:hideMark/>
                </w:tcPr>
                <w:p w14:paraId="23EE4560" w14:textId="77777777" w:rsidR="006D0D3B" w:rsidRPr="00B224E6" w:rsidRDefault="006D0D3B" w:rsidP="007C5A02">
                  <w:pPr>
                    <w:keepNext/>
                    <w:keepLines/>
                    <w:widowControl w:val="0"/>
                    <w:rPr>
                      <w:rFonts w:cs="Calibri"/>
                      <w:b/>
                      <w:bCs/>
                      <w:color w:val="000000"/>
                      <w:sz w:val="20"/>
                      <w:szCs w:val="20"/>
                    </w:rPr>
                  </w:pPr>
                  <w:r w:rsidRPr="00B224E6">
                    <w:rPr>
                      <w:rFonts w:cs="Calibri"/>
                      <w:b/>
                      <w:bCs/>
                      <w:color w:val="000000"/>
                      <w:sz w:val="20"/>
                      <w:szCs w:val="20"/>
                    </w:rPr>
                    <w:t>Obrana</w:t>
                  </w:r>
                </w:p>
              </w:tc>
              <w:tc>
                <w:tcPr>
                  <w:tcW w:w="548" w:type="pct"/>
                  <w:tcBorders>
                    <w:top w:val="single" w:sz="4" w:space="0" w:color="auto"/>
                  </w:tcBorders>
                  <w:shd w:val="clear" w:color="auto" w:fill="auto"/>
                  <w:noWrap/>
                  <w:vAlign w:val="center"/>
                  <w:hideMark/>
                </w:tcPr>
                <w:p w14:paraId="06E8324B"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33</w:t>
                  </w:r>
                </w:p>
              </w:tc>
              <w:tc>
                <w:tcPr>
                  <w:tcW w:w="549" w:type="pct"/>
                  <w:tcBorders>
                    <w:top w:val="single" w:sz="4" w:space="0" w:color="auto"/>
                  </w:tcBorders>
                  <w:shd w:val="clear" w:color="auto" w:fill="auto"/>
                  <w:noWrap/>
                  <w:vAlign w:val="center"/>
                  <w:hideMark/>
                </w:tcPr>
                <w:p w14:paraId="14DE267D"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2429</w:t>
                  </w:r>
                </w:p>
              </w:tc>
              <w:tc>
                <w:tcPr>
                  <w:tcW w:w="628" w:type="pct"/>
                  <w:tcBorders>
                    <w:top w:val="single" w:sz="4" w:space="0" w:color="auto"/>
                    <w:right w:val="single" w:sz="4" w:space="0" w:color="auto"/>
                  </w:tcBorders>
                  <w:vAlign w:val="center"/>
                </w:tcPr>
                <w:p w14:paraId="29774894"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N/A</w:t>
                  </w:r>
                </w:p>
              </w:tc>
              <w:tc>
                <w:tcPr>
                  <w:tcW w:w="775" w:type="pct"/>
                  <w:tcBorders>
                    <w:top w:val="single" w:sz="4" w:space="0" w:color="auto"/>
                    <w:left w:val="single" w:sz="4" w:space="0" w:color="auto"/>
                  </w:tcBorders>
                  <w:shd w:val="clear" w:color="auto" w:fill="auto"/>
                  <w:noWrap/>
                  <w:hideMark/>
                </w:tcPr>
                <w:p w14:paraId="60280DF6"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N/A</w:t>
                  </w:r>
                </w:p>
              </w:tc>
              <w:tc>
                <w:tcPr>
                  <w:tcW w:w="777" w:type="pct"/>
                  <w:gridSpan w:val="2"/>
                  <w:tcBorders>
                    <w:top w:val="single" w:sz="4" w:space="0" w:color="auto"/>
                  </w:tcBorders>
                </w:tcPr>
                <w:p w14:paraId="7BAC790B"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N/A</w:t>
                  </w:r>
                </w:p>
              </w:tc>
            </w:tr>
            <w:tr w:rsidR="006D0D3B" w:rsidRPr="00DC6A83" w14:paraId="5FB54A1A" w14:textId="77777777" w:rsidTr="000E4D54">
              <w:trPr>
                <w:trHeight w:val="13"/>
                <w:tblHeader/>
              </w:trPr>
              <w:tc>
                <w:tcPr>
                  <w:tcW w:w="1723" w:type="pct"/>
                  <w:shd w:val="clear" w:color="auto" w:fill="auto"/>
                  <w:noWrap/>
                  <w:vAlign w:val="bottom"/>
                  <w:hideMark/>
                </w:tcPr>
                <w:p w14:paraId="540F9696"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1 mil. eur do 40 mil. eur</w:t>
                  </w:r>
                </w:p>
              </w:tc>
              <w:tc>
                <w:tcPr>
                  <w:tcW w:w="548" w:type="pct"/>
                  <w:shd w:val="clear" w:color="auto" w:fill="auto"/>
                  <w:noWrap/>
                  <w:vAlign w:val="center"/>
                  <w:hideMark/>
                </w:tcPr>
                <w:p w14:paraId="7510CC8F"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29</w:t>
                  </w:r>
                </w:p>
              </w:tc>
              <w:tc>
                <w:tcPr>
                  <w:tcW w:w="549" w:type="pct"/>
                  <w:shd w:val="clear" w:color="auto" w:fill="auto"/>
                  <w:noWrap/>
                  <w:vAlign w:val="center"/>
                  <w:hideMark/>
                </w:tcPr>
                <w:p w14:paraId="20848283"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107</w:t>
                  </w:r>
                </w:p>
              </w:tc>
              <w:tc>
                <w:tcPr>
                  <w:tcW w:w="628" w:type="pct"/>
                  <w:tcBorders>
                    <w:right w:val="single" w:sz="4" w:space="0" w:color="auto"/>
                  </w:tcBorders>
                </w:tcPr>
                <w:p w14:paraId="168F991C"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5" w:type="pct"/>
                  <w:tcBorders>
                    <w:left w:val="single" w:sz="4" w:space="0" w:color="auto"/>
                  </w:tcBorders>
                  <w:shd w:val="clear" w:color="auto" w:fill="auto"/>
                  <w:noWrap/>
                  <w:hideMark/>
                </w:tcPr>
                <w:p w14:paraId="1DF17F85"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tcPr>
                <w:p w14:paraId="54B5DB92"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r>
            <w:tr w:rsidR="006D0D3B" w:rsidRPr="00DC6A83" w14:paraId="004AB2A3" w14:textId="77777777" w:rsidTr="000E4D54">
              <w:trPr>
                <w:trHeight w:val="13"/>
                <w:tblHeader/>
              </w:trPr>
              <w:tc>
                <w:tcPr>
                  <w:tcW w:w="1723" w:type="pct"/>
                  <w:tcBorders>
                    <w:bottom w:val="single" w:sz="4" w:space="0" w:color="auto"/>
                  </w:tcBorders>
                  <w:shd w:val="clear" w:color="auto" w:fill="auto"/>
                  <w:noWrap/>
                  <w:vAlign w:val="bottom"/>
                  <w:hideMark/>
                </w:tcPr>
                <w:p w14:paraId="48E8AE06"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40 mil. eur</w:t>
                  </w:r>
                </w:p>
              </w:tc>
              <w:tc>
                <w:tcPr>
                  <w:tcW w:w="548" w:type="pct"/>
                  <w:tcBorders>
                    <w:bottom w:val="single" w:sz="4" w:space="0" w:color="auto"/>
                  </w:tcBorders>
                  <w:shd w:val="clear" w:color="auto" w:fill="auto"/>
                  <w:noWrap/>
                  <w:vAlign w:val="center"/>
                  <w:hideMark/>
                </w:tcPr>
                <w:p w14:paraId="2168E935"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4</w:t>
                  </w:r>
                </w:p>
              </w:tc>
              <w:tc>
                <w:tcPr>
                  <w:tcW w:w="549" w:type="pct"/>
                  <w:tcBorders>
                    <w:bottom w:val="single" w:sz="4" w:space="0" w:color="auto"/>
                  </w:tcBorders>
                  <w:shd w:val="clear" w:color="auto" w:fill="auto"/>
                  <w:noWrap/>
                  <w:vAlign w:val="center"/>
                  <w:hideMark/>
                </w:tcPr>
                <w:p w14:paraId="50C7659A"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2322</w:t>
                  </w:r>
                </w:p>
              </w:tc>
              <w:tc>
                <w:tcPr>
                  <w:tcW w:w="628" w:type="pct"/>
                  <w:tcBorders>
                    <w:bottom w:val="single" w:sz="4" w:space="0" w:color="auto"/>
                    <w:right w:val="single" w:sz="4" w:space="0" w:color="auto"/>
                  </w:tcBorders>
                </w:tcPr>
                <w:p w14:paraId="0C91AC80"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5" w:type="pct"/>
                  <w:tcBorders>
                    <w:left w:val="single" w:sz="4" w:space="0" w:color="auto"/>
                    <w:bottom w:val="single" w:sz="4" w:space="0" w:color="auto"/>
                  </w:tcBorders>
                  <w:shd w:val="clear" w:color="auto" w:fill="auto"/>
                  <w:noWrap/>
                  <w:hideMark/>
                </w:tcPr>
                <w:p w14:paraId="4B935F06"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tcBorders>
                    <w:bottom w:val="single" w:sz="4" w:space="0" w:color="auto"/>
                  </w:tcBorders>
                </w:tcPr>
                <w:p w14:paraId="6FB14FAE"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r>
            <w:tr w:rsidR="006D0D3B" w:rsidRPr="00DC6A83" w14:paraId="2DD91D68" w14:textId="77777777" w:rsidTr="000E4D54">
              <w:trPr>
                <w:trHeight w:val="13"/>
                <w:tblHeader/>
              </w:trPr>
              <w:tc>
                <w:tcPr>
                  <w:tcW w:w="1723" w:type="pct"/>
                  <w:tcBorders>
                    <w:top w:val="single" w:sz="4" w:space="0" w:color="auto"/>
                  </w:tcBorders>
                  <w:shd w:val="clear" w:color="auto" w:fill="auto"/>
                  <w:noWrap/>
                  <w:vAlign w:val="bottom"/>
                  <w:hideMark/>
                </w:tcPr>
                <w:p w14:paraId="4CB3C465" w14:textId="77777777" w:rsidR="006D0D3B" w:rsidRPr="00B224E6" w:rsidRDefault="006D0D3B" w:rsidP="007C5A02">
                  <w:pPr>
                    <w:keepNext/>
                    <w:keepLines/>
                    <w:widowControl w:val="0"/>
                    <w:rPr>
                      <w:rFonts w:cs="Calibri"/>
                      <w:b/>
                      <w:bCs/>
                      <w:color w:val="000000"/>
                      <w:sz w:val="20"/>
                      <w:szCs w:val="20"/>
                    </w:rPr>
                  </w:pPr>
                  <w:r w:rsidRPr="00B224E6">
                    <w:rPr>
                      <w:rFonts w:cs="Calibri"/>
                      <w:b/>
                      <w:bCs/>
                      <w:color w:val="000000"/>
                      <w:sz w:val="20"/>
                      <w:szCs w:val="20"/>
                    </w:rPr>
                    <w:t>IT</w:t>
                  </w:r>
                </w:p>
              </w:tc>
              <w:tc>
                <w:tcPr>
                  <w:tcW w:w="548" w:type="pct"/>
                  <w:tcBorders>
                    <w:top w:val="single" w:sz="4" w:space="0" w:color="auto"/>
                  </w:tcBorders>
                  <w:shd w:val="clear" w:color="auto" w:fill="auto"/>
                  <w:noWrap/>
                  <w:vAlign w:val="center"/>
                  <w:hideMark/>
                </w:tcPr>
                <w:p w14:paraId="278244D7"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78</w:t>
                  </w:r>
                </w:p>
              </w:tc>
              <w:tc>
                <w:tcPr>
                  <w:tcW w:w="549" w:type="pct"/>
                  <w:tcBorders>
                    <w:top w:val="single" w:sz="4" w:space="0" w:color="auto"/>
                  </w:tcBorders>
                  <w:shd w:val="clear" w:color="auto" w:fill="auto"/>
                  <w:noWrap/>
                  <w:vAlign w:val="center"/>
                  <w:hideMark/>
                </w:tcPr>
                <w:p w14:paraId="4B97AE6B"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507</w:t>
                  </w:r>
                </w:p>
              </w:tc>
              <w:tc>
                <w:tcPr>
                  <w:tcW w:w="628" w:type="pct"/>
                  <w:tcBorders>
                    <w:top w:val="single" w:sz="4" w:space="0" w:color="auto"/>
                    <w:right w:val="single" w:sz="4" w:space="0" w:color="auto"/>
                  </w:tcBorders>
                  <w:vAlign w:val="center"/>
                </w:tcPr>
                <w:p w14:paraId="150B0F32"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75</w:t>
                  </w:r>
                </w:p>
              </w:tc>
              <w:tc>
                <w:tcPr>
                  <w:tcW w:w="775" w:type="pct"/>
                  <w:tcBorders>
                    <w:top w:val="single" w:sz="4" w:space="0" w:color="auto"/>
                    <w:left w:val="single" w:sz="4" w:space="0" w:color="auto"/>
                  </w:tcBorders>
                  <w:shd w:val="clear" w:color="auto" w:fill="auto"/>
                  <w:noWrap/>
                  <w:vAlign w:val="center"/>
                  <w:hideMark/>
                </w:tcPr>
                <w:p w14:paraId="6452C036"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11</w:t>
                  </w:r>
                </w:p>
              </w:tc>
              <w:tc>
                <w:tcPr>
                  <w:tcW w:w="777" w:type="pct"/>
                  <w:gridSpan w:val="2"/>
                  <w:tcBorders>
                    <w:top w:val="single" w:sz="4" w:space="0" w:color="auto"/>
                  </w:tcBorders>
                  <w:vAlign w:val="center"/>
                </w:tcPr>
                <w:p w14:paraId="55A4C9A8"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64</w:t>
                  </w:r>
                </w:p>
              </w:tc>
            </w:tr>
            <w:tr w:rsidR="006D0D3B" w:rsidRPr="00DC6A83" w14:paraId="60DCDF13" w14:textId="77777777" w:rsidTr="000E4D54">
              <w:trPr>
                <w:trHeight w:val="13"/>
                <w:tblHeader/>
              </w:trPr>
              <w:tc>
                <w:tcPr>
                  <w:tcW w:w="1723" w:type="pct"/>
                  <w:shd w:val="clear" w:color="auto" w:fill="auto"/>
                  <w:noWrap/>
                  <w:vAlign w:val="bottom"/>
                  <w:hideMark/>
                </w:tcPr>
                <w:p w14:paraId="7D49DD6B"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1 mil. eur do 10 mil. eur</w:t>
                  </w:r>
                </w:p>
              </w:tc>
              <w:tc>
                <w:tcPr>
                  <w:tcW w:w="548" w:type="pct"/>
                  <w:shd w:val="clear" w:color="auto" w:fill="auto"/>
                  <w:noWrap/>
                  <w:vAlign w:val="center"/>
                  <w:hideMark/>
                </w:tcPr>
                <w:p w14:paraId="15C04C62"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71</w:t>
                  </w:r>
                </w:p>
              </w:tc>
              <w:tc>
                <w:tcPr>
                  <w:tcW w:w="549" w:type="pct"/>
                  <w:shd w:val="clear" w:color="auto" w:fill="auto"/>
                  <w:noWrap/>
                  <w:vAlign w:val="center"/>
                  <w:hideMark/>
                </w:tcPr>
                <w:p w14:paraId="0D3EFE7B"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346</w:t>
                  </w:r>
                </w:p>
              </w:tc>
              <w:tc>
                <w:tcPr>
                  <w:tcW w:w="628" w:type="pct"/>
                  <w:tcBorders>
                    <w:right w:val="single" w:sz="4" w:space="0" w:color="auto"/>
                  </w:tcBorders>
                  <w:vAlign w:val="center"/>
                </w:tcPr>
                <w:p w14:paraId="44B574F9"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64</w:t>
                  </w:r>
                </w:p>
              </w:tc>
              <w:tc>
                <w:tcPr>
                  <w:tcW w:w="775" w:type="pct"/>
                  <w:tcBorders>
                    <w:left w:val="single" w:sz="4" w:space="0" w:color="auto"/>
                  </w:tcBorders>
                  <w:shd w:val="clear" w:color="auto" w:fill="auto"/>
                  <w:noWrap/>
                  <w:vAlign w:val="center"/>
                  <w:hideMark/>
                </w:tcPr>
                <w:p w14:paraId="00554875"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vAlign w:val="center"/>
                </w:tcPr>
                <w:p w14:paraId="62C9555E"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64</w:t>
                  </w:r>
                </w:p>
              </w:tc>
            </w:tr>
            <w:tr w:rsidR="006D0D3B" w:rsidRPr="00DC6A83" w14:paraId="5164EA40" w14:textId="77777777" w:rsidTr="000E4D54">
              <w:trPr>
                <w:trHeight w:val="13"/>
                <w:tblHeader/>
              </w:trPr>
              <w:tc>
                <w:tcPr>
                  <w:tcW w:w="1723" w:type="pct"/>
                  <w:tcBorders>
                    <w:bottom w:val="single" w:sz="4" w:space="0" w:color="auto"/>
                  </w:tcBorders>
                  <w:shd w:val="clear" w:color="auto" w:fill="auto"/>
                  <w:noWrap/>
                  <w:vAlign w:val="bottom"/>
                  <w:hideMark/>
                </w:tcPr>
                <w:p w14:paraId="1466C1A8"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10 mil. eur</w:t>
                  </w:r>
                </w:p>
              </w:tc>
              <w:tc>
                <w:tcPr>
                  <w:tcW w:w="548" w:type="pct"/>
                  <w:tcBorders>
                    <w:bottom w:val="single" w:sz="4" w:space="0" w:color="auto"/>
                  </w:tcBorders>
                  <w:shd w:val="clear" w:color="auto" w:fill="auto"/>
                  <w:noWrap/>
                  <w:vAlign w:val="center"/>
                  <w:hideMark/>
                </w:tcPr>
                <w:p w14:paraId="45201722"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7</w:t>
                  </w:r>
                </w:p>
              </w:tc>
              <w:tc>
                <w:tcPr>
                  <w:tcW w:w="549" w:type="pct"/>
                  <w:tcBorders>
                    <w:bottom w:val="single" w:sz="4" w:space="0" w:color="auto"/>
                  </w:tcBorders>
                  <w:shd w:val="clear" w:color="auto" w:fill="auto"/>
                  <w:noWrap/>
                  <w:vAlign w:val="center"/>
                  <w:hideMark/>
                </w:tcPr>
                <w:p w14:paraId="7B2449AA"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161</w:t>
                  </w:r>
                </w:p>
              </w:tc>
              <w:tc>
                <w:tcPr>
                  <w:tcW w:w="628" w:type="pct"/>
                  <w:tcBorders>
                    <w:bottom w:val="single" w:sz="4" w:space="0" w:color="auto"/>
                    <w:right w:val="single" w:sz="4" w:space="0" w:color="auto"/>
                  </w:tcBorders>
                  <w:vAlign w:val="center"/>
                </w:tcPr>
                <w:p w14:paraId="3A2B088D"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11</w:t>
                  </w:r>
                </w:p>
              </w:tc>
              <w:tc>
                <w:tcPr>
                  <w:tcW w:w="775" w:type="pct"/>
                  <w:tcBorders>
                    <w:left w:val="single" w:sz="4" w:space="0" w:color="auto"/>
                    <w:bottom w:val="single" w:sz="4" w:space="0" w:color="auto"/>
                  </w:tcBorders>
                  <w:shd w:val="clear" w:color="auto" w:fill="auto"/>
                  <w:noWrap/>
                  <w:vAlign w:val="center"/>
                  <w:hideMark/>
                </w:tcPr>
                <w:p w14:paraId="1FF3E490"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11</w:t>
                  </w:r>
                </w:p>
              </w:tc>
              <w:tc>
                <w:tcPr>
                  <w:tcW w:w="777" w:type="pct"/>
                  <w:gridSpan w:val="2"/>
                  <w:tcBorders>
                    <w:bottom w:val="single" w:sz="4" w:space="0" w:color="auto"/>
                  </w:tcBorders>
                  <w:vAlign w:val="center"/>
                </w:tcPr>
                <w:p w14:paraId="6A942BE5"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r>
            <w:tr w:rsidR="006D0D3B" w:rsidRPr="00DC6A83" w14:paraId="01E1AD00" w14:textId="77777777" w:rsidTr="000E4D54">
              <w:trPr>
                <w:trHeight w:val="13"/>
                <w:tblHeader/>
              </w:trPr>
              <w:tc>
                <w:tcPr>
                  <w:tcW w:w="1723" w:type="pct"/>
                  <w:tcBorders>
                    <w:top w:val="single" w:sz="4" w:space="0" w:color="auto"/>
                  </w:tcBorders>
                  <w:shd w:val="clear" w:color="auto" w:fill="auto"/>
                  <w:noWrap/>
                  <w:vAlign w:val="bottom"/>
                  <w:hideMark/>
                </w:tcPr>
                <w:p w14:paraId="277B6EF8" w14:textId="77777777" w:rsidR="006D0D3B" w:rsidRPr="00B224E6" w:rsidRDefault="006D0D3B" w:rsidP="007C5A02">
                  <w:pPr>
                    <w:keepNext/>
                    <w:keepLines/>
                    <w:widowControl w:val="0"/>
                    <w:rPr>
                      <w:rFonts w:cs="Calibri"/>
                      <w:b/>
                      <w:bCs/>
                      <w:color w:val="000000"/>
                      <w:sz w:val="20"/>
                      <w:szCs w:val="20"/>
                    </w:rPr>
                  </w:pPr>
                  <w:r w:rsidRPr="00B224E6">
                    <w:rPr>
                      <w:rFonts w:cs="Calibri"/>
                      <w:b/>
                      <w:bCs/>
                      <w:color w:val="000000"/>
                      <w:sz w:val="20"/>
                      <w:szCs w:val="20"/>
                    </w:rPr>
                    <w:t>Budovy</w:t>
                  </w:r>
                </w:p>
              </w:tc>
              <w:tc>
                <w:tcPr>
                  <w:tcW w:w="548" w:type="pct"/>
                  <w:tcBorders>
                    <w:top w:val="single" w:sz="4" w:space="0" w:color="auto"/>
                  </w:tcBorders>
                  <w:shd w:val="clear" w:color="auto" w:fill="auto"/>
                  <w:noWrap/>
                  <w:vAlign w:val="center"/>
                  <w:hideMark/>
                </w:tcPr>
                <w:p w14:paraId="455CF224"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42</w:t>
                  </w:r>
                </w:p>
              </w:tc>
              <w:tc>
                <w:tcPr>
                  <w:tcW w:w="549" w:type="pct"/>
                  <w:tcBorders>
                    <w:top w:val="single" w:sz="4" w:space="0" w:color="auto"/>
                  </w:tcBorders>
                  <w:shd w:val="clear" w:color="auto" w:fill="auto"/>
                  <w:noWrap/>
                  <w:vAlign w:val="center"/>
                  <w:hideMark/>
                </w:tcPr>
                <w:p w14:paraId="19C224F3"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141</w:t>
                  </w:r>
                </w:p>
              </w:tc>
              <w:tc>
                <w:tcPr>
                  <w:tcW w:w="628" w:type="pct"/>
                  <w:tcBorders>
                    <w:top w:val="single" w:sz="4" w:space="0" w:color="auto"/>
                    <w:right w:val="single" w:sz="4" w:space="0" w:color="auto"/>
                  </w:tcBorders>
                  <w:vAlign w:val="center"/>
                </w:tcPr>
                <w:p w14:paraId="481037E6"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12</w:t>
                  </w:r>
                </w:p>
              </w:tc>
              <w:tc>
                <w:tcPr>
                  <w:tcW w:w="775" w:type="pct"/>
                  <w:tcBorders>
                    <w:top w:val="single" w:sz="4" w:space="0" w:color="auto"/>
                    <w:left w:val="single" w:sz="4" w:space="0" w:color="auto"/>
                  </w:tcBorders>
                  <w:shd w:val="clear" w:color="auto" w:fill="auto"/>
                  <w:noWrap/>
                  <w:vAlign w:val="center"/>
                  <w:hideMark/>
                </w:tcPr>
                <w:p w14:paraId="313D402E"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N/A</w:t>
                  </w:r>
                </w:p>
              </w:tc>
              <w:tc>
                <w:tcPr>
                  <w:tcW w:w="777" w:type="pct"/>
                  <w:gridSpan w:val="2"/>
                  <w:tcBorders>
                    <w:top w:val="single" w:sz="4" w:space="0" w:color="auto"/>
                  </w:tcBorders>
                  <w:vAlign w:val="center"/>
                </w:tcPr>
                <w:p w14:paraId="15D40572"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12</w:t>
                  </w:r>
                </w:p>
              </w:tc>
            </w:tr>
            <w:tr w:rsidR="006D0D3B" w:rsidRPr="00DC6A83" w14:paraId="424DB914" w14:textId="77777777" w:rsidTr="000E4D54">
              <w:trPr>
                <w:trHeight w:val="13"/>
                <w:tblHeader/>
              </w:trPr>
              <w:tc>
                <w:tcPr>
                  <w:tcW w:w="1723" w:type="pct"/>
                  <w:shd w:val="clear" w:color="auto" w:fill="auto"/>
                  <w:noWrap/>
                  <w:vAlign w:val="bottom"/>
                  <w:hideMark/>
                </w:tcPr>
                <w:p w14:paraId="49B69086"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1 mil. eur do 40 mil. eur</w:t>
                  </w:r>
                </w:p>
              </w:tc>
              <w:tc>
                <w:tcPr>
                  <w:tcW w:w="548" w:type="pct"/>
                  <w:shd w:val="clear" w:color="auto" w:fill="auto"/>
                  <w:noWrap/>
                  <w:vAlign w:val="center"/>
                  <w:hideMark/>
                </w:tcPr>
                <w:p w14:paraId="7BD32F02"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42</w:t>
                  </w:r>
                </w:p>
              </w:tc>
              <w:tc>
                <w:tcPr>
                  <w:tcW w:w="549" w:type="pct"/>
                  <w:shd w:val="clear" w:color="auto" w:fill="auto"/>
                  <w:noWrap/>
                  <w:vAlign w:val="center"/>
                  <w:hideMark/>
                </w:tcPr>
                <w:p w14:paraId="6FBF57C2"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141</w:t>
                  </w:r>
                </w:p>
              </w:tc>
              <w:tc>
                <w:tcPr>
                  <w:tcW w:w="628" w:type="pct"/>
                  <w:tcBorders>
                    <w:right w:val="single" w:sz="4" w:space="0" w:color="auto"/>
                  </w:tcBorders>
                  <w:vAlign w:val="center"/>
                </w:tcPr>
                <w:p w14:paraId="1A96AD62"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12</w:t>
                  </w:r>
                </w:p>
              </w:tc>
              <w:tc>
                <w:tcPr>
                  <w:tcW w:w="775" w:type="pct"/>
                  <w:tcBorders>
                    <w:left w:val="single" w:sz="4" w:space="0" w:color="auto"/>
                  </w:tcBorders>
                  <w:shd w:val="clear" w:color="auto" w:fill="auto"/>
                  <w:noWrap/>
                  <w:vAlign w:val="center"/>
                  <w:hideMark/>
                </w:tcPr>
                <w:p w14:paraId="21863E7A"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vAlign w:val="center"/>
                </w:tcPr>
                <w:p w14:paraId="361798CD"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12</w:t>
                  </w:r>
                </w:p>
              </w:tc>
            </w:tr>
            <w:tr w:rsidR="006D0D3B" w:rsidRPr="00DC6A83" w14:paraId="41F1838C" w14:textId="77777777" w:rsidTr="000E4D54">
              <w:trPr>
                <w:trHeight w:val="13"/>
                <w:tblHeader/>
              </w:trPr>
              <w:tc>
                <w:tcPr>
                  <w:tcW w:w="1723" w:type="pct"/>
                  <w:tcBorders>
                    <w:bottom w:val="single" w:sz="4" w:space="0" w:color="auto"/>
                  </w:tcBorders>
                  <w:shd w:val="clear" w:color="auto" w:fill="auto"/>
                  <w:noWrap/>
                  <w:vAlign w:val="bottom"/>
                  <w:hideMark/>
                </w:tcPr>
                <w:p w14:paraId="3AC20E7B"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40 mil. eur</w:t>
                  </w:r>
                </w:p>
              </w:tc>
              <w:tc>
                <w:tcPr>
                  <w:tcW w:w="548" w:type="pct"/>
                  <w:tcBorders>
                    <w:bottom w:val="single" w:sz="4" w:space="0" w:color="auto"/>
                  </w:tcBorders>
                  <w:shd w:val="clear" w:color="auto" w:fill="auto"/>
                  <w:noWrap/>
                  <w:hideMark/>
                </w:tcPr>
                <w:p w14:paraId="41B252D6"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549" w:type="pct"/>
                  <w:tcBorders>
                    <w:bottom w:val="single" w:sz="4" w:space="0" w:color="auto"/>
                  </w:tcBorders>
                  <w:shd w:val="clear" w:color="auto" w:fill="auto"/>
                  <w:noWrap/>
                  <w:hideMark/>
                </w:tcPr>
                <w:p w14:paraId="7120A086"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628" w:type="pct"/>
                  <w:tcBorders>
                    <w:bottom w:val="single" w:sz="4" w:space="0" w:color="auto"/>
                    <w:right w:val="single" w:sz="4" w:space="0" w:color="auto"/>
                  </w:tcBorders>
                </w:tcPr>
                <w:p w14:paraId="0BBB2B25"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5" w:type="pct"/>
                  <w:tcBorders>
                    <w:left w:val="single" w:sz="4" w:space="0" w:color="auto"/>
                    <w:bottom w:val="single" w:sz="4" w:space="0" w:color="auto"/>
                  </w:tcBorders>
                  <w:shd w:val="clear" w:color="auto" w:fill="auto"/>
                  <w:noWrap/>
                  <w:vAlign w:val="center"/>
                  <w:hideMark/>
                </w:tcPr>
                <w:p w14:paraId="2672E4AA"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tcBorders>
                    <w:bottom w:val="single" w:sz="4" w:space="0" w:color="auto"/>
                  </w:tcBorders>
                  <w:vAlign w:val="center"/>
                </w:tcPr>
                <w:p w14:paraId="20BB0668"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12</w:t>
                  </w:r>
                </w:p>
              </w:tc>
            </w:tr>
            <w:tr w:rsidR="006D0D3B" w:rsidRPr="00DC6A83" w14:paraId="0F971B49" w14:textId="77777777" w:rsidTr="000E4D54">
              <w:trPr>
                <w:trHeight w:val="13"/>
                <w:tblHeader/>
              </w:trPr>
              <w:tc>
                <w:tcPr>
                  <w:tcW w:w="1723" w:type="pct"/>
                  <w:tcBorders>
                    <w:top w:val="single" w:sz="4" w:space="0" w:color="auto"/>
                  </w:tcBorders>
                  <w:shd w:val="clear" w:color="auto" w:fill="auto"/>
                  <w:noWrap/>
                  <w:vAlign w:val="bottom"/>
                  <w:hideMark/>
                </w:tcPr>
                <w:p w14:paraId="69505B70" w14:textId="77777777" w:rsidR="006D0D3B" w:rsidRPr="00B224E6" w:rsidRDefault="006D0D3B" w:rsidP="007C5A02">
                  <w:pPr>
                    <w:keepNext/>
                    <w:keepLines/>
                    <w:widowControl w:val="0"/>
                    <w:rPr>
                      <w:rFonts w:cs="Calibri"/>
                      <w:b/>
                      <w:bCs/>
                      <w:color w:val="000000"/>
                      <w:sz w:val="20"/>
                      <w:szCs w:val="20"/>
                    </w:rPr>
                  </w:pPr>
                  <w:r w:rsidRPr="00B224E6">
                    <w:rPr>
                      <w:rFonts w:cs="Calibri"/>
                      <w:b/>
                      <w:bCs/>
                      <w:color w:val="000000"/>
                      <w:sz w:val="20"/>
                      <w:szCs w:val="20"/>
                    </w:rPr>
                    <w:t>Zdravie</w:t>
                  </w:r>
                </w:p>
              </w:tc>
              <w:tc>
                <w:tcPr>
                  <w:tcW w:w="548" w:type="pct"/>
                  <w:tcBorders>
                    <w:top w:val="single" w:sz="4" w:space="0" w:color="auto"/>
                  </w:tcBorders>
                  <w:shd w:val="clear" w:color="auto" w:fill="auto"/>
                  <w:noWrap/>
                  <w:vAlign w:val="center"/>
                  <w:hideMark/>
                </w:tcPr>
                <w:p w14:paraId="4AD0BFC3"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5</w:t>
                  </w:r>
                </w:p>
              </w:tc>
              <w:tc>
                <w:tcPr>
                  <w:tcW w:w="549" w:type="pct"/>
                  <w:tcBorders>
                    <w:top w:val="single" w:sz="4" w:space="0" w:color="auto"/>
                  </w:tcBorders>
                  <w:shd w:val="clear" w:color="auto" w:fill="auto"/>
                  <w:noWrap/>
                  <w:vAlign w:val="center"/>
                  <w:hideMark/>
                </w:tcPr>
                <w:p w14:paraId="45598125"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10</w:t>
                  </w:r>
                </w:p>
              </w:tc>
              <w:tc>
                <w:tcPr>
                  <w:tcW w:w="628" w:type="pct"/>
                  <w:tcBorders>
                    <w:top w:val="single" w:sz="4" w:space="0" w:color="auto"/>
                    <w:right w:val="single" w:sz="4" w:space="0" w:color="auto"/>
                  </w:tcBorders>
                  <w:vAlign w:val="center"/>
                </w:tcPr>
                <w:p w14:paraId="15BC3219" w14:textId="77777777" w:rsidR="006D0D3B" w:rsidRPr="00B224E6" w:rsidRDefault="006D0D3B" w:rsidP="007C5A02">
                  <w:pPr>
                    <w:keepNext/>
                    <w:keepLines/>
                    <w:widowControl w:val="0"/>
                    <w:jc w:val="center"/>
                    <w:rPr>
                      <w:rFonts w:cs="Calibri"/>
                      <w:b/>
                      <w:bCs/>
                      <w:i/>
                      <w:iCs/>
                      <w:color w:val="000000"/>
                      <w:sz w:val="20"/>
                      <w:szCs w:val="20"/>
                    </w:rPr>
                  </w:pPr>
                  <w:r w:rsidRPr="0A36CEEB">
                    <w:rPr>
                      <w:rFonts w:eastAsia="Arial Narrow" w:cs="Arial Narrow"/>
                      <w:b/>
                      <w:bCs/>
                      <w:color w:val="000000" w:themeColor="text1"/>
                      <w:sz w:val="20"/>
                      <w:szCs w:val="20"/>
                    </w:rPr>
                    <w:t>0,3</w:t>
                  </w:r>
                </w:p>
              </w:tc>
              <w:tc>
                <w:tcPr>
                  <w:tcW w:w="775" w:type="pct"/>
                  <w:tcBorders>
                    <w:top w:val="single" w:sz="4" w:space="0" w:color="auto"/>
                    <w:left w:val="single" w:sz="4" w:space="0" w:color="auto"/>
                  </w:tcBorders>
                  <w:shd w:val="clear" w:color="auto" w:fill="auto"/>
                  <w:noWrap/>
                  <w:hideMark/>
                </w:tcPr>
                <w:p w14:paraId="6FDAB1C3" w14:textId="77777777" w:rsidR="006D0D3B" w:rsidRPr="00B224E6" w:rsidRDefault="006D0D3B" w:rsidP="007C5A02">
                  <w:pPr>
                    <w:keepNext/>
                    <w:keepLines/>
                    <w:widowControl w:val="0"/>
                    <w:jc w:val="center"/>
                    <w:rPr>
                      <w:rFonts w:cs="Calibri"/>
                      <w:b/>
                      <w:bCs/>
                      <w:i/>
                      <w:iCs/>
                      <w:color w:val="000000"/>
                      <w:sz w:val="20"/>
                      <w:szCs w:val="20"/>
                    </w:rPr>
                  </w:pPr>
                  <w:r w:rsidRPr="0A36CEEB">
                    <w:rPr>
                      <w:rFonts w:eastAsia="Arial Narrow" w:cs="Arial Narrow"/>
                      <w:b/>
                      <w:bCs/>
                      <w:color w:val="000000" w:themeColor="text1"/>
                      <w:sz w:val="20"/>
                      <w:szCs w:val="20"/>
                    </w:rPr>
                    <w:t>N/A</w:t>
                  </w:r>
                </w:p>
              </w:tc>
              <w:tc>
                <w:tcPr>
                  <w:tcW w:w="777" w:type="pct"/>
                  <w:gridSpan w:val="2"/>
                  <w:tcBorders>
                    <w:top w:val="single" w:sz="4" w:space="0" w:color="auto"/>
                  </w:tcBorders>
                  <w:vAlign w:val="center"/>
                </w:tcPr>
                <w:p w14:paraId="33E26706" w14:textId="77777777" w:rsidR="006D0D3B" w:rsidRPr="00B224E6" w:rsidRDefault="006D0D3B" w:rsidP="007C5A02">
                  <w:pPr>
                    <w:keepNext/>
                    <w:keepLines/>
                    <w:widowControl w:val="0"/>
                    <w:jc w:val="center"/>
                    <w:rPr>
                      <w:rFonts w:cs="Calibri"/>
                      <w:b/>
                      <w:bCs/>
                      <w:i/>
                      <w:iCs/>
                      <w:color w:val="000000"/>
                      <w:sz w:val="20"/>
                      <w:szCs w:val="20"/>
                    </w:rPr>
                  </w:pPr>
                  <w:r w:rsidRPr="0A36CEEB">
                    <w:rPr>
                      <w:rFonts w:eastAsia="Arial Narrow" w:cs="Arial Narrow"/>
                      <w:b/>
                      <w:bCs/>
                      <w:color w:val="000000" w:themeColor="text1"/>
                      <w:sz w:val="20"/>
                      <w:szCs w:val="20"/>
                    </w:rPr>
                    <w:t>0,3</w:t>
                  </w:r>
                </w:p>
              </w:tc>
            </w:tr>
            <w:tr w:rsidR="006D0D3B" w:rsidRPr="00DC6A83" w14:paraId="0441660B" w14:textId="77777777" w:rsidTr="000E4D54">
              <w:trPr>
                <w:trHeight w:val="13"/>
                <w:tblHeader/>
              </w:trPr>
              <w:tc>
                <w:tcPr>
                  <w:tcW w:w="1723" w:type="pct"/>
                  <w:shd w:val="clear" w:color="auto" w:fill="auto"/>
                  <w:noWrap/>
                  <w:vAlign w:val="bottom"/>
                  <w:hideMark/>
                </w:tcPr>
                <w:p w14:paraId="32FE8BA6"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1 mil. eur do 40 mil. eur</w:t>
                  </w:r>
                </w:p>
              </w:tc>
              <w:tc>
                <w:tcPr>
                  <w:tcW w:w="548" w:type="pct"/>
                  <w:shd w:val="clear" w:color="auto" w:fill="auto"/>
                  <w:noWrap/>
                  <w:vAlign w:val="center"/>
                  <w:hideMark/>
                </w:tcPr>
                <w:p w14:paraId="6A4027C2"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5</w:t>
                  </w:r>
                </w:p>
              </w:tc>
              <w:tc>
                <w:tcPr>
                  <w:tcW w:w="549" w:type="pct"/>
                  <w:shd w:val="clear" w:color="auto" w:fill="auto"/>
                  <w:noWrap/>
                  <w:vAlign w:val="center"/>
                  <w:hideMark/>
                </w:tcPr>
                <w:p w14:paraId="3A42301E"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10</w:t>
                  </w:r>
                </w:p>
              </w:tc>
              <w:tc>
                <w:tcPr>
                  <w:tcW w:w="628" w:type="pct"/>
                  <w:tcBorders>
                    <w:right w:val="single" w:sz="4" w:space="0" w:color="auto"/>
                  </w:tcBorders>
                  <w:vAlign w:val="center"/>
                </w:tcPr>
                <w:p w14:paraId="183CC54B"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0,3</w:t>
                  </w:r>
                </w:p>
              </w:tc>
              <w:tc>
                <w:tcPr>
                  <w:tcW w:w="775" w:type="pct"/>
                  <w:tcBorders>
                    <w:left w:val="single" w:sz="4" w:space="0" w:color="auto"/>
                  </w:tcBorders>
                  <w:shd w:val="clear" w:color="auto" w:fill="auto"/>
                  <w:noWrap/>
                  <w:hideMark/>
                </w:tcPr>
                <w:p w14:paraId="6E699247"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vAlign w:val="center"/>
                </w:tcPr>
                <w:p w14:paraId="631DAB4C"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0,3</w:t>
                  </w:r>
                </w:p>
              </w:tc>
            </w:tr>
            <w:tr w:rsidR="006D0D3B" w:rsidRPr="00DC6A83" w14:paraId="0B2AB600" w14:textId="77777777" w:rsidTr="000E4D54">
              <w:trPr>
                <w:trHeight w:val="13"/>
                <w:tblHeader/>
              </w:trPr>
              <w:tc>
                <w:tcPr>
                  <w:tcW w:w="1723" w:type="pct"/>
                  <w:tcBorders>
                    <w:bottom w:val="single" w:sz="4" w:space="0" w:color="auto"/>
                  </w:tcBorders>
                  <w:shd w:val="clear" w:color="auto" w:fill="auto"/>
                  <w:noWrap/>
                  <w:vAlign w:val="bottom"/>
                  <w:hideMark/>
                </w:tcPr>
                <w:p w14:paraId="5BF468E5"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40 mil. eur</w:t>
                  </w:r>
                </w:p>
              </w:tc>
              <w:tc>
                <w:tcPr>
                  <w:tcW w:w="548" w:type="pct"/>
                  <w:tcBorders>
                    <w:bottom w:val="single" w:sz="4" w:space="0" w:color="auto"/>
                  </w:tcBorders>
                  <w:shd w:val="clear" w:color="auto" w:fill="auto"/>
                  <w:noWrap/>
                  <w:hideMark/>
                </w:tcPr>
                <w:p w14:paraId="4A68FC2C"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549" w:type="pct"/>
                  <w:tcBorders>
                    <w:bottom w:val="single" w:sz="4" w:space="0" w:color="auto"/>
                  </w:tcBorders>
                  <w:shd w:val="clear" w:color="auto" w:fill="auto"/>
                  <w:noWrap/>
                  <w:hideMark/>
                </w:tcPr>
                <w:p w14:paraId="389EFBCD"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628" w:type="pct"/>
                  <w:tcBorders>
                    <w:bottom w:val="single" w:sz="4" w:space="0" w:color="auto"/>
                    <w:right w:val="single" w:sz="4" w:space="0" w:color="auto"/>
                  </w:tcBorders>
                </w:tcPr>
                <w:p w14:paraId="462EBCD1"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5" w:type="pct"/>
                  <w:tcBorders>
                    <w:left w:val="single" w:sz="4" w:space="0" w:color="auto"/>
                    <w:bottom w:val="single" w:sz="4" w:space="0" w:color="auto"/>
                  </w:tcBorders>
                  <w:shd w:val="clear" w:color="auto" w:fill="auto"/>
                  <w:noWrap/>
                  <w:hideMark/>
                </w:tcPr>
                <w:p w14:paraId="0A0E737F"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tcBorders>
                    <w:bottom w:val="single" w:sz="4" w:space="0" w:color="auto"/>
                  </w:tcBorders>
                  <w:vAlign w:val="center"/>
                </w:tcPr>
                <w:p w14:paraId="6771933F"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r>
            <w:tr w:rsidR="006D0D3B" w:rsidRPr="00DC6A83" w14:paraId="4762974E" w14:textId="77777777" w:rsidTr="000E4D54">
              <w:trPr>
                <w:trHeight w:val="13"/>
                <w:tblHeader/>
              </w:trPr>
              <w:tc>
                <w:tcPr>
                  <w:tcW w:w="1723" w:type="pct"/>
                  <w:tcBorders>
                    <w:top w:val="single" w:sz="4" w:space="0" w:color="auto"/>
                  </w:tcBorders>
                  <w:shd w:val="clear" w:color="auto" w:fill="auto"/>
                  <w:noWrap/>
                  <w:vAlign w:val="bottom"/>
                  <w:hideMark/>
                </w:tcPr>
                <w:p w14:paraId="0094D6E0" w14:textId="77777777" w:rsidR="006D0D3B" w:rsidRPr="00B224E6" w:rsidRDefault="006D0D3B" w:rsidP="007C5A02">
                  <w:pPr>
                    <w:keepNext/>
                    <w:keepLines/>
                    <w:widowControl w:val="0"/>
                    <w:rPr>
                      <w:rFonts w:cs="Calibri"/>
                      <w:b/>
                      <w:bCs/>
                      <w:color w:val="000000"/>
                      <w:sz w:val="20"/>
                      <w:szCs w:val="20"/>
                    </w:rPr>
                  </w:pPr>
                  <w:r w:rsidRPr="00B224E6">
                    <w:rPr>
                      <w:rFonts w:cs="Calibri"/>
                      <w:b/>
                      <w:bCs/>
                      <w:color w:val="000000"/>
                      <w:sz w:val="20"/>
                      <w:szCs w:val="20"/>
                    </w:rPr>
                    <w:t>Ostatné</w:t>
                  </w:r>
                </w:p>
              </w:tc>
              <w:tc>
                <w:tcPr>
                  <w:tcW w:w="548" w:type="pct"/>
                  <w:tcBorders>
                    <w:top w:val="single" w:sz="4" w:space="0" w:color="auto"/>
                  </w:tcBorders>
                  <w:shd w:val="clear" w:color="auto" w:fill="auto"/>
                  <w:noWrap/>
                  <w:vAlign w:val="center"/>
                  <w:hideMark/>
                </w:tcPr>
                <w:p w14:paraId="6903FDAE"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17</w:t>
                  </w:r>
                </w:p>
              </w:tc>
              <w:tc>
                <w:tcPr>
                  <w:tcW w:w="549" w:type="pct"/>
                  <w:tcBorders>
                    <w:top w:val="single" w:sz="4" w:space="0" w:color="auto"/>
                  </w:tcBorders>
                  <w:shd w:val="clear" w:color="auto" w:fill="auto"/>
                  <w:noWrap/>
                  <w:vAlign w:val="center"/>
                  <w:hideMark/>
                </w:tcPr>
                <w:p w14:paraId="5927DFCA"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268</w:t>
                  </w:r>
                </w:p>
              </w:tc>
              <w:tc>
                <w:tcPr>
                  <w:tcW w:w="628" w:type="pct"/>
                  <w:tcBorders>
                    <w:top w:val="single" w:sz="4" w:space="0" w:color="auto"/>
                    <w:right w:val="single" w:sz="4" w:space="0" w:color="auto"/>
                  </w:tcBorders>
                  <w:vAlign w:val="center"/>
                </w:tcPr>
                <w:p w14:paraId="69C13D0B"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30</w:t>
                  </w:r>
                </w:p>
              </w:tc>
              <w:tc>
                <w:tcPr>
                  <w:tcW w:w="775" w:type="pct"/>
                  <w:tcBorders>
                    <w:top w:val="single" w:sz="4" w:space="0" w:color="auto"/>
                    <w:left w:val="single" w:sz="4" w:space="0" w:color="auto"/>
                  </w:tcBorders>
                  <w:shd w:val="clear" w:color="auto" w:fill="auto"/>
                  <w:noWrap/>
                  <w:vAlign w:val="center"/>
                  <w:hideMark/>
                </w:tcPr>
                <w:p w14:paraId="354FC815" w14:textId="77777777" w:rsidR="006D0D3B" w:rsidRPr="00B224E6"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14</w:t>
                  </w:r>
                </w:p>
              </w:tc>
              <w:tc>
                <w:tcPr>
                  <w:tcW w:w="777" w:type="pct"/>
                  <w:gridSpan w:val="2"/>
                  <w:tcBorders>
                    <w:top w:val="single" w:sz="4" w:space="0" w:color="auto"/>
                  </w:tcBorders>
                  <w:vAlign w:val="center"/>
                </w:tcPr>
                <w:p w14:paraId="50BB957C" w14:textId="77777777" w:rsidR="006D0D3B" w:rsidRDefault="006D0D3B" w:rsidP="007C5A02">
                  <w:pPr>
                    <w:keepNext/>
                    <w:keepLines/>
                    <w:widowControl w:val="0"/>
                    <w:jc w:val="center"/>
                    <w:rPr>
                      <w:rFonts w:cs="Calibri"/>
                      <w:b/>
                      <w:bCs/>
                      <w:color w:val="000000"/>
                      <w:sz w:val="20"/>
                      <w:szCs w:val="20"/>
                    </w:rPr>
                  </w:pPr>
                  <w:r w:rsidRPr="0A36CEEB">
                    <w:rPr>
                      <w:rFonts w:eastAsia="Arial Narrow" w:cs="Arial Narrow"/>
                      <w:b/>
                      <w:bCs/>
                      <w:color w:val="000000" w:themeColor="text1"/>
                      <w:sz w:val="20"/>
                      <w:szCs w:val="20"/>
                    </w:rPr>
                    <w:t>16</w:t>
                  </w:r>
                </w:p>
              </w:tc>
            </w:tr>
            <w:tr w:rsidR="006D0D3B" w:rsidRPr="00DC6A83" w14:paraId="72FCE769" w14:textId="77777777" w:rsidTr="000E4D54">
              <w:trPr>
                <w:trHeight w:val="13"/>
                <w:tblHeader/>
              </w:trPr>
              <w:tc>
                <w:tcPr>
                  <w:tcW w:w="1723" w:type="pct"/>
                  <w:shd w:val="clear" w:color="auto" w:fill="auto"/>
                  <w:noWrap/>
                  <w:vAlign w:val="bottom"/>
                  <w:hideMark/>
                </w:tcPr>
                <w:p w14:paraId="2C535C56"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1 mil. eur do 40 mil. eur</w:t>
                  </w:r>
                </w:p>
              </w:tc>
              <w:tc>
                <w:tcPr>
                  <w:tcW w:w="548" w:type="pct"/>
                  <w:shd w:val="clear" w:color="auto" w:fill="auto"/>
                  <w:noWrap/>
                  <w:vAlign w:val="center"/>
                  <w:hideMark/>
                </w:tcPr>
                <w:p w14:paraId="150A1048"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15</w:t>
                  </w:r>
                </w:p>
              </w:tc>
              <w:tc>
                <w:tcPr>
                  <w:tcW w:w="549" w:type="pct"/>
                  <w:shd w:val="clear" w:color="auto" w:fill="auto"/>
                  <w:noWrap/>
                  <w:vAlign w:val="center"/>
                  <w:hideMark/>
                </w:tcPr>
                <w:p w14:paraId="3E1F671C"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85</w:t>
                  </w:r>
                </w:p>
              </w:tc>
              <w:tc>
                <w:tcPr>
                  <w:tcW w:w="628" w:type="pct"/>
                  <w:tcBorders>
                    <w:right w:val="single" w:sz="4" w:space="0" w:color="auto"/>
                  </w:tcBorders>
                  <w:vAlign w:val="center"/>
                </w:tcPr>
                <w:p w14:paraId="55C3658D"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16</w:t>
                  </w:r>
                </w:p>
              </w:tc>
              <w:tc>
                <w:tcPr>
                  <w:tcW w:w="775" w:type="pct"/>
                  <w:tcBorders>
                    <w:left w:val="single" w:sz="4" w:space="0" w:color="auto"/>
                  </w:tcBorders>
                  <w:shd w:val="clear" w:color="auto" w:fill="auto"/>
                  <w:noWrap/>
                  <w:vAlign w:val="center"/>
                  <w:hideMark/>
                </w:tcPr>
                <w:p w14:paraId="441BBDE5"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c>
                <w:tcPr>
                  <w:tcW w:w="777" w:type="pct"/>
                  <w:gridSpan w:val="2"/>
                  <w:vAlign w:val="center"/>
                </w:tcPr>
                <w:p w14:paraId="7750D4B4"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16</w:t>
                  </w:r>
                </w:p>
              </w:tc>
            </w:tr>
            <w:tr w:rsidR="006D0D3B" w:rsidRPr="00DC6A83" w14:paraId="5B7B9FD9" w14:textId="77777777" w:rsidTr="000E4D54">
              <w:trPr>
                <w:trHeight w:val="13"/>
                <w:tblHeader/>
              </w:trPr>
              <w:tc>
                <w:tcPr>
                  <w:tcW w:w="1723" w:type="pct"/>
                  <w:tcBorders>
                    <w:bottom w:val="single" w:sz="4" w:space="0" w:color="auto"/>
                  </w:tcBorders>
                  <w:shd w:val="clear" w:color="auto" w:fill="auto"/>
                  <w:noWrap/>
                  <w:vAlign w:val="bottom"/>
                  <w:hideMark/>
                </w:tcPr>
                <w:p w14:paraId="6B46A83E" w14:textId="77777777" w:rsidR="006D0D3B" w:rsidRPr="00DC6A83" w:rsidRDefault="006D0D3B" w:rsidP="007C5A02">
                  <w:pPr>
                    <w:keepNext/>
                    <w:keepLines/>
                    <w:widowControl w:val="0"/>
                    <w:ind w:firstLineChars="100" w:firstLine="200"/>
                    <w:rPr>
                      <w:rFonts w:cs="Calibri"/>
                      <w:i/>
                      <w:iCs/>
                      <w:color w:val="000000"/>
                      <w:sz w:val="20"/>
                      <w:szCs w:val="20"/>
                    </w:rPr>
                  </w:pPr>
                  <w:r w:rsidRPr="00DC6A83">
                    <w:rPr>
                      <w:rFonts w:cs="Calibri"/>
                      <w:i/>
                      <w:iCs/>
                      <w:color w:val="000000"/>
                      <w:sz w:val="20"/>
                      <w:szCs w:val="20"/>
                    </w:rPr>
                    <w:t>Z toho nad 40 mil. eur</w:t>
                  </w:r>
                </w:p>
              </w:tc>
              <w:tc>
                <w:tcPr>
                  <w:tcW w:w="548" w:type="pct"/>
                  <w:tcBorders>
                    <w:bottom w:val="single" w:sz="4" w:space="0" w:color="auto"/>
                  </w:tcBorders>
                  <w:shd w:val="clear" w:color="auto" w:fill="auto"/>
                  <w:noWrap/>
                  <w:vAlign w:val="center"/>
                  <w:hideMark/>
                </w:tcPr>
                <w:p w14:paraId="10B15188"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2</w:t>
                  </w:r>
                </w:p>
              </w:tc>
              <w:tc>
                <w:tcPr>
                  <w:tcW w:w="549" w:type="pct"/>
                  <w:tcBorders>
                    <w:bottom w:val="single" w:sz="4" w:space="0" w:color="auto"/>
                  </w:tcBorders>
                  <w:shd w:val="clear" w:color="auto" w:fill="auto"/>
                  <w:noWrap/>
                  <w:vAlign w:val="center"/>
                  <w:hideMark/>
                </w:tcPr>
                <w:p w14:paraId="7D917D62"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183</w:t>
                  </w:r>
                </w:p>
              </w:tc>
              <w:tc>
                <w:tcPr>
                  <w:tcW w:w="628" w:type="pct"/>
                  <w:tcBorders>
                    <w:bottom w:val="single" w:sz="4" w:space="0" w:color="auto"/>
                    <w:right w:val="single" w:sz="4" w:space="0" w:color="auto"/>
                  </w:tcBorders>
                  <w:vAlign w:val="center"/>
                </w:tcPr>
                <w:p w14:paraId="51841488"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14</w:t>
                  </w:r>
                </w:p>
              </w:tc>
              <w:tc>
                <w:tcPr>
                  <w:tcW w:w="775" w:type="pct"/>
                  <w:tcBorders>
                    <w:left w:val="single" w:sz="4" w:space="0" w:color="auto"/>
                    <w:bottom w:val="single" w:sz="4" w:space="0" w:color="auto"/>
                  </w:tcBorders>
                  <w:shd w:val="clear" w:color="auto" w:fill="auto"/>
                  <w:noWrap/>
                  <w:vAlign w:val="center"/>
                  <w:hideMark/>
                </w:tcPr>
                <w:p w14:paraId="53149007" w14:textId="77777777" w:rsidR="006D0D3B" w:rsidRPr="00DC6A83"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14</w:t>
                  </w:r>
                </w:p>
              </w:tc>
              <w:tc>
                <w:tcPr>
                  <w:tcW w:w="777" w:type="pct"/>
                  <w:gridSpan w:val="2"/>
                  <w:tcBorders>
                    <w:bottom w:val="single" w:sz="4" w:space="0" w:color="auto"/>
                  </w:tcBorders>
                  <w:vAlign w:val="center"/>
                </w:tcPr>
                <w:p w14:paraId="56E64897" w14:textId="77777777" w:rsidR="006D0D3B" w:rsidRDefault="006D0D3B" w:rsidP="007C5A02">
                  <w:pPr>
                    <w:keepNext/>
                    <w:keepLines/>
                    <w:widowControl w:val="0"/>
                    <w:jc w:val="center"/>
                    <w:rPr>
                      <w:rFonts w:cs="Calibri"/>
                      <w:i/>
                      <w:iCs/>
                      <w:color w:val="000000"/>
                      <w:sz w:val="20"/>
                      <w:szCs w:val="20"/>
                    </w:rPr>
                  </w:pPr>
                  <w:r w:rsidRPr="0A36CEEB">
                    <w:rPr>
                      <w:rFonts w:eastAsia="Arial Narrow" w:cs="Arial Narrow"/>
                      <w:i/>
                      <w:iCs/>
                      <w:color w:val="000000" w:themeColor="text1"/>
                      <w:sz w:val="20"/>
                      <w:szCs w:val="20"/>
                    </w:rPr>
                    <w:t>N/A</w:t>
                  </w:r>
                </w:p>
              </w:tc>
            </w:tr>
            <w:tr w:rsidR="006D0D3B" w:rsidRPr="00DC6A83" w14:paraId="6F5EFCC9" w14:textId="77777777" w:rsidTr="000E4D54">
              <w:trPr>
                <w:gridAfter w:val="1"/>
                <w:wAfter w:w="6" w:type="pct"/>
                <w:trHeight w:val="72"/>
                <w:tblHeader/>
              </w:trPr>
              <w:tc>
                <w:tcPr>
                  <w:tcW w:w="4994" w:type="pct"/>
                  <w:gridSpan w:val="6"/>
                  <w:shd w:val="clear" w:color="auto" w:fill="auto"/>
                  <w:noWrap/>
                </w:tcPr>
                <w:p w14:paraId="30B01D40" w14:textId="77777777" w:rsidR="006D0D3B" w:rsidRPr="005E2246" w:rsidRDefault="006D0D3B" w:rsidP="007C5A02">
                  <w:pPr>
                    <w:keepNext/>
                    <w:keepLines/>
                    <w:widowControl w:val="0"/>
                    <w:jc w:val="right"/>
                    <w:rPr>
                      <w:rFonts w:cs="Calibri"/>
                      <w:i/>
                      <w:color w:val="000000"/>
                      <w:sz w:val="16"/>
                      <w:szCs w:val="18"/>
                    </w:rPr>
                  </w:pPr>
                  <w:r w:rsidRPr="005E2246">
                    <w:rPr>
                      <w:rFonts w:cs="Calibri"/>
                      <w:i/>
                      <w:color w:val="000000"/>
                      <w:sz w:val="16"/>
                      <w:szCs w:val="18"/>
                    </w:rPr>
                    <w:t>Zdroj: ÚHP</w:t>
                  </w:r>
                </w:p>
              </w:tc>
            </w:tr>
          </w:tbl>
          <w:p w14:paraId="2A149160" w14:textId="77777777" w:rsidR="006D0D3B" w:rsidRPr="00096946" w:rsidRDefault="006D0D3B" w:rsidP="007C5A02">
            <w:pPr>
              <w:keepNext/>
              <w:keepLines/>
              <w:widowControl w:val="0"/>
              <w:spacing w:after="160"/>
              <w:jc w:val="both"/>
              <w:rPr>
                <w:rFonts w:cs="Arial Narrow"/>
              </w:rPr>
            </w:pPr>
          </w:p>
        </w:tc>
      </w:tr>
    </w:tbl>
    <w:p w14:paraId="62201D17" w14:textId="77777777" w:rsidR="006D0D3B" w:rsidRPr="00096946" w:rsidRDefault="006D0D3B" w:rsidP="006D0D3B">
      <w:pPr>
        <w:jc w:val="both"/>
        <w:rPr>
          <w:rFonts w:cs="Arial Narrow"/>
        </w:rPr>
      </w:pPr>
    </w:p>
    <w:p w14:paraId="0508D9B2" w14:textId="77777777" w:rsidR="006D0D3B" w:rsidRDefault="006D0D3B" w:rsidP="006D0D3B">
      <w:pPr>
        <w:pStyle w:val="Odsekzoznamu"/>
        <w:numPr>
          <w:ilvl w:val="0"/>
          <w:numId w:val="30"/>
        </w:numPr>
        <w:spacing w:after="160"/>
        <w:ind w:left="426"/>
        <w:jc w:val="both"/>
        <w:rPr>
          <w:rFonts w:cs="Arial Narrow"/>
        </w:rPr>
      </w:pPr>
      <w:r w:rsidRPr="00096946">
        <w:rPr>
          <w:rFonts w:cs="Arial Narrow"/>
          <w:b/>
          <w:bCs/>
        </w:rPr>
        <w:t xml:space="preserve">Podľa rovnakého uznesenia vlády </w:t>
      </w:r>
      <w:r>
        <w:rPr>
          <w:rFonts w:cs="Arial Narrow"/>
          <w:b/>
          <w:bCs/>
        </w:rPr>
        <w:t>ministerstvá</w:t>
      </w:r>
      <w:r w:rsidRPr="00096946">
        <w:rPr>
          <w:rFonts w:cs="Arial Narrow"/>
          <w:b/>
          <w:bCs/>
        </w:rPr>
        <w:t xml:space="preserve"> </w:t>
      </w:r>
      <w:r>
        <w:rPr>
          <w:rFonts w:cs="Arial Narrow"/>
          <w:b/>
          <w:bCs/>
        </w:rPr>
        <w:t>pripravujú investičné stratégie, ktoré obsahujú metodiky určovania priorít a investičné plány</w:t>
      </w:r>
      <w:r w:rsidRPr="00096946">
        <w:rPr>
          <w:rFonts w:cs="Arial Narrow"/>
          <w:b/>
          <w:bCs/>
        </w:rPr>
        <w:t xml:space="preserve">. </w:t>
      </w:r>
      <w:r>
        <w:rPr>
          <w:rFonts w:cs="Arial Narrow"/>
        </w:rPr>
        <w:t xml:space="preserve">Jasne určené priority a dlhodobé plány zlepšia prípravu projektov </w:t>
      </w:r>
      <w:r w:rsidRPr="00096946">
        <w:rPr>
          <w:rFonts w:cs="Arial Narrow"/>
        </w:rPr>
        <w:t>a zvýš</w:t>
      </w:r>
      <w:r>
        <w:rPr>
          <w:rFonts w:cs="Arial Narrow"/>
        </w:rPr>
        <w:t>ia</w:t>
      </w:r>
      <w:r w:rsidRPr="00096946">
        <w:rPr>
          <w:rFonts w:cs="Arial Narrow"/>
        </w:rPr>
        <w:t xml:space="preserve"> presnosť rozpočtovania investícií.</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AD3F2"/>
        <w:tblLayout w:type="fixed"/>
        <w:tblLook w:val="04A0" w:firstRow="1" w:lastRow="0" w:firstColumn="1" w:lastColumn="0" w:noHBand="0" w:noVBand="1"/>
      </w:tblPr>
      <w:tblGrid>
        <w:gridCol w:w="9062"/>
      </w:tblGrid>
      <w:tr w:rsidR="006D0D3B" w:rsidRPr="00096946" w14:paraId="429A07BF" w14:textId="77777777" w:rsidTr="000E4D54">
        <w:tc>
          <w:tcPr>
            <w:tcW w:w="9062" w:type="dxa"/>
            <w:shd w:val="clear" w:color="auto" w:fill="AAD3F2"/>
          </w:tcPr>
          <w:p w14:paraId="3F942914" w14:textId="6918D953" w:rsidR="006D0D3B" w:rsidRPr="009A3055" w:rsidRDefault="006D0D3B" w:rsidP="000E4D54">
            <w:pPr>
              <w:spacing w:after="160"/>
              <w:jc w:val="both"/>
              <w:rPr>
                <w:rFonts w:cs="Times New Roman"/>
                <w:b/>
                <w:bCs/>
                <w:iCs/>
              </w:rPr>
            </w:pPr>
            <w:bookmarkStart w:id="203" w:name="_Toc101880480"/>
            <w:r w:rsidRPr="009A3055">
              <w:rPr>
                <w:b/>
                <w:color w:val="2C9ADC" w:themeColor="accent1"/>
              </w:rPr>
              <w:t xml:space="preserve">BOX </w:t>
            </w:r>
            <w:r w:rsidR="009A3055" w:rsidRPr="009A3055">
              <w:rPr>
                <w:b/>
                <w:color w:val="2C9ADC" w:themeColor="accent1"/>
              </w:rPr>
              <w:fldChar w:fldCharType="begin"/>
            </w:r>
            <w:r w:rsidR="009A3055" w:rsidRPr="009A3055">
              <w:rPr>
                <w:b/>
                <w:color w:val="2C9ADC" w:themeColor="accent1"/>
              </w:rPr>
              <w:instrText xml:space="preserve"> SEQ BOX \* ARABIC </w:instrText>
            </w:r>
            <w:r w:rsidR="009A3055" w:rsidRPr="009A3055">
              <w:rPr>
                <w:b/>
                <w:color w:val="2C9ADC" w:themeColor="accent1"/>
              </w:rPr>
              <w:fldChar w:fldCharType="separate"/>
            </w:r>
            <w:r w:rsidR="005D3280">
              <w:rPr>
                <w:b/>
                <w:noProof/>
                <w:color w:val="2C9ADC" w:themeColor="accent1"/>
              </w:rPr>
              <w:t>9</w:t>
            </w:r>
            <w:r w:rsidR="009A3055" w:rsidRPr="009A3055">
              <w:rPr>
                <w:b/>
                <w:color w:val="2C9ADC" w:themeColor="accent1"/>
              </w:rPr>
              <w:fldChar w:fldCharType="end"/>
            </w:r>
            <w:r w:rsidRPr="009A3055">
              <w:rPr>
                <w:b/>
                <w:color w:val="2C9ADC" w:themeColor="accent1"/>
              </w:rPr>
              <w:t xml:space="preserve"> </w:t>
            </w:r>
            <w:r w:rsidRPr="009A3055">
              <w:rPr>
                <w:rFonts w:cs="Arial Narrow"/>
                <w:b/>
                <w:color w:val="2C9ADC" w:themeColor="accent1"/>
              </w:rPr>
              <w:t>– Stav vypracovania investičných stratégií</w:t>
            </w:r>
            <w:bookmarkEnd w:id="203"/>
            <w:r w:rsidRPr="009A3055">
              <w:rPr>
                <w:rFonts w:cs="Times New Roman"/>
                <w:b/>
                <w:bCs/>
                <w:iCs/>
              </w:rPr>
              <w:t xml:space="preserve"> </w:t>
            </w:r>
          </w:p>
          <w:p w14:paraId="31F8AC93" w14:textId="77777777" w:rsidR="006D0D3B" w:rsidRDefault="006D0D3B" w:rsidP="000E4D54">
            <w:pPr>
              <w:pStyle w:val="Popis"/>
              <w:spacing w:after="0"/>
              <w:rPr>
                <w:b w:val="0"/>
                <w:bCs w:val="0"/>
                <w:iCs/>
                <w:color w:val="auto"/>
                <w:sz w:val="22"/>
                <w:szCs w:val="22"/>
              </w:rPr>
            </w:pPr>
            <w:r w:rsidRPr="00C53931">
              <w:rPr>
                <w:color w:val="auto"/>
                <w:sz w:val="22"/>
                <w:szCs w:val="22"/>
              </w:rPr>
              <w:t>Väčšina rezortov má metodik</w:t>
            </w:r>
            <w:r>
              <w:rPr>
                <w:color w:val="auto"/>
                <w:sz w:val="22"/>
                <w:szCs w:val="22"/>
              </w:rPr>
              <w:t>y a investičné plány zverejnené,</w:t>
            </w:r>
            <w:r w:rsidRPr="00C53931">
              <w:rPr>
                <w:color w:val="auto"/>
                <w:sz w:val="22"/>
                <w:szCs w:val="22"/>
              </w:rPr>
              <w:t xml:space="preserve"> </w:t>
            </w:r>
            <w:r>
              <w:rPr>
                <w:color w:val="auto"/>
                <w:sz w:val="22"/>
                <w:szCs w:val="22"/>
              </w:rPr>
              <w:t>o</w:t>
            </w:r>
            <w:r w:rsidRPr="00C53931">
              <w:rPr>
                <w:color w:val="auto"/>
                <w:sz w:val="22"/>
                <w:szCs w:val="22"/>
              </w:rPr>
              <w:t xml:space="preserve">statné sú momentálne v príprave </w:t>
            </w:r>
            <w:r w:rsidRPr="00616C61">
              <w:rPr>
                <w:b w:val="0"/>
                <w:color w:val="auto"/>
                <w:sz w:val="22"/>
                <w:szCs w:val="22"/>
              </w:rPr>
              <w:t>Ministerstvá majú povinnosť vypracovať investičnú stratégiu: (1) metodiku určenie priorít, (2) priorizovaný zoznam projektov, (3) investičný plán. Povinnosť bola schválená Uznesením vlády č. 649/2020 v úlohe C.2 a C.3. Investičný plán majú ministerstvá povinnosť každoročne aktualizovať ku 30. máju. Táto povinnosť bola schválená Uznesením vlády č. 577/2021 v úlohe C.2.</w:t>
            </w:r>
          </w:p>
          <w:p w14:paraId="2C0141BF" w14:textId="77777777" w:rsidR="006D0D3B" w:rsidRDefault="006D0D3B" w:rsidP="000E4D54">
            <w:pPr>
              <w:pStyle w:val="Popis"/>
              <w:spacing w:after="0"/>
              <w:rPr>
                <w:color w:val="auto"/>
                <w:sz w:val="22"/>
                <w:szCs w:val="22"/>
              </w:rPr>
            </w:pPr>
            <w:bookmarkStart w:id="204" w:name="_Toc95324196"/>
            <w:bookmarkStart w:id="205" w:name="_Toc96090787"/>
          </w:p>
          <w:tbl>
            <w:tblPr>
              <w:tblW w:w="5000" w:type="pct"/>
              <w:tblLayout w:type="fixed"/>
              <w:tblCellMar>
                <w:left w:w="70" w:type="dxa"/>
                <w:right w:w="70" w:type="dxa"/>
              </w:tblCellMar>
              <w:tblLook w:val="04A0" w:firstRow="1" w:lastRow="0" w:firstColumn="1" w:lastColumn="0" w:noHBand="0" w:noVBand="1"/>
            </w:tblPr>
            <w:tblGrid>
              <w:gridCol w:w="2302"/>
              <w:gridCol w:w="3271"/>
              <w:gridCol w:w="3273"/>
            </w:tblGrid>
            <w:tr w:rsidR="006D0D3B" w:rsidRPr="00B60236" w14:paraId="150DBAAF" w14:textId="77777777" w:rsidTr="000E4D54">
              <w:trPr>
                <w:trHeight w:val="255"/>
                <w:tblHeader/>
              </w:trPr>
              <w:tc>
                <w:tcPr>
                  <w:tcW w:w="5000" w:type="pct"/>
                  <w:gridSpan w:val="3"/>
                  <w:tcBorders>
                    <w:left w:val="nil"/>
                    <w:bottom w:val="single" w:sz="4" w:space="0" w:color="auto"/>
                    <w:right w:val="nil"/>
                  </w:tcBorders>
                  <w:shd w:val="clear" w:color="auto" w:fill="auto"/>
                  <w:noWrap/>
                  <w:vAlign w:val="bottom"/>
                </w:tcPr>
                <w:p w14:paraId="4743F4A8" w14:textId="23D625E7" w:rsidR="006D0D3B" w:rsidRPr="00B304DF" w:rsidRDefault="00B304DF" w:rsidP="000E4D54">
                  <w:pPr>
                    <w:rPr>
                      <w:b/>
                      <w:color w:val="2C9ADC" w:themeColor="accent1"/>
                      <w:sz w:val="20"/>
                      <w:szCs w:val="20"/>
                    </w:rPr>
                  </w:pPr>
                  <w:bookmarkStart w:id="206" w:name="_Toc101880696"/>
                  <w:r w:rsidRPr="00B304DF">
                    <w:rPr>
                      <w:b/>
                      <w:color w:val="2C9ADC" w:themeColor="accent1"/>
                      <w:sz w:val="20"/>
                      <w:szCs w:val="20"/>
                    </w:rPr>
                    <w:t xml:space="preserve">TABUĽKA </w:t>
                  </w:r>
                  <w:r w:rsidRPr="00B304DF">
                    <w:rPr>
                      <w:b/>
                      <w:color w:val="2C9ADC" w:themeColor="accent1"/>
                      <w:sz w:val="20"/>
                      <w:szCs w:val="20"/>
                    </w:rPr>
                    <w:fldChar w:fldCharType="begin"/>
                  </w:r>
                  <w:r w:rsidRPr="00B304DF">
                    <w:rPr>
                      <w:b/>
                      <w:color w:val="2C9ADC" w:themeColor="accent1"/>
                      <w:sz w:val="20"/>
                      <w:szCs w:val="20"/>
                    </w:rPr>
                    <w:instrText xml:space="preserve"> SEQ TABUĽKA \* ARABIC </w:instrText>
                  </w:r>
                  <w:r w:rsidRPr="00B304DF">
                    <w:rPr>
                      <w:b/>
                      <w:color w:val="2C9ADC" w:themeColor="accent1"/>
                      <w:sz w:val="20"/>
                      <w:szCs w:val="20"/>
                    </w:rPr>
                    <w:fldChar w:fldCharType="separate"/>
                  </w:r>
                  <w:r w:rsidR="005D3280">
                    <w:rPr>
                      <w:b/>
                      <w:noProof/>
                      <w:color w:val="2C9ADC" w:themeColor="accent1"/>
                      <w:sz w:val="20"/>
                      <w:szCs w:val="20"/>
                    </w:rPr>
                    <w:t>17</w:t>
                  </w:r>
                  <w:r w:rsidRPr="00B304DF">
                    <w:rPr>
                      <w:b/>
                      <w:color w:val="2C9ADC" w:themeColor="accent1"/>
                      <w:sz w:val="20"/>
                      <w:szCs w:val="20"/>
                    </w:rPr>
                    <w:fldChar w:fldCharType="end"/>
                  </w:r>
                  <w:r w:rsidRPr="00B304DF">
                    <w:rPr>
                      <w:b/>
                      <w:color w:val="2C9ADC" w:themeColor="accent1"/>
                      <w:sz w:val="20"/>
                      <w:szCs w:val="20"/>
                    </w:rPr>
                    <w:t xml:space="preserve"> – </w:t>
                  </w:r>
                  <w:r w:rsidR="006D0D3B" w:rsidRPr="00B304DF">
                    <w:rPr>
                      <w:b/>
                      <w:color w:val="2C9ADC" w:themeColor="accent1"/>
                      <w:sz w:val="20"/>
                      <w:szCs w:val="20"/>
                    </w:rPr>
                    <w:t>Stav vypracovania metodík a investičných plánov</w:t>
                  </w:r>
                  <w:bookmarkEnd w:id="206"/>
                </w:p>
              </w:tc>
            </w:tr>
            <w:tr w:rsidR="006D0D3B" w:rsidRPr="00B60236" w14:paraId="7A2E0A9C" w14:textId="77777777" w:rsidTr="000E4D54">
              <w:trPr>
                <w:trHeight w:val="255"/>
                <w:tblHeader/>
              </w:trPr>
              <w:tc>
                <w:tcPr>
                  <w:tcW w:w="1301" w:type="pct"/>
                  <w:tcBorders>
                    <w:top w:val="single" w:sz="4" w:space="0" w:color="auto"/>
                    <w:left w:val="nil"/>
                    <w:bottom w:val="single" w:sz="4" w:space="0" w:color="auto"/>
                    <w:right w:val="nil"/>
                  </w:tcBorders>
                  <w:shd w:val="clear" w:color="auto" w:fill="auto"/>
                  <w:noWrap/>
                  <w:vAlign w:val="bottom"/>
                  <w:hideMark/>
                </w:tcPr>
                <w:p w14:paraId="4ABF8365" w14:textId="77777777" w:rsidR="006D0D3B" w:rsidRPr="00B60236" w:rsidRDefault="006D0D3B" w:rsidP="000E4D54">
                  <w:pPr>
                    <w:rPr>
                      <w:rFonts w:cs="Calibri"/>
                      <w:b/>
                      <w:bCs/>
                      <w:color w:val="000000"/>
                      <w:sz w:val="20"/>
                      <w:szCs w:val="20"/>
                    </w:rPr>
                  </w:pPr>
                  <w:r w:rsidRPr="00B60236">
                    <w:rPr>
                      <w:rFonts w:cs="Calibri"/>
                      <w:b/>
                      <w:bCs/>
                      <w:color w:val="000000"/>
                      <w:sz w:val="20"/>
                      <w:szCs w:val="20"/>
                    </w:rPr>
                    <w:t>Kapitola</w:t>
                  </w:r>
                </w:p>
              </w:tc>
              <w:tc>
                <w:tcPr>
                  <w:tcW w:w="1849" w:type="pct"/>
                  <w:tcBorders>
                    <w:top w:val="single" w:sz="4" w:space="0" w:color="auto"/>
                    <w:left w:val="nil"/>
                    <w:bottom w:val="single" w:sz="4" w:space="0" w:color="auto"/>
                    <w:right w:val="nil"/>
                  </w:tcBorders>
                  <w:shd w:val="clear" w:color="auto" w:fill="auto"/>
                  <w:noWrap/>
                  <w:vAlign w:val="bottom"/>
                  <w:hideMark/>
                </w:tcPr>
                <w:p w14:paraId="30209FE5" w14:textId="77777777" w:rsidR="006D0D3B" w:rsidRPr="00B60236" w:rsidRDefault="006D0D3B" w:rsidP="000E4D54">
                  <w:pPr>
                    <w:jc w:val="center"/>
                    <w:rPr>
                      <w:rFonts w:cs="Calibri"/>
                      <w:b/>
                      <w:bCs/>
                      <w:color w:val="000000"/>
                      <w:sz w:val="20"/>
                      <w:szCs w:val="20"/>
                    </w:rPr>
                  </w:pPr>
                  <w:r w:rsidRPr="00B60236">
                    <w:rPr>
                      <w:rFonts w:cs="Calibri"/>
                      <w:b/>
                      <w:bCs/>
                      <w:color w:val="000000"/>
                      <w:sz w:val="20"/>
                      <w:szCs w:val="20"/>
                    </w:rPr>
                    <w:t>Metodika (stav)</w:t>
                  </w:r>
                </w:p>
              </w:tc>
              <w:tc>
                <w:tcPr>
                  <w:tcW w:w="1849" w:type="pct"/>
                  <w:tcBorders>
                    <w:top w:val="single" w:sz="4" w:space="0" w:color="auto"/>
                    <w:left w:val="nil"/>
                    <w:bottom w:val="single" w:sz="4" w:space="0" w:color="auto"/>
                    <w:right w:val="nil"/>
                  </w:tcBorders>
                  <w:shd w:val="clear" w:color="auto" w:fill="auto"/>
                  <w:noWrap/>
                  <w:vAlign w:val="bottom"/>
                  <w:hideMark/>
                </w:tcPr>
                <w:p w14:paraId="6EA2E4BD" w14:textId="77777777" w:rsidR="006D0D3B" w:rsidRPr="00B60236" w:rsidRDefault="006D0D3B" w:rsidP="000E4D54">
                  <w:pPr>
                    <w:jc w:val="center"/>
                    <w:rPr>
                      <w:rFonts w:cs="Calibri"/>
                      <w:b/>
                      <w:bCs/>
                      <w:color w:val="000000"/>
                      <w:sz w:val="20"/>
                      <w:szCs w:val="20"/>
                    </w:rPr>
                  </w:pPr>
                  <w:r w:rsidRPr="00B60236">
                    <w:rPr>
                      <w:rFonts w:cs="Calibri"/>
                      <w:b/>
                      <w:bCs/>
                      <w:color w:val="000000"/>
                      <w:sz w:val="20"/>
                      <w:szCs w:val="20"/>
                    </w:rPr>
                    <w:t>Investičný plán (stav)</w:t>
                  </w:r>
                </w:p>
              </w:tc>
            </w:tr>
            <w:tr w:rsidR="006D0D3B" w:rsidRPr="00B60236" w14:paraId="25C6D44F" w14:textId="77777777" w:rsidTr="000E4D54">
              <w:trPr>
                <w:trHeight w:val="255"/>
                <w:tblHeader/>
              </w:trPr>
              <w:tc>
                <w:tcPr>
                  <w:tcW w:w="1301" w:type="pct"/>
                  <w:tcBorders>
                    <w:top w:val="single" w:sz="4" w:space="0" w:color="auto"/>
                    <w:left w:val="nil"/>
                    <w:bottom w:val="single" w:sz="4" w:space="0" w:color="auto"/>
                    <w:right w:val="nil"/>
                  </w:tcBorders>
                  <w:shd w:val="clear" w:color="auto" w:fill="auto"/>
                  <w:noWrap/>
                  <w:vAlign w:val="bottom"/>
                </w:tcPr>
                <w:p w14:paraId="535A0EDD" w14:textId="77777777" w:rsidR="006D0D3B" w:rsidRPr="00B60236" w:rsidRDefault="006D0D3B" w:rsidP="000E4D54">
                  <w:pPr>
                    <w:rPr>
                      <w:rFonts w:cs="Calibri"/>
                      <w:b/>
                      <w:bCs/>
                      <w:color w:val="000000"/>
                      <w:sz w:val="20"/>
                      <w:szCs w:val="20"/>
                    </w:rPr>
                  </w:pPr>
                </w:p>
              </w:tc>
              <w:tc>
                <w:tcPr>
                  <w:tcW w:w="1849" w:type="pct"/>
                  <w:tcBorders>
                    <w:top w:val="single" w:sz="4" w:space="0" w:color="auto"/>
                    <w:left w:val="nil"/>
                    <w:bottom w:val="single" w:sz="4" w:space="0" w:color="auto"/>
                    <w:right w:val="nil"/>
                  </w:tcBorders>
                  <w:shd w:val="clear" w:color="auto" w:fill="auto"/>
                  <w:noWrap/>
                  <w:vAlign w:val="bottom"/>
                </w:tcPr>
                <w:p w14:paraId="40F9086E" w14:textId="77777777" w:rsidR="006D0D3B" w:rsidRPr="00B60236" w:rsidRDefault="006D0D3B" w:rsidP="000E4D54">
                  <w:pPr>
                    <w:jc w:val="center"/>
                    <w:rPr>
                      <w:rFonts w:cs="Calibri"/>
                      <w:b/>
                      <w:bCs/>
                      <w:color w:val="000000"/>
                      <w:sz w:val="20"/>
                      <w:szCs w:val="20"/>
                    </w:rPr>
                  </w:pPr>
                </w:p>
              </w:tc>
              <w:tc>
                <w:tcPr>
                  <w:tcW w:w="1849" w:type="pct"/>
                  <w:tcBorders>
                    <w:top w:val="single" w:sz="4" w:space="0" w:color="auto"/>
                    <w:left w:val="nil"/>
                    <w:bottom w:val="single" w:sz="4" w:space="0" w:color="auto"/>
                    <w:right w:val="nil"/>
                  </w:tcBorders>
                  <w:shd w:val="clear" w:color="auto" w:fill="auto"/>
                  <w:noWrap/>
                  <w:vAlign w:val="bottom"/>
                </w:tcPr>
                <w:p w14:paraId="2CC53D21" w14:textId="77777777" w:rsidR="006D0D3B" w:rsidRPr="00B60236" w:rsidRDefault="006D0D3B" w:rsidP="000E4D54">
                  <w:pPr>
                    <w:jc w:val="center"/>
                    <w:rPr>
                      <w:rFonts w:cs="Calibri"/>
                      <w:b/>
                      <w:bCs/>
                      <w:color w:val="000000"/>
                      <w:sz w:val="20"/>
                      <w:szCs w:val="20"/>
                    </w:rPr>
                  </w:pPr>
                </w:p>
              </w:tc>
            </w:tr>
            <w:tr w:rsidR="006D0D3B" w:rsidRPr="00B60236" w14:paraId="2C165DA2" w14:textId="77777777" w:rsidTr="000E4D54">
              <w:trPr>
                <w:trHeight w:val="255"/>
                <w:tblHeader/>
              </w:trPr>
              <w:tc>
                <w:tcPr>
                  <w:tcW w:w="1301" w:type="pct"/>
                  <w:tcBorders>
                    <w:top w:val="nil"/>
                    <w:left w:val="nil"/>
                    <w:bottom w:val="nil"/>
                    <w:right w:val="nil"/>
                  </w:tcBorders>
                  <w:shd w:val="clear" w:color="auto" w:fill="auto"/>
                  <w:vAlign w:val="center"/>
                  <w:hideMark/>
                </w:tcPr>
                <w:p w14:paraId="57CBB2D0" w14:textId="77777777" w:rsidR="006D0D3B" w:rsidRPr="00B60236" w:rsidRDefault="006D0D3B" w:rsidP="000E4D54">
                  <w:pPr>
                    <w:rPr>
                      <w:rFonts w:cs="Calibri"/>
                      <w:color w:val="000000"/>
                      <w:sz w:val="20"/>
                      <w:szCs w:val="20"/>
                    </w:rPr>
                  </w:pPr>
                  <w:r w:rsidRPr="00B60236">
                    <w:rPr>
                      <w:rFonts w:cstheme="majorBidi"/>
                      <w:color w:val="000000"/>
                      <w:sz w:val="20"/>
                      <w:szCs w:val="20"/>
                    </w:rPr>
                    <w:t>MDV SR (cesty)</w:t>
                  </w:r>
                </w:p>
              </w:tc>
              <w:tc>
                <w:tcPr>
                  <w:tcW w:w="1849" w:type="pct"/>
                  <w:tcBorders>
                    <w:top w:val="nil"/>
                    <w:left w:val="nil"/>
                    <w:bottom w:val="nil"/>
                    <w:right w:val="nil"/>
                  </w:tcBorders>
                  <w:shd w:val="clear" w:color="auto" w:fill="auto"/>
                  <w:noWrap/>
                  <w:vAlign w:val="center"/>
                  <w:hideMark/>
                </w:tcPr>
                <w:p w14:paraId="3C97C6C8" w14:textId="77777777" w:rsidR="006D0D3B" w:rsidRPr="00B60236" w:rsidRDefault="0047025F" w:rsidP="000E4D54">
                  <w:pPr>
                    <w:jc w:val="center"/>
                    <w:rPr>
                      <w:rFonts w:cs="Calibri"/>
                      <w:color w:val="000000"/>
                      <w:sz w:val="20"/>
                      <w:szCs w:val="20"/>
                    </w:rPr>
                  </w:pPr>
                  <w:hyperlink r:id="rId63" w:history="1">
                    <w:r w:rsidR="006D0D3B" w:rsidRPr="0005284A">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25B1ABBE" w14:textId="77777777" w:rsidR="006D0D3B" w:rsidRPr="00B60236" w:rsidRDefault="0047025F" w:rsidP="000E4D54">
                  <w:pPr>
                    <w:jc w:val="center"/>
                    <w:rPr>
                      <w:rFonts w:cs="Calibri"/>
                      <w:color w:val="000000"/>
                      <w:sz w:val="20"/>
                      <w:szCs w:val="20"/>
                    </w:rPr>
                  </w:pPr>
                  <w:hyperlink r:id="rId64" w:history="1">
                    <w:r w:rsidR="006D0D3B" w:rsidRPr="00B40D75">
                      <w:rPr>
                        <w:rStyle w:val="Hypertextovprepojenie"/>
                        <w:rFonts w:cstheme="majorBidi"/>
                        <w:sz w:val="20"/>
                        <w:szCs w:val="20"/>
                      </w:rPr>
                      <w:t>Zverejnený</w:t>
                    </w:r>
                  </w:hyperlink>
                </w:p>
              </w:tc>
            </w:tr>
            <w:tr w:rsidR="006D0D3B" w:rsidRPr="00B60236" w14:paraId="0AF6E972" w14:textId="77777777" w:rsidTr="000E4D54">
              <w:trPr>
                <w:trHeight w:val="255"/>
                <w:tblHeader/>
              </w:trPr>
              <w:tc>
                <w:tcPr>
                  <w:tcW w:w="1301" w:type="pct"/>
                  <w:tcBorders>
                    <w:top w:val="nil"/>
                    <w:left w:val="nil"/>
                    <w:bottom w:val="nil"/>
                    <w:right w:val="nil"/>
                  </w:tcBorders>
                  <w:shd w:val="clear" w:color="auto" w:fill="auto"/>
                  <w:vAlign w:val="center"/>
                  <w:hideMark/>
                </w:tcPr>
                <w:p w14:paraId="7112DFDF" w14:textId="77777777" w:rsidR="006D0D3B" w:rsidRPr="00B60236" w:rsidRDefault="006D0D3B" w:rsidP="000E4D54">
                  <w:pPr>
                    <w:rPr>
                      <w:rFonts w:cs="Calibri"/>
                      <w:color w:val="000000"/>
                      <w:sz w:val="20"/>
                      <w:szCs w:val="20"/>
                    </w:rPr>
                  </w:pPr>
                  <w:r w:rsidRPr="00B60236">
                    <w:rPr>
                      <w:rFonts w:cstheme="majorBidi"/>
                      <w:color w:val="000000"/>
                      <w:sz w:val="20"/>
                      <w:szCs w:val="20"/>
                    </w:rPr>
                    <w:t>MDV SR (ŽSR)</w:t>
                  </w:r>
                </w:p>
              </w:tc>
              <w:tc>
                <w:tcPr>
                  <w:tcW w:w="1849" w:type="pct"/>
                  <w:tcBorders>
                    <w:top w:val="nil"/>
                    <w:left w:val="nil"/>
                    <w:bottom w:val="nil"/>
                    <w:right w:val="nil"/>
                  </w:tcBorders>
                  <w:shd w:val="clear" w:color="auto" w:fill="auto"/>
                  <w:noWrap/>
                  <w:vAlign w:val="center"/>
                  <w:hideMark/>
                </w:tcPr>
                <w:p w14:paraId="7C236DE9" w14:textId="77777777" w:rsidR="006D0D3B" w:rsidRPr="00B60236" w:rsidRDefault="0047025F" w:rsidP="000E4D54">
                  <w:pPr>
                    <w:jc w:val="center"/>
                    <w:rPr>
                      <w:rFonts w:cs="Calibri"/>
                      <w:color w:val="000000"/>
                      <w:sz w:val="20"/>
                      <w:szCs w:val="20"/>
                    </w:rPr>
                  </w:pPr>
                  <w:hyperlink r:id="rId65" w:history="1">
                    <w:r w:rsidR="006D0D3B" w:rsidRPr="007F0D74">
                      <w:rPr>
                        <w:rStyle w:val="Hypertextovprepojenie"/>
                      </w:rPr>
                      <w:t>Zverejnená</w:t>
                    </w:r>
                  </w:hyperlink>
                </w:p>
              </w:tc>
              <w:tc>
                <w:tcPr>
                  <w:tcW w:w="1849" w:type="pct"/>
                  <w:tcBorders>
                    <w:top w:val="nil"/>
                    <w:left w:val="nil"/>
                    <w:bottom w:val="nil"/>
                    <w:right w:val="nil"/>
                  </w:tcBorders>
                  <w:shd w:val="clear" w:color="auto" w:fill="auto"/>
                  <w:noWrap/>
                  <w:vAlign w:val="center"/>
                  <w:hideMark/>
                </w:tcPr>
                <w:p w14:paraId="763C863E" w14:textId="77777777" w:rsidR="006D0D3B" w:rsidRPr="00B60236" w:rsidRDefault="0047025F" w:rsidP="000E4D54">
                  <w:pPr>
                    <w:jc w:val="center"/>
                    <w:rPr>
                      <w:rFonts w:cs="Calibri"/>
                      <w:color w:val="000000"/>
                      <w:sz w:val="20"/>
                      <w:szCs w:val="20"/>
                    </w:rPr>
                  </w:pPr>
                  <w:hyperlink r:id="rId66" w:history="1">
                    <w:r w:rsidR="006D0D3B" w:rsidRPr="00B40D75">
                      <w:rPr>
                        <w:rStyle w:val="Hypertextovprepojenie"/>
                        <w:rFonts w:cstheme="majorBidi"/>
                        <w:sz w:val="20"/>
                        <w:szCs w:val="20"/>
                      </w:rPr>
                      <w:t>Zverejnený</w:t>
                    </w:r>
                  </w:hyperlink>
                </w:p>
              </w:tc>
            </w:tr>
            <w:tr w:rsidR="006D0D3B" w:rsidRPr="00B60236" w14:paraId="1168E57B" w14:textId="77777777" w:rsidTr="000E4D54">
              <w:trPr>
                <w:trHeight w:val="255"/>
                <w:tblHeader/>
              </w:trPr>
              <w:tc>
                <w:tcPr>
                  <w:tcW w:w="1301" w:type="pct"/>
                  <w:tcBorders>
                    <w:top w:val="nil"/>
                    <w:left w:val="nil"/>
                    <w:bottom w:val="nil"/>
                    <w:right w:val="nil"/>
                  </w:tcBorders>
                  <w:shd w:val="clear" w:color="auto" w:fill="auto"/>
                  <w:vAlign w:val="center"/>
                </w:tcPr>
                <w:p w14:paraId="3D6663B3" w14:textId="77777777" w:rsidR="006D0D3B" w:rsidRPr="00B60236" w:rsidRDefault="006D0D3B" w:rsidP="000E4D54">
                  <w:pPr>
                    <w:rPr>
                      <w:rFonts w:cstheme="majorBidi"/>
                      <w:color w:val="000000"/>
                      <w:sz w:val="20"/>
                      <w:szCs w:val="20"/>
                    </w:rPr>
                  </w:pPr>
                  <w:r>
                    <w:rPr>
                      <w:rFonts w:cstheme="majorBidi"/>
                      <w:color w:val="000000"/>
                      <w:sz w:val="20"/>
                      <w:szCs w:val="20"/>
                    </w:rPr>
                    <w:t>MDV SR (ostatné)</w:t>
                  </w:r>
                </w:p>
              </w:tc>
              <w:tc>
                <w:tcPr>
                  <w:tcW w:w="1849" w:type="pct"/>
                  <w:tcBorders>
                    <w:top w:val="nil"/>
                    <w:left w:val="nil"/>
                    <w:bottom w:val="nil"/>
                    <w:right w:val="nil"/>
                  </w:tcBorders>
                  <w:shd w:val="clear" w:color="auto" w:fill="auto"/>
                  <w:noWrap/>
                  <w:vAlign w:val="center"/>
                </w:tcPr>
                <w:p w14:paraId="1C0BA717" w14:textId="77777777" w:rsidR="006D0D3B" w:rsidRPr="00B60236" w:rsidRDefault="006D0D3B" w:rsidP="000E4D54">
                  <w:pPr>
                    <w:jc w:val="center"/>
                    <w:rPr>
                      <w:rFonts w:cstheme="majorBidi"/>
                      <w:color w:val="000000"/>
                      <w:sz w:val="20"/>
                      <w:szCs w:val="20"/>
                    </w:rPr>
                  </w:pPr>
                  <w:r w:rsidRPr="00B60236">
                    <w:rPr>
                      <w:rFonts w:cstheme="majorBidi"/>
                      <w:color w:val="000000"/>
                      <w:sz w:val="20"/>
                      <w:szCs w:val="20"/>
                    </w:rPr>
                    <w:t>Nezverejnená</w:t>
                  </w:r>
                </w:p>
              </w:tc>
              <w:tc>
                <w:tcPr>
                  <w:tcW w:w="1849" w:type="pct"/>
                  <w:tcBorders>
                    <w:top w:val="nil"/>
                    <w:left w:val="nil"/>
                    <w:bottom w:val="nil"/>
                    <w:right w:val="nil"/>
                  </w:tcBorders>
                  <w:shd w:val="clear" w:color="auto" w:fill="auto"/>
                  <w:noWrap/>
                  <w:vAlign w:val="center"/>
                </w:tcPr>
                <w:p w14:paraId="0615E7C3" w14:textId="77777777" w:rsidR="006D0D3B" w:rsidRPr="00B60236" w:rsidRDefault="006D0D3B" w:rsidP="000E4D54">
                  <w:pPr>
                    <w:jc w:val="center"/>
                    <w:rPr>
                      <w:rFonts w:cstheme="majorBidi"/>
                      <w:color w:val="000000"/>
                      <w:sz w:val="20"/>
                      <w:szCs w:val="20"/>
                    </w:rPr>
                  </w:pPr>
                  <w:r w:rsidRPr="00B60236">
                    <w:rPr>
                      <w:rFonts w:cstheme="majorBidi"/>
                      <w:color w:val="000000"/>
                      <w:sz w:val="20"/>
                      <w:szCs w:val="20"/>
                    </w:rPr>
                    <w:t>Nezverejnen</w:t>
                  </w:r>
                  <w:r>
                    <w:rPr>
                      <w:rFonts w:cstheme="majorBidi"/>
                      <w:color w:val="000000"/>
                      <w:sz w:val="20"/>
                      <w:szCs w:val="20"/>
                    </w:rPr>
                    <w:t>ý</w:t>
                  </w:r>
                </w:p>
              </w:tc>
            </w:tr>
            <w:tr w:rsidR="006D0D3B" w:rsidRPr="00B60236" w14:paraId="14ECBDF2" w14:textId="77777777" w:rsidTr="000E4D54">
              <w:trPr>
                <w:trHeight w:val="255"/>
                <w:tblHeader/>
              </w:trPr>
              <w:tc>
                <w:tcPr>
                  <w:tcW w:w="1301" w:type="pct"/>
                  <w:tcBorders>
                    <w:top w:val="nil"/>
                    <w:left w:val="nil"/>
                    <w:bottom w:val="nil"/>
                    <w:right w:val="nil"/>
                  </w:tcBorders>
                  <w:shd w:val="clear" w:color="auto" w:fill="auto"/>
                  <w:vAlign w:val="center"/>
                  <w:hideMark/>
                </w:tcPr>
                <w:p w14:paraId="003857A9" w14:textId="77777777" w:rsidR="006D0D3B" w:rsidRPr="00B60236" w:rsidRDefault="006D0D3B" w:rsidP="000E4D54">
                  <w:pPr>
                    <w:rPr>
                      <w:rFonts w:cs="Calibri"/>
                      <w:color w:val="000000"/>
                      <w:sz w:val="20"/>
                      <w:szCs w:val="20"/>
                    </w:rPr>
                  </w:pPr>
                  <w:r w:rsidRPr="00B60236">
                    <w:rPr>
                      <w:rFonts w:cstheme="majorBidi"/>
                      <w:color w:val="000000"/>
                      <w:sz w:val="20"/>
                      <w:szCs w:val="20"/>
                    </w:rPr>
                    <w:t>MO SR</w:t>
                  </w:r>
                </w:p>
              </w:tc>
              <w:tc>
                <w:tcPr>
                  <w:tcW w:w="1849" w:type="pct"/>
                  <w:tcBorders>
                    <w:top w:val="nil"/>
                    <w:left w:val="nil"/>
                    <w:bottom w:val="nil"/>
                    <w:right w:val="nil"/>
                  </w:tcBorders>
                  <w:shd w:val="clear" w:color="auto" w:fill="auto"/>
                  <w:noWrap/>
                  <w:vAlign w:val="center"/>
                  <w:hideMark/>
                </w:tcPr>
                <w:p w14:paraId="0C8795CF" w14:textId="77777777" w:rsidR="006D0D3B" w:rsidRPr="00B60236" w:rsidRDefault="0047025F" w:rsidP="000E4D54">
                  <w:pPr>
                    <w:jc w:val="center"/>
                    <w:rPr>
                      <w:rFonts w:cs="Calibri"/>
                      <w:color w:val="000000"/>
                      <w:sz w:val="20"/>
                      <w:szCs w:val="20"/>
                    </w:rPr>
                  </w:pPr>
                  <w:hyperlink r:id="rId67" w:history="1">
                    <w:r w:rsidR="006D0D3B" w:rsidRPr="00B40D75">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488AEE82" w14:textId="77777777" w:rsidR="006D0D3B" w:rsidRPr="00B60236" w:rsidRDefault="0047025F" w:rsidP="000E4D54">
                  <w:pPr>
                    <w:jc w:val="center"/>
                    <w:rPr>
                      <w:rFonts w:cs="Calibri"/>
                      <w:color w:val="000000"/>
                      <w:sz w:val="20"/>
                      <w:szCs w:val="20"/>
                    </w:rPr>
                  </w:pPr>
                  <w:hyperlink r:id="rId68" w:history="1">
                    <w:r w:rsidR="006D0D3B" w:rsidRPr="00B40D75">
                      <w:rPr>
                        <w:rStyle w:val="Hypertextovprepojenie"/>
                        <w:rFonts w:cstheme="majorBidi"/>
                        <w:sz w:val="20"/>
                        <w:szCs w:val="20"/>
                      </w:rPr>
                      <w:t>Zverejnený</w:t>
                    </w:r>
                  </w:hyperlink>
                </w:p>
              </w:tc>
            </w:tr>
            <w:tr w:rsidR="006D0D3B" w:rsidRPr="00B60236" w14:paraId="23F5FC15" w14:textId="77777777" w:rsidTr="000E4D54">
              <w:trPr>
                <w:trHeight w:val="255"/>
                <w:tblHeader/>
              </w:trPr>
              <w:tc>
                <w:tcPr>
                  <w:tcW w:w="1301" w:type="pct"/>
                  <w:tcBorders>
                    <w:top w:val="nil"/>
                    <w:left w:val="nil"/>
                    <w:bottom w:val="nil"/>
                    <w:right w:val="nil"/>
                  </w:tcBorders>
                  <w:shd w:val="clear" w:color="auto" w:fill="auto"/>
                  <w:vAlign w:val="center"/>
                  <w:hideMark/>
                </w:tcPr>
                <w:p w14:paraId="593FB777" w14:textId="77777777" w:rsidR="006D0D3B" w:rsidRPr="00B60236" w:rsidRDefault="006D0D3B" w:rsidP="000E4D54">
                  <w:pPr>
                    <w:rPr>
                      <w:rFonts w:cs="Calibri"/>
                      <w:color w:val="000000"/>
                      <w:sz w:val="20"/>
                      <w:szCs w:val="20"/>
                    </w:rPr>
                  </w:pPr>
                  <w:r w:rsidRPr="00B60236">
                    <w:rPr>
                      <w:rFonts w:cstheme="majorBidi"/>
                      <w:color w:val="000000"/>
                      <w:sz w:val="20"/>
                      <w:szCs w:val="20"/>
                    </w:rPr>
                    <w:t>MV SR</w:t>
                  </w:r>
                </w:p>
              </w:tc>
              <w:tc>
                <w:tcPr>
                  <w:tcW w:w="1849" w:type="pct"/>
                  <w:tcBorders>
                    <w:top w:val="nil"/>
                    <w:left w:val="nil"/>
                    <w:bottom w:val="nil"/>
                    <w:right w:val="nil"/>
                  </w:tcBorders>
                  <w:shd w:val="clear" w:color="auto" w:fill="auto"/>
                  <w:noWrap/>
                  <w:vAlign w:val="center"/>
                  <w:hideMark/>
                </w:tcPr>
                <w:p w14:paraId="7C6E462A" w14:textId="77777777" w:rsidR="006D0D3B" w:rsidRPr="00B60236" w:rsidRDefault="0047025F" w:rsidP="000E4D54">
                  <w:pPr>
                    <w:jc w:val="center"/>
                    <w:rPr>
                      <w:rFonts w:cs="Calibri"/>
                      <w:color w:val="000000"/>
                      <w:sz w:val="20"/>
                      <w:szCs w:val="20"/>
                    </w:rPr>
                  </w:pPr>
                  <w:hyperlink r:id="rId69" w:history="1">
                    <w:r w:rsidR="006D0D3B" w:rsidRPr="00B40D75">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2D86B5B7" w14:textId="77777777" w:rsidR="006D0D3B" w:rsidRPr="00B60236" w:rsidRDefault="006D0D3B" w:rsidP="000E4D54">
                  <w:pPr>
                    <w:jc w:val="center"/>
                    <w:rPr>
                      <w:rFonts w:cs="Calibri"/>
                      <w:color w:val="000000"/>
                      <w:sz w:val="20"/>
                      <w:szCs w:val="20"/>
                    </w:rPr>
                  </w:pPr>
                  <w:r w:rsidRPr="00B60236">
                    <w:rPr>
                      <w:rFonts w:cstheme="majorBidi"/>
                      <w:color w:val="000000"/>
                      <w:sz w:val="20"/>
                      <w:szCs w:val="20"/>
                    </w:rPr>
                    <w:t>Nezverejnený (v príprave)</w:t>
                  </w:r>
                </w:p>
              </w:tc>
            </w:tr>
            <w:tr w:rsidR="006D0D3B" w:rsidRPr="00B60236" w14:paraId="5A24154B" w14:textId="77777777" w:rsidTr="000E4D54">
              <w:trPr>
                <w:trHeight w:val="255"/>
                <w:tblHeader/>
              </w:trPr>
              <w:tc>
                <w:tcPr>
                  <w:tcW w:w="1301" w:type="pct"/>
                  <w:tcBorders>
                    <w:top w:val="nil"/>
                    <w:left w:val="nil"/>
                    <w:bottom w:val="nil"/>
                    <w:right w:val="nil"/>
                  </w:tcBorders>
                  <w:shd w:val="clear" w:color="auto" w:fill="auto"/>
                  <w:vAlign w:val="center"/>
                  <w:hideMark/>
                </w:tcPr>
                <w:p w14:paraId="2ED479DC" w14:textId="77777777" w:rsidR="006D0D3B" w:rsidRPr="00B60236" w:rsidRDefault="006D0D3B" w:rsidP="000E4D54">
                  <w:pPr>
                    <w:rPr>
                      <w:rFonts w:cs="Calibri"/>
                      <w:color w:val="000000"/>
                      <w:sz w:val="20"/>
                      <w:szCs w:val="20"/>
                    </w:rPr>
                  </w:pPr>
                  <w:r w:rsidRPr="00B60236">
                    <w:rPr>
                      <w:rFonts w:cstheme="majorBidi"/>
                      <w:color w:val="000000"/>
                      <w:sz w:val="20"/>
                      <w:szCs w:val="20"/>
                    </w:rPr>
                    <w:t>MF SR</w:t>
                  </w:r>
                </w:p>
              </w:tc>
              <w:tc>
                <w:tcPr>
                  <w:tcW w:w="1849" w:type="pct"/>
                  <w:tcBorders>
                    <w:top w:val="nil"/>
                    <w:left w:val="nil"/>
                    <w:bottom w:val="nil"/>
                    <w:right w:val="nil"/>
                  </w:tcBorders>
                  <w:shd w:val="clear" w:color="auto" w:fill="auto"/>
                  <w:noWrap/>
                  <w:vAlign w:val="center"/>
                  <w:hideMark/>
                </w:tcPr>
                <w:p w14:paraId="2853CAA9" w14:textId="77777777" w:rsidR="006D0D3B" w:rsidRPr="00B60236" w:rsidRDefault="0047025F" w:rsidP="000E4D54">
                  <w:pPr>
                    <w:jc w:val="center"/>
                    <w:rPr>
                      <w:rFonts w:cs="Calibri"/>
                      <w:color w:val="000000"/>
                      <w:sz w:val="20"/>
                      <w:szCs w:val="20"/>
                    </w:rPr>
                  </w:pPr>
                  <w:hyperlink r:id="rId70" w:history="1">
                    <w:r w:rsidR="006D0D3B" w:rsidRPr="0005284A">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319271CA" w14:textId="77777777" w:rsidR="006D0D3B" w:rsidRPr="00B60236" w:rsidRDefault="0047025F" w:rsidP="000E4D54">
                  <w:pPr>
                    <w:jc w:val="center"/>
                    <w:rPr>
                      <w:rFonts w:cs="Calibri"/>
                      <w:color w:val="000000"/>
                      <w:sz w:val="20"/>
                      <w:szCs w:val="20"/>
                    </w:rPr>
                  </w:pPr>
                  <w:hyperlink r:id="rId71" w:history="1">
                    <w:r w:rsidR="006D0D3B" w:rsidRPr="0005284A">
                      <w:rPr>
                        <w:rStyle w:val="Hypertextovprepojenie"/>
                        <w:rFonts w:cstheme="majorBidi"/>
                        <w:sz w:val="20"/>
                        <w:szCs w:val="20"/>
                      </w:rPr>
                      <w:t>Zverejnená</w:t>
                    </w:r>
                  </w:hyperlink>
                </w:p>
              </w:tc>
            </w:tr>
            <w:tr w:rsidR="006D0D3B" w:rsidRPr="00B60236" w14:paraId="5505E952" w14:textId="77777777" w:rsidTr="000E4D54">
              <w:trPr>
                <w:trHeight w:val="255"/>
                <w:tblHeader/>
              </w:trPr>
              <w:tc>
                <w:tcPr>
                  <w:tcW w:w="1301" w:type="pct"/>
                  <w:tcBorders>
                    <w:top w:val="nil"/>
                    <w:left w:val="nil"/>
                    <w:bottom w:val="nil"/>
                    <w:right w:val="nil"/>
                  </w:tcBorders>
                  <w:shd w:val="clear" w:color="auto" w:fill="auto"/>
                  <w:vAlign w:val="center"/>
                  <w:hideMark/>
                </w:tcPr>
                <w:p w14:paraId="3551BFF4" w14:textId="77777777" w:rsidR="006D0D3B" w:rsidRPr="00B60236" w:rsidRDefault="006D0D3B" w:rsidP="000E4D54">
                  <w:pPr>
                    <w:rPr>
                      <w:rFonts w:cs="Calibri"/>
                      <w:color w:val="000000"/>
                      <w:sz w:val="20"/>
                      <w:szCs w:val="20"/>
                    </w:rPr>
                  </w:pPr>
                  <w:r w:rsidRPr="00B60236">
                    <w:rPr>
                      <w:rFonts w:cstheme="majorBidi"/>
                      <w:color w:val="000000"/>
                      <w:sz w:val="20"/>
                      <w:szCs w:val="20"/>
                    </w:rPr>
                    <w:t>MZ SR</w:t>
                  </w:r>
                </w:p>
              </w:tc>
              <w:tc>
                <w:tcPr>
                  <w:tcW w:w="1849" w:type="pct"/>
                  <w:tcBorders>
                    <w:top w:val="nil"/>
                    <w:left w:val="nil"/>
                    <w:bottom w:val="nil"/>
                    <w:right w:val="nil"/>
                  </w:tcBorders>
                  <w:shd w:val="clear" w:color="auto" w:fill="auto"/>
                  <w:noWrap/>
                  <w:vAlign w:val="center"/>
                  <w:hideMark/>
                </w:tcPr>
                <w:p w14:paraId="1C3DC816" w14:textId="77777777" w:rsidR="006D0D3B" w:rsidRPr="00B60236" w:rsidRDefault="0047025F" w:rsidP="000E4D54">
                  <w:pPr>
                    <w:jc w:val="center"/>
                    <w:rPr>
                      <w:rFonts w:cs="Calibri"/>
                      <w:color w:val="000000"/>
                      <w:sz w:val="20"/>
                      <w:szCs w:val="20"/>
                    </w:rPr>
                  </w:pPr>
                  <w:hyperlink r:id="rId72" w:history="1">
                    <w:r w:rsidR="006D0D3B" w:rsidRPr="00626C2E">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0931C2AC" w14:textId="77777777" w:rsidR="006D0D3B" w:rsidRPr="00B60236" w:rsidRDefault="006D0D3B" w:rsidP="000E4D54">
                  <w:pPr>
                    <w:jc w:val="center"/>
                    <w:rPr>
                      <w:rFonts w:cs="Calibri"/>
                      <w:color w:val="000000"/>
                      <w:sz w:val="20"/>
                      <w:szCs w:val="20"/>
                    </w:rPr>
                  </w:pPr>
                  <w:r w:rsidRPr="00B60236">
                    <w:rPr>
                      <w:rFonts w:cstheme="majorBidi"/>
                      <w:color w:val="000000"/>
                      <w:sz w:val="20"/>
                      <w:szCs w:val="20"/>
                    </w:rPr>
                    <w:t>Nezverejnený (v príprave)</w:t>
                  </w:r>
                </w:p>
              </w:tc>
            </w:tr>
            <w:tr w:rsidR="006D0D3B" w:rsidRPr="00B60236" w14:paraId="4BE0FE23" w14:textId="77777777" w:rsidTr="000E4D54">
              <w:trPr>
                <w:trHeight w:val="255"/>
                <w:tblHeader/>
              </w:trPr>
              <w:tc>
                <w:tcPr>
                  <w:tcW w:w="1301" w:type="pct"/>
                  <w:tcBorders>
                    <w:top w:val="nil"/>
                    <w:left w:val="nil"/>
                    <w:bottom w:val="nil"/>
                    <w:right w:val="nil"/>
                  </w:tcBorders>
                  <w:shd w:val="clear" w:color="auto" w:fill="auto"/>
                  <w:vAlign w:val="center"/>
                  <w:hideMark/>
                </w:tcPr>
                <w:p w14:paraId="5ED4C867" w14:textId="77777777" w:rsidR="006D0D3B" w:rsidRPr="00B60236" w:rsidRDefault="006D0D3B" w:rsidP="000E4D54">
                  <w:pPr>
                    <w:rPr>
                      <w:rFonts w:cs="Calibri"/>
                      <w:color w:val="000000"/>
                      <w:sz w:val="20"/>
                      <w:szCs w:val="20"/>
                    </w:rPr>
                  </w:pPr>
                  <w:r w:rsidRPr="00B60236">
                    <w:rPr>
                      <w:rFonts w:cstheme="majorBidi"/>
                      <w:color w:val="000000"/>
                      <w:sz w:val="20"/>
                      <w:szCs w:val="20"/>
                    </w:rPr>
                    <w:t>MS SR</w:t>
                  </w:r>
                </w:p>
              </w:tc>
              <w:tc>
                <w:tcPr>
                  <w:tcW w:w="1849" w:type="pct"/>
                  <w:tcBorders>
                    <w:top w:val="nil"/>
                    <w:left w:val="nil"/>
                    <w:bottom w:val="nil"/>
                    <w:right w:val="nil"/>
                  </w:tcBorders>
                  <w:shd w:val="clear" w:color="auto" w:fill="auto"/>
                  <w:noWrap/>
                  <w:vAlign w:val="center"/>
                  <w:hideMark/>
                </w:tcPr>
                <w:p w14:paraId="2418FA8D" w14:textId="77777777" w:rsidR="006D0D3B" w:rsidRPr="00B60236" w:rsidRDefault="0047025F" w:rsidP="000E4D54">
                  <w:pPr>
                    <w:jc w:val="center"/>
                    <w:rPr>
                      <w:rFonts w:cs="Calibri"/>
                      <w:color w:val="000000"/>
                      <w:sz w:val="20"/>
                      <w:szCs w:val="20"/>
                    </w:rPr>
                  </w:pPr>
                  <w:hyperlink r:id="rId73" w:history="1">
                    <w:r w:rsidR="006D0D3B" w:rsidRPr="0005284A">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6D50B29C" w14:textId="77777777" w:rsidR="006D0D3B" w:rsidRPr="00B60236" w:rsidRDefault="0047025F" w:rsidP="000E4D54">
                  <w:pPr>
                    <w:jc w:val="center"/>
                    <w:rPr>
                      <w:rFonts w:cs="Calibri"/>
                      <w:color w:val="000000"/>
                      <w:sz w:val="20"/>
                      <w:szCs w:val="20"/>
                    </w:rPr>
                  </w:pPr>
                  <w:hyperlink r:id="rId74" w:history="1">
                    <w:r w:rsidR="006D0D3B" w:rsidRPr="0005284A">
                      <w:rPr>
                        <w:rStyle w:val="Hypertextovprepojenie"/>
                        <w:rFonts w:cstheme="majorBidi"/>
                        <w:sz w:val="20"/>
                        <w:szCs w:val="20"/>
                      </w:rPr>
                      <w:t>Zverejnený</w:t>
                    </w:r>
                  </w:hyperlink>
                </w:p>
              </w:tc>
            </w:tr>
            <w:tr w:rsidR="006D0D3B" w:rsidRPr="00B60236" w14:paraId="06EB9B0D" w14:textId="77777777" w:rsidTr="000E4D54">
              <w:trPr>
                <w:trHeight w:val="255"/>
                <w:tblHeader/>
              </w:trPr>
              <w:tc>
                <w:tcPr>
                  <w:tcW w:w="1301" w:type="pct"/>
                  <w:tcBorders>
                    <w:top w:val="nil"/>
                    <w:left w:val="nil"/>
                    <w:bottom w:val="nil"/>
                    <w:right w:val="nil"/>
                  </w:tcBorders>
                  <w:shd w:val="clear" w:color="auto" w:fill="auto"/>
                  <w:vAlign w:val="center"/>
                  <w:hideMark/>
                </w:tcPr>
                <w:p w14:paraId="11825B1C" w14:textId="77777777" w:rsidR="006D0D3B" w:rsidRPr="00B60236" w:rsidRDefault="006D0D3B" w:rsidP="000E4D54">
                  <w:pPr>
                    <w:rPr>
                      <w:rFonts w:cs="Calibri"/>
                      <w:color w:val="000000"/>
                      <w:sz w:val="20"/>
                      <w:szCs w:val="20"/>
                    </w:rPr>
                  </w:pPr>
                  <w:r w:rsidRPr="00B60236">
                    <w:rPr>
                      <w:rFonts w:cstheme="majorBidi"/>
                      <w:color w:val="000000"/>
                      <w:sz w:val="20"/>
                      <w:szCs w:val="20"/>
                    </w:rPr>
                    <w:t>MK SR</w:t>
                  </w:r>
                </w:p>
              </w:tc>
              <w:tc>
                <w:tcPr>
                  <w:tcW w:w="1849" w:type="pct"/>
                  <w:tcBorders>
                    <w:top w:val="nil"/>
                    <w:left w:val="nil"/>
                    <w:bottom w:val="nil"/>
                    <w:right w:val="nil"/>
                  </w:tcBorders>
                  <w:shd w:val="clear" w:color="auto" w:fill="auto"/>
                  <w:noWrap/>
                  <w:vAlign w:val="center"/>
                  <w:hideMark/>
                </w:tcPr>
                <w:p w14:paraId="50EE0535" w14:textId="77777777" w:rsidR="006D0D3B" w:rsidRPr="00B60236" w:rsidRDefault="0047025F" w:rsidP="000E4D54">
                  <w:pPr>
                    <w:jc w:val="center"/>
                    <w:rPr>
                      <w:rFonts w:cs="Calibri"/>
                      <w:color w:val="000000"/>
                      <w:sz w:val="20"/>
                      <w:szCs w:val="20"/>
                    </w:rPr>
                  </w:pPr>
                  <w:hyperlink r:id="rId75" w:history="1">
                    <w:r w:rsidR="006D0D3B" w:rsidRPr="00B40D75">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564A9965" w14:textId="77777777" w:rsidR="006D0D3B" w:rsidRPr="00B60236" w:rsidRDefault="006D0D3B" w:rsidP="000E4D54">
                  <w:pPr>
                    <w:jc w:val="center"/>
                    <w:rPr>
                      <w:rFonts w:cs="Calibri"/>
                      <w:color w:val="000000"/>
                      <w:sz w:val="20"/>
                      <w:szCs w:val="20"/>
                    </w:rPr>
                  </w:pPr>
                  <w:r w:rsidRPr="00B60236">
                    <w:rPr>
                      <w:rFonts w:cstheme="majorBidi"/>
                      <w:color w:val="000000"/>
                      <w:sz w:val="20"/>
                      <w:szCs w:val="20"/>
                    </w:rPr>
                    <w:t>Nezverejnená (v príprave)</w:t>
                  </w:r>
                </w:p>
              </w:tc>
            </w:tr>
            <w:tr w:rsidR="006D0D3B" w:rsidRPr="00B60236" w14:paraId="0CFEAE98" w14:textId="77777777" w:rsidTr="000E4D54">
              <w:trPr>
                <w:trHeight w:val="255"/>
                <w:tblHeader/>
              </w:trPr>
              <w:tc>
                <w:tcPr>
                  <w:tcW w:w="1301" w:type="pct"/>
                  <w:tcBorders>
                    <w:top w:val="nil"/>
                    <w:left w:val="nil"/>
                    <w:bottom w:val="nil"/>
                    <w:right w:val="nil"/>
                  </w:tcBorders>
                  <w:shd w:val="clear" w:color="auto" w:fill="auto"/>
                  <w:vAlign w:val="center"/>
                  <w:hideMark/>
                </w:tcPr>
                <w:p w14:paraId="17A7EFA8" w14:textId="77777777" w:rsidR="006D0D3B" w:rsidRPr="00B60236" w:rsidRDefault="006D0D3B" w:rsidP="000E4D54">
                  <w:pPr>
                    <w:rPr>
                      <w:rFonts w:cs="Calibri"/>
                      <w:color w:val="000000"/>
                      <w:sz w:val="20"/>
                      <w:szCs w:val="20"/>
                    </w:rPr>
                  </w:pPr>
                  <w:r w:rsidRPr="00B60236">
                    <w:rPr>
                      <w:rFonts w:cstheme="majorBidi"/>
                      <w:color w:val="000000"/>
                      <w:sz w:val="20"/>
                      <w:szCs w:val="20"/>
                    </w:rPr>
                    <w:t>MH SR</w:t>
                  </w:r>
                </w:p>
              </w:tc>
              <w:tc>
                <w:tcPr>
                  <w:tcW w:w="1849" w:type="pct"/>
                  <w:tcBorders>
                    <w:top w:val="nil"/>
                    <w:left w:val="nil"/>
                    <w:bottom w:val="nil"/>
                    <w:right w:val="nil"/>
                  </w:tcBorders>
                  <w:shd w:val="clear" w:color="auto" w:fill="auto"/>
                  <w:noWrap/>
                  <w:vAlign w:val="center"/>
                  <w:hideMark/>
                </w:tcPr>
                <w:p w14:paraId="20A1C0C6" w14:textId="77777777" w:rsidR="006D0D3B" w:rsidRPr="00B60236" w:rsidRDefault="006D0D3B" w:rsidP="000E4D54">
                  <w:pPr>
                    <w:jc w:val="center"/>
                    <w:rPr>
                      <w:rFonts w:cs="Calibri"/>
                      <w:color w:val="000000"/>
                      <w:sz w:val="20"/>
                      <w:szCs w:val="20"/>
                    </w:rPr>
                  </w:pPr>
                  <w:r w:rsidRPr="00B60236">
                    <w:rPr>
                      <w:rFonts w:cstheme="majorBidi"/>
                      <w:color w:val="000000"/>
                      <w:sz w:val="20"/>
                      <w:szCs w:val="20"/>
                    </w:rPr>
                    <w:t>Nezverejnená (v príprave)</w:t>
                  </w:r>
                </w:p>
              </w:tc>
              <w:tc>
                <w:tcPr>
                  <w:tcW w:w="1849" w:type="pct"/>
                  <w:tcBorders>
                    <w:top w:val="nil"/>
                    <w:left w:val="nil"/>
                    <w:bottom w:val="nil"/>
                    <w:right w:val="nil"/>
                  </w:tcBorders>
                  <w:shd w:val="clear" w:color="auto" w:fill="auto"/>
                  <w:noWrap/>
                  <w:vAlign w:val="center"/>
                  <w:hideMark/>
                </w:tcPr>
                <w:p w14:paraId="786D1D01" w14:textId="77777777" w:rsidR="006D0D3B" w:rsidRPr="00B60236" w:rsidRDefault="006D0D3B" w:rsidP="000E4D54">
                  <w:pPr>
                    <w:jc w:val="center"/>
                    <w:rPr>
                      <w:rFonts w:cs="Calibri"/>
                      <w:color w:val="000000"/>
                      <w:sz w:val="20"/>
                      <w:szCs w:val="20"/>
                    </w:rPr>
                  </w:pPr>
                  <w:r w:rsidRPr="00B60236">
                    <w:rPr>
                      <w:rFonts w:cstheme="majorBidi"/>
                      <w:color w:val="000000"/>
                      <w:sz w:val="20"/>
                      <w:szCs w:val="20"/>
                    </w:rPr>
                    <w:t>Nezverejnený (v príprave)</w:t>
                  </w:r>
                </w:p>
              </w:tc>
            </w:tr>
            <w:tr w:rsidR="006D0D3B" w:rsidRPr="00B60236" w14:paraId="37F2ABB0" w14:textId="77777777" w:rsidTr="000E4D54">
              <w:trPr>
                <w:trHeight w:val="255"/>
                <w:tblHeader/>
              </w:trPr>
              <w:tc>
                <w:tcPr>
                  <w:tcW w:w="1301" w:type="pct"/>
                  <w:tcBorders>
                    <w:top w:val="nil"/>
                    <w:left w:val="nil"/>
                    <w:bottom w:val="nil"/>
                    <w:right w:val="nil"/>
                  </w:tcBorders>
                  <w:shd w:val="clear" w:color="auto" w:fill="auto"/>
                  <w:vAlign w:val="center"/>
                  <w:hideMark/>
                </w:tcPr>
                <w:p w14:paraId="217CC12E" w14:textId="77777777" w:rsidR="006D0D3B" w:rsidRPr="00B60236" w:rsidRDefault="006D0D3B" w:rsidP="000E4D54">
                  <w:pPr>
                    <w:rPr>
                      <w:rFonts w:cs="Calibri"/>
                      <w:color w:val="000000"/>
                      <w:sz w:val="20"/>
                      <w:szCs w:val="20"/>
                    </w:rPr>
                  </w:pPr>
                  <w:r w:rsidRPr="00B60236">
                    <w:rPr>
                      <w:rFonts w:cstheme="majorBidi"/>
                      <w:color w:val="000000"/>
                      <w:sz w:val="20"/>
                      <w:szCs w:val="20"/>
                    </w:rPr>
                    <w:t>MIRRI SR</w:t>
                  </w:r>
                </w:p>
              </w:tc>
              <w:tc>
                <w:tcPr>
                  <w:tcW w:w="1849" w:type="pct"/>
                  <w:tcBorders>
                    <w:top w:val="nil"/>
                    <w:left w:val="nil"/>
                    <w:bottom w:val="nil"/>
                    <w:right w:val="nil"/>
                  </w:tcBorders>
                  <w:shd w:val="clear" w:color="auto" w:fill="auto"/>
                  <w:noWrap/>
                  <w:vAlign w:val="center"/>
                  <w:hideMark/>
                </w:tcPr>
                <w:p w14:paraId="4A0BD1E2" w14:textId="77777777" w:rsidR="006D0D3B" w:rsidRPr="00B60236" w:rsidRDefault="0047025F" w:rsidP="000E4D54">
                  <w:pPr>
                    <w:jc w:val="center"/>
                    <w:rPr>
                      <w:rFonts w:cs="Calibri"/>
                      <w:color w:val="000000"/>
                      <w:sz w:val="20"/>
                      <w:szCs w:val="20"/>
                    </w:rPr>
                  </w:pPr>
                  <w:hyperlink r:id="rId76" w:history="1">
                    <w:r w:rsidR="006D0D3B" w:rsidRPr="0005284A">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427FB294" w14:textId="77777777" w:rsidR="006D0D3B" w:rsidRPr="00B60236" w:rsidRDefault="0047025F" w:rsidP="000E4D54">
                  <w:pPr>
                    <w:jc w:val="center"/>
                    <w:rPr>
                      <w:rFonts w:cs="Calibri"/>
                      <w:color w:val="000000"/>
                      <w:sz w:val="20"/>
                      <w:szCs w:val="20"/>
                    </w:rPr>
                  </w:pPr>
                  <w:hyperlink r:id="rId77" w:history="1">
                    <w:r w:rsidR="006D0D3B" w:rsidRPr="0005284A">
                      <w:rPr>
                        <w:rStyle w:val="Hypertextovprepojenie"/>
                        <w:rFonts w:cstheme="majorBidi"/>
                        <w:sz w:val="20"/>
                        <w:szCs w:val="20"/>
                      </w:rPr>
                      <w:t>Zverejnený</w:t>
                    </w:r>
                  </w:hyperlink>
                </w:p>
              </w:tc>
            </w:tr>
            <w:tr w:rsidR="006D0D3B" w:rsidRPr="00B60236" w14:paraId="702FF4E7" w14:textId="77777777" w:rsidTr="000E4D54">
              <w:trPr>
                <w:trHeight w:val="255"/>
                <w:tblHeader/>
              </w:trPr>
              <w:tc>
                <w:tcPr>
                  <w:tcW w:w="1301" w:type="pct"/>
                  <w:tcBorders>
                    <w:top w:val="nil"/>
                    <w:left w:val="nil"/>
                    <w:bottom w:val="nil"/>
                    <w:right w:val="nil"/>
                  </w:tcBorders>
                  <w:shd w:val="clear" w:color="auto" w:fill="auto"/>
                  <w:vAlign w:val="center"/>
                  <w:hideMark/>
                </w:tcPr>
                <w:p w14:paraId="73B14332" w14:textId="77777777" w:rsidR="006D0D3B" w:rsidRPr="00B60236" w:rsidRDefault="006D0D3B" w:rsidP="000E4D54">
                  <w:pPr>
                    <w:rPr>
                      <w:rFonts w:cs="Calibri"/>
                      <w:color w:val="000000"/>
                      <w:sz w:val="20"/>
                      <w:szCs w:val="20"/>
                    </w:rPr>
                  </w:pPr>
                  <w:r w:rsidRPr="00B60236">
                    <w:rPr>
                      <w:rFonts w:cstheme="majorBidi"/>
                      <w:color w:val="000000"/>
                      <w:sz w:val="20"/>
                      <w:szCs w:val="20"/>
                    </w:rPr>
                    <w:t>MŠVVŠ SR</w:t>
                  </w:r>
                </w:p>
              </w:tc>
              <w:tc>
                <w:tcPr>
                  <w:tcW w:w="1849" w:type="pct"/>
                  <w:tcBorders>
                    <w:top w:val="nil"/>
                    <w:left w:val="nil"/>
                    <w:bottom w:val="nil"/>
                    <w:right w:val="nil"/>
                  </w:tcBorders>
                  <w:shd w:val="clear" w:color="auto" w:fill="auto"/>
                  <w:noWrap/>
                  <w:vAlign w:val="center"/>
                  <w:hideMark/>
                </w:tcPr>
                <w:p w14:paraId="726BC135" w14:textId="77777777" w:rsidR="006D0D3B" w:rsidRPr="00B60236" w:rsidRDefault="0047025F" w:rsidP="000E4D54">
                  <w:pPr>
                    <w:jc w:val="center"/>
                    <w:rPr>
                      <w:rFonts w:cs="Calibri"/>
                      <w:color w:val="000000"/>
                      <w:sz w:val="20"/>
                      <w:szCs w:val="20"/>
                    </w:rPr>
                  </w:pPr>
                  <w:hyperlink r:id="rId78" w:history="1">
                    <w:r w:rsidR="006D0D3B" w:rsidRPr="0005284A">
                      <w:rPr>
                        <w:rStyle w:val="Hypertextovprepojenie"/>
                        <w:rFonts w:cstheme="majorBidi"/>
                        <w:sz w:val="20"/>
                        <w:szCs w:val="20"/>
                      </w:rPr>
                      <w:t>Zverejnená</w:t>
                    </w:r>
                  </w:hyperlink>
                </w:p>
              </w:tc>
              <w:tc>
                <w:tcPr>
                  <w:tcW w:w="1849" w:type="pct"/>
                  <w:tcBorders>
                    <w:top w:val="nil"/>
                    <w:left w:val="nil"/>
                    <w:bottom w:val="nil"/>
                    <w:right w:val="nil"/>
                  </w:tcBorders>
                  <w:shd w:val="clear" w:color="auto" w:fill="auto"/>
                  <w:noWrap/>
                  <w:vAlign w:val="center"/>
                  <w:hideMark/>
                </w:tcPr>
                <w:p w14:paraId="2AE00BC3" w14:textId="77777777" w:rsidR="006D0D3B" w:rsidRPr="00B60236" w:rsidRDefault="0047025F" w:rsidP="000E4D54">
                  <w:pPr>
                    <w:jc w:val="center"/>
                    <w:rPr>
                      <w:rFonts w:cs="Calibri"/>
                      <w:color w:val="000000"/>
                      <w:sz w:val="20"/>
                      <w:szCs w:val="20"/>
                    </w:rPr>
                  </w:pPr>
                  <w:hyperlink r:id="rId79" w:history="1">
                    <w:r w:rsidR="006D0D3B" w:rsidRPr="0005284A">
                      <w:rPr>
                        <w:rStyle w:val="Hypertextovprepojenie"/>
                        <w:rFonts w:cstheme="majorBidi"/>
                        <w:sz w:val="20"/>
                        <w:szCs w:val="20"/>
                      </w:rPr>
                      <w:t>Zverejnený</w:t>
                    </w:r>
                  </w:hyperlink>
                </w:p>
              </w:tc>
            </w:tr>
            <w:tr w:rsidR="006D0D3B" w:rsidRPr="00B60236" w14:paraId="56BC65B6" w14:textId="77777777" w:rsidTr="000E4D54">
              <w:trPr>
                <w:trHeight w:val="255"/>
                <w:tblHeader/>
              </w:trPr>
              <w:tc>
                <w:tcPr>
                  <w:tcW w:w="1301" w:type="pct"/>
                  <w:tcBorders>
                    <w:top w:val="nil"/>
                    <w:left w:val="nil"/>
                    <w:bottom w:val="single" w:sz="4" w:space="0" w:color="auto"/>
                    <w:right w:val="nil"/>
                  </w:tcBorders>
                  <w:shd w:val="clear" w:color="auto" w:fill="auto"/>
                  <w:vAlign w:val="center"/>
                  <w:hideMark/>
                </w:tcPr>
                <w:p w14:paraId="7AD3438A" w14:textId="77777777" w:rsidR="006D0D3B" w:rsidRPr="00B60236" w:rsidRDefault="006D0D3B" w:rsidP="000E4D54">
                  <w:pPr>
                    <w:rPr>
                      <w:rFonts w:cs="Calibri"/>
                      <w:color w:val="000000"/>
                      <w:sz w:val="20"/>
                      <w:szCs w:val="20"/>
                    </w:rPr>
                  </w:pPr>
                  <w:r w:rsidRPr="00B60236">
                    <w:rPr>
                      <w:rFonts w:cstheme="majorBidi"/>
                      <w:color w:val="000000"/>
                      <w:sz w:val="20"/>
                      <w:szCs w:val="20"/>
                    </w:rPr>
                    <w:t>MŽP SR</w:t>
                  </w:r>
                </w:p>
              </w:tc>
              <w:tc>
                <w:tcPr>
                  <w:tcW w:w="1849" w:type="pct"/>
                  <w:tcBorders>
                    <w:top w:val="nil"/>
                    <w:left w:val="nil"/>
                    <w:bottom w:val="single" w:sz="4" w:space="0" w:color="auto"/>
                    <w:right w:val="nil"/>
                  </w:tcBorders>
                  <w:shd w:val="clear" w:color="auto" w:fill="auto"/>
                  <w:noWrap/>
                  <w:vAlign w:val="center"/>
                  <w:hideMark/>
                </w:tcPr>
                <w:p w14:paraId="15D30EA1" w14:textId="77777777" w:rsidR="006D0D3B" w:rsidRPr="00B60236" w:rsidRDefault="0047025F" w:rsidP="000E4D54">
                  <w:pPr>
                    <w:jc w:val="center"/>
                    <w:rPr>
                      <w:rFonts w:cs="Calibri"/>
                      <w:color w:val="000000"/>
                      <w:sz w:val="20"/>
                      <w:szCs w:val="20"/>
                    </w:rPr>
                  </w:pPr>
                  <w:hyperlink r:id="rId80" w:history="1">
                    <w:r w:rsidR="006D0D3B" w:rsidRPr="00B40D75">
                      <w:rPr>
                        <w:rStyle w:val="Hypertextovprepojenie"/>
                        <w:rFonts w:cstheme="majorBidi"/>
                        <w:sz w:val="20"/>
                        <w:szCs w:val="20"/>
                      </w:rPr>
                      <w:t>Zverejnená</w:t>
                    </w:r>
                  </w:hyperlink>
                </w:p>
              </w:tc>
              <w:tc>
                <w:tcPr>
                  <w:tcW w:w="1849" w:type="pct"/>
                  <w:tcBorders>
                    <w:top w:val="nil"/>
                    <w:left w:val="nil"/>
                    <w:bottom w:val="single" w:sz="4" w:space="0" w:color="auto"/>
                    <w:right w:val="nil"/>
                  </w:tcBorders>
                  <w:shd w:val="clear" w:color="auto" w:fill="auto"/>
                  <w:noWrap/>
                  <w:vAlign w:val="center"/>
                  <w:hideMark/>
                </w:tcPr>
                <w:p w14:paraId="5CE4F5F3" w14:textId="77777777" w:rsidR="006D0D3B" w:rsidRPr="008A217B" w:rsidRDefault="0047025F" w:rsidP="000E4D54">
                  <w:pPr>
                    <w:jc w:val="center"/>
                    <w:rPr>
                      <w:rFonts w:cstheme="majorBidi"/>
                      <w:color w:val="0563C1"/>
                      <w:sz w:val="20"/>
                      <w:szCs w:val="20"/>
                      <w:u w:val="single"/>
                    </w:rPr>
                  </w:pPr>
                  <w:hyperlink r:id="rId81" w:history="1">
                    <w:r w:rsidR="006D0D3B" w:rsidRPr="265403BD">
                      <w:rPr>
                        <w:rStyle w:val="Hypertextovprepojenie"/>
                        <w:rFonts w:cstheme="majorBidi"/>
                        <w:sz w:val="20"/>
                        <w:szCs w:val="20"/>
                      </w:rPr>
                      <w:t>Zverejnený</w:t>
                    </w:r>
                  </w:hyperlink>
                </w:p>
              </w:tc>
            </w:tr>
            <w:tr w:rsidR="006D0D3B" w:rsidRPr="00B60236" w14:paraId="77B5E5DD" w14:textId="77777777" w:rsidTr="000E4D54">
              <w:trPr>
                <w:trHeight w:val="255"/>
                <w:tblHeader/>
              </w:trPr>
              <w:tc>
                <w:tcPr>
                  <w:tcW w:w="5000" w:type="pct"/>
                  <w:gridSpan w:val="3"/>
                  <w:tcBorders>
                    <w:top w:val="single" w:sz="4" w:space="0" w:color="auto"/>
                    <w:left w:val="nil"/>
                    <w:right w:val="nil"/>
                  </w:tcBorders>
                  <w:shd w:val="clear" w:color="auto" w:fill="auto"/>
                </w:tcPr>
                <w:p w14:paraId="1496C951" w14:textId="77777777" w:rsidR="006D0D3B" w:rsidRPr="005E2246" w:rsidRDefault="006D0D3B" w:rsidP="000E4D54">
                  <w:pPr>
                    <w:jc w:val="right"/>
                    <w:rPr>
                      <w:rFonts w:cstheme="majorBidi"/>
                      <w:color w:val="000000"/>
                      <w:sz w:val="16"/>
                      <w:szCs w:val="18"/>
                    </w:rPr>
                  </w:pPr>
                  <w:r w:rsidRPr="005E2246">
                    <w:rPr>
                      <w:rFonts w:cstheme="majorBidi"/>
                      <w:i/>
                      <w:color w:val="000000"/>
                      <w:sz w:val="16"/>
                      <w:szCs w:val="18"/>
                    </w:rPr>
                    <w:t>Zdroj: ÚHP</w:t>
                  </w:r>
                </w:p>
              </w:tc>
            </w:tr>
          </w:tbl>
          <w:p w14:paraId="18404D64" w14:textId="77777777" w:rsidR="006D0D3B" w:rsidRDefault="006D0D3B" w:rsidP="000E4D54"/>
          <w:tbl>
            <w:tblPr>
              <w:tblW w:w="8854" w:type="dxa"/>
              <w:tblLayout w:type="fixed"/>
              <w:tblCellMar>
                <w:left w:w="70" w:type="dxa"/>
                <w:right w:w="70" w:type="dxa"/>
              </w:tblCellMar>
              <w:tblLook w:val="04A0" w:firstRow="1" w:lastRow="0" w:firstColumn="1" w:lastColumn="0" w:noHBand="0" w:noVBand="1"/>
            </w:tblPr>
            <w:tblGrid>
              <w:gridCol w:w="691"/>
              <w:gridCol w:w="3874"/>
              <w:gridCol w:w="707"/>
              <w:gridCol w:w="512"/>
              <w:gridCol w:w="448"/>
              <w:gridCol w:w="64"/>
              <w:gridCol w:w="512"/>
              <w:gridCol w:w="512"/>
              <w:gridCol w:w="512"/>
              <w:gridCol w:w="512"/>
              <w:gridCol w:w="510"/>
            </w:tblGrid>
            <w:tr w:rsidR="006D0D3B" w:rsidRPr="00D82703" w14:paraId="0A9489F4" w14:textId="77777777" w:rsidTr="000E4D54">
              <w:trPr>
                <w:trHeight w:val="242"/>
              </w:trPr>
              <w:tc>
                <w:tcPr>
                  <w:tcW w:w="5000" w:type="pct"/>
                  <w:gridSpan w:val="11"/>
                  <w:tcBorders>
                    <w:bottom w:val="single" w:sz="4" w:space="0" w:color="auto"/>
                  </w:tcBorders>
                  <w:shd w:val="clear" w:color="auto" w:fill="auto"/>
                  <w:noWrap/>
                  <w:vAlign w:val="bottom"/>
                </w:tcPr>
                <w:p w14:paraId="75E5C3C6" w14:textId="6A8D0A5B" w:rsidR="006D0D3B" w:rsidRPr="00EE1E2F" w:rsidRDefault="009A3055" w:rsidP="000E4D54">
                  <w:pPr>
                    <w:rPr>
                      <w:rFonts w:cs="Calibri"/>
                      <w:b/>
                      <w:bCs/>
                      <w:color w:val="000000"/>
                      <w:sz w:val="20"/>
                      <w:szCs w:val="16"/>
                    </w:rPr>
                  </w:pPr>
                  <w:bookmarkStart w:id="207" w:name="_Toc101880697"/>
                  <w:r w:rsidRPr="00B304DF">
                    <w:rPr>
                      <w:b/>
                      <w:color w:val="2C9ADC" w:themeColor="accent1"/>
                      <w:sz w:val="20"/>
                      <w:szCs w:val="20"/>
                    </w:rPr>
                    <w:t xml:space="preserve">TABUĽKA </w:t>
                  </w:r>
                  <w:r w:rsidRPr="00B304DF">
                    <w:rPr>
                      <w:b/>
                      <w:color w:val="2C9ADC" w:themeColor="accent1"/>
                      <w:sz w:val="20"/>
                      <w:szCs w:val="20"/>
                    </w:rPr>
                    <w:fldChar w:fldCharType="begin"/>
                  </w:r>
                  <w:r w:rsidRPr="00B304DF">
                    <w:rPr>
                      <w:b/>
                      <w:color w:val="2C9ADC" w:themeColor="accent1"/>
                      <w:sz w:val="20"/>
                      <w:szCs w:val="20"/>
                    </w:rPr>
                    <w:instrText xml:space="preserve"> SEQ TABUĽKA \* ARABIC </w:instrText>
                  </w:r>
                  <w:r w:rsidRPr="00B304DF">
                    <w:rPr>
                      <w:b/>
                      <w:color w:val="2C9ADC" w:themeColor="accent1"/>
                      <w:sz w:val="20"/>
                      <w:szCs w:val="20"/>
                    </w:rPr>
                    <w:fldChar w:fldCharType="separate"/>
                  </w:r>
                  <w:r w:rsidR="005D3280">
                    <w:rPr>
                      <w:b/>
                      <w:noProof/>
                      <w:color w:val="2C9ADC" w:themeColor="accent1"/>
                      <w:sz w:val="20"/>
                      <w:szCs w:val="20"/>
                    </w:rPr>
                    <w:t>18</w:t>
                  </w:r>
                  <w:r w:rsidRPr="00B304DF">
                    <w:rPr>
                      <w:b/>
                      <w:color w:val="2C9ADC" w:themeColor="accent1"/>
                      <w:sz w:val="20"/>
                      <w:szCs w:val="20"/>
                    </w:rPr>
                    <w:fldChar w:fldCharType="end"/>
                  </w:r>
                  <w:r w:rsidRPr="00B304DF">
                    <w:rPr>
                      <w:b/>
                      <w:color w:val="2C9ADC" w:themeColor="accent1"/>
                      <w:sz w:val="20"/>
                      <w:szCs w:val="20"/>
                    </w:rPr>
                    <w:t xml:space="preserve"> – </w:t>
                  </w:r>
                  <w:r w:rsidR="006D0D3B" w:rsidRPr="009A3055">
                    <w:rPr>
                      <w:b/>
                      <w:color w:val="2C9ADC" w:themeColor="accent1"/>
                      <w:sz w:val="20"/>
                      <w:szCs w:val="20"/>
                    </w:rPr>
                    <w:t>Najväčšie investičné projekty podľa zverejnených investičných plánov</w:t>
                  </w:r>
                  <w:bookmarkEnd w:id="207"/>
                </w:p>
              </w:tc>
            </w:tr>
            <w:tr w:rsidR="006D0D3B" w:rsidRPr="00D82703" w14:paraId="4B17BF69" w14:textId="77777777" w:rsidTr="000E4D54">
              <w:trPr>
                <w:trHeight w:val="242"/>
              </w:trPr>
              <w:tc>
                <w:tcPr>
                  <w:tcW w:w="391" w:type="pct"/>
                  <w:tcBorders>
                    <w:top w:val="single" w:sz="4" w:space="0" w:color="auto"/>
                    <w:bottom w:val="single" w:sz="4" w:space="0" w:color="auto"/>
                  </w:tcBorders>
                  <w:shd w:val="clear" w:color="auto" w:fill="auto"/>
                  <w:noWrap/>
                  <w:vAlign w:val="center"/>
                  <w:hideMark/>
                </w:tcPr>
                <w:p w14:paraId="7F7D1567" w14:textId="77777777" w:rsidR="006D0D3B" w:rsidRPr="00D82703" w:rsidRDefault="006D0D3B" w:rsidP="000E4D54">
                  <w:pPr>
                    <w:rPr>
                      <w:rFonts w:cs="Calibri"/>
                      <w:b/>
                      <w:bCs/>
                      <w:color w:val="000000"/>
                      <w:sz w:val="16"/>
                      <w:szCs w:val="16"/>
                    </w:rPr>
                  </w:pPr>
                  <w:r>
                    <w:rPr>
                      <w:rFonts w:cs="Calibri"/>
                      <w:b/>
                      <w:bCs/>
                      <w:color w:val="000000"/>
                      <w:sz w:val="16"/>
                      <w:szCs w:val="16"/>
                    </w:rPr>
                    <w:t>Oblasť</w:t>
                  </w:r>
                </w:p>
              </w:tc>
              <w:tc>
                <w:tcPr>
                  <w:tcW w:w="2188" w:type="pct"/>
                  <w:tcBorders>
                    <w:top w:val="single" w:sz="4" w:space="0" w:color="auto"/>
                    <w:bottom w:val="single" w:sz="4" w:space="0" w:color="auto"/>
                  </w:tcBorders>
                  <w:shd w:val="clear" w:color="auto" w:fill="auto"/>
                  <w:noWrap/>
                  <w:vAlign w:val="center"/>
                  <w:hideMark/>
                </w:tcPr>
                <w:p w14:paraId="7CAB005C" w14:textId="77777777" w:rsidR="006D0D3B" w:rsidRPr="00D82703" w:rsidRDefault="006D0D3B" w:rsidP="000E4D54">
                  <w:pPr>
                    <w:rPr>
                      <w:rFonts w:cs="Calibri"/>
                      <w:b/>
                      <w:bCs/>
                      <w:color w:val="000000"/>
                      <w:sz w:val="16"/>
                      <w:szCs w:val="16"/>
                    </w:rPr>
                  </w:pPr>
                  <w:r w:rsidRPr="00D82703">
                    <w:rPr>
                      <w:rFonts w:cs="Calibri"/>
                      <w:b/>
                      <w:bCs/>
                      <w:color w:val="000000"/>
                      <w:sz w:val="16"/>
                      <w:szCs w:val="16"/>
                    </w:rPr>
                    <w:t>Projekt</w:t>
                  </w:r>
                </w:p>
              </w:tc>
              <w:tc>
                <w:tcPr>
                  <w:tcW w:w="399" w:type="pct"/>
                  <w:tcBorders>
                    <w:top w:val="single" w:sz="4" w:space="0" w:color="auto"/>
                    <w:bottom w:val="single" w:sz="4" w:space="0" w:color="auto"/>
                  </w:tcBorders>
                  <w:shd w:val="clear" w:color="auto" w:fill="auto"/>
                  <w:noWrap/>
                  <w:vAlign w:val="center"/>
                  <w:hideMark/>
                </w:tcPr>
                <w:p w14:paraId="4739B1A6" w14:textId="77777777" w:rsidR="006D0D3B" w:rsidRPr="00D82703" w:rsidRDefault="006D0D3B" w:rsidP="000E4D54">
                  <w:pPr>
                    <w:jc w:val="center"/>
                    <w:rPr>
                      <w:rFonts w:cs="Calibri"/>
                      <w:b/>
                      <w:bCs/>
                      <w:color w:val="000000"/>
                      <w:sz w:val="16"/>
                      <w:szCs w:val="16"/>
                    </w:rPr>
                  </w:pPr>
                  <w:r>
                    <w:rPr>
                      <w:rFonts w:cs="Calibri"/>
                      <w:b/>
                      <w:bCs/>
                      <w:color w:val="000000"/>
                      <w:sz w:val="16"/>
                      <w:szCs w:val="16"/>
                    </w:rPr>
                    <w:t>Celkom</w:t>
                  </w:r>
                </w:p>
              </w:tc>
              <w:tc>
                <w:tcPr>
                  <w:tcW w:w="289" w:type="pct"/>
                  <w:tcBorders>
                    <w:top w:val="single" w:sz="4" w:space="0" w:color="auto"/>
                    <w:bottom w:val="single" w:sz="4" w:space="0" w:color="auto"/>
                  </w:tcBorders>
                  <w:shd w:val="clear" w:color="auto" w:fill="auto"/>
                  <w:noWrap/>
                  <w:vAlign w:val="center"/>
                  <w:hideMark/>
                </w:tcPr>
                <w:p w14:paraId="0B60FA42"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Pred 2022</w:t>
                  </w:r>
                </w:p>
              </w:tc>
              <w:tc>
                <w:tcPr>
                  <w:tcW w:w="289" w:type="pct"/>
                  <w:gridSpan w:val="2"/>
                  <w:tcBorders>
                    <w:top w:val="single" w:sz="4" w:space="0" w:color="auto"/>
                    <w:bottom w:val="single" w:sz="4" w:space="0" w:color="auto"/>
                  </w:tcBorders>
                  <w:shd w:val="clear" w:color="auto" w:fill="auto"/>
                  <w:noWrap/>
                  <w:vAlign w:val="center"/>
                  <w:hideMark/>
                </w:tcPr>
                <w:p w14:paraId="226D7E5C"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2022</w:t>
                  </w:r>
                </w:p>
              </w:tc>
              <w:tc>
                <w:tcPr>
                  <w:tcW w:w="289" w:type="pct"/>
                  <w:tcBorders>
                    <w:top w:val="single" w:sz="4" w:space="0" w:color="auto"/>
                    <w:bottom w:val="single" w:sz="4" w:space="0" w:color="auto"/>
                  </w:tcBorders>
                  <w:shd w:val="clear" w:color="auto" w:fill="auto"/>
                  <w:noWrap/>
                  <w:vAlign w:val="center"/>
                  <w:hideMark/>
                </w:tcPr>
                <w:p w14:paraId="5D9554BB"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2023</w:t>
                  </w:r>
                </w:p>
              </w:tc>
              <w:tc>
                <w:tcPr>
                  <w:tcW w:w="289" w:type="pct"/>
                  <w:tcBorders>
                    <w:top w:val="single" w:sz="4" w:space="0" w:color="auto"/>
                    <w:bottom w:val="single" w:sz="4" w:space="0" w:color="auto"/>
                  </w:tcBorders>
                  <w:shd w:val="clear" w:color="auto" w:fill="auto"/>
                  <w:noWrap/>
                  <w:vAlign w:val="center"/>
                  <w:hideMark/>
                </w:tcPr>
                <w:p w14:paraId="44E06472"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2024</w:t>
                  </w:r>
                </w:p>
              </w:tc>
              <w:tc>
                <w:tcPr>
                  <w:tcW w:w="289" w:type="pct"/>
                  <w:tcBorders>
                    <w:top w:val="single" w:sz="4" w:space="0" w:color="auto"/>
                    <w:bottom w:val="single" w:sz="4" w:space="0" w:color="auto"/>
                  </w:tcBorders>
                  <w:shd w:val="clear" w:color="auto" w:fill="auto"/>
                  <w:noWrap/>
                  <w:vAlign w:val="center"/>
                  <w:hideMark/>
                </w:tcPr>
                <w:p w14:paraId="6F7A536F"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2025</w:t>
                  </w:r>
                </w:p>
              </w:tc>
              <w:tc>
                <w:tcPr>
                  <w:tcW w:w="289" w:type="pct"/>
                  <w:tcBorders>
                    <w:top w:val="single" w:sz="4" w:space="0" w:color="auto"/>
                    <w:bottom w:val="single" w:sz="4" w:space="0" w:color="auto"/>
                  </w:tcBorders>
                  <w:shd w:val="clear" w:color="auto" w:fill="auto"/>
                  <w:noWrap/>
                  <w:vAlign w:val="center"/>
                  <w:hideMark/>
                </w:tcPr>
                <w:p w14:paraId="42DFCA5A"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2026</w:t>
                  </w:r>
                </w:p>
              </w:tc>
              <w:tc>
                <w:tcPr>
                  <w:tcW w:w="289" w:type="pct"/>
                  <w:tcBorders>
                    <w:top w:val="single" w:sz="4" w:space="0" w:color="auto"/>
                    <w:bottom w:val="single" w:sz="4" w:space="0" w:color="auto"/>
                  </w:tcBorders>
                  <w:shd w:val="clear" w:color="auto" w:fill="auto"/>
                  <w:noWrap/>
                  <w:vAlign w:val="center"/>
                  <w:hideMark/>
                </w:tcPr>
                <w:p w14:paraId="1E62B072"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Po 2026</w:t>
                  </w:r>
                </w:p>
              </w:tc>
            </w:tr>
            <w:tr w:rsidR="006D0D3B" w:rsidRPr="00D82703" w14:paraId="16E79AE9" w14:textId="77777777" w:rsidTr="000E4D54">
              <w:trPr>
                <w:trHeight w:val="242"/>
              </w:trPr>
              <w:tc>
                <w:tcPr>
                  <w:tcW w:w="391" w:type="pct"/>
                  <w:tcBorders>
                    <w:top w:val="single" w:sz="4" w:space="0" w:color="auto"/>
                  </w:tcBorders>
                  <w:shd w:val="clear" w:color="auto" w:fill="auto"/>
                  <w:noWrap/>
                  <w:hideMark/>
                </w:tcPr>
                <w:p w14:paraId="6916E93F" w14:textId="77777777" w:rsidR="006D0D3B" w:rsidRPr="00D82703" w:rsidRDefault="006D0D3B" w:rsidP="000E4D54">
                  <w:pPr>
                    <w:rPr>
                      <w:rFonts w:cs="Calibri"/>
                      <w:color w:val="000000"/>
                      <w:sz w:val="16"/>
                      <w:szCs w:val="16"/>
                    </w:rPr>
                  </w:pPr>
                  <w:r w:rsidRPr="00D82703">
                    <w:rPr>
                      <w:rFonts w:cs="Calibri"/>
                      <w:color w:val="000000"/>
                      <w:sz w:val="16"/>
                      <w:szCs w:val="16"/>
                    </w:rPr>
                    <w:t>železnice</w:t>
                  </w:r>
                </w:p>
              </w:tc>
              <w:tc>
                <w:tcPr>
                  <w:tcW w:w="2188" w:type="pct"/>
                  <w:tcBorders>
                    <w:top w:val="single" w:sz="4" w:space="0" w:color="auto"/>
                  </w:tcBorders>
                  <w:shd w:val="clear" w:color="auto" w:fill="auto"/>
                  <w:noWrap/>
                  <w:hideMark/>
                </w:tcPr>
                <w:p w14:paraId="2EFF0861" w14:textId="77777777" w:rsidR="006D0D3B" w:rsidRPr="00D82703" w:rsidRDefault="006D0D3B" w:rsidP="000E4D54">
                  <w:pPr>
                    <w:rPr>
                      <w:rFonts w:cs="Calibri"/>
                      <w:color w:val="000000"/>
                      <w:sz w:val="16"/>
                      <w:szCs w:val="16"/>
                    </w:rPr>
                  </w:pPr>
                  <w:r>
                    <w:rPr>
                      <w:rFonts w:cs="Calibri"/>
                      <w:color w:val="000000"/>
                      <w:sz w:val="16"/>
                      <w:szCs w:val="16"/>
                    </w:rPr>
                    <w:t>Trať Poprad - Spišská Nová Ves</w:t>
                  </w:r>
                </w:p>
              </w:tc>
              <w:tc>
                <w:tcPr>
                  <w:tcW w:w="399" w:type="pct"/>
                  <w:tcBorders>
                    <w:top w:val="single" w:sz="4" w:space="0" w:color="auto"/>
                  </w:tcBorders>
                  <w:shd w:val="clear" w:color="auto" w:fill="auto"/>
                  <w:noWrap/>
                  <w:hideMark/>
                </w:tcPr>
                <w:p w14:paraId="08F139B3"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510,0</w:t>
                  </w:r>
                </w:p>
              </w:tc>
              <w:tc>
                <w:tcPr>
                  <w:tcW w:w="289" w:type="pct"/>
                  <w:tcBorders>
                    <w:top w:val="single" w:sz="4" w:space="0" w:color="auto"/>
                  </w:tcBorders>
                  <w:shd w:val="clear" w:color="auto" w:fill="auto"/>
                  <w:noWrap/>
                  <w:hideMark/>
                </w:tcPr>
                <w:p w14:paraId="293F2DF1" w14:textId="77777777" w:rsidR="006D0D3B" w:rsidRPr="00D82703" w:rsidRDefault="006D0D3B" w:rsidP="000E4D54">
                  <w:pPr>
                    <w:jc w:val="center"/>
                    <w:rPr>
                      <w:rFonts w:cs="Calibri"/>
                      <w:color w:val="000000"/>
                      <w:sz w:val="16"/>
                      <w:szCs w:val="16"/>
                    </w:rPr>
                  </w:pPr>
                  <w:r w:rsidRPr="00D82703">
                    <w:rPr>
                      <w:rFonts w:cs="Calibri"/>
                      <w:color w:val="000000"/>
                      <w:sz w:val="16"/>
                      <w:szCs w:val="16"/>
                    </w:rPr>
                    <w:t>12,8</w:t>
                  </w:r>
                </w:p>
              </w:tc>
              <w:tc>
                <w:tcPr>
                  <w:tcW w:w="289" w:type="pct"/>
                  <w:gridSpan w:val="2"/>
                  <w:tcBorders>
                    <w:top w:val="single" w:sz="4" w:space="0" w:color="auto"/>
                  </w:tcBorders>
                  <w:shd w:val="clear" w:color="auto" w:fill="auto"/>
                  <w:noWrap/>
                  <w:hideMark/>
                </w:tcPr>
                <w:p w14:paraId="77D24CF1"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tcBorders>
                    <w:top w:val="single" w:sz="4" w:space="0" w:color="auto"/>
                  </w:tcBorders>
                  <w:shd w:val="clear" w:color="auto" w:fill="auto"/>
                  <w:noWrap/>
                  <w:hideMark/>
                </w:tcPr>
                <w:p w14:paraId="59DEA3F3"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tcBorders>
                    <w:top w:val="single" w:sz="4" w:space="0" w:color="auto"/>
                  </w:tcBorders>
                  <w:shd w:val="clear" w:color="auto" w:fill="auto"/>
                  <w:noWrap/>
                  <w:hideMark/>
                </w:tcPr>
                <w:p w14:paraId="4D44786B" w14:textId="77777777" w:rsidR="006D0D3B" w:rsidRPr="00D82703" w:rsidRDefault="006D0D3B" w:rsidP="000E4D54">
                  <w:pPr>
                    <w:jc w:val="center"/>
                    <w:rPr>
                      <w:rFonts w:cs="Calibri"/>
                      <w:color w:val="000000"/>
                      <w:sz w:val="16"/>
                      <w:szCs w:val="16"/>
                    </w:rPr>
                  </w:pPr>
                  <w:r w:rsidRPr="00D82703">
                    <w:rPr>
                      <w:rFonts w:cs="Calibri"/>
                      <w:color w:val="000000"/>
                      <w:sz w:val="16"/>
                      <w:szCs w:val="16"/>
                    </w:rPr>
                    <w:t>80,0</w:t>
                  </w:r>
                </w:p>
              </w:tc>
              <w:tc>
                <w:tcPr>
                  <w:tcW w:w="289" w:type="pct"/>
                  <w:tcBorders>
                    <w:top w:val="single" w:sz="4" w:space="0" w:color="auto"/>
                  </w:tcBorders>
                  <w:shd w:val="clear" w:color="auto" w:fill="auto"/>
                  <w:noWrap/>
                  <w:hideMark/>
                </w:tcPr>
                <w:p w14:paraId="56CC843A" w14:textId="77777777" w:rsidR="006D0D3B" w:rsidRPr="00D82703" w:rsidRDefault="006D0D3B" w:rsidP="000E4D54">
                  <w:pPr>
                    <w:jc w:val="center"/>
                    <w:rPr>
                      <w:rFonts w:cs="Calibri"/>
                      <w:color w:val="000000"/>
                      <w:sz w:val="16"/>
                      <w:szCs w:val="16"/>
                    </w:rPr>
                  </w:pPr>
                  <w:r w:rsidRPr="00D82703">
                    <w:rPr>
                      <w:rFonts w:cs="Calibri"/>
                      <w:color w:val="000000"/>
                      <w:sz w:val="16"/>
                      <w:szCs w:val="16"/>
                    </w:rPr>
                    <w:t>208,6</w:t>
                  </w:r>
                </w:p>
              </w:tc>
              <w:tc>
                <w:tcPr>
                  <w:tcW w:w="289" w:type="pct"/>
                  <w:tcBorders>
                    <w:top w:val="single" w:sz="4" w:space="0" w:color="auto"/>
                  </w:tcBorders>
                  <w:shd w:val="clear" w:color="auto" w:fill="auto"/>
                  <w:noWrap/>
                  <w:hideMark/>
                </w:tcPr>
                <w:p w14:paraId="7EF9795C" w14:textId="77777777" w:rsidR="006D0D3B" w:rsidRPr="00D82703" w:rsidRDefault="006D0D3B" w:rsidP="000E4D54">
                  <w:pPr>
                    <w:jc w:val="center"/>
                    <w:rPr>
                      <w:rFonts w:cs="Calibri"/>
                      <w:color w:val="000000"/>
                      <w:sz w:val="16"/>
                      <w:szCs w:val="16"/>
                    </w:rPr>
                  </w:pPr>
                  <w:r w:rsidRPr="00D82703">
                    <w:rPr>
                      <w:rFonts w:cs="Calibri"/>
                      <w:color w:val="000000"/>
                      <w:sz w:val="16"/>
                      <w:szCs w:val="16"/>
                    </w:rPr>
                    <w:t>208,6</w:t>
                  </w:r>
                </w:p>
              </w:tc>
              <w:tc>
                <w:tcPr>
                  <w:tcW w:w="289" w:type="pct"/>
                  <w:tcBorders>
                    <w:top w:val="single" w:sz="4" w:space="0" w:color="auto"/>
                  </w:tcBorders>
                  <w:shd w:val="clear" w:color="auto" w:fill="auto"/>
                  <w:noWrap/>
                  <w:hideMark/>
                </w:tcPr>
                <w:p w14:paraId="43B1CBE3"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r>
            <w:tr w:rsidR="006D0D3B" w:rsidRPr="00D82703" w14:paraId="4C9CB95D" w14:textId="77777777" w:rsidTr="000E4D54">
              <w:trPr>
                <w:trHeight w:val="242"/>
              </w:trPr>
              <w:tc>
                <w:tcPr>
                  <w:tcW w:w="391" w:type="pct"/>
                  <w:shd w:val="clear" w:color="auto" w:fill="auto"/>
                  <w:noWrap/>
                  <w:hideMark/>
                </w:tcPr>
                <w:p w14:paraId="4E2E8F25" w14:textId="77777777" w:rsidR="006D0D3B" w:rsidRPr="00D82703" w:rsidRDefault="006D0D3B" w:rsidP="000E4D54">
                  <w:pPr>
                    <w:rPr>
                      <w:rFonts w:cs="Calibri"/>
                      <w:color w:val="000000"/>
                      <w:sz w:val="16"/>
                      <w:szCs w:val="16"/>
                    </w:rPr>
                  </w:pPr>
                  <w:r w:rsidRPr="00D82703">
                    <w:rPr>
                      <w:rFonts w:cs="Calibri"/>
                      <w:color w:val="000000"/>
                      <w:sz w:val="16"/>
                      <w:szCs w:val="16"/>
                    </w:rPr>
                    <w:t>železnice</w:t>
                  </w:r>
                </w:p>
              </w:tc>
              <w:tc>
                <w:tcPr>
                  <w:tcW w:w="2188" w:type="pct"/>
                  <w:shd w:val="clear" w:color="auto" w:fill="auto"/>
                  <w:noWrap/>
                  <w:hideMark/>
                </w:tcPr>
                <w:p w14:paraId="6B36689D" w14:textId="77777777" w:rsidR="006D0D3B" w:rsidRPr="00D82703" w:rsidRDefault="006D0D3B" w:rsidP="000E4D54">
                  <w:pPr>
                    <w:rPr>
                      <w:rFonts w:cs="Calibri"/>
                      <w:color w:val="000000"/>
                      <w:sz w:val="16"/>
                      <w:szCs w:val="16"/>
                    </w:rPr>
                  </w:pPr>
                  <w:r>
                    <w:rPr>
                      <w:rFonts w:cs="Calibri"/>
                      <w:color w:val="000000"/>
                      <w:sz w:val="16"/>
                      <w:szCs w:val="16"/>
                    </w:rPr>
                    <w:t xml:space="preserve">Trať </w:t>
                  </w:r>
                  <w:r w:rsidRPr="00D82703">
                    <w:rPr>
                      <w:rFonts w:cs="Calibri"/>
                      <w:color w:val="000000"/>
                      <w:sz w:val="16"/>
                      <w:szCs w:val="16"/>
                    </w:rPr>
                    <w:t xml:space="preserve"> Devínska Nová Ves - SR/ČR, úsek Malacky - Kúty </w:t>
                  </w:r>
                </w:p>
              </w:tc>
              <w:tc>
                <w:tcPr>
                  <w:tcW w:w="399" w:type="pct"/>
                  <w:shd w:val="clear" w:color="auto" w:fill="auto"/>
                  <w:noWrap/>
                  <w:hideMark/>
                </w:tcPr>
                <w:p w14:paraId="215837A3"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447,5</w:t>
                  </w:r>
                </w:p>
              </w:tc>
              <w:tc>
                <w:tcPr>
                  <w:tcW w:w="289" w:type="pct"/>
                  <w:shd w:val="clear" w:color="auto" w:fill="auto"/>
                  <w:noWrap/>
                  <w:hideMark/>
                </w:tcPr>
                <w:p w14:paraId="505B3192" w14:textId="77777777" w:rsidR="006D0D3B" w:rsidRPr="00D82703" w:rsidRDefault="006D0D3B" w:rsidP="000E4D54">
                  <w:pPr>
                    <w:jc w:val="center"/>
                    <w:rPr>
                      <w:rFonts w:cs="Calibri"/>
                      <w:color w:val="000000"/>
                      <w:sz w:val="16"/>
                      <w:szCs w:val="16"/>
                    </w:rPr>
                  </w:pPr>
                  <w:r w:rsidRPr="00D82703">
                    <w:rPr>
                      <w:rFonts w:cs="Calibri"/>
                      <w:color w:val="000000"/>
                      <w:sz w:val="16"/>
                      <w:szCs w:val="16"/>
                    </w:rPr>
                    <w:t>2,5</w:t>
                  </w:r>
                </w:p>
              </w:tc>
              <w:tc>
                <w:tcPr>
                  <w:tcW w:w="289" w:type="pct"/>
                  <w:gridSpan w:val="2"/>
                  <w:shd w:val="clear" w:color="auto" w:fill="auto"/>
                  <w:noWrap/>
                  <w:hideMark/>
                </w:tcPr>
                <w:p w14:paraId="55898135"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shd w:val="clear" w:color="auto" w:fill="auto"/>
                  <w:noWrap/>
                  <w:hideMark/>
                </w:tcPr>
                <w:p w14:paraId="172EBFEC"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shd w:val="clear" w:color="auto" w:fill="auto"/>
                  <w:noWrap/>
                  <w:hideMark/>
                </w:tcPr>
                <w:p w14:paraId="77858943" w14:textId="77777777" w:rsidR="006D0D3B" w:rsidRPr="00D82703" w:rsidRDefault="006D0D3B" w:rsidP="000E4D54">
                  <w:pPr>
                    <w:jc w:val="center"/>
                    <w:rPr>
                      <w:rFonts w:cs="Calibri"/>
                      <w:color w:val="000000"/>
                      <w:sz w:val="16"/>
                      <w:szCs w:val="16"/>
                    </w:rPr>
                  </w:pPr>
                  <w:r w:rsidRPr="00D82703">
                    <w:rPr>
                      <w:rFonts w:cs="Calibri"/>
                      <w:color w:val="000000"/>
                      <w:sz w:val="16"/>
                      <w:szCs w:val="16"/>
                    </w:rPr>
                    <w:t>55,0</w:t>
                  </w:r>
                </w:p>
              </w:tc>
              <w:tc>
                <w:tcPr>
                  <w:tcW w:w="289" w:type="pct"/>
                  <w:shd w:val="clear" w:color="auto" w:fill="auto"/>
                  <w:noWrap/>
                  <w:hideMark/>
                </w:tcPr>
                <w:p w14:paraId="58EFC8F3" w14:textId="77777777" w:rsidR="006D0D3B" w:rsidRPr="00D82703" w:rsidRDefault="006D0D3B" w:rsidP="000E4D54">
                  <w:pPr>
                    <w:jc w:val="center"/>
                    <w:rPr>
                      <w:rFonts w:cs="Calibri"/>
                      <w:color w:val="000000"/>
                      <w:sz w:val="16"/>
                      <w:szCs w:val="16"/>
                    </w:rPr>
                  </w:pPr>
                  <w:r w:rsidRPr="00D82703">
                    <w:rPr>
                      <w:rFonts w:cs="Calibri"/>
                      <w:color w:val="000000"/>
                      <w:sz w:val="16"/>
                      <w:szCs w:val="16"/>
                    </w:rPr>
                    <w:t>115,0</w:t>
                  </w:r>
                </w:p>
              </w:tc>
              <w:tc>
                <w:tcPr>
                  <w:tcW w:w="289" w:type="pct"/>
                  <w:shd w:val="clear" w:color="auto" w:fill="auto"/>
                  <w:noWrap/>
                  <w:hideMark/>
                </w:tcPr>
                <w:p w14:paraId="01FCE4A1" w14:textId="77777777" w:rsidR="006D0D3B" w:rsidRPr="00D82703" w:rsidRDefault="006D0D3B" w:rsidP="000E4D54">
                  <w:pPr>
                    <w:jc w:val="center"/>
                    <w:rPr>
                      <w:rFonts w:cs="Calibri"/>
                      <w:color w:val="000000"/>
                      <w:sz w:val="16"/>
                      <w:szCs w:val="16"/>
                    </w:rPr>
                  </w:pPr>
                  <w:r w:rsidRPr="00D82703">
                    <w:rPr>
                      <w:rFonts w:cs="Calibri"/>
                      <w:color w:val="000000"/>
                      <w:sz w:val="16"/>
                      <w:szCs w:val="16"/>
                    </w:rPr>
                    <w:t>110,0</w:t>
                  </w:r>
                </w:p>
              </w:tc>
              <w:tc>
                <w:tcPr>
                  <w:tcW w:w="289" w:type="pct"/>
                  <w:shd w:val="clear" w:color="auto" w:fill="auto"/>
                  <w:noWrap/>
                  <w:hideMark/>
                </w:tcPr>
                <w:p w14:paraId="5DDB9980" w14:textId="77777777" w:rsidR="006D0D3B" w:rsidRPr="00D82703" w:rsidRDefault="006D0D3B" w:rsidP="000E4D54">
                  <w:pPr>
                    <w:jc w:val="center"/>
                    <w:rPr>
                      <w:rFonts w:cs="Calibri"/>
                      <w:color w:val="000000"/>
                      <w:sz w:val="16"/>
                      <w:szCs w:val="16"/>
                    </w:rPr>
                  </w:pPr>
                  <w:r w:rsidRPr="00D82703">
                    <w:rPr>
                      <w:rFonts w:cs="Calibri"/>
                      <w:color w:val="000000"/>
                      <w:sz w:val="16"/>
                      <w:szCs w:val="16"/>
                    </w:rPr>
                    <w:t>165,0</w:t>
                  </w:r>
                </w:p>
              </w:tc>
            </w:tr>
            <w:tr w:rsidR="006D0D3B" w:rsidRPr="00D82703" w14:paraId="795BDBBE" w14:textId="77777777" w:rsidTr="000E4D54">
              <w:trPr>
                <w:trHeight w:val="242"/>
              </w:trPr>
              <w:tc>
                <w:tcPr>
                  <w:tcW w:w="391" w:type="pct"/>
                  <w:shd w:val="clear" w:color="auto" w:fill="auto"/>
                  <w:noWrap/>
                  <w:hideMark/>
                </w:tcPr>
                <w:p w14:paraId="33800AEA" w14:textId="77777777" w:rsidR="006D0D3B" w:rsidRPr="00D82703" w:rsidRDefault="006D0D3B" w:rsidP="000E4D54">
                  <w:pPr>
                    <w:rPr>
                      <w:rFonts w:cs="Calibri"/>
                      <w:color w:val="000000"/>
                      <w:sz w:val="16"/>
                      <w:szCs w:val="16"/>
                    </w:rPr>
                  </w:pPr>
                  <w:r w:rsidRPr="00D82703">
                    <w:rPr>
                      <w:rFonts w:cs="Calibri"/>
                      <w:color w:val="000000"/>
                      <w:sz w:val="16"/>
                      <w:szCs w:val="16"/>
                    </w:rPr>
                    <w:t>železnice</w:t>
                  </w:r>
                </w:p>
              </w:tc>
              <w:tc>
                <w:tcPr>
                  <w:tcW w:w="2188" w:type="pct"/>
                  <w:shd w:val="clear" w:color="auto" w:fill="auto"/>
                  <w:noWrap/>
                  <w:hideMark/>
                </w:tcPr>
                <w:p w14:paraId="522F7C96" w14:textId="77777777" w:rsidR="006D0D3B" w:rsidRPr="00D82703" w:rsidRDefault="006D0D3B" w:rsidP="000E4D54">
                  <w:pPr>
                    <w:rPr>
                      <w:rFonts w:cs="Calibri"/>
                      <w:color w:val="000000"/>
                      <w:sz w:val="16"/>
                      <w:szCs w:val="16"/>
                    </w:rPr>
                  </w:pPr>
                  <w:r>
                    <w:rPr>
                      <w:rFonts w:cs="Calibri"/>
                      <w:color w:val="000000"/>
                      <w:sz w:val="16"/>
                      <w:szCs w:val="16"/>
                    </w:rPr>
                    <w:t xml:space="preserve">Trať </w:t>
                  </w:r>
                  <w:r w:rsidRPr="00D82703">
                    <w:rPr>
                      <w:rFonts w:cs="Calibri"/>
                      <w:color w:val="000000"/>
                      <w:sz w:val="16"/>
                      <w:szCs w:val="16"/>
                    </w:rPr>
                    <w:t xml:space="preserve"> Devínska Nová Ves - SR/ČR, úsek</w:t>
                  </w:r>
                  <w:r>
                    <w:rPr>
                      <w:rFonts w:cs="Calibri"/>
                      <w:color w:val="000000"/>
                      <w:sz w:val="16"/>
                      <w:szCs w:val="16"/>
                    </w:rPr>
                    <w:t>y mimo</w:t>
                  </w:r>
                  <w:r w:rsidRPr="00D82703">
                    <w:rPr>
                      <w:rFonts w:cs="Calibri"/>
                      <w:color w:val="000000"/>
                      <w:sz w:val="16"/>
                      <w:szCs w:val="16"/>
                    </w:rPr>
                    <w:t xml:space="preserve"> Malacky - Kúty</w:t>
                  </w:r>
                </w:p>
              </w:tc>
              <w:tc>
                <w:tcPr>
                  <w:tcW w:w="399" w:type="pct"/>
                  <w:shd w:val="clear" w:color="auto" w:fill="auto"/>
                  <w:noWrap/>
                  <w:hideMark/>
                </w:tcPr>
                <w:p w14:paraId="02CB6E92"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275,9</w:t>
                  </w:r>
                </w:p>
              </w:tc>
              <w:tc>
                <w:tcPr>
                  <w:tcW w:w="289" w:type="pct"/>
                  <w:shd w:val="clear" w:color="auto" w:fill="auto"/>
                  <w:noWrap/>
                  <w:hideMark/>
                </w:tcPr>
                <w:p w14:paraId="515D95FA" w14:textId="77777777" w:rsidR="006D0D3B" w:rsidRPr="00D82703" w:rsidRDefault="006D0D3B" w:rsidP="000E4D54">
                  <w:pPr>
                    <w:jc w:val="center"/>
                    <w:rPr>
                      <w:rFonts w:cs="Calibri"/>
                      <w:color w:val="000000"/>
                      <w:sz w:val="16"/>
                      <w:szCs w:val="16"/>
                    </w:rPr>
                  </w:pPr>
                  <w:r w:rsidRPr="00D82703">
                    <w:rPr>
                      <w:rFonts w:cs="Calibri"/>
                      <w:color w:val="000000"/>
                      <w:sz w:val="16"/>
                      <w:szCs w:val="16"/>
                    </w:rPr>
                    <w:t>3,5</w:t>
                  </w:r>
                </w:p>
              </w:tc>
              <w:tc>
                <w:tcPr>
                  <w:tcW w:w="289" w:type="pct"/>
                  <w:gridSpan w:val="2"/>
                  <w:shd w:val="clear" w:color="auto" w:fill="auto"/>
                  <w:noWrap/>
                  <w:hideMark/>
                </w:tcPr>
                <w:p w14:paraId="0E4F87D8" w14:textId="77777777" w:rsidR="006D0D3B" w:rsidRPr="00D82703" w:rsidRDefault="006D0D3B" w:rsidP="000E4D54">
                  <w:pPr>
                    <w:jc w:val="center"/>
                    <w:rPr>
                      <w:rFonts w:cs="Calibri"/>
                      <w:color w:val="000000"/>
                      <w:sz w:val="16"/>
                      <w:szCs w:val="16"/>
                    </w:rPr>
                  </w:pPr>
                  <w:r w:rsidRPr="00D82703">
                    <w:rPr>
                      <w:rFonts w:cs="Calibri"/>
                      <w:color w:val="000000"/>
                      <w:sz w:val="16"/>
                      <w:szCs w:val="16"/>
                    </w:rPr>
                    <w:t>62,8</w:t>
                  </w:r>
                </w:p>
              </w:tc>
              <w:tc>
                <w:tcPr>
                  <w:tcW w:w="289" w:type="pct"/>
                  <w:shd w:val="clear" w:color="auto" w:fill="auto"/>
                  <w:noWrap/>
                  <w:hideMark/>
                </w:tcPr>
                <w:p w14:paraId="1C1B22CB" w14:textId="77777777" w:rsidR="006D0D3B" w:rsidRPr="00D82703" w:rsidRDefault="006D0D3B" w:rsidP="000E4D54">
                  <w:pPr>
                    <w:jc w:val="center"/>
                    <w:rPr>
                      <w:rFonts w:cs="Calibri"/>
                      <w:color w:val="000000"/>
                      <w:sz w:val="16"/>
                      <w:szCs w:val="16"/>
                    </w:rPr>
                  </w:pPr>
                  <w:r w:rsidRPr="00D82703">
                    <w:rPr>
                      <w:rFonts w:cs="Calibri"/>
                      <w:color w:val="000000"/>
                      <w:sz w:val="16"/>
                      <w:szCs w:val="16"/>
                    </w:rPr>
                    <w:t>179,7</w:t>
                  </w:r>
                </w:p>
              </w:tc>
              <w:tc>
                <w:tcPr>
                  <w:tcW w:w="289" w:type="pct"/>
                  <w:shd w:val="clear" w:color="auto" w:fill="auto"/>
                  <w:noWrap/>
                  <w:hideMark/>
                </w:tcPr>
                <w:p w14:paraId="5812777F" w14:textId="77777777" w:rsidR="006D0D3B" w:rsidRPr="00D82703" w:rsidRDefault="006D0D3B" w:rsidP="000E4D54">
                  <w:pPr>
                    <w:jc w:val="center"/>
                    <w:rPr>
                      <w:rFonts w:cs="Calibri"/>
                      <w:color w:val="000000"/>
                      <w:sz w:val="16"/>
                      <w:szCs w:val="16"/>
                    </w:rPr>
                  </w:pPr>
                  <w:r w:rsidRPr="00D82703">
                    <w:rPr>
                      <w:rFonts w:cs="Calibri"/>
                      <w:color w:val="000000"/>
                      <w:sz w:val="16"/>
                      <w:szCs w:val="16"/>
                    </w:rPr>
                    <w:t>30,0</w:t>
                  </w:r>
                </w:p>
              </w:tc>
              <w:tc>
                <w:tcPr>
                  <w:tcW w:w="289" w:type="pct"/>
                  <w:shd w:val="clear" w:color="auto" w:fill="auto"/>
                  <w:noWrap/>
                  <w:hideMark/>
                </w:tcPr>
                <w:p w14:paraId="577F345A"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shd w:val="clear" w:color="auto" w:fill="auto"/>
                  <w:noWrap/>
                  <w:hideMark/>
                </w:tcPr>
                <w:p w14:paraId="46084C24"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shd w:val="clear" w:color="auto" w:fill="auto"/>
                  <w:noWrap/>
                  <w:hideMark/>
                </w:tcPr>
                <w:p w14:paraId="475DED0D"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r>
            <w:tr w:rsidR="006D0D3B" w:rsidRPr="00D82703" w14:paraId="3A0E2114" w14:textId="77777777" w:rsidTr="000E4D54">
              <w:trPr>
                <w:trHeight w:val="242"/>
              </w:trPr>
              <w:tc>
                <w:tcPr>
                  <w:tcW w:w="391" w:type="pct"/>
                  <w:shd w:val="clear" w:color="auto" w:fill="auto"/>
                  <w:noWrap/>
                  <w:hideMark/>
                </w:tcPr>
                <w:p w14:paraId="540A07ED" w14:textId="77777777" w:rsidR="006D0D3B" w:rsidRPr="00D82703" w:rsidRDefault="006D0D3B" w:rsidP="000E4D54">
                  <w:pPr>
                    <w:rPr>
                      <w:rFonts w:cs="Calibri"/>
                      <w:color w:val="000000"/>
                      <w:sz w:val="16"/>
                      <w:szCs w:val="16"/>
                    </w:rPr>
                  </w:pPr>
                  <w:r w:rsidRPr="00D82703">
                    <w:rPr>
                      <w:rFonts w:cs="Calibri"/>
                      <w:color w:val="000000"/>
                      <w:sz w:val="16"/>
                      <w:szCs w:val="16"/>
                    </w:rPr>
                    <w:t>cesty</w:t>
                  </w:r>
                </w:p>
              </w:tc>
              <w:tc>
                <w:tcPr>
                  <w:tcW w:w="2188" w:type="pct"/>
                  <w:shd w:val="clear" w:color="auto" w:fill="auto"/>
                  <w:noWrap/>
                  <w:hideMark/>
                </w:tcPr>
                <w:p w14:paraId="1FDEEB56" w14:textId="77777777" w:rsidR="006D0D3B" w:rsidRPr="00D82703" w:rsidRDefault="006D0D3B" w:rsidP="000E4D54">
                  <w:pPr>
                    <w:rPr>
                      <w:rFonts w:cs="Calibri"/>
                      <w:color w:val="000000"/>
                      <w:sz w:val="16"/>
                      <w:szCs w:val="16"/>
                    </w:rPr>
                  </w:pPr>
                  <w:r w:rsidRPr="00D82703">
                    <w:rPr>
                      <w:rFonts w:cs="Calibri"/>
                      <w:color w:val="000000"/>
                      <w:sz w:val="16"/>
                      <w:szCs w:val="16"/>
                    </w:rPr>
                    <w:t>R2 Kriváň - Mýtna</w:t>
                  </w:r>
                </w:p>
              </w:tc>
              <w:tc>
                <w:tcPr>
                  <w:tcW w:w="399" w:type="pct"/>
                  <w:shd w:val="clear" w:color="auto" w:fill="auto"/>
                  <w:noWrap/>
                  <w:hideMark/>
                </w:tcPr>
                <w:p w14:paraId="45F70CB9"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265,1</w:t>
                  </w:r>
                </w:p>
              </w:tc>
              <w:tc>
                <w:tcPr>
                  <w:tcW w:w="289" w:type="pct"/>
                  <w:shd w:val="clear" w:color="auto" w:fill="auto"/>
                  <w:noWrap/>
                  <w:hideMark/>
                </w:tcPr>
                <w:p w14:paraId="31AFDDD0" w14:textId="77777777" w:rsidR="006D0D3B" w:rsidRPr="00D82703" w:rsidRDefault="006D0D3B" w:rsidP="000E4D54">
                  <w:pPr>
                    <w:jc w:val="center"/>
                    <w:rPr>
                      <w:rFonts w:cs="Calibri"/>
                      <w:color w:val="000000"/>
                      <w:sz w:val="16"/>
                      <w:szCs w:val="16"/>
                    </w:rPr>
                  </w:pPr>
                  <w:r w:rsidRPr="00D82703">
                    <w:rPr>
                      <w:rFonts w:cs="Calibri"/>
                      <w:color w:val="000000"/>
                      <w:sz w:val="16"/>
                      <w:szCs w:val="16"/>
                    </w:rPr>
                    <w:t>6,7</w:t>
                  </w:r>
                </w:p>
              </w:tc>
              <w:tc>
                <w:tcPr>
                  <w:tcW w:w="289" w:type="pct"/>
                  <w:gridSpan w:val="2"/>
                  <w:shd w:val="clear" w:color="auto" w:fill="auto"/>
                  <w:noWrap/>
                  <w:hideMark/>
                </w:tcPr>
                <w:p w14:paraId="42DD4EC7" w14:textId="77777777" w:rsidR="006D0D3B" w:rsidRPr="00D82703" w:rsidRDefault="006D0D3B" w:rsidP="000E4D54">
                  <w:pPr>
                    <w:jc w:val="center"/>
                    <w:rPr>
                      <w:rFonts w:cs="Calibri"/>
                      <w:color w:val="000000"/>
                      <w:sz w:val="16"/>
                      <w:szCs w:val="16"/>
                    </w:rPr>
                  </w:pPr>
                  <w:r w:rsidRPr="00D82703">
                    <w:rPr>
                      <w:rFonts w:cs="Calibri"/>
                      <w:color w:val="000000"/>
                      <w:sz w:val="16"/>
                      <w:szCs w:val="16"/>
                    </w:rPr>
                    <w:t>56,1</w:t>
                  </w:r>
                </w:p>
              </w:tc>
              <w:tc>
                <w:tcPr>
                  <w:tcW w:w="289" w:type="pct"/>
                  <w:shd w:val="clear" w:color="auto" w:fill="auto"/>
                  <w:noWrap/>
                  <w:hideMark/>
                </w:tcPr>
                <w:p w14:paraId="3F23F672" w14:textId="77777777" w:rsidR="006D0D3B" w:rsidRPr="00D82703" w:rsidRDefault="006D0D3B" w:rsidP="000E4D54">
                  <w:pPr>
                    <w:jc w:val="center"/>
                    <w:rPr>
                      <w:rFonts w:cs="Calibri"/>
                      <w:color w:val="000000"/>
                      <w:sz w:val="16"/>
                      <w:szCs w:val="16"/>
                    </w:rPr>
                  </w:pPr>
                  <w:r w:rsidRPr="00D82703">
                    <w:rPr>
                      <w:rFonts w:cs="Calibri"/>
                      <w:color w:val="000000"/>
                      <w:sz w:val="16"/>
                      <w:szCs w:val="16"/>
                    </w:rPr>
                    <w:t>89,2</w:t>
                  </w:r>
                </w:p>
              </w:tc>
              <w:tc>
                <w:tcPr>
                  <w:tcW w:w="289" w:type="pct"/>
                  <w:shd w:val="clear" w:color="auto" w:fill="auto"/>
                  <w:noWrap/>
                  <w:hideMark/>
                </w:tcPr>
                <w:p w14:paraId="61B23832" w14:textId="77777777" w:rsidR="006D0D3B" w:rsidRPr="00D82703" w:rsidRDefault="006D0D3B" w:rsidP="000E4D54">
                  <w:pPr>
                    <w:jc w:val="center"/>
                    <w:rPr>
                      <w:rFonts w:cs="Calibri"/>
                      <w:color w:val="000000"/>
                      <w:sz w:val="16"/>
                      <w:szCs w:val="16"/>
                    </w:rPr>
                  </w:pPr>
                  <w:r w:rsidRPr="00D82703">
                    <w:rPr>
                      <w:rFonts w:cs="Calibri"/>
                      <w:color w:val="000000"/>
                      <w:sz w:val="16"/>
                      <w:szCs w:val="16"/>
                    </w:rPr>
                    <w:t>93,6</w:t>
                  </w:r>
                </w:p>
              </w:tc>
              <w:tc>
                <w:tcPr>
                  <w:tcW w:w="289" w:type="pct"/>
                  <w:shd w:val="clear" w:color="auto" w:fill="auto"/>
                  <w:noWrap/>
                  <w:hideMark/>
                </w:tcPr>
                <w:p w14:paraId="0D22CCA1" w14:textId="77777777" w:rsidR="006D0D3B" w:rsidRPr="00D82703" w:rsidRDefault="006D0D3B" w:rsidP="000E4D54">
                  <w:pPr>
                    <w:jc w:val="center"/>
                    <w:rPr>
                      <w:rFonts w:cs="Calibri"/>
                      <w:color w:val="000000"/>
                      <w:sz w:val="16"/>
                      <w:szCs w:val="16"/>
                    </w:rPr>
                  </w:pPr>
                  <w:r w:rsidRPr="00D82703">
                    <w:rPr>
                      <w:rFonts w:cs="Calibri"/>
                      <w:color w:val="000000"/>
                      <w:sz w:val="16"/>
                      <w:szCs w:val="16"/>
                    </w:rPr>
                    <w:t>18,6</w:t>
                  </w:r>
                </w:p>
              </w:tc>
              <w:tc>
                <w:tcPr>
                  <w:tcW w:w="289" w:type="pct"/>
                  <w:shd w:val="clear" w:color="auto" w:fill="auto"/>
                  <w:noWrap/>
                  <w:hideMark/>
                </w:tcPr>
                <w:p w14:paraId="0B10F6A3" w14:textId="77777777" w:rsidR="006D0D3B" w:rsidRPr="00D82703" w:rsidRDefault="006D0D3B" w:rsidP="000E4D54">
                  <w:pPr>
                    <w:jc w:val="center"/>
                    <w:rPr>
                      <w:rFonts w:cs="Calibri"/>
                      <w:color w:val="000000"/>
                      <w:sz w:val="16"/>
                      <w:szCs w:val="16"/>
                    </w:rPr>
                  </w:pPr>
                  <w:r w:rsidRPr="00D82703">
                    <w:rPr>
                      <w:rFonts w:cs="Calibri"/>
                      <w:color w:val="000000"/>
                      <w:sz w:val="16"/>
                      <w:szCs w:val="16"/>
                    </w:rPr>
                    <w:t>0,6</w:t>
                  </w:r>
                </w:p>
              </w:tc>
              <w:tc>
                <w:tcPr>
                  <w:tcW w:w="289" w:type="pct"/>
                  <w:shd w:val="clear" w:color="auto" w:fill="auto"/>
                  <w:noWrap/>
                  <w:hideMark/>
                </w:tcPr>
                <w:p w14:paraId="24D27CE5" w14:textId="77777777" w:rsidR="006D0D3B" w:rsidRPr="00D82703" w:rsidRDefault="006D0D3B" w:rsidP="000E4D54">
                  <w:pPr>
                    <w:jc w:val="center"/>
                    <w:rPr>
                      <w:rFonts w:cs="Calibri"/>
                      <w:color w:val="000000"/>
                      <w:sz w:val="16"/>
                      <w:szCs w:val="16"/>
                    </w:rPr>
                  </w:pPr>
                  <w:r w:rsidRPr="00D82703">
                    <w:rPr>
                      <w:rFonts w:cs="Calibri"/>
                      <w:color w:val="000000"/>
                      <w:sz w:val="16"/>
                      <w:szCs w:val="16"/>
                    </w:rPr>
                    <w:t>0,4</w:t>
                  </w:r>
                </w:p>
              </w:tc>
            </w:tr>
            <w:tr w:rsidR="006D0D3B" w:rsidRPr="00D82703" w14:paraId="3B72DDC0" w14:textId="77777777" w:rsidTr="000E4D54">
              <w:trPr>
                <w:trHeight w:val="242"/>
              </w:trPr>
              <w:tc>
                <w:tcPr>
                  <w:tcW w:w="391" w:type="pct"/>
                  <w:shd w:val="clear" w:color="auto" w:fill="auto"/>
                  <w:noWrap/>
                  <w:hideMark/>
                </w:tcPr>
                <w:p w14:paraId="4B17C578" w14:textId="77777777" w:rsidR="006D0D3B" w:rsidRPr="00D82703" w:rsidRDefault="006D0D3B" w:rsidP="000E4D54">
                  <w:pPr>
                    <w:rPr>
                      <w:rFonts w:cs="Calibri"/>
                      <w:color w:val="000000"/>
                      <w:sz w:val="16"/>
                      <w:szCs w:val="16"/>
                    </w:rPr>
                  </w:pPr>
                  <w:r w:rsidRPr="00D82703">
                    <w:rPr>
                      <w:rFonts w:cs="Calibri"/>
                      <w:color w:val="000000"/>
                      <w:sz w:val="16"/>
                      <w:szCs w:val="16"/>
                    </w:rPr>
                    <w:t>železnice</w:t>
                  </w:r>
                </w:p>
              </w:tc>
              <w:tc>
                <w:tcPr>
                  <w:tcW w:w="2188" w:type="pct"/>
                  <w:shd w:val="clear" w:color="auto" w:fill="auto"/>
                  <w:noWrap/>
                  <w:hideMark/>
                </w:tcPr>
                <w:p w14:paraId="69FF7830" w14:textId="77777777" w:rsidR="006D0D3B" w:rsidRPr="00D82703" w:rsidRDefault="006D0D3B" w:rsidP="000E4D54">
                  <w:pPr>
                    <w:rPr>
                      <w:rFonts w:cs="Calibri"/>
                      <w:color w:val="000000"/>
                      <w:sz w:val="16"/>
                      <w:szCs w:val="16"/>
                    </w:rPr>
                  </w:pPr>
                  <w:r w:rsidRPr="00D82703">
                    <w:rPr>
                      <w:rFonts w:cs="Calibri"/>
                      <w:color w:val="000000"/>
                      <w:sz w:val="16"/>
                      <w:szCs w:val="16"/>
                    </w:rPr>
                    <w:t xml:space="preserve">Dostavba </w:t>
                  </w:r>
                  <w:r>
                    <w:rPr>
                      <w:rFonts w:cs="Calibri"/>
                      <w:color w:val="000000"/>
                      <w:sz w:val="16"/>
                      <w:szCs w:val="16"/>
                    </w:rPr>
                    <w:t>uzla</w:t>
                  </w:r>
                  <w:r w:rsidRPr="00D82703">
                    <w:rPr>
                      <w:rFonts w:cs="Calibri"/>
                      <w:color w:val="000000"/>
                      <w:sz w:val="16"/>
                      <w:szCs w:val="16"/>
                    </w:rPr>
                    <w:t xml:space="preserve"> Žilina </w:t>
                  </w:r>
                </w:p>
              </w:tc>
              <w:tc>
                <w:tcPr>
                  <w:tcW w:w="399" w:type="pct"/>
                  <w:shd w:val="clear" w:color="auto" w:fill="auto"/>
                  <w:noWrap/>
                  <w:hideMark/>
                </w:tcPr>
                <w:p w14:paraId="08B2C359"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310,8</w:t>
                  </w:r>
                </w:p>
              </w:tc>
              <w:tc>
                <w:tcPr>
                  <w:tcW w:w="289" w:type="pct"/>
                  <w:shd w:val="clear" w:color="auto" w:fill="auto"/>
                  <w:noWrap/>
                  <w:hideMark/>
                </w:tcPr>
                <w:p w14:paraId="4CFCF51D" w14:textId="77777777" w:rsidR="006D0D3B" w:rsidRPr="00D82703" w:rsidRDefault="006D0D3B" w:rsidP="000E4D54">
                  <w:pPr>
                    <w:jc w:val="center"/>
                    <w:rPr>
                      <w:rFonts w:cs="Calibri"/>
                      <w:color w:val="000000"/>
                      <w:sz w:val="16"/>
                      <w:szCs w:val="16"/>
                    </w:rPr>
                  </w:pPr>
                  <w:r w:rsidRPr="00D82703">
                    <w:rPr>
                      <w:rFonts w:cs="Calibri"/>
                      <w:color w:val="000000"/>
                      <w:sz w:val="16"/>
                      <w:szCs w:val="16"/>
                    </w:rPr>
                    <w:t>68,8</w:t>
                  </w:r>
                </w:p>
              </w:tc>
              <w:tc>
                <w:tcPr>
                  <w:tcW w:w="289" w:type="pct"/>
                  <w:gridSpan w:val="2"/>
                  <w:shd w:val="clear" w:color="auto" w:fill="auto"/>
                  <w:noWrap/>
                  <w:hideMark/>
                </w:tcPr>
                <w:p w14:paraId="1F5433D3" w14:textId="77777777" w:rsidR="006D0D3B" w:rsidRPr="00D82703" w:rsidRDefault="006D0D3B" w:rsidP="000E4D54">
                  <w:pPr>
                    <w:jc w:val="center"/>
                    <w:rPr>
                      <w:rFonts w:cs="Calibri"/>
                      <w:color w:val="000000"/>
                      <w:sz w:val="16"/>
                      <w:szCs w:val="16"/>
                    </w:rPr>
                  </w:pPr>
                  <w:r w:rsidRPr="00D82703">
                    <w:rPr>
                      <w:rFonts w:cs="Calibri"/>
                      <w:color w:val="000000"/>
                      <w:sz w:val="16"/>
                      <w:szCs w:val="16"/>
                    </w:rPr>
                    <w:t>88,2</w:t>
                  </w:r>
                </w:p>
              </w:tc>
              <w:tc>
                <w:tcPr>
                  <w:tcW w:w="289" w:type="pct"/>
                  <w:shd w:val="clear" w:color="auto" w:fill="auto"/>
                  <w:noWrap/>
                  <w:hideMark/>
                </w:tcPr>
                <w:p w14:paraId="7C54FAC4" w14:textId="77777777" w:rsidR="006D0D3B" w:rsidRPr="00D82703" w:rsidRDefault="006D0D3B" w:rsidP="000E4D54">
                  <w:pPr>
                    <w:jc w:val="center"/>
                    <w:rPr>
                      <w:rFonts w:cs="Calibri"/>
                      <w:color w:val="000000"/>
                      <w:sz w:val="16"/>
                      <w:szCs w:val="16"/>
                    </w:rPr>
                  </w:pPr>
                  <w:r w:rsidRPr="00D82703">
                    <w:rPr>
                      <w:rFonts w:cs="Calibri"/>
                      <w:color w:val="000000"/>
                      <w:sz w:val="16"/>
                      <w:szCs w:val="16"/>
                    </w:rPr>
                    <w:t>120,3</w:t>
                  </w:r>
                </w:p>
              </w:tc>
              <w:tc>
                <w:tcPr>
                  <w:tcW w:w="289" w:type="pct"/>
                  <w:shd w:val="clear" w:color="auto" w:fill="auto"/>
                  <w:noWrap/>
                  <w:hideMark/>
                </w:tcPr>
                <w:p w14:paraId="63253E97" w14:textId="77777777" w:rsidR="006D0D3B" w:rsidRPr="00D82703" w:rsidRDefault="006D0D3B" w:rsidP="000E4D54">
                  <w:pPr>
                    <w:jc w:val="center"/>
                    <w:rPr>
                      <w:rFonts w:cs="Calibri"/>
                      <w:color w:val="000000"/>
                      <w:sz w:val="16"/>
                      <w:szCs w:val="16"/>
                    </w:rPr>
                  </w:pPr>
                  <w:r w:rsidRPr="00D82703">
                    <w:rPr>
                      <w:rFonts w:cs="Calibri"/>
                      <w:color w:val="000000"/>
                      <w:sz w:val="16"/>
                      <w:szCs w:val="16"/>
                    </w:rPr>
                    <w:t>33,5</w:t>
                  </w:r>
                </w:p>
              </w:tc>
              <w:tc>
                <w:tcPr>
                  <w:tcW w:w="289" w:type="pct"/>
                  <w:shd w:val="clear" w:color="auto" w:fill="auto"/>
                  <w:noWrap/>
                  <w:hideMark/>
                </w:tcPr>
                <w:p w14:paraId="26DF1DC5"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shd w:val="clear" w:color="auto" w:fill="auto"/>
                  <w:noWrap/>
                  <w:hideMark/>
                </w:tcPr>
                <w:p w14:paraId="5885CC28"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shd w:val="clear" w:color="auto" w:fill="auto"/>
                  <w:noWrap/>
                  <w:hideMark/>
                </w:tcPr>
                <w:p w14:paraId="1FF60036"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r>
            <w:tr w:rsidR="006D0D3B" w:rsidRPr="00D82703" w14:paraId="520C10BA" w14:textId="77777777" w:rsidTr="000E4D54">
              <w:trPr>
                <w:trHeight w:val="242"/>
              </w:trPr>
              <w:tc>
                <w:tcPr>
                  <w:tcW w:w="391" w:type="pct"/>
                  <w:shd w:val="clear" w:color="auto" w:fill="auto"/>
                  <w:noWrap/>
                  <w:hideMark/>
                </w:tcPr>
                <w:p w14:paraId="40B1E930" w14:textId="77777777" w:rsidR="006D0D3B" w:rsidRPr="00D82703" w:rsidRDefault="006D0D3B" w:rsidP="000E4D54">
                  <w:pPr>
                    <w:rPr>
                      <w:rFonts w:cs="Calibri"/>
                      <w:color w:val="000000"/>
                      <w:sz w:val="16"/>
                      <w:szCs w:val="16"/>
                    </w:rPr>
                  </w:pPr>
                  <w:r w:rsidRPr="00D82703">
                    <w:rPr>
                      <w:rFonts w:cs="Calibri"/>
                      <w:color w:val="000000"/>
                      <w:sz w:val="16"/>
                      <w:szCs w:val="16"/>
                    </w:rPr>
                    <w:t>cesty</w:t>
                  </w:r>
                </w:p>
              </w:tc>
              <w:tc>
                <w:tcPr>
                  <w:tcW w:w="2188" w:type="pct"/>
                  <w:shd w:val="clear" w:color="auto" w:fill="auto"/>
                  <w:noWrap/>
                  <w:hideMark/>
                </w:tcPr>
                <w:p w14:paraId="044BB97F" w14:textId="77777777" w:rsidR="006D0D3B" w:rsidRPr="00D82703" w:rsidRDefault="006D0D3B" w:rsidP="000E4D54">
                  <w:pPr>
                    <w:rPr>
                      <w:rFonts w:cs="Calibri"/>
                      <w:color w:val="000000"/>
                      <w:sz w:val="16"/>
                      <w:szCs w:val="16"/>
                    </w:rPr>
                  </w:pPr>
                  <w:r w:rsidRPr="00D82703">
                    <w:rPr>
                      <w:rFonts w:cs="Calibri"/>
                      <w:color w:val="000000"/>
                      <w:sz w:val="16"/>
                      <w:szCs w:val="16"/>
                    </w:rPr>
                    <w:t>D1 Turany - Hubová</w:t>
                  </w:r>
                </w:p>
              </w:tc>
              <w:tc>
                <w:tcPr>
                  <w:tcW w:w="399" w:type="pct"/>
                  <w:shd w:val="clear" w:color="auto" w:fill="auto"/>
                  <w:noWrap/>
                  <w:hideMark/>
                </w:tcPr>
                <w:p w14:paraId="6817F58E"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1195,2</w:t>
                  </w:r>
                </w:p>
              </w:tc>
              <w:tc>
                <w:tcPr>
                  <w:tcW w:w="289" w:type="pct"/>
                  <w:shd w:val="clear" w:color="auto" w:fill="auto"/>
                  <w:noWrap/>
                  <w:hideMark/>
                </w:tcPr>
                <w:p w14:paraId="7A34402B" w14:textId="77777777" w:rsidR="006D0D3B" w:rsidRPr="00D82703" w:rsidRDefault="006D0D3B" w:rsidP="000E4D54">
                  <w:pPr>
                    <w:jc w:val="center"/>
                    <w:rPr>
                      <w:rFonts w:cs="Calibri"/>
                      <w:color w:val="000000"/>
                      <w:sz w:val="16"/>
                      <w:szCs w:val="16"/>
                    </w:rPr>
                  </w:pPr>
                  <w:r w:rsidRPr="00D82703">
                    <w:rPr>
                      <w:rFonts w:cs="Calibri"/>
                      <w:color w:val="000000"/>
                      <w:sz w:val="16"/>
                      <w:szCs w:val="16"/>
                    </w:rPr>
                    <w:t>0,1</w:t>
                  </w:r>
                </w:p>
              </w:tc>
              <w:tc>
                <w:tcPr>
                  <w:tcW w:w="289" w:type="pct"/>
                  <w:gridSpan w:val="2"/>
                  <w:shd w:val="clear" w:color="auto" w:fill="auto"/>
                  <w:noWrap/>
                  <w:hideMark/>
                </w:tcPr>
                <w:p w14:paraId="418EADED" w14:textId="77777777" w:rsidR="006D0D3B" w:rsidRPr="00D82703" w:rsidRDefault="006D0D3B" w:rsidP="000E4D54">
                  <w:pPr>
                    <w:jc w:val="center"/>
                    <w:rPr>
                      <w:rFonts w:cs="Calibri"/>
                      <w:color w:val="000000"/>
                      <w:sz w:val="16"/>
                      <w:szCs w:val="16"/>
                    </w:rPr>
                  </w:pPr>
                  <w:r w:rsidRPr="00D82703">
                    <w:rPr>
                      <w:rFonts w:cs="Calibri"/>
                      <w:color w:val="000000"/>
                      <w:sz w:val="16"/>
                      <w:szCs w:val="16"/>
                    </w:rPr>
                    <w:t>0,3</w:t>
                  </w:r>
                </w:p>
              </w:tc>
              <w:tc>
                <w:tcPr>
                  <w:tcW w:w="289" w:type="pct"/>
                  <w:shd w:val="clear" w:color="auto" w:fill="auto"/>
                  <w:noWrap/>
                  <w:hideMark/>
                </w:tcPr>
                <w:p w14:paraId="19B34420" w14:textId="77777777" w:rsidR="006D0D3B" w:rsidRPr="00D82703" w:rsidRDefault="006D0D3B" w:rsidP="000E4D54">
                  <w:pPr>
                    <w:jc w:val="center"/>
                    <w:rPr>
                      <w:rFonts w:cs="Calibri"/>
                      <w:color w:val="000000"/>
                      <w:sz w:val="16"/>
                      <w:szCs w:val="16"/>
                    </w:rPr>
                  </w:pPr>
                  <w:r w:rsidRPr="00D82703">
                    <w:rPr>
                      <w:rFonts w:cs="Calibri"/>
                      <w:color w:val="000000"/>
                      <w:sz w:val="16"/>
                      <w:szCs w:val="16"/>
                    </w:rPr>
                    <w:t>1,6</w:t>
                  </w:r>
                </w:p>
              </w:tc>
              <w:tc>
                <w:tcPr>
                  <w:tcW w:w="289" w:type="pct"/>
                  <w:shd w:val="clear" w:color="auto" w:fill="auto"/>
                  <w:noWrap/>
                  <w:hideMark/>
                </w:tcPr>
                <w:p w14:paraId="0D49501A" w14:textId="77777777" w:rsidR="006D0D3B" w:rsidRPr="00D82703" w:rsidRDefault="006D0D3B" w:rsidP="000E4D54">
                  <w:pPr>
                    <w:jc w:val="center"/>
                    <w:rPr>
                      <w:rFonts w:cs="Calibri"/>
                      <w:color w:val="000000"/>
                      <w:sz w:val="16"/>
                      <w:szCs w:val="16"/>
                    </w:rPr>
                  </w:pPr>
                  <w:r w:rsidRPr="00D82703">
                    <w:rPr>
                      <w:rFonts w:cs="Calibri"/>
                      <w:color w:val="000000"/>
                      <w:sz w:val="16"/>
                      <w:szCs w:val="16"/>
                    </w:rPr>
                    <w:t>1,3</w:t>
                  </w:r>
                </w:p>
              </w:tc>
              <w:tc>
                <w:tcPr>
                  <w:tcW w:w="289" w:type="pct"/>
                  <w:shd w:val="clear" w:color="auto" w:fill="auto"/>
                  <w:noWrap/>
                  <w:hideMark/>
                </w:tcPr>
                <w:p w14:paraId="5092AC11" w14:textId="77777777" w:rsidR="006D0D3B" w:rsidRPr="00D82703" w:rsidRDefault="006D0D3B" w:rsidP="000E4D54">
                  <w:pPr>
                    <w:jc w:val="center"/>
                    <w:rPr>
                      <w:rFonts w:cs="Calibri"/>
                      <w:color w:val="000000"/>
                      <w:sz w:val="16"/>
                      <w:szCs w:val="16"/>
                    </w:rPr>
                  </w:pPr>
                  <w:r w:rsidRPr="00D82703">
                    <w:rPr>
                      <w:rFonts w:cs="Calibri"/>
                      <w:color w:val="000000"/>
                      <w:sz w:val="16"/>
                      <w:szCs w:val="16"/>
                    </w:rPr>
                    <w:t>84,9</w:t>
                  </w:r>
                </w:p>
              </w:tc>
              <w:tc>
                <w:tcPr>
                  <w:tcW w:w="289" w:type="pct"/>
                  <w:shd w:val="clear" w:color="auto" w:fill="auto"/>
                  <w:noWrap/>
                  <w:hideMark/>
                </w:tcPr>
                <w:p w14:paraId="25DFF1FA" w14:textId="77777777" w:rsidR="006D0D3B" w:rsidRPr="00D82703" w:rsidRDefault="006D0D3B" w:rsidP="000E4D54">
                  <w:pPr>
                    <w:jc w:val="center"/>
                    <w:rPr>
                      <w:rFonts w:cs="Calibri"/>
                      <w:color w:val="000000"/>
                      <w:sz w:val="16"/>
                      <w:szCs w:val="16"/>
                    </w:rPr>
                  </w:pPr>
                  <w:r w:rsidRPr="00D82703">
                    <w:rPr>
                      <w:rFonts w:cs="Calibri"/>
                      <w:color w:val="000000"/>
                      <w:sz w:val="16"/>
                      <w:szCs w:val="16"/>
                    </w:rPr>
                    <w:t>144,9</w:t>
                  </w:r>
                </w:p>
              </w:tc>
              <w:tc>
                <w:tcPr>
                  <w:tcW w:w="289" w:type="pct"/>
                  <w:shd w:val="clear" w:color="auto" w:fill="auto"/>
                  <w:noWrap/>
                  <w:hideMark/>
                </w:tcPr>
                <w:p w14:paraId="1B52C995" w14:textId="77777777" w:rsidR="006D0D3B" w:rsidRPr="00D82703" w:rsidRDefault="006D0D3B" w:rsidP="000E4D54">
                  <w:pPr>
                    <w:jc w:val="center"/>
                    <w:rPr>
                      <w:rFonts w:cs="Calibri"/>
                      <w:color w:val="000000"/>
                      <w:sz w:val="16"/>
                      <w:szCs w:val="16"/>
                    </w:rPr>
                  </w:pPr>
                  <w:r w:rsidRPr="00D82703">
                    <w:rPr>
                      <w:rFonts w:cs="Calibri"/>
                      <w:color w:val="000000"/>
                      <w:sz w:val="16"/>
                      <w:szCs w:val="16"/>
                    </w:rPr>
                    <w:t>962,1</w:t>
                  </w:r>
                </w:p>
              </w:tc>
            </w:tr>
            <w:tr w:rsidR="006D0D3B" w:rsidRPr="00D82703" w14:paraId="7C0AFF67" w14:textId="77777777" w:rsidTr="000E4D54">
              <w:trPr>
                <w:trHeight w:val="242"/>
              </w:trPr>
              <w:tc>
                <w:tcPr>
                  <w:tcW w:w="391" w:type="pct"/>
                  <w:shd w:val="clear" w:color="auto" w:fill="auto"/>
                  <w:noWrap/>
                  <w:hideMark/>
                </w:tcPr>
                <w:p w14:paraId="33EA80DE" w14:textId="77777777" w:rsidR="006D0D3B" w:rsidRPr="00D82703" w:rsidRDefault="006D0D3B" w:rsidP="000E4D54">
                  <w:pPr>
                    <w:rPr>
                      <w:rFonts w:cs="Calibri"/>
                      <w:color w:val="000000"/>
                      <w:sz w:val="16"/>
                      <w:szCs w:val="16"/>
                    </w:rPr>
                  </w:pPr>
                  <w:r w:rsidRPr="00D82703">
                    <w:rPr>
                      <w:rFonts w:cs="Calibri"/>
                      <w:color w:val="000000"/>
                      <w:sz w:val="16"/>
                      <w:szCs w:val="16"/>
                    </w:rPr>
                    <w:t>cesty</w:t>
                  </w:r>
                </w:p>
              </w:tc>
              <w:tc>
                <w:tcPr>
                  <w:tcW w:w="2188" w:type="pct"/>
                  <w:shd w:val="clear" w:color="auto" w:fill="auto"/>
                  <w:noWrap/>
                  <w:hideMark/>
                </w:tcPr>
                <w:p w14:paraId="465EA18F" w14:textId="77777777" w:rsidR="006D0D3B" w:rsidRPr="00D82703" w:rsidRDefault="006D0D3B" w:rsidP="000E4D54">
                  <w:pPr>
                    <w:rPr>
                      <w:rFonts w:cs="Calibri"/>
                      <w:color w:val="000000"/>
                      <w:sz w:val="16"/>
                      <w:szCs w:val="16"/>
                    </w:rPr>
                  </w:pPr>
                  <w:r w:rsidRPr="00D82703">
                    <w:rPr>
                      <w:rFonts w:cs="Calibri"/>
                      <w:color w:val="000000"/>
                      <w:sz w:val="16"/>
                      <w:szCs w:val="16"/>
                    </w:rPr>
                    <w:t>R4 Prešov, severný obchvat, II. etapa</w:t>
                  </w:r>
                </w:p>
              </w:tc>
              <w:tc>
                <w:tcPr>
                  <w:tcW w:w="399" w:type="pct"/>
                  <w:shd w:val="clear" w:color="auto" w:fill="auto"/>
                  <w:noWrap/>
                  <w:hideMark/>
                </w:tcPr>
                <w:p w14:paraId="3768CDC8"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286,8</w:t>
                  </w:r>
                </w:p>
              </w:tc>
              <w:tc>
                <w:tcPr>
                  <w:tcW w:w="289" w:type="pct"/>
                  <w:shd w:val="clear" w:color="auto" w:fill="auto"/>
                  <w:noWrap/>
                  <w:hideMark/>
                </w:tcPr>
                <w:p w14:paraId="4AAB3B89" w14:textId="77777777" w:rsidR="006D0D3B" w:rsidRPr="00D82703" w:rsidRDefault="006D0D3B" w:rsidP="000E4D54">
                  <w:pPr>
                    <w:jc w:val="center"/>
                    <w:rPr>
                      <w:rFonts w:cs="Calibri"/>
                      <w:color w:val="000000"/>
                      <w:sz w:val="16"/>
                      <w:szCs w:val="16"/>
                    </w:rPr>
                  </w:pPr>
                  <w:r w:rsidRPr="00D82703">
                    <w:rPr>
                      <w:rFonts w:cs="Calibri"/>
                      <w:color w:val="000000"/>
                      <w:sz w:val="16"/>
                      <w:szCs w:val="16"/>
                    </w:rPr>
                    <w:t>0,4</w:t>
                  </w:r>
                </w:p>
              </w:tc>
              <w:tc>
                <w:tcPr>
                  <w:tcW w:w="289" w:type="pct"/>
                  <w:gridSpan w:val="2"/>
                  <w:shd w:val="clear" w:color="auto" w:fill="auto"/>
                  <w:noWrap/>
                  <w:hideMark/>
                </w:tcPr>
                <w:p w14:paraId="2617D45B" w14:textId="77777777" w:rsidR="006D0D3B" w:rsidRPr="00D82703" w:rsidRDefault="006D0D3B" w:rsidP="000E4D54">
                  <w:pPr>
                    <w:jc w:val="center"/>
                    <w:rPr>
                      <w:rFonts w:cs="Calibri"/>
                      <w:color w:val="000000"/>
                      <w:sz w:val="16"/>
                      <w:szCs w:val="16"/>
                    </w:rPr>
                  </w:pPr>
                  <w:r w:rsidRPr="00D82703">
                    <w:rPr>
                      <w:rFonts w:cs="Calibri"/>
                      <w:color w:val="000000"/>
                      <w:sz w:val="16"/>
                      <w:szCs w:val="16"/>
                    </w:rPr>
                    <w:t>1,2</w:t>
                  </w:r>
                </w:p>
              </w:tc>
              <w:tc>
                <w:tcPr>
                  <w:tcW w:w="289" w:type="pct"/>
                  <w:shd w:val="clear" w:color="auto" w:fill="auto"/>
                  <w:noWrap/>
                  <w:hideMark/>
                </w:tcPr>
                <w:p w14:paraId="7B3A7BE0" w14:textId="77777777" w:rsidR="006D0D3B" w:rsidRPr="00D82703" w:rsidRDefault="006D0D3B" w:rsidP="000E4D54">
                  <w:pPr>
                    <w:jc w:val="center"/>
                    <w:rPr>
                      <w:rFonts w:cs="Calibri"/>
                      <w:color w:val="000000"/>
                      <w:sz w:val="16"/>
                      <w:szCs w:val="16"/>
                    </w:rPr>
                  </w:pPr>
                  <w:r w:rsidRPr="00D82703">
                    <w:rPr>
                      <w:rFonts w:cs="Calibri"/>
                      <w:color w:val="000000"/>
                      <w:sz w:val="16"/>
                      <w:szCs w:val="16"/>
                    </w:rPr>
                    <w:t>23,5</w:t>
                  </w:r>
                </w:p>
              </w:tc>
              <w:tc>
                <w:tcPr>
                  <w:tcW w:w="289" w:type="pct"/>
                  <w:shd w:val="clear" w:color="auto" w:fill="auto"/>
                  <w:noWrap/>
                  <w:hideMark/>
                </w:tcPr>
                <w:p w14:paraId="0DAF31E5" w14:textId="77777777" w:rsidR="006D0D3B" w:rsidRPr="00D82703" w:rsidRDefault="006D0D3B" w:rsidP="000E4D54">
                  <w:pPr>
                    <w:jc w:val="center"/>
                    <w:rPr>
                      <w:rFonts w:cs="Calibri"/>
                      <w:color w:val="000000"/>
                      <w:sz w:val="16"/>
                      <w:szCs w:val="16"/>
                    </w:rPr>
                  </w:pPr>
                  <w:r w:rsidRPr="00D82703">
                    <w:rPr>
                      <w:rFonts w:cs="Calibri"/>
                      <w:color w:val="000000"/>
                      <w:sz w:val="16"/>
                      <w:szCs w:val="16"/>
                    </w:rPr>
                    <w:t>67,7</w:t>
                  </w:r>
                </w:p>
              </w:tc>
              <w:tc>
                <w:tcPr>
                  <w:tcW w:w="289" w:type="pct"/>
                  <w:shd w:val="clear" w:color="auto" w:fill="auto"/>
                  <w:noWrap/>
                  <w:hideMark/>
                </w:tcPr>
                <w:p w14:paraId="1519D8DD" w14:textId="77777777" w:rsidR="006D0D3B" w:rsidRPr="00D82703" w:rsidRDefault="006D0D3B" w:rsidP="000E4D54">
                  <w:pPr>
                    <w:jc w:val="center"/>
                    <w:rPr>
                      <w:rFonts w:cs="Calibri"/>
                      <w:color w:val="000000"/>
                      <w:sz w:val="16"/>
                      <w:szCs w:val="16"/>
                    </w:rPr>
                  </w:pPr>
                  <w:r w:rsidRPr="00D82703">
                    <w:rPr>
                      <w:rFonts w:cs="Calibri"/>
                      <w:color w:val="000000"/>
                      <w:sz w:val="16"/>
                      <w:szCs w:val="16"/>
                    </w:rPr>
                    <w:t>70,4</w:t>
                  </w:r>
                </w:p>
              </w:tc>
              <w:tc>
                <w:tcPr>
                  <w:tcW w:w="289" w:type="pct"/>
                  <w:shd w:val="clear" w:color="auto" w:fill="auto"/>
                  <w:noWrap/>
                  <w:hideMark/>
                </w:tcPr>
                <w:p w14:paraId="1BA15261" w14:textId="77777777" w:rsidR="006D0D3B" w:rsidRPr="00D82703" w:rsidRDefault="006D0D3B" w:rsidP="000E4D54">
                  <w:pPr>
                    <w:jc w:val="center"/>
                    <w:rPr>
                      <w:rFonts w:cs="Calibri"/>
                      <w:color w:val="000000"/>
                      <w:sz w:val="16"/>
                      <w:szCs w:val="16"/>
                    </w:rPr>
                  </w:pPr>
                  <w:r w:rsidRPr="00D82703">
                    <w:rPr>
                      <w:rFonts w:cs="Calibri"/>
                      <w:color w:val="000000"/>
                      <w:sz w:val="16"/>
                      <w:szCs w:val="16"/>
                    </w:rPr>
                    <w:t>66,8</w:t>
                  </w:r>
                </w:p>
              </w:tc>
              <w:tc>
                <w:tcPr>
                  <w:tcW w:w="289" w:type="pct"/>
                  <w:shd w:val="clear" w:color="auto" w:fill="auto"/>
                  <w:noWrap/>
                  <w:hideMark/>
                </w:tcPr>
                <w:p w14:paraId="16E220A4" w14:textId="77777777" w:rsidR="006D0D3B" w:rsidRPr="00D82703" w:rsidRDefault="006D0D3B" w:rsidP="000E4D54">
                  <w:pPr>
                    <w:jc w:val="center"/>
                    <w:rPr>
                      <w:rFonts w:cs="Calibri"/>
                      <w:color w:val="000000"/>
                      <w:sz w:val="16"/>
                      <w:szCs w:val="16"/>
                    </w:rPr>
                  </w:pPr>
                  <w:r w:rsidRPr="00D82703">
                    <w:rPr>
                      <w:rFonts w:cs="Calibri"/>
                      <w:color w:val="000000"/>
                      <w:sz w:val="16"/>
                      <w:szCs w:val="16"/>
                    </w:rPr>
                    <w:t>56,7</w:t>
                  </w:r>
                </w:p>
              </w:tc>
            </w:tr>
            <w:tr w:rsidR="006D0D3B" w:rsidRPr="00D82703" w14:paraId="68C404E1" w14:textId="77777777" w:rsidTr="000E4D54">
              <w:trPr>
                <w:trHeight w:val="242"/>
              </w:trPr>
              <w:tc>
                <w:tcPr>
                  <w:tcW w:w="391" w:type="pct"/>
                  <w:shd w:val="clear" w:color="auto" w:fill="auto"/>
                  <w:noWrap/>
                  <w:hideMark/>
                </w:tcPr>
                <w:p w14:paraId="4CF50BBA" w14:textId="77777777" w:rsidR="006D0D3B" w:rsidRPr="00D82703" w:rsidRDefault="006D0D3B" w:rsidP="000E4D54">
                  <w:pPr>
                    <w:rPr>
                      <w:rFonts w:cs="Calibri"/>
                      <w:color w:val="000000"/>
                      <w:sz w:val="16"/>
                      <w:szCs w:val="16"/>
                    </w:rPr>
                  </w:pPr>
                  <w:r w:rsidRPr="00D82703">
                    <w:rPr>
                      <w:rFonts w:cs="Calibri"/>
                      <w:color w:val="000000"/>
                      <w:sz w:val="16"/>
                      <w:szCs w:val="16"/>
                    </w:rPr>
                    <w:t>cesty</w:t>
                  </w:r>
                </w:p>
              </w:tc>
              <w:tc>
                <w:tcPr>
                  <w:tcW w:w="2188" w:type="pct"/>
                  <w:shd w:val="clear" w:color="auto" w:fill="auto"/>
                  <w:noWrap/>
                  <w:hideMark/>
                </w:tcPr>
                <w:p w14:paraId="6FCFBB67" w14:textId="77777777" w:rsidR="006D0D3B" w:rsidRPr="00D82703" w:rsidRDefault="006D0D3B" w:rsidP="000E4D54">
                  <w:pPr>
                    <w:rPr>
                      <w:rFonts w:cs="Calibri"/>
                      <w:color w:val="000000"/>
                      <w:sz w:val="16"/>
                      <w:szCs w:val="16"/>
                    </w:rPr>
                  </w:pPr>
                  <w:r w:rsidRPr="00D82703">
                    <w:rPr>
                      <w:rFonts w:cs="Calibri"/>
                      <w:color w:val="000000"/>
                      <w:sz w:val="16"/>
                      <w:szCs w:val="16"/>
                    </w:rPr>
                    <w:t xml:space="preserve">Lietavská Lúčka – Višňové – Dubná Skala – trasa a tunel </w:t>
                  </w:r>
                </w:p>
              </w:tc>
              <w:tc>
                <w:tcPr>
                  <w:tcW w:w="399" w:type="pct"/>
                  <w:shd w:val="clear" w:color="auto" w:fill="auto"/>
                  <w:noWrap/>
                  <w:hideMark/>
                </w:tcPr>
                <w:p w14:paraId="0F5560A6"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265,2</w:t>
                  </w:r>
                </w:p>
              </w:tc>
              <w:tc>
                <w:tcPr>
                  <w:tcW w:w="289" w:type="pct"/>
                  <w:shd w:val="clear" w:color="auto" w:fill="auto"/>
                  <w:noWrap/>
                  <w:hideMark/>
                </w:tcPr>
                <w:p w14:paraId="59696817" w14:textId="77777777" w:rsidR="006D0D3B" w:rsidRPr="00D82703" w:rsidRDefault="006D0D3B" w:rsidP="000E4D54">
                  <w:pPr>
                    <w:jc w:val="center"/>
                    <w:rPr>
                      <w:rFonts w:cs="Calibri"/>
                      <w:color w:val="000000"/>
                      <w:sz w:val="16"/>
                      <w:szCs w:val="16"/>
                    </w:rPr>
                  </w:pPr>
                  <w:r w:rsidRPr="00D82703">
                    <w:rPr>
                      <w:rFonts w:cs="Calibri"/>
                      <w:color w:val="000000"/>
                      <w:sz w:val="16"/>
                      <w:szCs w:val="16"/>
                    </w:rPr>
                    <w:t>31,0</w:t>
                  </w:r>
                </w:p>
              </w:tc>
              <w:tc>
                <w:tcPr>
                  <w:tcW w:w="289" w:type="pct"/>
                  <w:gridSpan w:val="2"/>
                  <w:shd w:val="clear" w:color="auto" w:fill="auto"/>
                  <w:noWrap/>
                  <w:hideMark/>
                </w:tcPr>
                <w:p w14:paraId="3BCB2581" w14:textId="77777777" w:rsidR="006D0D3B" w:rsidRPr="00D82703" w:rsidRDefault="006D0D3B" w:rsidP="000E4D54">
                  <w:pPr>
                    <w:jc w:val="center"/>
                    <w:rPr>
                      <w:rFonts w:cs="Calibri"/>
                      <w:color w:val="000000"/>
                      <w:sz w:val="16"/>
                      <w:szCs w:val="16"/>
                    </w:rPr>
                  </w:pPr>
                  <w:r w:rsidRPr="00D82703">
                    <w:rPr>
                      <w:rFonts w:cs="Calibri"/>
                      <w:color w:val="000000"/>
                      <w:sz w:val="16"/>
                      <w:szCs w:val="16"/>
                    </w:rPr>
                    <w:t>121,7</w:t>
                  </w:r>
                </w:p>
              </w:tc>
              <w:tc>
                <w:tcPr>
                  <w:tcW w:w="289" w:type="pct"/>
                  <w:shd w:val="clear" w:color="auto" w:fill="auto"/>
                  <w:noWrap/>
                  <w:hideMark/>
                </w:tcPr>
                <w:p w14:paraId="7B6A95F5" w14:textId="77777777" w:rsidR="006D0D3B" w:rsidRPr="00D82703" w:rsidRDefault="006D0D3B" w:rsidP="000E4D54">
                  <w:pPr>
                    <w:jc w:val="center"/>
                    <w:rPr>
                      <w:rFonts w:cs="Calibri"/>
                      <w:color w:val="000000"/>
                      <w:sz w:val="16"/>
                      <w:szCs w:val="16"/>
                    </w:rPr>
                  </w:pPr>
                  <w:r w:rsidRPr="00D82703">
                    <w:rPr>
                      <w:rFonts w:cs="Calibri"/>
                      <w:color w:val="000000"/>
                      <w:sz w:val="16"/>
                      <w:szCs w:val="16"/>
                    </w:rPr>
                    <w:t>80,7</w:t>
                  </w:r>
                </w:p>
              </w:tc>
              <w:tc>
                <w:tcPr>
                  <w:tcW w:w="289" w:type="pct"/>
                  <w:shd w:val="clear" w:color="auto" w:fill="auto"/>
                  <w:noWrap/>
                  <w:hideMark/>
                </w:tcPr>
                <w:p w14:paraId="4307DEE0" w14:textId="77777777" w:rsidR="006D0D3B" w:rsidRPr="00D82703" w:rsidRDefault="006D0D3B" w:rsidP="000E4D54">
                  <w:pPr>
                    <w:jc w:val="center"/>
                    <w:rPr>
                      <w:rFonts w:cs="Calibri"/>
                      <w:color w:val="000000"/>
                      <w:sz w:val="16"/>
                      <w:szCs w:val="16"/>
                    </w:rPr>
                  </w:pPr>
                  <w:r w:rsidRPr="00D82703">
                    <w:rPr>
                      <w:rFonts w:cs="Calibri"/>
                      <w:color w:val="000000"/>
                      <w:sz w:val="16"/>
                      <w:szCs w:val="16"/>
                    </w:rPr>
                    <w:t>16,2</w:t>
                  </w:r>
                </w:p>
              </w:tc>
              <w:tc>
                <w:tcPr>
                  <w:tcW w:w="289" w:type="pct"/>
                  <w:shd w:val="clear" w:color="auto" w:fill="auto"/>
                  <w:noWrap/>
                  <w:hideMark/>
                </w:tcPr>
                <w:p w14:paraId="1FFE0F6B" w14:textId="77777777" w:rsidR="006D0D3B" w:rsidRPr="00D82703" w:rsidRDefault="006D0D3B" w:rsidP="000E4D54">
                  <w:pPr>
                    <w:jc w:val="center"/>
                    <w:rPr>
                      <w:rFonts w:cs="Calibri"/>
                      <w:color w:val="000000"/>
                      <w:sz w:val="16"/>
                      <w:szCs w:val="16"/>
                    </w:rPr>
                  </w:pPr>
                  <w:r w:rsidRPr="00D82703">
                    <w:rPr>
                      <w:rFonts w:cs="Calibri"/>
                      <w:color w:val="000000"/>
                      <w:sz w:val="16"/>
                      <w:szCs w:val="16"/>
                    </w:rPr>
                    <w:t>2,5</w:t>
                  </w:r>
                </w:p>
              </w:tc>
              <w:tc>
                <w:tcPr>
                  <w:tcW w:w="289" w:type="pct"/>
                  <w:shd w:val="clear" w:color="auto" w:fill="auto"/>
                  <w:noWrap/>
                  <w:hideMark/>
                </w:tcPr>
                <w:p w14:paraId="70A23FC1" w14:textId="77777777" w:rsidR="006D0D3B" w:rsidRPr="00D82703" w:rsidRDefault="006D0D3B" w:rsidP="000E4D54">
                  <w:pPr>
                    <w:jc w:val="center"/>
                    <w:rPr>
                      <w:rFonts w:cs="Calibri"/>
                      <w:color w:val="000000"/>
                      <w:sz w:val="16"/>
                      <w:szCs w:val="16"/>
                    </w:rPr>
                  </w:pPr>
                  <w:r w:rsidRPr="00D82703">
                    <w:rPr>
                      <w:rFonts w:cs="Calibri"/>
                      <w:color w:val="000000"/>
                      <w:sz w:val="16"/>
                      <w:szCs w:val="16"/>
                    </w:rPr>
                    <w:t>0,0</w:t>
                  </w:r>
                </w:p>
              </w:tc>
              <w:tc>
                <w:tcPr>
                  <w:tcW w:w="289" w:type="pct"/>
                  <w:shd w:val="clear" w:color="auto" w:fill="auto"/>
                  <w:noWrap/>
                  <w:hideMark/>
                </w:tcPr>
                <w:p w14:paraId="1B74BEAF" w14:textId="77777777" w:rsidR="006D0D3B" w:rsidRPr="00D82703" w:rsidRDefault="006D0D3B" w:rsidP="000E4D54">
                  <w:pPr>
                    <w:jc w:val="center"/>
                    <w:rPr>
                      <w:rFonts w:cs="Calibri"/>
                      <w:color w:val="000000"/>
                      <w:sz w:val="16"/>
                      <w:szCs w:val="16"/>
                    </w:rPr>
                  </w:pPr>
                  <w:r w:rsidRPr="00D82703">
                    <w:rPr>
                      <w:rFonts w:cs="Calibri"/>
                      <w:color w:val="000000"/>
                      <w:sz w:val="16"/>
                      <w:szCs w:val="16"/>
                    </w:rPr>
                    <w:t>13,2</w:t>
                  </w:r>
                </w:p>
              </w:tc>
            </w:tr>
            <w:tr w:rsidR="006D0D3B" w:rsidRPr="00D82703" w14:paraId="6DC1F4E4" w14:textId="77777777" w:rsidTr="000E4D54">
              <w:trPr>
                <w:trHeight w:val="242"/>
              </w:trPr>
              <w:tc>
                <w:tcPr>
                  <w:tcW w:w="391" w:type="pct"/>
                  <w:tcBorders>
                    <w:bottom w:val="single" w:sz="4" w:space="0" w:color="auto"/>
                  </w:tcBorders>
                  <w:shd w:val="clear" w:color="auto" w:fill="auto"/>
                  <w:noWrap/>
                  <w:hideMark/>
                </w:tcPr>
                <w:p w14:paraId="42FC2C9D" w14:textId="77777777" w:rsidR="006D0D3B" w:rsidRPr="00D82703" w:rsidRDefault="006D0D3B" w:rsidP="000E4D54">
                  <w:pPr>
                    <w:rPr>
                      <w:rFonts w:cs="Calibri"/>
                      <w:color w:val="000000"/>
                      <w:sz w:val="16"/>
                      <w:szCs w:val="16"/>
                    </w:rPr>
                  </w:pPr>
                  <w:r w:rsidRPr="00D82703">
                    <w:rPr>
                      <w:rFonts w:cs="Calibri"/>
                      <w:color w:val="000000"/>
                      <w:sz w:val="16"/>
                      <w:szCs w:val="16"/>
                    </w:rPr>
                    <w:t>cesty</w:t>
                  </w:r>
                </w:p>
              </w:tc>
              <w:tc>
                <w:tcPr>
                  <w:tcW w:w="2188" w:type="pct"/>
                  <w:tcBorders>
                    <w:bottom w:val="single" w:sz="4" w:space="0" w:color="auto"/>
                  </w:tcBorders>
                  <w:shd w:val="clear" w:color="auto" w:fill="auto"/>
                  <w:noWrap/>
                  <w:hideMark/>
                </w:tcPr>
                <w:p w14:paraId="5F486D0F" w14:textId="77777777" w:rsidR="006D0D3B" w:rsidRPr="00D82703" w:rsidRDefault="006D0D3B" w:rsidP="000E4D54">
                  <w:pPr>
                    <w:rPr>
                      <w:rFonts w:cs="Calibri"/>
                      <w:color w:val="000000"/>
                      <w:sz w:val="16"/>
                      <w:szCs w:val="16"/>
                    </w:rPr>
                  </w:pPr>
                  <w:r w:rsidRPr="00D82703">
                    <w:rPr>
                      <w:rFonts w:cs="Calibri"/>
                      <w:color w:val="000000"/>
                      <w:sz w:val="16"/>
                      <w:szCs w:val="16"/>
                    </w:rPr>
                    <w:t>D1 Hubová - Ivachnová</w:t>
                  </w:r>
                </w:p>
              </w:tc>
              <w:tc>
                <w:tcPr>
                  <w:tcW w:w="399" w:type="pct"/>
                  <w:tcBorders>
                    <w:bottom w:val="single" w:sz="4" w:space="0" w:color="auto"/>
                  </w:tcBorders>
                  <w:shd w:val="clear" w:color="auto" w:fill="auto"/>
                  <w:noWrap/>
                  <w:hideMark/>
                </w:tcPr>
                <w:p w14:paraId="788CB31C" w14:textId="77777777" w:rsidR="006D0D3B" w:rsidRPr="00D82703" w:rsidRDefault="006D0D3B" w:rsidP="000E4D54">
                  <w:pPr>
                    <w:jc w:val="center"/>
                    <w:rPr>
                      <w:rFonts w:cs="Calibri"/>
                      <w:b/>
                      <w:bCs/>
                      <w:color w:val="000000"/>
                      <w:sz w:val="16"/>
                      <w:szCs w:val="16"/>
                    </w:rPr>
                  </w:pPr>
                  <w:r w:rsidRPr="00D82703">
                    <w:rPr>
                      <w:rFonts w:cs="Calibri"/>
                      <w:b/>
                      <w:bCs/>
                      <w:color w:val="000000"/>
                      <w:sz w:val="16"/>
                      <w:szCs w:val="16"/>
                    </w:rPr>
                    <w:t>260,5</w:t>
                  </w:r>
                </w:p>
              </w:tc>
              <w:tc>
                <w:tcPr>
                  <w:tcW w:w="289" w:type="pct"/>
                  <w:tcBorders>
                    <w:bottom w:val="single" w:sz="4" w:space="0" w:color="auto"/>
                  </w:tcBorders>
                  <w:shd w:val="clear" w:color="auto" w:fill="auto"/>
                  <w:noWrap/>
                  <w:hideMark/>
                </w:tcPr>
                <w:p w14:paraId="48C03122" w14:textId="77777777" w:rsidR="006D0D3B" w:rsidRPr="00D82703" w:rsidRDefault="006D0D3B" w:rsidP="000E4D54">
                  <w:pPr>
                    <w:jc w:val="center"/>
                    <w:rPr>
                      <w:rFonts w:cs="Calibri"/>
                      <w:color w:val="000000"/>
                      <w:sz w:val="16"/>
                      <w:szCs w:val="16"/>
                    </w:rPr>
                  </w:pPr>
                  <w:r w:rsidRPr="00D82703">
                    <w:rPr>
                      <w:rFonts w:cs="Calibri"/>
                      <w:color w:val="000000"/>
                      <w:sz w:val="16"/>
                      <w:szCs w:val="16"/>
                    </w:rPr>
                    <w:t>52,1</w:t>
                  </w:r>
                </w:p>
              </w:tc>
              <w:tc>
                <w:tcPr>
                  <w:tcW w:w="289" w:type="pct"/>
                  <w:gridSpan w:val="2"/>
                  <w:tcBorders>
                    <w:bottom w:val="single" w:sz="4" w:space="0" w:color="auto"/>
                  </w:tcBorders>
                  <w:shd w:val="clear" w:color="auto" w:fill="auto"/>
                  <w:noWrap/>
                  <w:hideMark/>
                </w:tcPr>
                <w:p w14:paraId="1029B7DA" w14:textId="77777777" w:rsidR="006D0D3B" w:rsidRPr="00D82703" w:rsidRDefault="006D0D3B" w:rsidP="000E4D54">
                  <w:pPr>
                    <w:jc w:val="center"/>
                    <w:rPr>
                      <w:rFonts w:cs="Calibri"/>
                      <w:color w:val="000000"/>
                      <w:sz w:val="16"/>
                      <w:szCs w:val="16"/>
                    </w:rPr>
                  </w:pPr>
                  <w:r w:rsidRPr="00D82703">
                    <w:rPr>
                      <w:rFonts w:cs="Calibri"/>
                      <w:color w:val="000000"/>
                      <w:sz w:val="16"/>
                      <w:szCs w:val="16"/>
                    </w:rPr>
                    <w:t>90,8</w:t>
                  </w:r>
                </w:p>
              </w:tc>
              <w:tc>
                <w:tcPr>
                  <w:tcW w:w="289" w:type="pct"/>
                  <w:tcBorders>
                    <w:bottom w:val="single" w:sz="4" w:space="0" w:color="auto"/>
                  </w:tcBorders>
                  <w:shd w:val="clear" w:color="auto" w:fill="auto"/>
                  <w:noWrap/>
                  <w:hideMark/>
                </w:tcPr>
                <w:p w14:paraId="2B7ED926" w14:textId="77777777" w:rsidR="006D0D3B" w:rsidRPr="00D82703" w:rsidRDefault="006D0D3B" w:rsidP="000E4D54">
                  <w:pPr>
                    <w:jc w:val="center"/>
                    <w:rPr>
                      <w:rFonts w:cs="Calibri"/>
                      <w:color w:val="000000"/>
                      <w:sz w:val="16"/>
                      <w:szCs w:val="16"/>
                    </w:rPr>
                  </w:pPr>
                  <w:r w:rsidRPr="00D82703">
                    <w:rPr>
                      <w:rFonts w:cs="Calibri"/>
                      <w:color w:val="000000"/>
                      <w:sz w:val="16"/>
                      <w:szCs w:val="16"/>
                    </w:rPr>
                    <w:t>61,7</w:t>
                  </w:r>
                </w:p>
              </w:tc>
              <w:tc>
                <w:tcPr>
                  <w:tcW w:w="289" w:type="pct"/>
                  <w:tcBorders>
                    <w:bottom w:val="single" w:sz="4" w:space="0" w:color="auto"/>
                  </w:tcBorders>
                  <w:shd w:val="clear" w:color="auto" w:fill="auto"/>
                  <w:noWrap/>
                  <w:hideMark/>
                </w:tcPr>
                <w:p w14:paraId="3C5D4E10" w14:textId="77777777" w:rsidR="006D0D3B" w:rsidRPr="00D82703" w:rsidRDefault="006D0D3B" w:rsidP="000E4D54">
                  <w:pPr>
                    <w:jc w:val="center"/>
                    <w:rPr>
                      <w:rFonts w:cs="Calibri"/>
                      <w:color w:val="000000"/>
                      <w:sz w:val="16"/>
                      <w:szCs w:val="16"/>
                    </w:rPr>
                  </w:pPr>
                  <w:r w:rsidRPr="00D82703">
                    <w:rPr>
                      <w:rFonts w:cs="Calibri"/>
                      <w:color w:val="000000"/>
                      <w:sz w:val="16"/>
                      <w:szCs w:val="16"/>
                    </w:rPr>
                    <w:t>34,1</w:t>
                  </w:r>
                </w:p>
              </w:tc>
              <w:tc>
                <w:tcPr>
                  <w:tcW w:w="289" w:type="pct"/>
                  <w:tcBorders>
                    <w:bottom w:val="single" w:sz="4" w:space="0" w:color="auto"/>
                  </w:tcBorders>
                  <w:shd w:val="clear" w:color="auto" w:fill="auto"/>
                  <w:noWrap/>
                  <w:hideMark/>
                </w:tcPr>
                <w:p w14:paraId="62888BAF" w14:textId="77777777" w:rsidR="006D0D3B" w:rsidRPr="00D82703" w:rsidRDefault="006D0D3B" w:rsidP="000E4D54">
                  <w:pPr>
                    <w:jc w:val="center"/>
                    <w:rPr>
                      <w:rFonts w:cs="Calibri"/>
                      <w:color w:val="000000"/>
                      <w:sz w:val="16"/>
                      <w:szCs w:val="16"/>
                    </w:rPr>
                  </w:pPr>
                  <w:r w:rsidRPr="00D82703">
                    <w:rPr>
                      <w:rFonts w:cs="Calibri"/>
                      <w:color w:val="000000"/>
                      <w:sz w:val="16"/>
                      <w:szCs w:val="16"/>
                    </w:rPr>
                    <w:t>0,8</w:t>
                  </w:r>
                </w:p>
              </w:tc>
              <w:tc>
                <w:tcPr>
                  <w:tcW w:w="289" w:type="pct"/>
                  <w:tcBorders>
                    <w:bottom w:val="single" w:sz="4" w:space="0" w:color="auto"/>
                  </w:tcBorders>
                  <w:shd w:val="clear" w:color="auto" w:fill="auto"/>
                  <w:noWrap/>
                  <w:hideMark/>
                </w:tcPr>
                <w:p w14:paraId="2B63AA8B" w14:textId="77777777" w:rsidR="006D0D3B" w:rsidRPr="00D82703" w:rsidRDefault="006D0D3B" w:rsidP="000E4D54">
                  <w:pPr>
                    <w:jc w:val="center"/>
                    <w:rPr>
                      <w:rFonts w:cs="Calibri"/>
                      <w:color w:val="000000"/>
                      <w:sz w:val="16"/>
                      <w:szCs w:val="16"/>
                    </w:rPr>
                  </w:pPr>
                  <w:r w:rsidRPr="00D82703">
                    <w:rPr>
                      <w:rFonts w:cs="Calibri"/>
                      <w:color w:val="000000"/>
                      <w:sz w:val="16"/>
                      <w:szCs w:val="16"/>
                    </w:rPr>
                    <w:t>0,1</w:t>
                  </w:r>
                </w:p>
              </w:tc>
              <w:tc>
                <w:tcPr>
                  <w:tcW w:w="289" w:type="pct"/>
                  <w:tcBorders>
                    <w:bottom w:val="single" w:sz="4" w:space="0" w:color="auto"/>
                  </w:tcBorders>
                  <w:shd w:val="clear" w:color="auto" w:fill="auto"/>
                  <w:noWrap/>
                  <w:hideMark/>
                </w:tcPr>
                <w:p w14:paraId="2992548A" w14:textId="77777777" w:rsidR="006D0D3B" w:rsidRPr="00D82703" w:rsidRDefault="006D0D3B" w:rsidP="000E4D54">
                  <w:pPr>
                    <w:jc w:val="center"/>
                    <w:rPr>
                      <w:rFonts w:cs="Calibri"/>
                      <w:color w:val="000000"/>
                      <w:sz w:val="16"/>
                      <w:szCs w:val="16"/>
                    </w:rPr>
                  </w:pPr>
                  <w:r w:rsidRPr="00D82703">
                    <w:rPr>
                      <w:rFonts w:cs="Calibri"/>
                      <w:color w:val="000000"/>
                      <w:sz w:val="16"/>
                      <w:szCs w:val="16"/>
                    </w:rPr>
                    <w:t>20,9</w:t>
                  </w:r>
                </w:p>
              </w:tc>
            </w:tr>
            <w:tr w:rsidR="006D0D3B" w:rsidRPr="00D82703" w14:paraId="26C240C1" w14:textId="77777777" w:rsidTr="000E4D54">
              <w:trPr>
                <w:trHeight w:val="242"/>
              </w:trPr>
              <w:tc>
                <w:tcPr>
                  <w:tcW w:w="3520" w:type="pct"/>
                  <w:gridSpan w:val="5"/>
                  <w:tcBorders>
                    <w:top w:val="single" w:sz="4" w:space="0" w:color="auto"/>
                  </w:tcBorders>
                  <w:shd w:val="clear" w:color="auto" w:fill="auto"/>
                  <w:noWrap/>
                </w:tcPr>
                <w:p w14:paraId="44DCC8F6" w14:textId="77777777" w:rsidR="006D0D3B" w:rsidRPr="005E2246" w:rsidRDefault="006D0D3B" w:rsidP="000E4D54">
                  <w:pPr>
                    <w:rPr>
                      <w:rFonts w:cs="Calibri"/>
                      <w:i/>
                      <w:color w:val="000000"/>
                      <w:sz w:val="16"/>
                      <w:szCs w:val="16"/>
                    </w:rPr>
                  </w:pPr>
                  <w:r w:rsidRPr="005E2246">
                    <w:rPr>
                      <w:rFonts w:cs="Calibri"/>
                      <w:i/>
                      <w:color w:val="000000"/>
                      <w:sz w:val="16"/>
                      <w:szCs w:val="16"/>
                    </w:rPr>
                    <w:t xml:space="preserve">*okrem projektov Ministerstva obrany SR </w:t>
                  </w:r>
                </w:p>
              </w:tc>
              <w:tc>
                <w:tcPr>
                  <w:tcW w:w="1480" w:type="pct"/>
                  <w:gridSpan w:val="6"/>
                  <w:tcBorders>
                    <w:top w:val="single" w:sz="4" w:space="0" w:color="auto"/>
                  </w:tcBorders>
                  <w:shd w:val="clear" w:color="auto" w:fill="auto"/>
                </w:tcPr>
                <w:p w14:paraId="65166234" w14:textId="77777777" w:rsidR="006D0D3B" w:rsidRPr="005E2246" w:rsidRDefault="006D0D3B" w:rsidP="000E4D54">
                  <w:pPr>
                    <w:jc w:val="right"/>
                    <w:rPr>
                      <w:rFonts w:cs="Calibri"/>
                      <w:i/>
                      <w:color w:val="000000"/>
                      <w:sz w:val="16"/>
                      <w:szCs w:val="16"/>
                    </w:rPr>
                  </w:pPr>
                  <w:r w:rsidRPr="005E2246">
                    <w:rPr>
                      <w:rFonts w:cs="Calibri"/>
                      <w:i/>
                      <w:color w:val="000000"/>
                      <w:sz w:val="16"/>
                      <w:szCs w:val="16"/>
                    </w:rPr>
                    <w:t>Zdroj: investičné plány ministerstiev</w:t>
                  </w:r>
                </w:p>
              </w:tc>
            </w:tr>
            <w:bookmarkEnd w:id="204"/>
            <w:bookmarkEnd w:id="205"/>
          </w:tbl>
          <w:p w14:paraId="053AFA1E" w14:textId="77777777" w:rsidR="006D0D3B" w:rsidRPr="00096946" w:rsidRDefault="006D0D3B" w:rsidP="000E4D54">
            <w:pPr>
              <w:spacing w:after="160"/>
              <w:jc w:val="both"/>
              <w:rPr>
                <w:rFonts w:cs="Arial Narrow"/>
              </w:rPr>
            </w:pPr>
          </w:p>
        </w:tc>
      </w:tr>
    </w:tbl>
    <w:p w14:paraId="2A2802BB" w14:textId="77777777" w:rsidR="006D0D3B" w:rsidRDefault="006D0D3B" w:rsidP="006D0D3B">
      <w:pPr>
        <w:jc w:val="both"/>
        <w:rPr>
          <w:rFonts w:cs="Arial Narrow"/>
        </w:rPr>
      </w:pPr>
    </w:p>
    <w:p w14:paraId="5BFD7954" w14:textId="77777777" w:rsidR="006D0D3B" w:rsidRDefault="006D0D3B" w:rsidP="006D0D3B">
      <w:pPr>
        <w:pStyle w:val="Odsekzoznamu"/>
        <w:numPr>
          <w:ilvl w:val="0"/>
          <w:numId w:val="30"/>
        </w:numPr>
        <w:spacing w:after="160"/>
        <w:ind w:left="426"/>
        <w:jc w:val="both"/>
        <w:rPr>
          <w:rFonts w:cs="Arial Narrow"/>
        </w:rPr>
      </w:pPr>
      <w:r w:rsidRPr="00096946">
        <w:rPr>
          <w:rFonts w:cs="Arial Narrow"/>
          <w:b/>
          <w:bCs/>
        </w:rPr>
        <w:t>Zmeny nastali aj v spôsobe zostavovania rozpočtu verejnej správy pre kapitálové výdavky. Do rozpočtu sú od roku 2021 okrem pokračujúcich projektov zaradené iba preukázateľne spoločensky návratné a pripravené projekty.</w:t>
      </w:r>
      <w:r w:rsidRPr="00096946">
        <w:rPr>
          <w:rFonts w:cs="Arial Narrow"/>
        </w:rPr>
        <w:t xml:space="preserve"> Ostatné plánované projekty sú viazané v rozpočte Všeobecnej pokladničnej správy v rámci zásobníka investícií a čerpať je ich možné až po hodnotení MF SR. </w:t>
      </w:r>
    </w:p>
    <w:p w14:paraId="26246A9A" w14:textId="206FC74B" w:rsidR="006D0D3B" w:rsidRDefault="006D0D3B" w:rsidP="006D0D3B">
      <w:pPr>
        <w:pStyle w:val="Odsekzoznamu"/>
        <w:numPr>
          <w:ilvl w:val="0"/>
          <w:numId w:val="30"/>
        </w:numPr>
        <w:spacing w:after="160"/>
        <w:ind w:left="426"/>
        <w:jc w:val="both"/>
        <w:rPr>
          <w:rFonts w:cs="Arial Narrow"/>
        </w:rPr>
      </w:pPr>
      <w:r w:rsidRPr="00616C61">
        <w:rPr>
          <w:rFonts w:cs="Arial Narrow"/>
          <w:b/>
          <w:bCs/>
        </w:rPr>
        <w:t xml:space="preserve">Vláda SR </w:t>
      </w:r>
      <w:r w:rsidR="00A10216">
        <w:rPr>
          <w:rFonts w:cs="Arial Narrow"/>
          <w:b/>
          <w:bCs/>
        </w:rPr>
        <w:t>s</w:t>
      </w:r>
      <w:r w:rsidRPr="00616C61">
        <w:rPr>
          <w:rFonts w:cs="Arial Narrow"/>
          <w:b/>
          <w:bCs/>
        </w:rPr>
        <w:t>chválila Metodiku prípravy a hodnotenia investičných projektov</w:t>
      </w:r>
      <w:r w:rsidRPr="00616C61">
        <w:rPr>
          <w:rStyle w:val="Odkaznapoznmkupodiarou"/>
          <w:b/>
          <w:bCs/>
        </w:rPr>
        <w:footnoteReference w:id="69"/>
      </w:r>
      <w:r w:rsidRPr="00616C61">
        <w:rPr>
          <w:rFonts w:cs="Arial Narrow"/>
          <w:b/>
          <w:bCs/>
        </w:rPr>
        <w:t xml:space="preserve">. </w:t>
      </w:r>
      <w:r w:rsidRPr="00616C61">
        <w:rPr>
          <w:rFonts w:cs="Arial Narrow"/>
        </w:rPr>
        <w:t>M</w:t>
      </w:r>
      <w:r w:rsidRPr="00555D2B">
        <w:rPr>
          <w:rFonts w:cs="Arial Narrow"/>
        </w:rPr>
        <w:t>ateriál</w:t>
      </w:r>
      <w:r>
        <w:rPr>
          <w:rFonts w:cs="Arial Narrow"/>
        </w:rPr>
        <w:t xml:space="preserve"> pomáha investorom (ministerstvám) lepšie pripravovať projekty a plánovať investície. Metodika nepridáva nové úlohy, len s</w:t>
      </w:r>
      <w:r w:rsidRPr="00616C61">
        <w:rPr>
          <w:rFonts w:cs="Arial Narrow"/>
        </w:rPr>
        <w:t>prehľadňuje a bližšie vysvetľuje</w:t>
      </w:r>
      <w:r>
        <w:rPr>
          <w:rFonts w:cs="Arial Narrow"/>
        </w:rPr>
        <w:t xml:space="preserve"> súčasné povinnosti</w:t>
      </w:r>
      <w:r w:rsidRPr="00616C61">
        <w:rPr>
          <w:rFonts w:cs="Arial Narrow"/>
        </w:rPr>
        <w:t>. Štandardizované procesy a výber vhodných projektov už v skorej fáze zabezpečia vyššiu kvalitu ich prípravy a kvalitnejšie podklady pre rozhodovanie o ich realizácií.</w:t>
      </w:r>
    </w:p>
    <w:p w14:paraId="5E1A5CAD" w14:textId="77777777" w:rsidR="006D0D3B" w:rsidRDefault="006D0D3B" w:rsidP="006D0D3B">
      <w:pPr>
        <w:spacing w:before="120"/>
        <w:jc w:val="both"/>
      </w:pPr>
      <w:r w:rsidRPr="00616C61">
        <w:rPr>
          <w:b/>
        </w:rPr>
        <w:t>Za implementáciu reformy je zodpovedné MF SR v súčinnosti so všetkými rezortmi.</w:t>
      </w:r>
      <w:r w:rsidRPr="00096946">
        <w:t xml:space="preserve"> Pre dokončenie reformy je potrebné posilnenie centrálnej koordinačnej autority na MF SR a dobudovanie analytických </w:t>
      </w:r>
      <w:r>
        <w:t>kapacít</w:t>
      </w:r>
      <w:r w:rsidRPr="00096946">
        <w:t xml:space="preserve"> zodpovedných za analyticky podložené investičné plány ministerstiev. Tiež je potrebné zjednodušenie prípravného procesu, dopracovanie metodík a zefektívnenie obstarávania.</w:t>
      </w:r>
      <w:r>
        <w:t xml:space="preserve"> </w:t>
      </w:r>
    </w:p>
    <w:p w14:paraId="346244AC" w14:textId="77777777" w:rsidR="006D0D3B" w:rsidRDefault="006D0D3B" w:rsidP="006D0D3B">
      <w:pPr>
        <w:jc w:val="both"/>
      </w:pPr>
    </w:p>
    <w:p w14:paraId="38F13C92" w14:textId="77777777" w:rsidR="006D0D3B" w:rsidRPr="00096946" w:rsidRDefault="006D0D3B" w:rsidP="006D0D3B">
      <w:pPr>
        <w:jc w:val="both"/>
      </w:pPr>
      <w:r>
        <w:rPr>
          <w:b/>
        </w:rPr>
        <w:t xml:space="preserve">Analyticky by mali byť podložené všetky významné rozhodnutia štátu, nie len v oblasti investičných projektov. </w:t>
      </w:r>
      <w:r w:rsidRPr="00DB250E">
        <w:t>Systematická príprava</w:t>
      </w:r>
      <w:r w:rsidRPr="002C2AA9">
        <w:t xml:space="preserve"> ex-ante analýz nových plánovaných politík a regulácií by zvýšila efektivitu vynaložených</w:t>
      </w:r>
      <w:r w:rsidRPr="00616C61">
        <w:t xml:space="preserve"> prostriedkov a transparentnosť prijímaných rozhodnutí. </w:t>
      </w:r>
    </w:p>
    <w:p w14:paraId="19AD8ED3" w14:textId="77777777" w:rsidR="006D0D3B" w:rsidRPr="00D83770" w:rsidRDefault="006D0D3B" w:rsidP="006D0D3B">
      <w:pPr>
        <w:pStyle w:val="NormalList"/>
        <w:spacing w:after="240"/>
      </w:pPr>
    </w:p>
    <w:p w14:paraId="018DD782" w14:textId="61AB4CFB" w:rsidR="00082431" w:rsidRDefault="00082431">
      <w:pPr>
        <w:rPr>
          <w:b/>
        </w:rPr>
      </w:pPr>
      <w:r>
        <w:rPr>
          <w:b/>
        </w:rPr>
        <w:br w:type="page"/>
      </w:r>
    </w:p>
    <w:p w14:paraId="542AC89B" w14:textId="77777777" w:rsidR="00082431" w:rsidRPr="00D72FB3" w:rsidRDefault="00082431" w:rsidP="00082431">
      <w:pPr>
        <w:pStyle w:val="Nadpis1"/>
        <w:keepLines/>
        <w:numPr>
          <w:ilvl w:val="0"/>
          <w:numId w:val="2"/>
        </w:numPr>
        <w:tabs>
          <w:tab w:val="left" w:pos="2127"/>
        </w:tabs>
        <w:spacing w:before="240" w:after="240"/>
        <w:rPr>
          <w:rFonts w:cs="Arial Narrow"/>
          <w:color w:val="2C9ADC"/>
          <w:szCs w:val="28"/>
        </w:rPr>
      </w:pPr>
      <w:bookmarkStart w:id="208" w:name="_Toc449430195"/>
      <w:bookmarkStart w:id="209" w:name="_Toc70700343"/>
      <w:bookmarkStart w:id="210" w:name="_Toc101880677"/>
      <w:r w:rsidRPr="00D72FB3">
        <w:rPr>
          <w:rFonts w:cs="Arial Narrow"/>
          <w:color w:val="2C9ADC"/>
          <w:szCs w:val="28"/>
        </w:rPr>
        <w:t>INŠTITUCIONÁLNE ASPEKTY VEREJNÝCH FINANCIÍ</w:t>
      </w:r>
      <w:bookmarkEnd w:id="208"/>
      <w:bookmarkEnd w:id="209"/>
      <w:bookmarkEnd w:id="210"/>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082431" w:rsidRPr="001B3FF1" w14:paraId="36AF609B" w14:textId="77777777" w:rsidTr="00614C05">
        <w:trPr>
          <w:trHeight w:val="3822"/>
        </w:trPr>
        <w:tc>
          <w:tcPr>
            <w:tcW w:w="9072" w:type="dxa"/>
          </w:tcPr>
          <w:p w14:paraId="085EC4C5" w14:textId="1132660C" w:rsidR="00082431" w:rsidRPr="00933AF0" w:rsidRDefault="00082431" w:rsidP="00F60ADC">
            <w:pPr>
              <w:spacing w:before="120" w:after="120"/>
              <w:jc w:val="both"/>
              <w:rPr>
                <w:i/>
              </w:rPr>
            </w:pPr>
            <w:r w:rsidRPr="00933AF0">
              <w:rPr>
                <w:i/>
              </w:rPr>
              <w:t>Najočakávanejšou zmenou v riadení verejných financií v roku 2022 bolo schválenie zavedenia limitov výdavkov verejnej správy ako systémového nástroja posilňujúceho proti-cyklickosť a dlhodobú udržateľnosť verejných financií. S implementáciou limitov sa počíta už v rozpočte na roky 2023 a 2024 a od nasledujúcich parlamentných volieb budú záväzné pre každú vládu v rámci celého volebného cyklu. S výdavkovými limitmi sa viaže aj proces zavedenia rezortných scenárov nezmenených politík, ktoré by mali skvalitniť rozpočtový proces. Limity tiež prevezmú hlavnú úlohu pri smerovaní k vyrovnanému rozpočtu ako pravidlu prevzatého z európskej legislatívy a mali by zabezpečiť potrebné korekcie odchýlenia sa od tohto cieľa. Ambíciou vlády v roku 2022 ostáva dokončiť proces novelizácie ústavného zákona o rozpočtovej zodpovednosti, a to zmenami v dlhovej brzde a ústavným ukotvením výdavkových limitov. Prechod na ukazovateľ čistého dlhu, posilnenie sankcií dlhovej brzdy a väčšia flexibilita by v tandeme s limitmi výdavkov malo posilniť dlhodobú udržateľnosť verejných financií. Zvyšovanie efektívnosti verejných výdavkov a identifikácia ďalších úspor bude pokračovať ďalšími revíziami výdavkov</w:t>
            </w:r>
            <w:r>
              <w:rPr>
                <w:i/>
              </w:rPr>
              <w:t xml:space="preserve">. </w:t>
            </w:r>
            <w:r w:rsidRPr="00A37066">
              <w:rPr>
                <w:i/>
              </w:rPr>
              <w:t>Počas roku 2022 bude vykonaná revízia výdavkov na dotácie a aktualizácia opatrení identifikovaných revíziou výdavkov v zdravotníctve</w:t>
            </w:r>
            <w:r w:rsidRPr="00933AF0">
              <w:rPr>
                <w:i/>
              </w:rPr>
              <w:t>. Orientácia na výsledky verejnej správy sa posilňuje prepojením výsledkových indikátorov využívaných v strategických materiáloch vlády, najmä Národného programu reforiem a Hlavnej knihy Rozpočtu verejnej správy.</w:t>
            </w:r>
          </w:p>
        </w:tc>
      </w:tr>
    </w:tbl>
    <w:p w14:paraId="0119E624" w14:textId="77777777" w:rsidR="00082431" w:rsidRPr="00896490" w:rsidRDefault="00082431" w:rsidP="00082431">
      <w:pPr>
        <w:pStyle w:val="Default"/>
        <w:spacing w:before="240" w:after="120"/>
        <w:jc w:val="both"/>
        <w:rPr>
          <w:rFonts w:ascii="Arial Narrow" w:hAnsi="Arial Narrow"/>
          <w:b/>
          <w:color w:val="2C9ADC" w:themeColor="accent1"/>
          <w:sz w:val="22"/>
          <w:szCs w:val="22"/>
          <w:lang w:val="sk-SK"/>
        </w:rPr>
      </w:pPr>
      <w:r>
        <w:rPr>
          <w:rFonts w:ascii="Arial Narrow" w:hAnsi="Arial Narrow"/>
          <w:b/>
          <w:color w:val="2C9ADC" w:themeColor="accent1"/>
          <w:sz w:val="22"/>
          <w:szCs w:val="22"/>
          <w:lang w:val="sk-SK"/>
        </w:rPr>
        <w:t xml:space="preserve">Limit </w:t>
      </w:r>
      <w:r w:rsidRPr="00896490">
        <w:rPr>
          <w:rFonts w:ascii="Arial Narrow" w:hAnsi="Arial Narrow"/>
          <w:b/>
          <w:color w:val="2C9ADC" w:themeColor="accent1"/>
          <w:sz w:val="22"/>
          <w:szCs w:val="22"/>
          <w:lang w:val="sk-SK"/>
        </w:rPr>
        <w:t>výdavkov verejnej správy</w:t>
      </w:r>
    </w:p>
    <w:p w14:paraId="599E9FA9" w14:textId="77777777" w:rsidR="00082431" w:rsidRPr="004C248F" w:rsidRDefault="00082431" w:rsidP="00082431">
      <w:pPr>
        <w:pStyle w:val="Odsekzoznamu"/>
        <w:spacing w:after="240"/>
        <w:ind w:left="0"/>
        <w:contextualSpacing w:val="0"/>
        <w:jc w:val="both"/>
      </w:pPr>
      <w:r w:rsidRPr="0076489D">
        <w:rPr>
          <w:b/>
        </w:rPr>
        <w:t xml:space="preserve">Najdôležitejšou prijatou zmenou posilňujúcou udržateľnosť verejných financií </w:t>
      </w:r>
      <w:r>
        <w:rPr>
          <w:b/>
        </w:rPr>
        <w:t>je</w:t>
      </w:r>
      <w:r w:rsidRPr="0076489D">
        <w:rPr>
          <w:b/>
        </w:rPr>
        <w:t xml:space="preserve"> schválenie </w:t>
      </w:r>
      <w:r>
        <w:rPr>
          <w:b/>
        </w:rPr>
        <w:t xml:space="preserve">viacročných </w:t>
      </w:r>
      <w:r w:rsidRPr="0076489D">
        <w:rPr>
          <w:b/>
        </w:rPr>
        <w:t>limit</w:t>
      </w:r>
      <w:r>
        <w:rPr>
          <w:b/>
        </w:rPr>
        <w:t>ov</w:t>
      </w:r>
      <w:r w:rsidRPr="0076489D">
        <w:rPr>
          <w:b/>
        </w:rPr>
        <w:t xml:space="preserve"> verejných výdavkov.</w:t>
      </w:r>
      <w:r>
        <w:t xml:space="preserve"> Výdavkové limity sa stanú hlavným operatívnym nástrojom riadenia verejných financií</w:t>
      </w:r>
      <w:r>
        <w:rPr>
          <w:rStyle w:val="Odkaznapoznmkupodiarou"/>
        </w:rPr>
        <w:footnoteReference w:id="70"/>
      </w:r>
      <w:r>
        <w:t xml:space="preserve">, ktorý zabezpečí väčšiu proti-cyklickosť fiškálnej politiky s cieľom znížiť riziká dlhodobej udržateľnosti a vytvoriť dostatočný fiškálny priestor pre stimuly v prípade budúcich kríz. Vláda schválila zavedenie výdavkových limitov na jar </w:t>
      </w:r>
      <w:r w:rsidRPr="00B360EA">
        <w:t>v novele bežného zákona o rozpočtových pravidlách</w:t>
      </w:r>
      <w:r w:rsidRPr="001C379D">
        <w:t>,</w:t>
      </w:r>
      <w:r>
        <w:t xml:space="preserve"> no naďalej deklaruje zámer v priebehu roka 2022 ukotviť výdavkové limity aj </w:t>
      </w:r>
      <w:r w:rsidRPr="004C248F">
        <w:t>v ústavnom zákone o rozpočtovej zodpovednosti.</w:t>
      </w:r>
    </w:p>
    <w:p w14:paraId="355FF328" w14:textId="77777777" w:rsidR="00082431" w:rsidRDefault="00082431" w:rsidP="00082431">
      <w:pPr>
        <w:pStyle w:val="Odsekzoznamu"/>
        <w:spacing w:after="240"/>
        <w:ind w:left="0"/>
        <w:contextualSpacing w:val="0"/>
        <w:jc w:val="both"/>
        <w:rPr>
          <w:rFonts w:cs="Arial Narrow"/>
        </w:rPr>
      </w:pPr>
      <w:r>
        <w:rPr>
          <w:rFonts w:cs="Arial Narrow"/>
          <w:b/>
        </w:rPr>
        <w:t xml:space="preserve">S implementáciou limitov sa počíta už </w:t>
      </w:r>
      <w:r w:rsidRPr="004E3075">
        <w:rPr>
          <w:rFonts w:cs="Arial Narrow"/>
          <w:b/>
        </w:rPr>
        <w:t>v</w:t>
      </w:r>
      <w:r>
        <w:rPr>
          <w:rFonts w:cs="Arial Narrow"/>
          <w:b/>
        </w:rPr>
        <w:t xml:space="preserve"> rozpočte verejnej správy na roky 2023 až 2025, pričom </w:t>
      </w:r>
      <w:r w:rsidRPr="004E3075">
        <w:rPr>
          <w:rFonts w:cs="Arial Narrow"/>
          <w:b/>
        </w:rPr>
        <w:t>budú záväzné pre každú vládu na obdobie celého volebného cyklu.</w:t>
      </w:r>
      <w:r>
        <w:rPr>
          <w:rFonts w:cs="Arial Narrow"/>
          <w:b/>
        </w:rPr>
        <w:t xml:space="preserve"> </w:t>
      </w:r>
      <w:r w:rsidRPr="004E3075">
        <w:rPr>
          <w:rFonts w:cs="Arial Narrow"/>
        </w:rPr>
        <w:t>L</w:t>
      </w:r>
      <w:r>
        <w:rPr>
          <w:rFonts w:cs="Arial Narrow"/>
        </w:rPr>
        <w:t>imit verejných výdavkov pre vládu určí</w:t>
      </w:r>
      <w:r w:rsidRPr="004C248F">
        <w:rPr>
          <w:rFonts w:cs="Arial Narrow"/>
        </w:rPr>
        <w:t xml:space="preserve"> </w:t>
      </w:r>
      <w:r>
        <w:rPr>
          <w:rFonts w:cs="Arial Narrow"/>
        </w:rPr>
        <w:t>Rada pre rozpočtovú zodpovednosť (RRZ) v podobe upraveného štrukturálneho salda</w:t>
      </w:r>
      <w:r w:rsidRPr="004C248F">
        <w:rPr>
          <w:rStyle w:val="Odkaznapoznmkupodiarou"/>
        </w:rPr>
        <w:footnoteReference w:id="71"/>
      </w:r>
      <w:r>
        <w:rPr>
          <w:rFonts w:cs="Arial Narrow"/>
        </w:rPr>
        <w:t xml:space="preserve"> s ohľadom na riziká dlhodobej udržateľnosti vyjadrené ukazovateľom GAP</w:t>
      </w:r>
      <w:r>
        <w:rPr>
          <w:rStyle w:val="Odkaznapoznmkupodiarou"/>
        </w:rPr>
        <w:footnoteReference w:id="72"/>
      </w:r>
      <w:r>
        <w:rPr>
          <w:rFonts w:cs="Arial Narrow"/>
        </w:rPr>
        <w:t xml:space="preserve">. </w:t>
      </w:r>
      <w:r w:rsidRPr="004C248F">
        <w:rPr>
          <w:rFonts w:cs="Arial Narrow"/>
        </w:rPr>
        <w:t xml:space="preserve">Pri vysokom </w:t>
      </w:r>
      <w:r>
        <w:rPr>
          <w:rFonts w:cs="Arial Narrow"/>
        </w:rPr>
        <w:t xml:space="preserve">a strednom </w:t>
      </w:r>
      <w:r w:rsidRPr="004C248F">
        <w:rPr>
          <w:rFonts w:cs="Arial Narrow"/>
        </w:rPr>
        <w:t>r</w:t>
      </w:r>
      <w:r>
        <w:rPr>
          <w:rFonts w:cs="Arial Narrow"/>
        </w:rPr>
        <w:t>iziku sa štrukturálne saldo upraví</w:t>
      </w:r>
      <w:r w:rsidRPr="004C248F">
        <w:rPr>
          <w:rFonts w:cs="Arial Narrow"/>
        </w:rPr>
        <w:t xml:space="preserve"> tak, aby každoročne zlepšilo ukazov</w:t>
      </w:r>
      <w:r>
        <w:rPr>
          <w:rFonts w:cs="Arial Narrow"/>
        </w:rPr>
        <w:t>ateľ dlhodobej udržateľnosti o 0,5</w:t>
      </w:r>
      <w:r w:rsidRPr="004C248F">
        <w:rPr>
          <w:rFonts w:cs="Arial Narrow"/>
        </w:rPr>
        <w:t xml:space="preserve"> % HDP, pri nízkom riziku </w:t>
      </w:r>
      <w:r>
        <w:rPr>
          <w:rFonts w:cs="Arial Narrow"/>
        </w:rPr>
        <w:t>o 0,25 % a v prípade absencie rizík udržateľnosti tak, aby ukazovateľ dosahoval nulovú hodnotu</w:t>
      </w:r>
      <w:r w:rsidRPr="004C248F">
        <w:rPr>
          <w:rFonts w:cs="Arial Narrow"/>
        </w:rPr>
        <w:t xml:space="preserve">. </w:t>
      </w:r>
      <w:r>
        <w:rPr>
          <w:rFonts w:cs="Arial Narrow"/>
        </w:rPr>
        <w:t>Limit výdavkov na celé volebné obdobie Rada predloží</w:t>
      </w:r>
      <w:r w:rsidRPr="004C248F">
        <w:rPr>
          <w:rFonts w:cs="Arial Narrow"/>
        </w:rPr>
        <w:t xml:space="preserve"> na rokovanie </w:t>
      </w:r>
      <w:r>
        <w:rPr>
          <w:rFonts w:cs="Arial Narrow"/>
        </w:rPr>
        <w:t>parlamentu</w:t>
      </w:r>
      <w:r w:rsidRPr="004C248F">
        <w:rPr>
          <w:rFonts w:cs="Arial Narrow"/>
        </w:rPr>
        <w:t xml:space="preserve"> do 60 dní po schválení programového vyhlásenia </w:t>
      </w:r>
      <w:r>
        <w:rPr>
          <w:rFonts w:cs="Arial Narrow"/>
        </w:rPr>
        <w:t xml:space="preserve">novej </w:t>
      </w:r>
      <w:r w:rsidRPr="004C248F">
        <w:rPr>
          <w:rFonts w:cs="Arial Narrow"/>
        </w:rPr>
        <w:t>vlády</w:t>
      </w:r>
      <w:r>
        <w:rPr>
          <w:rFonts w:cs="Arial Narrow"/>
        </w:rPr>
        <w:t xml:space="preserve"> po voľbách do NR SR. </w:t>
      </w:r>
      <w:r w:rsidRPr="004C248F">
        <w:rPr>
          <w:rFonts w:cs="Arial Narrow"/>
        </w:rPr>
        <w:t xml:space="preserve">Maximálna </w:t>
      </w:r>
      <w:r>
        <w:rPr>
          <w:rFonts w:cs="Arial Narrow"/>
        </w:rPr>
        <w:t>úroveň takto dosiahnutého štrukturálneho prebytku je obmedzená na 0,5 % HDP.</w:t>
      </w:r>
    </w:p>
    <w:p w14:paraId="3D0025E4" w14:textId="77777777" w:rsidR="00082431" w:rsidRDefault="00082431" w:rsidP="00082431">
      <w:pPr>
        <w:pStyle w:val="Odsekzoznamu"/>
        <w:spacing w:after="240"/>
        <w:ind w:left="0"/>
        <w:contextualSpacing w:val="0"/>
        <w:jc w:val="both"/>
        <w:rPr>
          <w:rFonts w:cs="Arial Narrow"/>
        </w:rPr>
      </w:pPr>
      <w:r>
        <w:rPr>
          <w:rFonts w:cs="Arial Narrow"/>
          <w:b/>
        </w:rPr>
        <w:t xml:space="preserve">RRZ bude plnenie výdavkového limitu </w:t>
      </w:r>
      <w:r w:rsidRPr="004C248F">
        <w:rPr>
          <w:rFonts w:cs="Arial Narrow"/>
          <w:b/>
        </w:rPr>
        <w:t>za pr</w:t>
      </w:r>
      <w:r>
        <w:rPr>
          <w:rFonts w:cs="Arial Narrow"/>
          <w:b/>
        </w:rPr>
        <w:t>edchádzajúce obdobie pravidelne vyhodnocovať</w:t>
      </w:r>
      <w:r w:rsidRPr="004C248F">
        <w:rPr>
          <w:rFonts w:cs="Arial Narrow"/>
          <w:b/>
        </w:rPr>
        <w:t xml:space="preserve"> </w:t>
      </w:r>
      <w:r>
        <w:rPr>
          <w:rFonts w:cs="Arial Narrow"/>
          <w:b/>
        </w:rPr>
        <w:t xml:space="preserve">a aktualizovať každý rok </w:t>
      </w:r>
      <w:r w:rsidRPr="004C248F">
        <w:rPr>
          <w:rFonts w:cs="Arial Narrow"/>
          <w:b/>
        </w:rPr>
        <w:t xml:space="preserve">do 30. júna, </w:t>
      </w:r>
      <w:r>
        <w:rPr>
          <w:rFonts w:cs="Arial Narrow"/>
          <w:b/>
        </w:rPr>
        <w:t>resp. do mesiaca od</w:t>
      </w:r>
      <w:r w:rsidRPr="004C248F">
        <w:rPr>
          <w:rFonts w:cs="Arial Narrow"/>
          <w:b/>
        </w:rPr>
        <w:t xml:space="preserve"> požiadani</w:t>
      </w:r>
      <w:r>
        <w:rPr>
          <w:rFonts w:cs="Arial Narrow"/>
          <w:b/>
        </w:rPr>
        <w:t>a</w:t>
      </w:r>
      <w:r w:rsidRPr="004C248F">
        <w:rPr>
          <w:rFonts w:cs="Arial Narrow"/>
          <w:b/>
        </w:rPr>
        <w:t xml:space="preserve"> vlády</w:t>
      </w:r>
      <w:r>
        <w:rPr>
          <w:rFonts w:cs="Arial Narrow"/>
          <w:b/>
        </w:rPr>
        <w:t xml:space="preserve"> vo väzbe na nové prijaté opatrenia. </w:t>
      </w:r>
      <w:r w:rsidRPr="004C248F">
        <w:rPr>
          <w:rFonts w:cs="Arial Narrow"/>
        </w:rPr>
        <w:t xml:space="preserve">Aktualizácia </w:t>
      </w:r>
      <w:r>
        <w:rPr>
          <w:rFonts w:cs="Arial Narrow"/>
        </w:rPr>
        <w:t xml:space="preserve">limitov má zohľadniť </w:t>
      </w:r>
      <w:r w:rsidRPr="004C248F">
        <w:rPr>
          <w:rFonts w:cs="Arial Narrow"/>
        </w:rPr>
        <w:t>prijaté legislatívne zmeny</w:t>
      </w:r>
      <w:r>
        <w:rPr>
          <w:rFonts w:cs="Arial Narrow"/>
        </w:rPr>
        <w:t xml:space="preserve"> (najmä legislatíva ovplyvňujúca výšku príjmov)</w:t>
      </w:r>
      <w:r>
        <w:rPr>
          <w:rStyle w:val="Odkaznapoznmkupodiarou"/>
        </w:rPr>
        <w:footnoteReference w:id="73"/>
      </w:r>
      <w:r w:rsidRPr="004C248F">
        <w:rPr>
          <w:rFonts w:cs="Arial Narrow"/>
        </w:rPr>
        <w:t xml:space="preserve">, ale zabezpečuje aj </w:t>
      </w:r>
      <w:r>
        <w:rPr>
          <w:rFonts w:cs="Arial Narrow"/>
        </w:rPr>
        <w:t xml:space="preserve">kompletnú </w:t>
      </w:r>
      <w:r w:rsidRPr="004C248F">
        <w:rPr>
          <w:rFonts w:cs="Arial Narrow"/>
        </w:rPr>
        <w:t xml:space="preserve">korekciu prípadného neplnenia limitov z predchádzajúceho obdobia. </w:t>
      </w:r>
      <w:r>
        <w:rPr>
          <w:rFonts w:cs="Arial Narrow"/>
        </w:rPr>
        <w:t xml:space="preserve">Naopak bežné dodatočné revízie v prognóze príjmov vplyvom externých faktorov sa nezohľadnia. Výnimkou je, ak rozdiel medzi aktuálnymi prognózami príjmov a pôvodne predpokladanými presiahne 3 % HDP v jednom roku. V takom prípade sa pôvodne určený limit kompletne prepočíta na základe najnovších prognóz. Aktualizovaný limit Rada predkladá na schválenie výboru NR SR pre financie a rozpočet a výboru pre hospodárske záležitosti. </w:t>
      </w:r>
      <w:r w:rsidRPr="004C248F">
        <w:rPr>
          <w:rFonts w:cs="Arial Narrow"/>
        </w:rPr>
        <w:t>Neplnenie výdavkových stropov dve po sebe nasledujúce obdobia o viac ako 1 % HDP predpokladá, že vláda požiada NR SR o vyslovenie dôvery</w:t>
      </w:r>
      <w:r>
        <w:rPr>
          <w:rStyle w:val="Odkaznapoznmkupodiarou"/>
        </w:rPr>
        <w:footnoteReference w:id="74"/>
      </w:r>
      <w:r w:rsidRPr="004C248F">
        <w:rPr>
          <w:rFonts w:cs="Arial Narrow"/>
        </w:rPr>
        <w:t>.</w:t>
      </w:r>
      <w:r>
        <w:rPr>
          <w:rFonts w:cs="Arial Narrow"/>
        </w:rPr>
        <w:t xml:space="preserve"> Najmenej raz za kvartál je tiež ministerstvo financií zo zákona povinné monitorovať plnenie výdavkového limitu  v aktuálnom roku. Novela si z dôvodu vyhodnocovania plnenia limitov zo strany RRZ vyžiadala aj posilnenie jej prístupu k údajom v rámci bežných zákonov.</w:t>
      </w:r>
    </w:p>
    <w:p w14:paraId="49BA65EF" w14:textId="6C5C149D" w:rsidR="00082431" w:rsidRDefault="00082431" w:rsidP="00082431">
      <w:pPr>
        <w:pStyle w:val="Odsekzoznamu"/>
        <w:spacing w:after="240"/>
        <w:ind w:left="0"/>
        <w:contextualSpacing w:val="0"/>
        <w:jc w:val="both"/>
        <w:rPr>
          <w:rFonts w:cs="Arial Narrow"/>
        </w:rPr>
      </w:pPr>
      <w:r>
        <w:rPr>
          <w:rFonts w:cs="Arial Narrow"/>
          <w:b/>
        </w:rPr>
        <w:t>Súčasťou</w:t>
      </w:r>
      <w:r w:rsidRPr="00BC2202">
        <w:rPr>
          <w:rFonts w:cs="Arial Narrow"/>
          <w:b/>
        </w:rPr>
        <w:t xml:space="preserve"> výdavkových </w:t>
      </w:r>
      <w:r>
        <w:rPr>
          <w:rFonts w:cs="Arial Narrow"/>
          <w:b/>
        </w:rPr>
        <w:t>je</w:t>
      </w:r>
      <w:r w:rsidRPr="00BC2202">
        <w:rPr>
          <w:rFonts w:cs="Arial Narrow"/>
          <w:b/>
        </w:rPr>
        <w:t xml:space="preserve"> </w:t>
      </w:r>
      <w:r>
        <w:rPr>
          <w:rFonts w:cs="Arial Narrow"/>
          <w:b/>
        </w:rPr>
        <w:t xml:space="preserve">aj </w:t>
      </w:r>
      <w:r w:rsidRPr="00BC2202">
        <w:rPr>
          <w:rFonts w:cs="Arial Narrow"/>
          <w:b/>
        </w:rPr>
        <w:t>mechanizmus únikových klauzúl</w:t>
      </w:r>
      <w:r>
        <w:rPr>
          <w:rFonts w:cs="Arial Narrow"/>
          <w:b/>
        </w:rPr>
        <w:t>, pre prípad výnimočných udalostí</w:t>
      </w:r>
      <w:r w:rsidRPr="00BC2202">
        <w:rPr>
          <w:rFonts w:cs="Arial Narrow"/>
          <w:b/>
        </w:rPr>
        <w:t xml:space="preserve">. </w:t>
      </w:r>
      <w:r>
        <w:rPr>
          <w:rFonts w:cs="Arial Narrow"/>
        </w:rPr>
        <w:t xml:space="preserve">Stanovený limit sa môže prekročiť </w:t>
      </w:r>
      <w:r w:rsidRPr="00BC2202">
        <w:rPr>
          <w:rFonts w:cs="Arial Narrow"/>
        </w:rPr>
        <w:t>v prípade vyhlásenia mimoriadnej okolnosti. Tú môže vyhlásiť vláda na 12 mesiacov, ak štatisticky dôjde k </w:t>
      </w:r>
      <w:r w:rsidR="004F4DE0">
        <w:rPr>
          <w:rFonts w:cs="Arial Narrow"/>
        </w:rPr>
        <w:t>p</w:t>
      </w:r>
      <w:r w:rsidRPr="00BC2202">
        <w:rPr>
          <w:rFonts w:cs="Arial Narrow"/>
        </w:rPr>
        <w:t>oklesu reálneho HDP</w:t>
      </w:r>
      <w:r w:rsidR="004F4DE0">
        <w:rPr>
          <w:rStyle w:val="Odkaznapoznmkupodiarou"/>
        </w:rPr>
        <w:footnoteReference w:id="75"/>
      </w:r>
      <w:r w:rsidRPr="00BC2202">
        <w:rPr>
          <w:rFonts w:cs="Arial Narrow"/>
        </w:rPr>
        <w:t>. V prípade, že medziročný pokles HDP bude väčší ako 3 %, mimoriadna okolnosť bude trvať 24 mesiacov. Počas trvania mimoriadnych okolností môže vláda prekročiť stanovený limit výdavkov po schválení v NR SR.</w:t>
      </w:r>
    </w:p>
    <w:tbl>
      <w:tblPr>
        <w:tblW w:w="9075" w:type="dxa"/>
        <w:jc w:val="center"/>
        <w:shd w:val="clear" w:color="auto" w:fill="AAD3F2"/>
        <w:tblLayout w:type="fixed"/>
        <w:tblCellMar>
          <w:left w:w="70" w:type="dxa"/>
          <w:right w:w="70" w:type="dxa"/>
        </w:tblCellMar>
        <w:tblLook w:val="01E0" w:firstRow="1" w:lastRow="1" w:firstColumn="1" w:lastColumn="1" w:noHBand="0" w:noVBand="0"/>
      </w:tblPr>
      <w:tblGrid>
        <w:gridCol w:w="9075"/>
      </w:tblGrid>
      <w:tr w:rsidR="00082431" w:rsidRPr="00BF3A4E" w14:paraId="79D580D0" w14:textId="77777777" w:rsidTr="000E4D54">
        <w:trPr>
          <w:trHeight w:val="576"/>
          <w:jc w:val="center"/>
        </w:trPr>
        <w:tc>
          <w:tcPr>
            <w:tcW w:w="9075" w:type="dxa"/>
            <w:shd w:val="clear" w:color="auto" w:fill="AAD3F2"/>
          </w:tcPr>
          <w:p w14:paraId="0EE54DF4" w14:textId="2AEDA72E" w:rsidR="00082431" w:rsidRPr="00C24895" w:rsidRDefault="00082431" w:rsidP="000E4D54">
            <w:pPr>
              <w:spacing w:after="120"/>
              <w:jc w:val="both"/>
              <w:rPr>
                <w:b/>
                <w:color w:val="2C9ADC" w:themeColor="accent1"/>
              </w:rPr>
            </w:pPr>
            <w:bookmarkStart w:id="211" w:name="_Toc101880481"/>
            <w:r w:rsidRPr="00C24895">
              <w:rPr>
                <w:b/>
                <w:color w:val="2C9ADC" w:themeColor="accent1"/>
              </w:rPr>
              <w:t xml:space="preserve">BOX </w:t>
            </w:r>
            <w:r w:rsidR="009A3055" w:rsidRPr="00C24895">
              <w:rPr>
                <w:b/>
                <w:color w:val="2C9ADC" w:themeColor="accent1"/>
              </w:rPr>
              <w:fldChar w:fldCharType="begin"/>
            </w:r>
            <w:r w:rsidR="009A3055" w:rsidRPr="00C24895">
              <w:rPr>
                <w:b/>
                <w:color w:val="2C9ADC" w:themeColor="accent1"/>
              </w:rPr>
              <w:instrText xml:space="preserve"> SEQ BOX \* ARABIC </w:instrText>
            </w:r>
            <w:r w:rsidR="009A3055" w:rsidRPr="00C24895">
              <w:rPr>
                <w:b/>
                <w:color w:val="2C9ADC" w:themeColor="accent1"/>
              </w:rPr>
              <w:fldChar w:fldCharType="separate"/>
            </w:r>
            <w:r w:rsidR="005D3280">
              <w:rPr>
                <w:b/>
                <w:noProof/>
                <w:color w:val="2C9ADC" w:themeColor="accent1"/>
              </w:rPr>
              <w:t>10</w:t>
            </w:r>
            <w:r w:rsidR="009A3055" w:rsidRPr="00C24895">
              <w:rPr>
                <w:b/>
                <w:color w:val="2C9ADC" w:themeColor="accent1"/>
              </w:rPr>
              <w:fldChar w:fldCharType="end"/>
            </w:r>
            <w:r w:rsidRPr="00C24895">
              <w:rPr>
                <w:b/>
                <w:color w:val="2C9ADC" w:themeColor="accent1"/>
              </w:rPr>
              <w:t xml:space="preserve"> – Výdavkové limity v rokoch 2023 a 2024</w:t>
            </w:r>
            <w:bookmarkEnd w:id="211"/>
          </w:p>
          <w:p w14:paraId="1501CE33" w14:textId="77777777" w:rsidR="00A848F1" w:rsidRPr="00C24895" w:rsidRDefault="00A848F1" w:rsidP="00A848F1">
            <w:pPr>
              <w:pStyle w:val="Obyajntext"/>
              <w:spacing w:after="120"/>
              <w:jc w:val="both"/>
              <w:rPr>
                <w:szCs w:val="22"/>
              </w:rPr>
            </w:pPr>
            <w:r w:rsidRPr="00C24895">
              <w:rPr>
                <w:b/>
                <w:szCs w:val="22"/>
              </w:rPr>
              <w:t>Pre zostávajúce volebné obdobie súčasnej vlády zákon stanovuje testovací režim výdavkových limitov.</w:t>
            </w:r>
            <w:r w:rsidRPr="00C24895">
              <w:rPr>
                <w:szCs w:val="22"/>
              </w:rPr>
              <w:t xml:space="preserve"> Limit verejných výdavkov vypočíta Rada pre rozpočtovú zodpovednosť po prvýkrát v roku 2022. Rada limit následne predloží na schválenie v NR SR. Aktualizácia tohto limitu sa v budúcnosti bude schvaľovať vo výboroch NR SR. Uznesenia NR SR a výborov sa v rokoch 2023 a 2024 nezverejňujú v Zbierke zákonov. Limit verejných výdavkov je aj v </w:t>
            </w:r>
            <w:r w:rsidRPr="00A848F1">
              <w:rPr>
                <w:szCs w:val="22"/>
              </w:rPr>
              <w:t>testovacom režime pre vládu záväzný – ministerstvo financií limit zohľadní pri príprave štátneho rozpočtu aj rozpočtu celej verejnej správy.</w:t>
            </w:r>
            <w:r w:rsidRPr="00024142">
              <w:rPr>
                <w:szCs w:val="22"/>
              </w:rPr>
              <w:t>Po aktualizácii limitu a jeho znížení MF SR na základe rozhodnutia vlády viaže výdavky rozpočtových kapitol v súlade s aktualizovaným limitom.</w:t>
            </w:r>
          </w:p>
          <w:p w14:paraId="3E16555C" w14:textId="733972E4" w:rsidR="00082431" w:rsidRPr="00B360EA" w:rsidRDefault="00A848F1" w:rsidP="000E4D54">
            <w:pPr>
              <w:pStyle w:val="Obyajntext"/>
              <w:spacing w:after="120"/>
              <w:jc w:val="both"/>
            </w:pPr>
            <w:r w:rsidRPr="00C24895">
              <w:rPr>
                <w:b/>
                <w:szCs w:val="22"/>
              </w:rPr>
              <w:t>Rozpočet verejnej správy na roky 2023 až 2025 už bude spĺňať požiadavky limitu verejných výdavkov.</w:t>
            </w:r>
            <w:r w:rsidRPr="00C24895">
              <w:rPr>
                <w:szCs w:val="22"/>
              </w:rPr>
              <w:t xml:space="preserve"> Po schválení predloženého limitu výdavkov na rok 2023 v NR SR ministerstvo financií (MF SR) pripraví rozpočet na roky 2023 až 2025 tak, aby dodržalo celkové obmedzenie na verejné výdavky v súlade s ich limitom. MF SR bude priebežne najmenej raz za štvrťrok monitorovať plnenie limitov na úrovni kapitol alebo subjektov verejnej správy a v prípade ich prekročenia vyzve na prijatie opatrení. V prípade prekročenia limitov v predchádzajúcom období sa sankcie v podobe písomného zdôvodnenia neplnenia limitov, resp. v prípade odchýlenia sa o viac ako 1 % HDP požiadania o dôveru vláde, v testovacom režime výdavkových limitov v rokoch 2023 a 2024 neuplatnia.</w:t>
            </w:r>
          </w:p>
        </w:tc>
      </w:tr>
    </w:tbl>
    <w:p w14:paraId="0EBB95F7" w14:textId="77777777" w:rsidR="00082431" w:rsidRPr="00B360EA" w:rsidRDefault="00082431" w:rsidP="00082431">
      <w:pPr>
        <w:pStyle w:val="Default"/>
        <w:spacing w:before="240" w:after="120"/>
        <w:jc w:val="both"/>
        <w:rPr>
          <w:b/>
          <w:color w:val="2C9ADC" w:themeColor="accent1"/>
        </w:rPr>
      </w:pPr>
      <w:r w:rsidRPr="00B360EA">
        <w:rPr>
          <w:rFonts w:ascii="Arial Narrow" w:hAnsi="Arial Narrow"/>
          <w:b/>
          <w:color w:val="2C9ADC" w:themeColor="accent1"/>
          <w:sz w:val="22"/>
          <w:szCs w:val="22"/>
          <w:lang w:val="sk-SK"/>
        </w:rPr>
        <w:t>Scenáre nezmenených politík na úrovni rozpočtových kapitol</w:t>
      </w:r>
    </w:p>
    <w:p w14:paraId="4D74D582" w14:textId="3412F96E" w:rsidR="00082431" w:rsidRDefault="00A848F1" w:rsidP="00082431">
      <w:pPr>
        <w:pStyle w:val="Odsekzoznamu"/>
        <w:spacing w:after="240"/>
        <w:ind w:left="0"/>
        <w:contextualSpacing w:val="0"/>
        <w:jc w:val="both"/>
        <w:rPr>
          <w:rFonts w:cs="Times New Roman"/>
        </w:rPr>
      </w:pPr>
      <w:r w:rsidRPr="00443E3D">
        <w:rPr>
          <w:b/>
        </w:rPr>
        <w:t>Novela</w:t>
      </w:r>
      <w:r w:rsidRPr="00BC2202">
        <w:rPr>
          <w:rFonts w:cs="Times New Roman"/>
          <w:b/>
        </w:rPr>
        <w:t xml:space="preserve"> rozpočtových pravidiel </w:t>
      </w:r>
      <w:r>
        <w:rPr>
          <w:rFonts w:cs="Times New Roman"/>
          <w:b/>
        </w:rPr>
        <w:t>legislatívne ukotvuje</w:t>
      </w:r>
      <w:r w:rsidRPr="00BC2202">
        <w:rPr>
          <w:rFonts w:cs="Times New Roman"/>
          <w:b/>
        </w:rPr>
        <w:t xml:space="preserve"> aj scenáre nezmenených politík (NPC) </w:t>
      </w:r>
      <w:r>
        <w:rPr>
          <w:rFonts w:cs="Times New Roman"/>
          <w:b/>
        </w:rPr>
        <w:t>zostavené na úrovni</w:t>
      </w:r>
      <w:r w:rsidRPr="00BC2202">
        <w:rPr>
          <w:rFonts w:cs="Times New Roman"/>
          <w:b/>
        </w:rPr>
        <w:t xml:space="preserve"> jednotliv</w:t>
      </w:r>
      <w:r>
        <w:rPr>
          <w:rFonts w:cs="Times New Roman"/>
          <w:b/>
        </w:rPr>
        <w:t>ýc</w:t>
      </w:r>
      <w:r w:rsidRPr="00BC2202">
        <w:rPr>
          <w:rFonts w:cs="Times New Roman"/>
          <w:b/>
        </w:rPr>
        <w:t xml:space="preserve"> </w:t>
      </w:r>
      <w:r>
        <w:rPr>
          <w:rFonts w:cs="Times New Roman"/>
          <w:b/>
        </w:rPr>
        <w:t xml:space="preserve">rozpočtových </w:t>
      </w:r>
      <w:r w:rsidRPr="00BC2202">
        <w:rPr>
          <w:rFonts w:cs="Times New Roman"/>
          <w:b/>
        </w:rPr>
        <w:t xml:space="preserve">kapitol, </w:t>
      </w:r>
      <w:r>
        <w:rPr>
          <w:rFonts w:cs="Times New Roman"/>
          <w:b/>
        </w:rPr>
        <w:t>čo</w:t>
      </w:r>
      <w:r w:rsidRPr="00BC2202">
        <w:rPr>
          <w:rFonts w:cs="Times New Roman"/>
          <w:b/>
        </w:rPr>
        <w:t xml:space="preserve"> posiln</w:t>
      </w:r>
      <w:r>
        <w:rPr>
          <w:rFonts w:cs="Times New Roman"/>
          <w:b/>
        </w:rPr>
        <w:t>í</w:t>
      </w:r>
      <w:r w:rsidRPr="00BC2202">
        <w:rPr>
          <w:rFonts w:cs="Times New Roman"/>
          <w:b/>
        </w:rPr>
        <w:t xml:space="preserve"> transparentnosť a </w:t>
      </w:r>
      <w:r>
        <w:rPr>
          <w:rFonts w:cs="Times New Roman"/>
          <w:b/>
        </w:rPr>
        <w:t>efektívnejšiu</w:t>
      </w:r>
      <w:r w:rsidRPr="00BC2202">
        <w:rPr>
          <w:rFonts w:cs="Times New Roman"/>
          <w:b/>
        </w:rPr>
        <w:t xml:space="preserve"> alokáciu zdrojov.</w:t>
      </w:r>
      <w:r w:rsidRPr="00BC2202">
        <w:rPr>
          <w:rFonts w:cs="Times New Roman"/>
        </w:rPr>
        <w:t xml:space="preserve"> Súčasťou novely </w:t>
      </w:r>
      <w:r>
        <w:rPr>
          <w:rFonts w:cs="Times New Roman"/>
        </w:rPr>
        <w:t xml:space="preserve">zákona o </w:t>
      </w:r>
      <w:r w:rsidRPr="00BC2202">
        <w:rPr>
          <w:rFonts w:cs="Times New Roman"/>
        </w:rPr>
        <w:t>rozpočtových pravid</w:t>
      </w:r>
      <w:r>
        <w:rPr>
          <w:rFonts w:cs="Times New Roman"/>
        </w:rPr>
        <w:t>lách</w:t>
      </w:r>
      <w:r w:rsidRPr="00BC2202">
        <w:rPr>
          <w:rFonts w:cs="Times New Roman"/>
        </w:rPr>
        <w:t xml:space="preserve"> schválenej v roku 2022 je </w:t>
      </w:r>
      <w:r>
        <w:rPr>
          <w:rFonts w:cs="Times New Roman"/>
        </w:rPr>
        <w:t xml:space="preserve">aj tvorba rozpočtu na základe rezortných </w:t>
      </w:r>
      <w:r w:rsidRPr="00BC2202">
        <w:rPr>
          <w:rFonts w:cs="Times New Roman"/>
        </w:rPr>
        <w:t>NPC scenárov</w:t>
      </w:r>
      <w:r>
        <w:rPr>
          <w:rFonts w:cs="Times New Roman"/>
        </w:rPr>
        <w:t>. Takáto p</w:t>
      </w:r>
      <w:r w:rsidRPr="00EC78EF">
        <w:rPr>
          <w:rFonts w:cs="Times New Roman"/>
        </w:rPr>
        <w:t xml:space="preserve">ríprava rozpočtu </w:t>
      </w:r>
      <w:r>
        <w:rPr>
          <w:rFonts w:cs="Times New Roman"/>
        </w:rPr>
        <w:t xml:space="preserve">podporuje </w:t>
      </w:r>
      <w:r w:rsidRPr="00EC78EF">
        <w:rPr>
          <w:rFonts w:cs="Times New Roman"/>
        </w:rPr>
        <w:t>transparentný spôsob modelu plánovania príjmov a výdavkov</w:t>
      </w:r>
      <w:r>
        <w:rPr>
          <w:rFonts w:cs="Times New Roman"/>
        </w:rPr>
        <w:t xml:space="preserve"> pre jednotlivé rezorty. J</w:t>
      </w:r>
      <w:r w:rsidRPr="00EC78EF">
        <w:rPr>
          <w:rFonts w:cs="Times New Roman"/>
        </w:rPr>
        <w:t>e možné lepšie predpovedať zdroje na uskutočňovanie existujúcich politík na dlhšom horizonte. Používaním jednotných princípov je postup alokácie zdrojov na existujúce politiky konzistentný a spravodlivý z pohľadu rozdelenia zdrojov do jednotlivých kapitol a subjektov. Prognóza už existujúcich politík tak zvyšuje adekvátnosť výšky limitu určeného aj na úrovni kapitol štátneho rozpočtu a ostatných subjektov verejnej správy</w:t>
      </w:r>
      <w:r w:rsidRPr="00BC2202">
        <w:rPr>
          <w:rFonts w:cs="Times New Roman"/>
        </w:rPr>
        <w:t>.</w:t>
      </w:r>
    </w:p>
    <w:p w14:paraId="162FBF96" w14:textId="77777777" w:rsidR="00082431" w:rsidRPr="00896490" w:rsidRDefault="00082431" w:rsidP="00082431">
      <w:pPr>
        <w:pStyle w:val="Default"/>
        <w:spacing w:before="240" w:after="120"/>
        <w:jc w:val="both"/>
        <w:rPr>
          <w:rFonts w:ascii="Arial Narrow" w:hAnsi="Arial Narrow"/>
          <w:b/>
          <w:color w:val="2C9ADC" w:themeColor="accent1"/>
          <w:sz w:val="22"/>
          <w:szCs w:val="22"/>
          <w:lang w:val="sk-SK"/>
        </w:rPr>
      </w:pPr>
      <w:r>
        <w:rPr>
          <w:rFonts w:ascii="Arial Narrow" w:hAnsi="Arial Narrow"/>
          <w:b/>
          <w:color w:val="2C9ADC" w:themeColor="accent1"/>
          <w:sz w:val="22"/>
          <w:szCs w:val="22"/>
          <w:lang w:val="sk-SK"/>
        </w:rPr>
        <w:t>Pravidlo vyrovnaného rozpočtu</w:t>
      </w:r>
    </w:p>
    <w:p w14:paraId="40D58B6C" w14:textId="77777777" w:rsidR="00082431" w:rsidRDefault="00082431" w:rsidP="00082431">
      <w:pPr>
        <w:pStyle w:val="Odsekzoznamu"/>
        <w:spacing w:after="240"/>
        <w:ind w:left="0"/>
        <w:contextualSpacing w:val="0"/>
        <w:jc w:val="both"/>
      </w:pPr>
      <w:r>
        <w:rPr>
          <w:b/>
        </w:rPr>
        <w:t xml:space="preserve">Výdavkové limity sa stanú súčasne nástrojom na dosahovanie vyrovnaného rozpočtu vyplývajúceho z európskych fiškálnych pravidiel. </w:t>
      </w:r>
      <w:r>
        <w:t>Súčasťou slovenskej legislatívy je aj pravidlo vyrovnaného rozpočtu, ktoré predstavuje transpozíciu fiškálnych pravidiel európskej Zmluvy o stabilite, koordinácii a správe v Hospodárskej a menovej únii z roku 2014. Jeho úlohou je zabezpečiť smerovanie k strednodobému rozpočtovému cieľu (MTO) vyrovnaného rozpočtu</w:t>
      </w:r>
      <w:r>
        <w:rPr>
          <w:rStyle w:val="Odkaznapoznmkupodiarou"/>
        </w:rPr>
        <w:footnoteReference w:id="76"/>
      </w:r>
      <w:r>
        <w:t xml:space="preserve"> a aplikovať korekčný mechanizmus pri odchýlení sa od tohto cieľa alebo trajektórie k jeho dosiahnutiu. Prijatou novelou rozpočtových pravidiel a zavedením výdavkových limitov účel pravidla o vyrovnanom rozpočte nebude dotknutý, zmení sa len nástroj na jeho dosiahnutie. </w:t>
      </w:r>
    </w:p>
    <w:p w14:paraId="5B529556" w14:textId="647A4880" w:rsidR="00082431" w:rsidRPr="006415AB" w:rsidRDefault="00A848F1" w:rsidP="00082431">
      <w:pPr>
        <w:pStyle w:val="Odsekzoznamu"/>
        <w:spacing w:after="240"/>
        <w:ind w:left="0"/>
        <w:contextualSpacing w:val="0"/>
        <w:jc w:val="both"/>
        <w:rPr>
          <w:rFonts w:cs="Arial Narrow"/>
        </w:rPr>
      </w:pPr>
      <w:r>
        <w:rPr>
          <w:b/>
        </w:rPr>
        <w:t xml:space="preserve">Myšlienku korekčného mechanizmu pri smerovaní k vyrovnanému rozpočtu bude od roku 2023 plniť aj limit verejných výdavkov. </w:t>
      </w:r>
      <w:r>
        <w:t xml:space="preserve">Výdavkové limity ako nové národné fiškálne pravidlo v rámci prijatej novely zákona z roku 2022 sčasti prevezmú úlohu korekčného mechanizmu pravidla o vyrovnanom rozpočte. Túto zmenu reflektuje aj novela zákona 523/2004 v časti o pravidle vyrovnaného rozpočtu. Ministerstvo financií predpokladá, že viacročne určené ýdavkové limity, vrátane automatického korekčného mechanizmu, súčasne splnia aj úlohu korekcie výrazného odchýlenia sa od smerovania k vyrovnaného rozpočtu vyplývajúcu z európskych pravidiel. </w:t>
      </w:r>
      <w:r w:rsidRPr="00B014E1">
        <w:t>V prípade, že by požiadavka Európskej kom</w:t>
      </w:r>
      <w:r>
        <w:t>i</w:t>
      </w:r>
      <w:r w:rsidRPr="00B014E1">
        <w:t>sie na konsolidáciu bola prísnejšia ako vyžadujú výdavkové limity, ministerstvo financií v súlade so zákonom navrhne vláde korekčný mechanizmus nad rámec limitu verejných výdavkov.</w:t>
      </w:r>
      <w:r>
        <w:t xml:space="preserve"> Limity tak zabezpečia elimináciu vrstvenia pravidiel a žiadanú korekciu vyplývajúcu nielen z národnej legislatívy, ale aj prevzatej európskej legislatívy v podobe pravidla o vyrovnanom rozpočte.</w:t>
      </w:r>
    </w:p>
    <w:p w14:paraId="0A37DBB0" w14:textId="77777777" w:rsidR="00082431" w:rsidRPr="00490DCB" w:rsidRDefault="00082431" w:rsidP="00082431">
      <w:pPr>
        <w:pStyle w:val="Default"/>
        <w:spacing w:before="240" w:after="120"/>
        <w:jc w:val="both"/>
        <w:rPr>
          <w:b/>
          <w:color w:val="2C9ADC" w:themeColor="accent1"/>
          <w:lang w:val="sk-SK"/>
        </w:rPr>
      </w:pPr>
      <w:r w:rsidRPr="00490DCB">
        <w:rPr>
          <w:rFonts w:ascii="Arial Narrow" w:hAnsi="Arial Narrow"/>
          <w:b/>
          <w:color w:val="2C9ADC" w:themeColor="accent1"/>
          <w:sz w:val="22"/>
          <w:szCs w:val="22"/>
          <w:lang w:val="sk-SK"/>
        </w:rPr>
        <w:t>Zmeny v dlhovej brzde</w:t>
      </w:r>
      <w:r>
        <w:rPr>
          <w:rFonts w:ascii="Arial Narrow" w:hAnsi="Arial Narrow"/>
          <w:b/>
          <w:color w:val="2C9ADC" w:themeColor="accent1"/>
          <w:sz w:val="22"/>
          <w:szCs w:val="22"/>
          <w:lang w:val="sk-SK"/>
        </w:rPr>
        <w:t xml:space="preserve"> a ostatných častiach ústavného zákona o rozpočtovej zodpovednosti</w:t>
      </w:r>
    </w:p>
    <w:p w14:paraId="1BF3A171" w14:textId="4A278AC3" w:rsidR="00082431" w:rsidRDefault="00082431" w:rsidP="00082431">
      <w:pPr>
        <w:spacing w:after="160"/>
        <w:jc w:val="both"/>
        <w:rPr>
          <w:rFonts w:cs="Arial"/>
        </w:rPr>
      </w:pPr>
      <w:r w:rsidRPr="00490DCB">
        <w:rPr>
          <w:rFonts w:cs="Arial"/>
          <w:b/>
        </w:rPr>
        <w:t>V</w:t>
      </w:r>
      <w:r>
        <w:rPr>
          <w:rFonts w:cs="Arial"/>
          <w:b/>
        </w:rPr>
        <w:t> roku</w:t>
      </w:r>
      <w:r w:rsidRPr="00490DCB">
        <w:rPr>
          <w:rFonts w:cs="Arial"/>
          <w:b/>
        </w:rPr>
        <w:t xml:space="preserve"> 2022 </w:t>
      </w:r>
      <w:r>
        <w:rPr>
          <w:rFonts w:cs="Arial"/>
          <w:b/>
        </w:rPr>
        <w:t>sa v NR SR očakáva schválenie novely</w:t>
      </w:r>
      <w:r w:rsidRPr="00490DCB">
        <w:rPr>
          <w:rFonts w:cs="Arial"/>
          <w:b/>
        </w:rPr>
        <w:t xml:space="preserve"> ústavného zákona o rozpočtovej zodpovednosti, ktorá </w:t>
      </w:r>
      <w:r>
        <w:rPr>
          <w:rFonts w:cs="Arial"/>
          <w:b/>
        </w:rPr>
        <w:t xml:space="preserve">upraví sankčné pásma dlhovej brzdy a z nich vyplývajúce nápravné opatrenia a tiež </w:t>
      </w:r>
      <w:r w:rsidRPr="00490DCB">
        <w:rPr>
          <w:rFonts w:cs="Arial"/>
          <w:b/>
        </w:rPr>
        <w:t>zefektívni riadenie dlhu prechodom na čistý dl</w:t>
      </w:r>
      <w:r w:rsidRPr="009D7657">
        <w:rPr>
          <w:rFonts w:cs="Arial"/>
          <w:b/>
        </w:rPr>
        <w:t>h</w:t>
      </w:r>
      <w:r>
        <w:rPr>
          <w:rFonts w:cs="Arial"/>
          <w:b/>
        </w:rPr>
        <w:t>.</w:t>
      </w:r>
      <w:r w:rsidRPr="00490DCB">
        <w:rPr>
          <w:rFonts w:cs="Arial"/>
        </w:rPr>
        <w:t xml:space="preserve"> </w:t>
      </w:r>
      <w:r>
        <w:rPr>
          <w:rFonts w:cs="Arial"/>
        </w:rPr>
        <w:t>Vládny návrh novely ústavného zákona pripravený ešte v roku 2020 vychádza zo skúseností</w:t>
      </w:r>
      <w:r w:rsidRPr="00490DCB">
        <w:rPr>
          <w:rFonts w:cs="Arial"/>
        </w:rPr>
        <w:t xml:space="preserve"> s</w:t>
      </w:r>
      <w:r>
        <w:rPr>
          <w:rFonts w:cs="Arial"/>
        </w:rPr>
        <w:t xml:space="preserve"> fungovaním aktuálne platného </w:t>
      </w:r>
      <w:r w:rsidRPr="00490DCB">
        <w:rPr>
          <w:rFonts w:cs="Arial"/>
        </w:rPr>
        <w:t>ústavného zákona</w:t>
      </w:r>
      <w:r>
        <w:rPr>
          <w:rFonts w:cs="Arial"/>
        </w:rPr>
        <w:t>, ktoré</w:t>
      </w:r>
      <w:r w:rsidRPr="00490DCB">
        <w:rPr>
          <w:rFonts w:cs="Arial"/>
        </w:rPr>
        <w:t xml:space="preserve"> poukázali na potrebu viacerých zmien. Prvou je prechod z</w:t>
      </w:r>
      <w:r>
        <w:rPr>
          <w:rFonts w:cs="Arial"/>
        </w:rPr>
        <w:t xml:space="preserve"> fiškálneho </w:t>
      </w:r>
      <w:r w:rsidRPr="00490DCB">
        <w:rPr>
          <w:rFonts w:cs="Arial"/>
        </w:rPr>
        <w:t xml:space="preserve">ukazovateľa </w:t>
      </w:r>
      <w:r>
        <w:rPr>
          <w:rFonts w:cs="Arial"/>
        </w:rPr>
        <w:t xml:space="preserve">výšky </w:t>
      </w:r>
      <w:r w:rsidRPr="00490DCB">
        <w:rPr>
          <w:rFonts w:cs="Arial"/>
        </w:rPr>
        <w:t>hrubého dlhu na čistý dlh, ktorý má zefektívniť riadenie likvidity pri obsluhe štátneho dlhu</w:t>
      </w:r>
      <w:r>
        <w:rPr>
          <w:rFonts w:cs="Arial"/>
        </w:rPr>
        <w:t xml:space="preserve"> </w:t>
      </w:r>
      <w:r w:rsidRPr="00490DCB">
        <w:rPr>
          <w:rFonts w:cs="Arial"/>
        </w:rPr>
        <w:t xml:space="preserve">očistením ukazovateľa </w:t>
      </w:r>
      <w:r>
        <w:rPr>
          <w:rFonts w:cs="Arial"/>
        </w:rPr>
        <w:t xml:space="preserve">najmä </w:t>
      </w:r>
      <w:r w:rsidRPr="00490DCB">
        <w:rPr>
          <w:rFonts w:cs="Arial"/>
        </w:rPr>
        <w:t>o hotovostnú rezervu</w:t>
      </w:r>
      <w:r>
        <w:rPr>
          <w:rStyle w:val="Odkaznapoznmkupodiarou"/>
        </w:rPr>
        <w:footnoteReference w:id="77"/>
      </w:r>
      <w:r w:rsidRPr="00490DCB">
        <w:rPr>
          <w:rFonts w:cs="Arial"/>
        </w:rPr>
        <w:t xml:space="preserve">. Novela </w:t>
      </w:r>
      <w:r>
        <w:rPr>
          <w:rFonts w:cs="Arial"/>
        </w:rPr>
        <w:t>by mala znížiť</w:t>
      </w:r>
      <w:r w:rsidRPr="00490DCB">
        <w:rPr>
          <w:rFonts w:cs="Arial"/>
        </w:rPr>
        <w:t xml:space="preserve"> p</w:t>
      </w:r>
      <w:r>
        <w:rPr>
          <w:rFonts w:cs="Arial"/>
        </w:rPr>
        <w:t xml:space="preserve">očet sankčných pásiem na štyri a </w:t>
      </w:r>
      <w:r w:rsidRPr="00490DCB">
        <w:rPr>
          <w:rFonts w:cs="Arial"/>
        </w:rPr>
        <w:t>na rozdiel od súčasného znenia</w:t>
      </w:r>
      <w:r>
        <w:rPr>
          <w:rFonts w:cs="Arial"/>
        </w:rPr>
        <w:t xml:space="preserve"> ústavného zákona by mala žiadať</w:t>
      </w:r>
      <w:r w:rsidRPr="00490DCB">
        <w:rPr>
          <w:rFonts w:cs="Arial"/>
        </w:rPr>
        <w:t xml:space="preserve"> konsolidačné úsilie merané štrukturálnym saldom už pri najnižšom pásme</w:t>
      </w:r>
      <w:r>
        <w:rPr>
          <w:rStyle w:val="Odkaznapoznmkupodiarou"/>
        </w:rPr>
        <w:footnoteReference w:id="78"/>
      </w:r>
      <w:r w:rsidRPr="00490DCB">
        <w:rPr>
          <w:rFonts w:cs="Arial"/>
        </w:rPr>
        <w:t>.</w:t>
      </w:r>
      <w:r>
        <w:rPr>
          <w:rFonts w:cs="Arial"/>
        </w:rPr>
        <w:t xml:space="preserve"> Pri dosiahnutí </w:t>
      </w:r>
      <w:r w:rsidRPr="00490DCB">
        <w:rPr>
          <w:rFonts w:cs="Arial"/>
        </w:rPr>
        <w:t>najvyššie</w:t>
      </w:r>
      <w:r>
        <w:rPr>
          <w:rFonts w:cs="Arial"/>
        </w:rPr>
        <w:t>ho</w:t>
      </w:r>
      <w:r w:rsidRPr="00490DCB">
        <w:rPr>
          <w:rFonts w:cs="Arial"/>
        </w:rPr>
        <w:t xml:space="preserve"> </w:t>
      </w:r>
      <w:r>
        <w:rPr>
          <w:rFonts w:cs="Arial"/>
        </w:rPr>
        <w:t>sankčného pásma dlhovej brzdy</w:t>
      </w:r>
      <w:r w:rsidRPr="00490DCB">
        <w:rPr>
          <w:rFonts w:cs="Arial"/>
        </w:rPr>
        <w:t xml:space="preserve"> vláde zákon umožní vyhnúť sa sankcii predloženia štrukturálne vyrovnaného rozpočtu a hlasovania o dôvere </w:t>
      </w:r>
      <w:r>
        <w:rPr>
          <w:rFonts w:cs="Arial"/>
        </w:rPr>
        <w:t xml:space="preserve">v prípade </w:t>
      </w:r>
      <w:r w:rsidRPr="00490DCB">
        <w:rPr>
          <w:rFonts w:cs="Arial"/>
        </w:rPr>
        <w:t>plnen</w:t>
      </w:r>
      <w:r>
        <w:rPr>
          <w:rFonts w:cs="Arial"/>
        </w:rPr>
        <w:t>ia</w:t>
      </w:r>
      <w:r w:rsidRPr="00490DCB">
        <w:rPr>
          <w:rFonts w:cs="Arial"/>
        </w:rPr>
        <w:t xml:space="preserve"> sankcií v predchádzajúcom období</w:t>
      </w:r>
      <w:r>
        <w:rPr>
          <w:rStyle w:val="Odkaznapoznmkupodiarou"/>
        </w:rPr>
        <w:footnoteReference w:id="79"/>
      </w:r>
      <w:r>
        <w:rPr>
          <w:rFonts w:cs="Arial"/>
        </w:rPr>
        <w:t>. S cieľom posilniť proti-cyklickosť dlhovej brzdy, úprava únikových klauzúl predpokladá pozastavenie sankcií z dlhovej brzdy už pri medziročnom prepade ekonomiky. Naopak, obdobie pozastavených sankcií kvôli nástupu novej vlády sa sprísni. O jednotlivých detailoch vládneho návrhu sa ešte bude diskutovať, pričom finálna do</w:t>
      </w:r>
      <w:r w:rsidR="0086515B">
        <w:rPr>
          <w:rFonts w:cs="Arial"/>
        </w:rPr>
        <w:t>hoda sa očakáva začiatkom leta.</w:t>
      </w:r>
    </w:p>
    <w:p w14:paraId="6C852FDC" w14:textId="0B7F643E" w:rsidR="00082431" w:rsidRDefault="00082431" w:rsidP="00082431">
      <w:pPr>
        <w:jc w:val="both"/>
        <w:rPr>
          <w:rFonts w:cs="Times New Roman"/>
        </w:rPr>
      </w:pPr>
      <w:r>
        <w:rPr>
          <w:rFonts w:cs="Times New Roman"/>
          <w:b/>
        </w:rPr>
        <w:t xml:space="preserve">Legislatívne zmeny v ústavnom zákone tiež rozšíria </w:t>
      </w:r>
      <w:r w:rsidRPr="00490DCB">
        <w:rPr>
          <w:rFonts w:cs="Times New Roman"/>
          <w:b/>
        </w:rPr>
        <w:t>pôsobnosť nezávislých výborov pre makroekonomic</w:t>
      </w:r>
      <w:r>
        <w:rPr>
          <w:rFonts w:cs="Times New Roman"/>
          <w:b/>
        </w:rPr>
        <w:t>ké a daňové prognózy a posilnia úlohy a nezávislosť</w:t>
      </w:r>
      <w:r w:rsidRPr="00490DCB">
        <w:rPr>
          <w:rFonts w:cs="Times New Roman"/>
          <w:b/>
        </w:rPr>
        <w:t xml:space="preserve"> Rady pre rozpočtovú zodpovednosť (RRZ)</w:t>
      </w:r>
      <w:r w:rsidRPr="00490DCB">
        <w:rPr>
          <w:rStyle w:val="Odkaznapoznmkupodiarou"/>
          <w:rFonts w:cs="Times New Roman"/>
          <w:b/>
          <w:i/>
        </w:rPr>
        <w:footnoteReference w:id="80"/>
      </w:r>
      <w:r w:rsidRPr="00490DCB">
        <w:rPr>
          <w:rFonts w:cs="Times New Roman"/>
          <w:b/>
        </w:rPr>
        <w:t>.</w:t>
      </w:r>
      <w:r w:rsidRPr="00490DCB">
        <w:rPr>
          <w:rFonts w:cs="Times New Roman"/>
        </w:rPr>
        <w:t xml:space="preserve"> </w:t>
      </w:r>
      <w:r w:rsidR="00D66A84">
        <w:rPr>
          <w:color w:val="212121"/>
        </w:rPr>
        <w:t>Cieľom legislatívneho ukotvenia zmien v pôsobnosti výborov je nadviazať na už prebiehajúci proces rozširovania prognóz rozpočtových položiek, v súlade s deklarovanou ambíciou v programovom vyhlásení vlády. Tým sa  zabezpečuje transparentnejšia príprava a presnejší odhad vývoja rozpočtu. O jednotlivých detailoch vládneho návrhu sa ešte bude diskutovať, pričom finálna dohoda sa očakáva začiatkom leta.</w:t>
      </w:r>
    </w:p>
    <w:p w14:paraId="4C89F385" w14:textId="77777777" w:rsidR="00082431" w:rsidRPr="001B3FF1" w:rsidRDefault="00082431" w:rsidP="00082431">
      <w:pPr>
        <w:pStyle w:val="Default"/>
        <w:spacing w:before="240" w:after="120"/>
        <w:jc w:val="both"/>
        <w:rPr>
          <w:rFonts w:cs="Arial Narrow"/>
          <w:b/>
          <w:highlight w:val="yellow"/>
          <w:lang w:val="sk-SK"/>
        </w:rPr>
      </w:pPr>
      <w:r w:rsidRPr="00B5673A">
        <w:rPr>
          <w:rFonts w:ascii="Arial Narrow" w:hAnsi="Arial Narrow"/>
          <w:b/>
          <w:color w:val="2C9ADC" w:themeColor="accent1"/>
          <w:sz w:val="22"/>
          <w:szCs w:val="22"/>
          <w:lang w:val="sk-SK"/>
        </w:rPr>
        <w:t>Revízie výdavkov</w:t>
      </w:r>
    </w:p>
    <w:p w14:paraId="63502508" w14:textId="77777777" w:rsidR="00082431" w:rsidRDefault="00082431" w:rsidP="00082431">
      <w:pPr>
        <w:spacing w:after="160" w:line="256" w:lineRule="auto"/>
        <w:jc w:val="both"/>
      </w:pPr>
      <w:r w:rsidRPr="00FE1F63">
        <w:rPr>
          <w:b/>
        </w:rPr>
        <w:t xml:space="preserve">Zvyšovanie efektívnosti verejných výdavkov a identifikácia ďalších úspor bude pokračovať ďalšími revíziami výdavkov. </w:t>
      </w:r>
      <w:r w:rsidRPr="00FE1F63">
        <w:t>Pokračovanie revízií výdavkov verejnej správy je podporené aj legislatívou, ktorá stanovuje povinnosť vykonať revíziu aspoň 50 % výdavkov verejnej správy</w:t>
      </w:r>
      <w:r>
        <w:t xml:space="preserve"> </w:t>
      </w:r>
      <w:r w:rsidRPr="00393CB3">
        <w:t>počas štyroch rokov po schválení programového vyhlásenia vlády</w:t>
      </w:r>
      <w:r w:rsidRPr="00FE1F63">
        <w:t>.</w:t>
      </w:r>
      <w:r>
        <w:t xml:space="preserve"> Počas roku 2022 bude vykonaná revízia výdavkov na dotácie (viď Príloha 1) a aktualizácia opatrení identifikovaných revíziou výdavkov v zdravotníctve.</w:t>
      </w:r>
    </w:p>
    <w:p w14:paraId="14A99D71" w14:textId="77777777" w:rsidR="00082431" w:rsidRDefault="00082431" w:rsidP="00082431">
      <w:pPr>
        <w:spacing w:after="160"/>
        <w:jc w:val="both"/>
      </w:pPr>
      <w:r>
        <w:rPr>
          <w:b/>
        </w:rPr>
        <w:t>V prebiehajúcom volebnom období 2020-2024 boli schválené</w:t>
      </w:r>
      <w:r w:rsidRPr="003C3EA7">
        <w:rPr>
          <w:b/>
        </w:rPr>
        <w:t xml:space="preserve"> revízie výdavkov za 14,4 mld. eur</w:t>
      </w:r>
      <w:r>
        <w:rPr>
          <w:b/>
        </w:rPr>
        <w:t xml:space="preserve"> (</w:t>
      </w:r>
      <w:r w:rsidRPr="00933AF0">
        <w:rPr>
          <w:b/>
        </w:rPr>
        <w:t>39 %</w:t>
      </w:r>
      <w:r>
        <w:rPr>
          <w:b/>
        </w:rPr>
        <w:t xml:space="preserve"> verejných výdavkov). </w:t>
      </w:r>
      <w:r w:rsidRPr="00FE1F63">
        <w:t>Revízie schválené v roku 2020 identifikovali úsporné opatrenia s potenciálom 1,13 mld. eur</w:t>
      </w:r>
      <w:r>
        <w:t>,</w:t>
      </w:r>
      <w:r w:rsidRPr="00FE1F63">
        <w:t xml:space="preserve"> </w:t>
      </w:r>
      <w:r>
        <w:t xml:space="preserve">najmä v zamestnanosti a odmeňovaní vo verejnej správe (765 mil. eur). </w:t>
      </w:r>
      <w:r w:rsidRPr="003C3EA7">
        <w:t xml:space="preserve">Revízie zároveň identifikovali aj oblasti </w:t>
      </w:r>
      <w:r>
        <w:br/>
      </w:r>
      <w:r w:rsidRPr="003C3EA7">
        <w:t>s potrebou doda</w:t>
      </w:r>
      <w:r>
        <w:t xml:space="preserve">točných zdrojov za 1,5 mld. eur, najmä na </w:t>
      </w:r>
      <w:r w:rsidRPr="003C3EA7">
        <w:t xml:space="preserve">postupné zvyšovanie počtov zdravotných sestier, platov učiteľov a počtov a platov pracovníkov v sociálnych službách </w:t>
      </w:r>
      <w:r>
        <w:t>(</w:t>
      </w:r>
      <w:r w:rsidRPr="003C3EA7">
        <w:t>1,2 mld. eur</w:t>
      </w:r>
      <w:r>
        <w:t>)</w:t>
      </w:r>
      <w:r w:rsidRPr="003C3EA7">
        <w:t xml:space="preserve">. Revízia výdavkov na skupiny ohrozené chudobou alebo sociálnym vylúčením </w:t>
      </w:r>
      <w:r>
        <w:t>identifikuje</w:t>
      </w:r>
      <w:r w:rsidRPr="003C3EA7">
        <w:t xml:space="preserve"> potrebu dodatočných 263 mil. eur.</w:t>
      </w:r>
      <w:r>
        <w:t xml:space="preserve"> </w:t>
      </w:r>
      <w:r>
        <w:rPr>
          <w:b/>
          <w:bCs/>
        </w:rPr>
        <w:t>V roku 2021 bolo možné štrukturálne ušetriť 799 mil. eur, ak by bol dodržaný nábeh úspor všetkých opatrení z revízií. Priebežná implementačná správa predpokladala k júnu 2021 úsporu 143 mil. eur</w:t>
      </w:r>
      <w:r>
        <w:rPr>
          <w:rStyle w:val="Odkaznapoznmkupodiarou"/>
          <w:b/>
          <w:bCs/>
        </w:rPr>
        <w:footnoteReference w:id="81"/>
      </w:r>
      <w:r>
        <w:rPr>
          <w:b/>
          <w:bCs/>
        </w:rPr>
        <w:t>.</w:t>
      </w:r>
    </w:p>
    <w:tbl>
      <w:tblPr>
        <w:tblW w:w="9075" w:type="dxa"/>
        <w:jc w:val="center"/>
        <w:shd w:val="clear" w:color="auto" w:fill="AAD3F2"/>
        <w:tblLayout w:type="fixed"/>
        <w:tblCellMar>
          <w:left w:w="70" w:type="dxa"/>
          <w:right w:w="70" w:type="dxa"/>
        </w:tblCellMar>
        <w:tblLook w:val="01E0" w:firstRow="1" w:lastRow="1" w:firstColumn="1" w:lastColumn="1" w:noHBand="0" w:noVBand="0"/>
      </w:tblPr>
      <w:tblGrid>
        <w:gridCol w:w="9075"/>
      </w:tblGrid>
      <w:tr w:rsidR="00082431" w:rsidRPr="00BF3A4E" w14:paraId="236FADCB" w14:textId="77777777" w:rsidTr="000E4D54">
        <w:trPr>
          <w:trHeight w:val="576"/>
          <w:jc w:val="center"/>
        </w:trPr>
        <w:tc>
          <w:tcPr>
            <w:tcW w:w="9075" w:type="dxa"/>
            <w:shd w:val="clear" w:color="auto" w:fill="AAD3F2"/>
          </w:tcPr>
          <w:p w14:paraId="4A09C35A" w14:textId="0178AC6F" w:rsidR="00082431" w:rsidRPr="009A3055" w:rsidRDefault="009A3055" w:rsidP="000E4D54">
            <w:pPr>
              <w:spacing w:after="120"/>
              <w:jc w:val="both"/>
              <w:rPr>
                <w:b/>
                <w:color w:val="2C9ADC" w:themeColor="accent1"/>
              </w:rPr>
            </w:pPr>
            <w:bookmarkStart w:id="212" w:name="_Toc101880482"/>
            <w:r w:rsidRPr="009A3055">
              <w:rPr>
                <w:b/>
                <w:color w:val="2C9ADC" w:themeColor="accent1"/>
              </w:rPr>
              <w:t xml:space="preserve">BOX </w:t>
            </w:r>
            <w:r w:rsidRPr="009A3055">
              <w:rPr>
                <w:b/>
                <w:color w:val="2C9ADC" w:themeColor="accent1"/>
              </w:rPr>
              <w:fldChar w:fldCharType="begin"/>
            </w:r>
            <w:r w:rsidRPr="009A3055">
              <w:rPr>
                <w:b/>
                <w:color w:val="2C9ADC" w:themeColor="accent1"/>
              </w:rPr>
              <w:instrText xml:space="preserve"> SEQ BOX \* ARABIC </w:instrText>
            </w:r>
            <w:r w:rsidRPr="009A3055">
              <w:rPr>
                <w:b/>
                <w:color w:val="2C9ADC" w:themeColor="accent1"/>
              </w:rPr>
              <w:fldChar w:fldCharType="separate"/>
            </w:r>
            <w:r w:rsidR="005D3280">
              <w:rPr>
                <w:b/>
                <w:noProof/>
                <w:color w:val="2C9ADC" w:themeColor="accent1"/>
              </w:rPr>
              <w:t>11</w:t>
            </w:r>
            <w:r w:rsidRPr="009A3055">
              <w:rPr>
                <w:b/>
                <w:color w:val="2C9ADC" w:themeColor="accent1"/>
              </w:rPr>
              <w:fldChar w:fldCharType="end"/>
            </w:r>
            <w:r w:rsidR="00082431" w:rsidRPr="009A3055">
              <w:rPr>
                <w:b/>
                <w:color w:val="2C9ADC" w:themeColor="accent1"/>
              </w:rPr>
              <w:t xml:space="preserve"> – Mandát revízie výdavkov na dotácie</w:t>
            </w:r>
            <w:bookmarkEnd w:id="212"/>
          </w:p>
          <w:p w14:paraId="333F6E1A" w14:textId="7B89F19A" w:rsidR="00082431" w:rsidRPr="00FE1F63" w:rsidRDefault="00CB1634" w:rsidP="000E4D54">
            <w:pPr>
              <w:pStyle w:val="Obyajntext"/>
              <w:spacing w:after="120"/>
              <w:jc w:val="both"/>
            </w:pPr>
            <w:r w:rsidRPr="00CB1634">
              <w:rPr>
                <w:b/>
                <w:szCs w:val="20"/>
              </w:rPr>
              <w:t>Úlohou a motiváciou využívania dotácií je adresovať externality a nedokonalosti trhu.</w:t>
            </w:r>
            <w:r w:rsidRPr="00626BF9">
              <w:rPr>
                <w:szCs w:val="20"/>
              </w:rPr>
              <w:t xml:space="preserve"> Štát na Slovensku podporuje vybrané subjekty a odvetvia dotáciami za 1,3 mld. eur ročne (1,3 % HDP)</w:t>
            </w:r>
            <w:r>
              <w:rPr>
                <w:szCs w:val="20"/>
              </w:rPr>
              <w:t xml:space="preserve">, </w:t>
            </w:r>
            <w:r w:rsidRPr="00626BF9">
              <w:rPr>
                <w:szCs w:val="20"/>
              </w:rPr>
              <w:t xml:space="preserve">z toho </w:t>
            </w:r>
            <w:r>
              <w:rPr>
                <w:szCs w:val="20"/>
              </w:rPr>
              <w:t xml:space="preserve">priame </w:t>
            </w:r>
            <w:r w:rsidRPr="00626BF9">
              <w:rPr>
                <w:szCs w:val="20"/>
              </w:rPr>
              <w:t>subvencie za 840</w:t>
            </w:r>
            <w:r>
              <w:rPr>
                <w:szCs w:val="20"/>
              </w:rPr>
              <w:t> </w:t>
            </w:r>
            <w:r w:rsidRPr="00626BF9">
              <w:rPr>
                <w:szCs w:val="20"/>
              </w:rPr>
              <w:t>mil. eur, vybrané daňové výdavky za 320 mil. eur a súťaživé transfery tretiemu sektoru za 136 mil. eur. Dopad dotácií nie je možné merať plošne, keďže kvôli širokému rozptylu tém a foriem jednotlivých nástrojov neexistuje jednotný nástroj merania ich efektívnosti. Revízia zmapuje dotácie štátu, vyhodnotí jednotlivé schémy samostatne a navrhne ich optimalizáciu ako príspevok ku konsolidácii verejných financií alebo z hľadiska väčších prínosov, ktoré môžu poskytovať.</w:t>
            </w:r>
          </w:p>
        </w:tc>
      </w:tr>
    </w:tbl>
    <w:p w14:paraId="0E6B1021" w14:textId="77777777" w:rsidR="00082431" w:rsidRPr="00B5673A" w:rsidRDefault="00082431" w:rsidP="00082431">
      <w:pPr>
        <w:pStyle w:val="Default"/>
        <w:spacing w:before="240" w:after="120"/>
        <w:jc w:val="both"/>
        <w:rPr>
          <w:rFonts w:cs="Arial Narrow"/>
          <w:b/>
          <w:lang w:val="sk-SK"/>
        </w:rPr>
      </w:pPr>
      <w:r w:rsidRPr="00B5673A">
        <w:rPr>
          <w:rFonts w:ascii="Arial Narrow" w:hAnsi="Arial Narrow"/>
          <w:b/>
          <w:color w:val="2C9ADC" w:themeColor="accent1"/>
          <w:sz w:val="22"/>
          <w:szCs w:val="22"/>
          <w:lang w:val="sk-SK"/>
        </w:rPr>
        <w:t>Programové rozpočtovanie</w:t>
      </w:r>
    </w:p>
    <w:p w14:paraId="3C566B20" w14:textId="0A561319" w:rsidR="00082431" w:rsidRDefault="00082431" w:rsidP="00082431">
      <w:pPr>
        <w:pStyle w:val="Odsekzoznamu"/>
        <w:spacing w:after="240"/>
        <w:ind w:left="0"/>
        <w:contextualSpacing w:val="0"/>
        <w:jc w:val="both"/>
        <w:rPr>
          <w:rFonts w:cs="Arial Narrow"/>
        </w:rPr>
      </w:pPr>
      <w:r w:rsidRPr="00B5673A">
        <w:rPr>
          <w:rFonts w:cs="Arial Narrow"/>
          <w:b/>
        </w:rPr>
        <w:t>Posilnenie orientácie na výsledok v rozpočte by mala priniesť reforma programového rozpočtovania.</w:t>
      </w:r>
      <w:r w:rsidRPr="00B5673A">
        <w:rPr>
          <w:rFonts w:cs="Arial Narrow"/>
        </w:rPr>
        <w:t xml:space="preserve"> V súlade s programovým vyhlásením vlády z roku 2020 ministerstvo financií pokračuje v  posilňovaní programového rozpočtovania v rozpočtovom procese. </w:t>
      </w:r>
      <w:r w:rsidRPr="006D1D45">
        <w:rPr>
          <w:rFonts w:cs="Arial Narrow"/>
        </w:rPr>
        <w:t>Pilotne boli nové princípy programového rozpočtovania zapracované v rozpočte na rok 2022 a priebežne budú aktualizované so zámerom priblížiť sa stredno- a dlhodobým cieľom v jednotlivých oblastiach – skvalitniť vzdelávanie, podporiť vedu, výskum a inovácie, zlepšiť bezpečnosť a kvalitu života zvýšenou ochranou životného prostredia, prístupom na pracovný trh či k zdravotnej starostlivosti. Reorganizácia programov by mala zvýšiť zrozumiteľnosť účelu výdavkov, ako aj uľahčiť využívanie dát pre analytické účely. Orientácia na výsledky verejnej správy sa posilňuje aj prepojením výsledkových indikátorov využívaných v strategických materiáloch vlády, najmä Národného programu reforiem a Hlavnej knihy Rozpočtu verejnej správy.</w:t>
      </w:r>
    </w:p>
    <w:p w14:paraId="25B1E451" w14:textId="77777777" w:rsidR="005F23BF" w:rsidRPr="009A4C0A" w:rsidRDefault="005F23BF" w:rsidP="005F23BF">
      <w:pPr>
        <w:pStyle w:val="Default"/>
        <w:spacing w:before="240" w:after="120"/>
        <w:jc w:val="both"/>
        <w:rPr>
          <w:rFonts w:ascii="Arial Narrow" w:hAnsi="Arial Narrow"/>
          <w:b/>
          <w:color w:val="2C9ADC" w:themeColor="accent1"/>
          <w:sz w:val="22"/>
          <w:szCs w:val="22"/>
          <w:lang w:val="sk-SK"/>
        </w:rPr>
      </w:pPr>
      <w:r w:rsidRPr="009A4C0A">
        <w:rPr>
          <w:rFonts w:ascii="Arial Narrow" w:hAnsi="Arial Narrow"/>
          <w:b/>
          <w:color w:val="2C9ADC" w:themeColor="accent1"/>
          <w:sz w:val="22"/>
          <w:szCs w:val="22"/>
          <w:lang w:val="sk-SK"/>
        </w:rPr>
        <w:t>Rozpočtovanie kapitálových výdavkov</w:t>
      </w:r>
    </w:p>
    <w:p w14:paraId="3490CE7E" w14:textId="77777777" w:rsidR="005F23BF" w:rsidRPr="009A4C0A" w:rsidRDefault="005F23BF" w:rsidP="005F23BF">
      <w:pPr>
        <w:pStyle w:val="Odsekzoznamu"/>
        <w:spacing w:after="240"/>
        <w:ind w:left="0"/>
        <w:contextualSpacing w:val="0"/>
        <w:jc w:val="both"/>
        <w:rPr>
          <w:rFonts w:cs="Arial Narrow"/>
        </w:rPr>
      </w:pPr>
      <w:r w:rsidRPr="009A4C0A">
        <w:rPr>
          <w:rFonts w:cs="Arial Narrow"/>
          <w:b/>
        </w:rPr>
        <w:t xml:space="preserve">Prebiehajúca reforma riadenia investícií má za cieľ zvýšiť spoločenskú návratnosť novo-realizovaných investičných projektov a plánovať projekty na základe jasne analyticky určených priorít. </w:t>
      </w:r>
      <w:r w:rsidRPr="009A4C0A">
        <w:rPr>
          <w:rFonts w:cs="Arial Narrow"/>
        </w:rPr>
        <w:t xml:space="preserve">Hlavnými časťami reformy sú ekonomické hodnotenia projektov pred ich realizáciou, nastavenie priorít a investičných plánov rezortov a zaraďovanie iba pripravených a návratných projektov do rozpočtu verejnej správy. Detailne ku zmenám procesu riadenia investícií v kapitole 5.3. </w:t>
      </w:r>
    </w:p>
    <w:p w14:paraId="324E9429" w14:textId="77777777" w:rsidR="005F23BF" w:rsidRPr="009A4C0A" w:rsidRDefault="005F23BF" w:rsidP="005F23BF">
      <w:pPr>
        <w:pStyle w:val="Odsekzoznamu"/>
        <w:spacing w:after="240"/>
        <w:ind w:left="0"/>
        <w:contextualSpacing w:val="0"/>
        <w:jc w:val="both"/>
        <w:rPr>
          <w:rFonts w:cs="Arial Narrow"/>
        </w:rPr>
      </w:pPr>
      <w:r w:rsidRPr="009A4C0A">
        <w:rPr>
          <w:rFonts w:cs="Arial Narrow"/>
          <w:b/>
        </w:rPr>
        <w:t xml:space="preserve">Od roku 2021 by v rozpočte mali byť okrem pokračujúcich projektov zaradené iba preukázateľne spoločensky návratné a pripravené projekty. </w:t>
      </w:r>
      <w:r w:rsidRPr="009A4C0A">
        <w:rPr>
          <w:rFonts w:cs="Arial Narrow"/>
        </w:rPr>
        <w:t>Prostriedky na ďalšie plánované projekty sú viazané v rozpočte v rámci zásobníka investícií. Ich čerpanie je možné až po hodnotení MF SR (tzv. zero-based budgeting). Cieľom je postupne zásobník (rezervu) zmenšovať a prostriedky prideľovať priamo kapitolám na pripravené a prioritné projekty. Nepresné plánovanie a časté zmeny priorít v minulosti spôsobovali, že nepripravené projekty dlhodobo blokovali veľký balík peňazí na úkor pripravených a lepších investícií naprieč sektormi. Financované sú preto iba pripravené a návratné projekty v súlade s priorizovanými investičnými plánmi a v rozsahu dostupných rozpočtových zdrojov v jednotlivých rokoch. Príprava projektov a proces rozpočtovania kapitálových výdavkov je presne popísaný vo vládou schválenej Metodike prípravy a hodnotenia investičných projektov (detail v kapitole 5.3).</w:t>
      </w:r>
    </w:p>
    <w:p w14:paraId="02FFFF8F" w14:textId="44D3695A" w:rsidR="005F23BF" w:rsidRDefault="005F23BF" w:rsidP="00082431">
      <w:pPr>
        <w:pStyle w:val="Odsekzoznamu"/>
        <w:spacing w:after="240"/>
        <w:ind w:left="0"/>
        <w:contextualSpacing w:val="0"/>
        <w:jc w:val="both"/>
      </w:pPr>
    </w:p>
    <w:p w14:paraId="5A5879BF" w14:textId="77777777" w:rsidR="00082431" w:rsidRDefault="00082431" w:rsidP="00082431"/>
    <w:p w14:paraId="03B524C9" w14:textId="2B6E3481" w:rsidR="0043462C" w:rsidRDefault="0043462C">
      <w:pPr>
        <w:rPr>
          <w:b/>
        </w:rPr>
      </w:pPr>
      <w:r>
        <w:rPr>
          <w:b/>
        </w:rPr>
        <w:br w:type="page"/>
      </w:r>
    </w:p>
    <w:p w14:paraId="1FEF1DAB" w14:textId="77777777" w:rsidR="0043462C" w:rsidRPr="006B76BA" w:rsidRDefault="0043462C" w:rsidP="0043462C">
      <w:pPr>
        <w:pStyle w:val="Nadpis1"/>
        <w:keepLines/>
        <w:numPr>
          <w:ilvl w:val="0"/>
          <w:numId w:val="2"/>
        </w:numPr>
        <w:spacing w:before="240" w:after="240"/>
        <w:rPr>
          <w:rFonts w:cs="Arial Narrow"/>
          <w:color w:val="2C9ADC"/>
          <w:szCs w:val="28"/>
        </w:rPr>
      </w:pPr>
      <w:bookmarkStart w:id="213" w:name="_Toc70700344"/>
      <w:bookmarkStart w:id="214" w:name="_Toc101880678"/>
      <w:r w:rsidRPr="006B76BA">
        <w:rPr>
          <w:rFonts w:cs="Arial Narrow"/>
          <w:color w:val="2C9ADC"/>
          <w:szCs w:val="28"/>
        </w:rPr>
        <w:t>ŠTRUKTURÁLNE POLITIKY</w:t>
      </w:r>
      <w:bookmarkEnd w:id="213"/>
      <w:bookmarkEnd w:id="214"/>
      <w:r w:rsidRPr="006B76BA">
        <w:rPr>
          <w:rFonts w:cs="Arial Narrow"/>
          <w:color w:val="2C9ADC"/>
          <w:szCs w:val="28"/>
        </w:rPr>
        <w:t xml:space="preserve"> </w:t>
      </w:r>
    </w:p>
    <w:tbl>
      <w:tblPr>
        <w:tblStyle w:val="Mriekatabuky"/>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3462C" w:rsidRPr="007B1472" w14:paraId="674662B7" w14:textId="77777777" w:rsidTr="000E4D54">
        <w:tc>
          <w:tcPr>
            <w:tcW w:w="9072" w:type="dxa"/>
            <w:shd w:val="clear" w:color="auto" w:fill="auto"/>
          </w:tcPr>
          <w:p w14:paraId="3351E18B" w14:textId="77777777" w:rsidR="0043462C" w:rsidRPr="007B1472" w:rsidRDefault="0043462C" w:rsidP="00614C05">
            <w:pPr>
              <w:spacing w:before="120" w:after="120"/>
              <w:jc w:val="both"/>
              <w:rPr>
                <w:i/>
                <w:iCs/>
                <w:highlight w:val="yellow"/>
              </w:rPr>
            </w:pPr>
            <w:bookmarkStart w:id="215" w:name="_Toc6398985"/>
            <w:bookmarkStart w:id="216" w:name="_Toc38560462"/>
            <w:r w:rsidRPr="007B1472">
              <w:rPr>
                <w:i/>
                <w:iCs/>
              </w:rPr>
              <w:t xml:space="preserve">Dlhodobú udržateľnosť verejných financií podporia aj štrukturálne reformy na naštartovanie ekonomického rastu. Najväčšími štrukturálnymi výzvami Slovenska sú vzdelávanie, trh práce a alokačná efektívnosť daná inovačným potenciálom krajiny a efektívnym výkonom verejnej správy. Identifikované štrukturálne výzvy sú do významnej miery adresované opatreniami v ambicióznom POO, ktorého úspešná implementácia bude v najbližších rokoch kľúčová pre opätovné zrýchlenie konvergencie Slovenska a zlepšenie kvality života obyvateľov. Z hľadiska zlepšenia výsledkov vzdelávacieho systému bude </w:t>
            </w:r>
            <w:r>
              <w:rPr>
                <w:i/>
                <w:iCs/>
              </w:rPr>
              <w:t xml:space="preserve">dôležitá </w:t>
            </w:r>
            <w:r w:rsidRPr="007B1472">
              <w:rPr>
                <w:i/>
                <w:iCs/>
              </w:rPr>
              <w:t xml:space="preserve">implementácia povinného predprimárneho vzdelávania, či postupné zavádzanie kurikulárnej reformy a zmien v oblasti </w:t>
            </w:r>
            <w:r>
              <w:rPr>
                <w:i/>
                <w:iCs/>
              </w:rPr>
              <w:t>vysokého školstva</w:t>
            </w:r>
            <w:r w:rsidRPr="007B1472">
              <w:rPr>
                <w:i/>
                <w:iCs/>
              </w:rPr>
              <w:t>. S cieľom zvýšiť príliv vysokokvalifikovanej pracovnej sily sa pripravuje zjednodušenie procesov v rámci pobytovej a pracovnej legislatívy. Vznik centier excelentnosti podporí prepojenie odborného vzdelávania a trhu práce. V oblasti sociálnych politík pokračujú aktivity pre integráciu rómskych komunít v oblasti vzdelávania, zdravia, bývania a zamestnanosti. Opatrenia na zvyšovanie produktivity sa zamerajú na rast celkových investícií do vedy a výskumu, podporu digitalizácie dobudovaním infraštruktúry v oblastiach nepokrytých trhom, zlepšovanie digitálnych zručností a vybudovanie efektívnej elektronickej verejnej správy.</w:t>
            </w:r>
            <w:r w:rsidRPr="007B1472">
              <w:rPr>
                <w:i/>
                <w:iCs/>
                <w:color w:val="000000" w:themeColor="text1"/>
              </w:rPr>
              <w:t xml:space="preserve"> Podnikateľské prostredie pozitívne ovplyvní znižovanie administratívnej záťaže a odstraňovanie neefektívnych regulácií</w:t>
            </w:r>
            <w:r w:rsidRPr="007B1472">
              <w:rPr>
                <w:rFonts w:eastAsia="Calibri" w:cs="Arial"/>
                <w:b/>
              </w:rPr>
              <w:t>.</w:t>
            </w:r>
          </w:p>
        </w:tc>
      </w:tr>
    </w:tbl>
    <w:bookmarkEnd w:id="215"/>
    <w:bookmarkEnd w:id="216"/>
    <w:p w14:paraId="124602CA" w14:textId="77777777" w:rsidR="0043462C" w:rsidRPr="007B1472" w:rsidRDefault="0043462C" w:rsidP="00614C05">
      <w:pPr>
        <w:spacing w:before="240" w:after="240"/>
        <w:jc w:val="both"/>
      </w:pPr>
      <w:r w:rsidRPr="007B1472">
        <w:rPr>
          <w:b/>
        </w:rPr>
        <w:t>Priorita vlády je návrat ku zdravým verejným financiám pri rešpektovaní európskych aj národných. rozpočtových pravidiel</w:t>
      </w:r>
      <w:r w:rsidRPr="007B1472">
        <w:t>. Pripravovaná reforma I. dôchodkového piliera opätovné naviaže dôchodkový veku na rast strednej dĺžky života a výrazne tak prispeje k zlepšeniu dlhodobej udržateľnosti našich verejných financií. Rovnaký cieľ sleduje aj implementácia výdavkových limitov od roku 2023. Kvalitu verejných financií súčasne posilnili schválené zmeny zamerané na priorizovanie investícií a ich priebežný monitoring. Novela dlhovej brzdy by mala  priniesť stabilizáciu a znižovanie zadlženia formou prísnejších sankcií, ale aj vytvoriť priestor pre efektívne narábanie s likviditou prechodom na ukazovateľ čistého dlhu. Zvyšovanie efektívnosti výberu daní i naďalej zostáva dlhodobou prioritou vlády v daňovej politike. K ďalšiemu zníženiu daňovej medzery na DPH by malo prispieť plánované zavedenie elektronickej faktúry.</w:t>
      </w:r>
    </w:p>
    <w:p w14:paraId="22E5BFF9" w14:textId="77777777" w:rsidR="0043462C" w:rsidRPr="007B1472" w:rsidRDefault="0043462C" w:rsidP="0043462C">
      <w:pPr>
        <w:spacing w:after="240"/>
        <w:jc w:val="both"/>
      </w:pPr>
      <w:r w:rsidRPr="007B1472">
        <w:rPr>
          <w:b/>
        </w:rPr>
        <w:t>Vzdelávací systém na Slovensku potrebuje výrazne zlepšiť výstupy naprieč všetkými úrovňami</w:t>
      </w:r>
      <w:r w:rsidRPr="007B1472">
        <w:t>. Hlavnými výzvami zostáva naďalej zlepšovanie inkluzívneho prístupu, najmä implementácia povinného predprimárneho vzdelávania a rozšírenie zaškolenosti cestou právneho nároku postupne pre deti už od 3 rokov. Kurikulárna reforma vzdelávania postupne pretransformuje obsah vzdelávania s dôrazom rozvoja potrebných zručnosti, vrátane digitálnych. Sprevádzaná bude zmenami v príprave a profesijnom vzdelávaní učiteľov, učebnicovou reformou a mentoringovou podporou pri zavádzaní nového kurikula v rámci novovytvorených regionálnych centier. Zlepšenie v oblasti vysokoškolského vzdelávania by mali priniesť nové akreditačné štandardy pre vnútorné systémy zabezpečovania kvality, reforma vnútorného riadenia škôl a zmena financovania podporujúca výkony vo vedeckej a tvorivej činnosti.</w:t>
      </w:r>
    </w:p>
    <w:p w14:paraId="63027CF6" w14:textId="77777777" w:rsidR="0043462C" w:rsidRPr="007B1472" w:rsidRDefault="0043462C" w:rsidP="0043462C">
      <w:pPr>
        <w:spacing w:after="240"/>
        <w:jc w:val="both"/>
      </w:pPr>
      <w:r w:rsidRPr="007B1472">
        <w:rPr>
          <w:b/>
        </w:rPr>
        <w:t>Napriek nízkej zamestnanosti matiek s malými deťmi a nízko-vzdelaných dosiahla miera zamestnanosti na Slovensku priemer EÚ.</w:t>
      </w:r>
      <w:r w:rsidRPr="007B1472">
        <w:t xml:space="preserve"> S cieľom zvýšiť príliv vysokokvalifikovanej pracovnej sily sa pripravuje zjednodušenie procesov v rámci pobytovej a pracovnej legislatívy. Vznik centier excelentnosti podporí prepojenie odborného vzdelávania a trhu práce. V oblasti sociálnych politík pokračujú aktivity pre integráciu rómskych komunít v oblasti vzdelávania, zdravia, bývania a zamestnanosti. Pripravovaná dôchodková reforma prinesie významné zmeny aj nad rámec zlepšenia udržateľnosti. Pôjde najmä o zvýšenie adekvátnosti dôchodkov z II. piliera vďaka zavedeniu predvolenej investičnej stratégii na báze životného cyklu a zlepšenie poskytovania informácií o aktuálnych a očakávaných budúcich dôchodkových nárokoch zo všetkých troch pilierov.</w:t>
      </w:r>
    </w:p>
    <w:p w14:paraId="7180CA79" w14:textId="77777777" w:rsidR="0043462C" w:rsidRPr="007B1472" w:rsidRDefault="0043462C" w:rsidP="0043462C">
      <w:pPr>
        <w:spacing w:after="240"/>
        <w:jc w:val="both"/>
      </w:pPr>
      <w:r w:rsidRPr="007B1472">
        <w:rPr>
          <w:b/>
          <w:bCs/>
        </w:rPr>
        <w:t xml:space="preserve">Oblasť bývania patrí medzi najväčšie výzvy z hľadiska kvality života na Slovensku. </w:t>
      </w:r>
      <w:r w:rsidRPr="007B1472">
        <w:t xml:space="preserve">Dostupné bývanie v centrách ekonomickej aktivity má potenciál pozitívne ovplyvniť nielen kvalitu života, ale aj podporiť mobilitu pracovnej sily. Prijatie </w:t>
      </w:r>
      <w:r w:rsidRPr="007B1472">
        <w:rPr>
          <w:i/>
        </w:rPr>
        <w:t>Bytovej politiky Slovenskej republiky do roku 2030</w:t>
      </w:r>
      <w:r w:rsidRPr="007B1472">
        <w:t xml:space="preserve"> spolu s akčným plánom má za cieľ zlepšiť fyzickú a cenovú dostupnosť bývania na Slovensku a jeho kvalitu. Nový zákon o výstavbe a zákon o územnom plánovaní zefektívni stavebný proces a podporí zvýšenie celkovej úrovne bytovej výstavby.</w:t>
      </w:r>
    </w:p>
    <w:p w14:paraId="74E46D61" w14:textId="77777777" w:rsidR="0043462C" w:rsidRPr="007B1472" w:rsidRDefault="0043462C" w:rsidP="0043462C">
      <w:pPr>
        <w:spacing w:after="160"/>
        <w:jc w:val="both"/>
      </w:pPr>
      <w:r w:rsidRPr="007B1472">
        <w:rPr>
          <w:b/>
        </w:rPr>
        <w:t>Rastúca produktivita, ktorá je výsledkom zavádzania inovácií, je jedným z nevyhnutných predpokladov pre dlhodobo udržateľný ekonomický rast.</w:t>
      </w:r>
      <w:r w:rsidRPr="007B1472">
        <w:t xml:space="preserve"> Opatrenia sa zamerajú na rast celkových investícií do vedy a výskumu vrátane podnetov pre zvýšenie výdavkov súkromného sektora. Profesionalizuje sa nadrezortná koordinácia vedy a výskumu a hodnotenie projektov financovaných z verejných zdrojov. Verejné politiky na zvyšovanie produktivity budú zamerané na podporu digitalizácie dobudovaním infraštruktúry v oblastiach nepokrytých trhom, zlepšovanie digitálnych zručností a vybudovanie efektívnej elektronickej verejnej správy.</w:t>
      </w:r>
    </w:p>
    <w:p w14:paraId="7A4511F4" w14:textId="77777777" w:rsidR="0043462C" w:rsidRPr="007B1472" w:rsidRDefault="0043462C" w:rsidP="0043462C">
      <w:pPr>
        <w:spacing w:after="240"/>
        <w:jc w:val="both"/>
      </w:pPr>
      <w:r w:rsidRPr="007B1472">
        <w:rPr>
          <w:b/>
        </w:rPr>
        <w:t xml:space="preserve">Podnikateľské prostredie pozitívne ovplyvní znižovanie administratívnej záťaže a odstraňovanie neefektívnych regulácií. </w:t>
      </w:r>
      <w:r w:rsidRPr="007B1472">
        <w:t>Prijatím mechanizmu one-in-two-out sa za každé zvýšenie nákladov podnikateľského prostredia znížia náklady podnikateľského prostredia aspoň v dvojnásobnej výške. Administratívna záťaž bude postupne znižovaná aj vďaka ďalším antibyrokratickým balíčkom. Vyššiu transparentnosť podnikateľského prostredia prinesie reforma verejného obstarávania.</w:t>
      </w:r>
      <w:r w:rsidRPr="007B1472">
        <w:rPr>
          <w:rFonts w:cs="Times New Roman"/>
        </w:rPr>
        <w:t xml:space="preserve"> </w:t>
      </w:r>
      <w:r w:rsidRPr="007B1472">
        <w:t>Boj proti praniu špinavých peňazí podporí nový  zákon o zaistení majetku. Reforma súdnictva, súdnej mapy a špecializácia súdov prinesú rýchlejšie konania a vyššiu dôveru v súdny systém.</w:t>
      </w:r>
    </w:p>
    <w:p w14:paraId="46CEB740" w14:textId="77777777" w:rsidR="0043462C" w:rsidRPr="007B1472" w:rsidRDefault="0043462C" w:rsidP="0043462C">
      <w:pPr>
        <w:spacing w:after="160"/>
        <w:jc w:val="both"/>
        <w:rPr>
          <w:rFonts w:eastAsia="Calibri" w:cs="Arial"/>
        </w:rPr>
      </w:pPr>
      <w:r w:rsidRPr="007B1472">
        <w:rPr>
          <w:rFonts w:eastAsia="Calibri" w:cs="Arial"/>
          <w:b/>
        </w:rPr>
        <w:t>Nosnou reformou zdravotníctva bude optimalizácia siete nemocníc. Jej cieľom je vytvoriť modernú, dostupnú a efektívnu sieť, ktorá zabezpečí kvalitnú zdravotnú starostlivosť</w:t>
      </w:r>
      <w:r w:rsidRPr="007B1472">
        <w:rPr>
          <w:rFonts w:eastAsia="Calibri" w:cs="Arial"/>
        </w:rPr>
        <w:t>. Zvýši sa dostupnosť záchrannej zdravotnej služby, ktorá bude nadväzovať na potreby novej nemocničnej siete. V oblasti dlhodobej starostlivosti sa bude dôraz klásť najmä na kvalitu, dostupnosť a koordináciu služieb. Zintegruje sa zdravotná a sociálna dlhodobá starostlivosť a zlepší dohľad nad poskytovanými službami. Zároveň sa vyhlásia výzvy na rekonštrukciu a rozširovanie kapacít pobytovej, komunitnej či domácej starostlivosti s dôrazom na deinštitucionalizáciu služieb.</w:t>
      </w:r>
    </w:p>
    <w:p w14:paraId="0358E49A" w14:textId="41BD430B" w:rsidR="0043462C" w:rsidRDefault="0043462C" w:rsidP="0043462C">
      <w:pPr>
        <w:jc w:val="both"/>
        <w:rPr>
          <w:rFonts w:eastAsia="Calibri" w:cs="Arial"/>
        </w:rPr>
      </w:pPr>
      <w:r w:rsidRPr="007B1472">
        <w:rPr>
          <w:rFonts w:cs="Arial"/>
          <w:b/>
        </w:rPr>
        <w:t>Opatrenia v rámci zelenej transformácie cielia zlepšenie kvality ovzdušia, podporu obnoviteľných zdrojov energie (OZE) a obehového hospodárstva, dekarbonizáciu priemyslu, či adaptáciu na zmenu klímy</w:t>
      </w:r>
      <w:r w:rsidRPr="007B1472">
        <w:rPr>
          <w:rFonts w:cs="Arial"/>
          <w:i/>
        </w:rPr>
        <w:t xml:space="preserve">. </w:t>
      </w:r>
      <w:r w:rsidRPr="007B1472">
        <w:rPr>
          <w:rFonts w:eastAsia="Calibri" w:cs="Arial"/>
        </w:rPr>
        <w:t>Reformy pravidiel v oblasti elektroenergetiky a podpory OZE prispejú k ďalšiemu zvyšovaniu podielu OZE v energetickom mixe SR. Pozitívny dopad na emisie skleníkových plynov a kvalitu prinesú tiež investície do ekologickej dopravy (najmä železnice a cyklodoprava) a podpora rozvoja infraštruktúry pre vozidlá na alternatívny pohon. S cieľom zlepšiť energetickú hospodárnosť sa bude investovať do obnovy verejných a súkromných budov.</w:t>
      </w:r>
    </w:p>
    <w:p w14:paraId="14C1E320" w14:textId="6512FF1B" w:rsidR="0043462C" w:rsidRDefault="0043462C" w:rsidP="0043462C">
      <w:pPr>
        <w:jc w:val="both"/>
        <w:rPr>
          <w:rFonts w:eastAsia="Calibri" w:cs="Arial"/>
        </w:rPr>
      </w:pPr>
    </w:p>
    <w:p w14:paraId="24D1A5CC" w14:textId="2CCE75B8" w:rsidR="0043462C" w:rsidRDefault="0043462C" w:rsidP="0043462C">
      <w:pPr>
        <w:jc w:val="both"/>
        <w:rPr>
          <w:rFonts w:eastAsia="Calibri" w:cs="Arial"/>
        </w:rPr>
      </w:pPr>
    </w:p>
    <w:p w14:paraId="0786EAC4" w14:textId="001D601D" w:rsidR="0043462C" w:rsidRDefault="0043462C" w:rsidP="0043462C">
      <w:pPr>
        <w:jc w:val="both"/>
        <w:rPr>
          <w:rFonts w:eastAsia="Calibri" w:cs="Arial"/>
        </w:rPr>
      </w:pPr>
    </w:p>
    <w:p w14:paraId="01FCF42F" w14:textId="48BF6116" w:rsidR="0043462C" w:rsidRDefault="0043462C" w:rsidP="0043462C">
      <w:pPr>
        <w:jc w:val="both"/>
        <w:rPr>
          <w:rFonts w:eastAsia="Calibri" w:cs="Arial"/>
        </w:rPr>
      </w:pPr>
    </w:p>
    <w:p w14:paraId="70FC70FD" w14:textId="193AA7F5" w:rsidR="0043462C" w:rsidRDefault="0043462C" w:rsidP="0043462C">
      <w:pPr>
        <w:jc w:val="both"/>
        <w:rPr>
          <w:rFonts w:eastAsia="Calibri" w:cs="Arial"/>
        </w:rPr>
      </w:pPr>
    </w:p>
    <w:p w14:paraId="7A4A1C38" w14:textId="12A7B094" w:rsidR="0043462C" w:rsidRDefault="0043462C" w:rsidP="0043462C">
      <w:pPr>
        <w:jc w:val="both"/>
        <w:rPr>
          <w:rFonts w:eastAsia="Calibri" w:cs="Arial"/>
        </w:rPr>
      </w:pPr>
    </w:p>
    <w:p w14:paraId="462DD896" w14:textId="507829D5" w:rsidR="000A33E7" w:rsidRDefault="000A33E7">
      <w:pPr>
        <w:rPr>
          <w:rFonts w:eastAsia="Calibri" w:cs="Arial"/>
        </w:rPr>
      </w:pPr>
      <w:r>
        <w:rPr>
          <w:rFonts w:eastAsia="Calibri" w:cs="Arial"/>
        </w:rPr>
        <w:br w:type="page"/>
      </w:r>
    </w:p>
    <w:p w14:paraId="4280981A" w14:textId="0006F3EA" w:rsidR="000A33E7" w:rsidRPr="00521479" w:rsidRDefault="000A33E7" w:rsidP="000A33E7">
      <w:pPr>
        <w:pStyle w:val="Nadpis1"/>
        <w:spacing w:before="240" w:after="240"/>
        <w:rPr>
          <w:szCs w:val="28"/>
        </w:rPr>
      </w:pPr>
      <w:bookmarkStart w:id="217" w:name="_Toc40181057"/>
      <w:bookmarkStart w:id="218" w:name="_Toc101880679"/>
      <w:r w:rsidRPr="00427BB1">
        <w:rPr>
          <w:szCs w:val="28"/>
        </w:rPr>
        <w:t>PRÍLOHY</w:t>
      </w:r>
      <w:bookmarkEnd w:id="217"/>
      <w:bookmarkEnd w:id="218"/>
      <w:r w:rsidR="0078069E" w:rsidRPr="00427BB1">
        <w:rPr>
          <w:szCs w:val="28"/>
        </w:rPr>
        <w:t xml:space="preserve"> </w:t>
      </w:r>
    </w:p>
    <w:p w14:paraId="5A5804FF" w14:textId="77777777" w:rsidR="000A33E7" w:rsidRPr="00521479" w:rsidRDefault="000A33E7" w:rsidP="000A33E7">
      <w:pPr>
        <w:pStyle w:val="Nadpis3"/>
        <w:rPr>
          <w:sz w:val="24"/>
          <w:szCs w:val="24"/>
        </w:rPr>
      </w:pPr>
      <w:r>
        <w:rPr>
          <w:color w:val="2C9ADC" w:themeColor="accent1"/>
          <w:sz w:val="24"/>
          <w:szCs w:val="24"/>
        </w:rPr>
        <w:t xml:space="preserve">Príloha 1 – </w:t>
      </w:r>
      <w:r w:rsidRPr="00521479">
        <w:rPr>
          <w:color w:val="2C9ADC" w:themeColor="accent1"/>
          <w:sz w:val="24"/>
          <w:szCs w:val="24"/>
        </w:rPr>
        <w:t>Povinné tabuľky Programu stability</w:t>
      </w:r>
      <w:r w:rsidRPr="00521479">
        <w:rPr>
          <w:sz w:val="24"/>
          <w:szCs w:val="24"/>
        </w:rPr>
        <w:t xml:space="preserve"> </w:t>
      </w:r>
    </w:p>
    <w:p w14:paraId="7DC48585" w14:textId="6A18564B" w:rsidR="000A33E7" w:rsidRDefault="000A33E7" w:rsidP="000A33E7"/>
    <w:p w14:paraId="7DD47202" w14:textId="77777777" w:rsidR="00C45D5B" w:rsidRPr="00866AF1" w:rsidRDefault="00C45D5B" w:rsidP="00C45D5B"/>
    <w:tbl>
      <w:tblPr>
        <w:tblW w:w="8986" w:type="dxa"/>
        <w:tblCellMar>
          <w:left w:w="70" w:type="dxa"/>
          <w:right w:w="70" w:type="dxa"/>
        </w:tblCellMar>
        <w:tblLook w:val="04A0" w:firstRow="1" w:lastRow="0" w:firstColumn="1" w:lastColumn="0" w:noHBand="0" w:noVBand="1"/>
      </w:tblPr>
      <w:tblGrid>
        <w:gridCol w:w="3085"/>
        <w:gridCol w:w="836"/>
        <w:gridCol w:w="885"/>
        <w:gridCol w:w="836"/>
        <w:gridCol w:w="836"/>
        <w:gridCol w:w="836"/>
        <w:gridCol w:w="836"/>
        <w:gridCol w:w="836"/>
      </w:tblGrid>
      <w:tr w:rsidR="00C45D5B" w:rsidRPr="00AB54ED" w14:paraId="1A7E17A0" w14:textId="77777777" w:rsidTr="00CF774B">
        <w:trPr>
          <w:trHeight w:val="283"/>
        </w:trPr>
        <w:tc>
          <w:tcPr>
            <w:tcW w:w="8986" w:type="dxa"/>
            <w:gridSpan w:val="8"/>
            <w:tcBorders>
              <w:top w:val="nil"/>
              <w:left w:val="nil"/>
              <w:bottom w:val="single" w:sz="8" w:space="0" w:color="auto"/>
              <w:right w:val="nil"/>
            </w:tcBorders>
            <w:shd w:val="clear" w:color="auto" w:fill="auto"/>
            <w:noWrap/>
            <w:vAlign w:val="center"/>
            <w:hideMark/>
          </w:tcPr>
          <w:p w14:paraId="5A26B86D" w14:textId="604BEABE" w:rsidR="00C45D5B" w:rsidRPr="00732C61" w:rsidRDefault="00C45D5B" w:rsidP="00CF774B">
            <w:pPr>
              <w:rPr>
                <w:rFonts w:cs="Times New Roman"/>
                <w:b/>
                <w:bCs/>
                <w:color w:val="2C9ADC" w:themeColor="accent1"/>
                <w:sz w:val="20"/>
              </w:rPr>
            </w:pPr>
            <w:bookmarkStart w:id="219" w:name="_Toc480905410"/>
            <w:bookmarkStart w:id="220" w:name="_Toc40186688"/>
            <w:bookmarkStart w:id="221" w:name="_Toc71622457"/>
            <w:bookmarkStart w:id="222" w:name="_Toc101880698"/>
            <w:r w:rsidRPr="00732C61">
              <w:rPr>
                <w:rFonts w:eastAsiaTheme="minorHAnsi"/>
                <w:b/>
                <w:color w:val="2C9ADC"/>
                <w:sz w:val="20"/>
                <w:lang w:eastAsia="en-US"/>
              </w:rPr>
              <w:t xml:space="preserve">TABUĽKA </w:t>
            </w:r>
            <w:r w:rsidRPr="00732C61">
              <w:rPr>
                <w:rFonts w:eastAsiaTheme="minorHAnsi"/>
                <w:b/>
                <w:color w:val="2C9ADC"/>
                <w:sz w:val="20"/>
                <w:lang w:eastAsia="en-US"/>
              </w:rPr>
              <w:fldChar w:fldCharType="begin"/>
            </w:r>
            <w:r w:rsidRPr="00732C61">
              <w:rPr>
                <w:rFonts w:eastAsiaTheme="minorHAnsi"/>
                <w:b/>
                <w:color w:val="2C9ADC"/>
                <w:sz w:val="20"/>
                <w:lang w:eastAsia="en-US"/>
              </w:rPr>
              <w:instrText xml:space="preserve"> SEQ TABUĽKA \* ARABIC </w:instrText>
            </w:r>
            <w:r w:rsidRPr="00732C61">
              <w:rPr>
                <w:rFonts w:eastAsiaTheme="minorHAnsi"/>
                <w:b/>
                <w:color w:val="2C9ADC"/>
                <w:sz w:val="20"/>
                <w:lang w:eastAsia="en-US"/>
              </w:rPr>
              <w:fldChar w:fldCharType="separate"/>
            </w:r>
            <w:r w:rsidR="005D3280">
              <w:rPr>
                <w:rFonts w:eastAsiaTheme="minorHAnsi"/>
                <w:b/>
                <w:noProof/>
                <w:color w:val="2C9ADC"/>
                <w:sz w:val="20"/>
                <w:lang w:eastAsia="en-US"/>
              </w:rPr>
              <w:t>19</w:t>
            </w:r>
            <w:r w:rsidRPr="00732C61">
              <w:rPr>
                <w:rFonts w:eastAsiaTheme="minorHAnsi"/>
                <w:b/>
                <w:color w:val="2C9ADC"/>
                <w:sz w:val="20"/>
                <w:lang w:eastAsia="en-US"/>
              </w:rPr>
              <w:fldChar w:fldCharType="end"/>
            </w:r>
            <w:r w:rsidRPr="00732C61">
              <w:rPr>
                <w:color w:val="2C9ADC" w:themeColor="accent1"/>
                <w:sz w:val="20"/>
              </w:rPr>
              <w:t xml:space="preserve"> (</w:t>
            </w:r>
            <w:r w:rsidRPr="00732C61">
              <w:rPr>
                <w:rFonts w:cs="Times New Roman"/>
                <w:b/>
                <w:bCs/>
                <w:color w:val="2C9ADC" w:themeColor="accent1"/>
                <w:sz w:val="20"/>
              </w:rPr>
              <w:t>Tabuľka 1a) – Makroekonomický prehľad (ESA 2010, mld. eur)</w:t>
            </w:r>
            <w:bookmarkEnd w:id="219"/>
            <w:bookmarkEnd w:id="220"/>
            <w:bookmarkEnd w:id="221"/>
            <w:bookmarkEnd w:id="222"/>
            <w:r w:rsidRPr="00732C61">
              <w:rPr>
                <w:rFonts w:cs="Times New Roman"/>
                <w:b/>
                <w:bCs/>
                <w:color w:val="2C9ADC" w:themeColor="accent1"/>
                <w:sz w:val="20"/>
              </w:rPr>
              <w:t xml:space="preserve"> </w:t>
            </w:r>
          </w:p>
        </w:tc>
      </w:tr>
      <w:tr w:rsidR="00C45D5B" w:rsidRPr="00AB54ED" w14:paraId="5372D77B" w14:textId="77777777" w:rsidTr="00CF774B">
        <w:trPr>
          <w:trHeight w:val="283"/>
        </w:trPr>
        <w:tc>
          <w:tcPr>
            <w:tcW w:w="3085" w:type="dxa"/>
            <w:vMerge w:val="restart"/>
            <w:tcBorders>
              <w:top w:val="nil"/>
              <w:left w:val="nil"/>
              <w:bottom w:val="single" w:sz="6" w:space="0" w:color="auto"/>
              <w:right w:val="nil"/>
            </w:tcBorders>
            <w:shd w:val="clear" w:color="auto" w:fill="auto"/>
            <w:vAlign w:val="bottom"/>
            <w:hideMark/>
          </w:tcPr>
          <w:p w14:paraId="725D096C" w14:textId="77777777" w:rsidR="00C45D5B" w:rsidRPr="00732C61" w:rsidRDefault="00C45D5B" w:rsidP="00CF774B">
            <w:pPr>
              <w:rPr>
                <w:rFonts w:cs="Times New Roman"/>
                <w:color w:val="000000"/>
                <w:sz w:val="18"/>
                <w:szCs w:val="18"/>
              </w:rPr>
            </w:pPr>
            <w:r w:rsidRPr="00732C61">
              <w:rPr>
                <w:rFonts w:cs="Times New Roman"/>
                <w:color w:val="000000"/>
                <w:sz w:val="18"/>
                <w:szCs w:val="18"/>
              </w:rPr>
              <w:t> </w:t>
            </w:r>
          </w:p>
        </w:tc>
        <w:tc>
          <w:tcPr>
            <w:tcW w:w="836" w:type="dxa"/>
            <w:vMerge w:val="restart"/>
            <w:tcBorders>
              <w:top w:val="nil"/>
              <w:left w:val="nil"/>
              <w:bottom w:val="single" w:sz="6" w:space="0" w:color="auto"/>
              <w:right w:val="nil"/>
            </w:tcBorders>
            <w:shd w:val="clear" w:color="auto" w:fill="auto"/>
            <w:vAlign w:val="center"/>
            <w:hideMark/>
          </w:tcPr>
          <w:p w14:paraId="763F6C31" w14:textId="77777777" w:rsidR="00C45D5B" w:rsidRPr="00732C61" w:rsidRDefault="00C45D5B" w:rsidP="00CF774B">
            <w:pPr>
              <w:jc w:val="center"/>
              <w:rPr>
                <w:rFonts w:cs="Times New Roman"/>
                <w:color w:val="000000"/>
                <w:sz w:val="18"/>
                <w:szCs w:val="18"/>
              </w:rPr>
            </w:pPr>
            <w:r w:rsidRPr="00732C61">
              <w:rPr>
                <w:rFonts w:cs="Times New Roman"/>
                <w:color w:val="000000"/>
                <w:sz w:val="18"/>
                <w:szCs w:val="18"/>
              </w:rPr>
              <w:t>ESA kód</w:t>
            </w:r>
          </w:p>
        </w:tc>
        <w:tc>
          <w:tcPr>
            <w:tcW w:w="885" w:type="dxa"/>
            <w:tcBorders>
              <w:top w:val="nil"/>
              <w:left w:val="nil"/>
              <w:bottom w:val="nil"/>
              <w:right w:val="nil"/>
            </w:tcBorders>
            <w:shd w:val="clear" w:color="auto" w:fill="auto"/>
            <w:vAlign w:val="center"/>
            <w:hideMark/>
          </w:tcPr>
          <w:p w14:paraId="7A268CA8" w14:textId="77777777" w:rsidR="00C45D5B" w:rsidRPr="00732C61" w:rsidRDefault="00C45D5B" w:rsidP="00CF774B">
            <w:pPr>
              <w:jc w:val="center"/>
              <w:rPr>
                <w:rFonts w:cs="Times New Roman"/>
                <w:b/>
                <w:bCs/>
                <w:color w:val="000000"/>
                <w:sz w:val="18"/>
                <w:szCs w:val="18"/>
              </w:rPr>
            </w:pPr>
            <w:r w:rsidRPr="00732C61">
              <w:rPr>
                <w:b/>
                <w:bCs/>
                <w:color w:val="000000"/>
                <w:sz w:val="18"/>
                <w:szCs w:val="18"/>
              </w:rPr>
              <w:t>2021</w:t>
            </w:r>
          </w:p>
        </w:tc>
        <w:tc>
          <w:tcPr>
            <w:tcW w:w="836" w:type="dxa"/>
            <w:tcBorders>
              <w:top w:val="nil"/>
              <w:left w:val="nil"/>
              <w:bottom w:val="nil"/>
              <w:right w:val="nil"/>
            </w:tcBorders>
            <w:shd w:val="clear" w:color="auto" w:fill="auto"/>
            <w:vAlign w:val="center"/>
            <w:hideMark/>
          </w:tcPr>
          <w:p w14:paraId="33EF08C9" w14:textId="77777777" w:rsidR="00C45D5B" w:rsidRPr="00732C61" w:rsidRDefault="00C45D5B" w:rsidP="00CF774B">
            <w:pPr>
              <w:jc w:val="center"/>
              <w:rPr>
                <w:b/>
                <w:bCs/>
                <w:color w:val="000000"/>
                <w:sz w:val="18"/>
                <w:szCs w:val="18"/>
              </w:rPr>
            </w:pPr>
            <w:r w:rsidRPr="00732C61">
              <w:rPr>
                <w:b/>
                <w:bCs/>
                <w:color w:val="000000"/>
                <w:sz w:val="18"/>
                <w:szCs w:val="18"/>
              </w:rPr>
              <w:t>2021</w:t>
            </w:r>
          </w:p>
        </w:tc>
        <w:tc>
          <w:tcPr>
            <w:tcW w:w="836" w:type="dxa"/>
            <w:tcBorders>
              <w:top w:val="nil"/>
              <w:left w:val="nil"/>
              <w:bottom w:val="nil"/>
              <w:right w:val="nil"/>
            </w:tcBorders>
            <w:shd w:val="clear" w:color="auto" w:fill="auto"/>
            <w:vAlign w:val="center"/>
            <w:hideMark/>
          </w:tcPr>
          <w:p w14:paraId="7430D551" w14:textId="77777777" w:rsidR="00C45D5B" w:rsidRPr="00732C61" w:rsidRDefault="00C45D5B" w:rsidP="00CF774B">
            <w:pPr>
              <w:jc w:val="center"/>
              <w:rPr>
                <w:b/>
                <w:bCs/>
                <w:color w:val="000000"/>
                <w:sz w:val="18"/>
                <w:szCs w:val="18"/>
              </w:rPr>
            </w:pPr>
            <w:r w:rsidRPr="00732C61">
              <w:rPr>
                <w:b/>
                <w:bCs/>
                <w:color w:val="000000"/>
                <w:sz w:val="18"/>
                <w:szCs w:val="18"/>
              </w:rPr>
              <w:t>2022</w:t>
            </w:r>
          </w:p>
        </w:tc>
        <w:tc>
          <w:tcPr>
            <w:tcW w:w="836" w:type="dxa"/>
            <w:tcBorders>
              <w:top w:val="nil"/>
              <w:left w:val="nil"/>
              <w:bottom w:val="nil"/>
              <w:right w:val="nil"/>
            </w:tcBorders>
            <w:shd w:val="clear" w:color="auto" w:fill="auto"/>
            <w:vAlign w:val="center"/>
            <w:hideMark/>
          </w:tcPr>
          <w:p w14:paraId="10747D83" w14:textId="77777777" w:rsidR="00C45D5B" w:rsidRPr="00732C61" w:rsidRDefault="00C45D5B" w:rsidP="00CF774B">
            <w:pPr>
              <w:jc w:val="center"/>
              <w:rPr>
                <w:b/>
                <w:bCs/>
                <w:color w:val="000000"/>
                <w:sz w:val="18"/>
                <w:szCs w:val="18"/>
              </w:rPr>
            </w:pPr>
            <w:r w:rsidRPr="00732C61">
              <w:rPr>
                <w:b/>
                <w:bCs/>
                <w:color w:val="000000"/>
                <w:sz w:val="18"/>
                <w:szCs w:val="18"/>
              </w:rPr>
              <w:t>2023</w:t>
            </w:r>
          </w:p>
        </w:tc>
        <w:tc>
          <w:tcPr>
            <w:tcW w:w="836" w:type="dxa"/>
            <w:tcBorders>
              <w:top w:val="nil"/>
              <w:left w:val="nil"/>
              <w:bottom w:val="nil"/>
              <w:right w:val="nil"/>
            </w:tcBorders>
            <w:shd w:val="clear" w:color="auto" w:fill="auto"/>
            <w:vAlign w:val="center"/>
            <w:hideMark/>
          </w:tcPr>
          <w:p w14:paraId="5FFFD272" w14:textId="77777777" w:rsidR="00C45D5B" w:rsidRPr="00732C61" w:rsidRDefault="00C45D5B" w:rsidP="00CF774B">
            <w:pPr>
              <w:jc w:val="center"/>
              <w:rPr>
                <w:b/>
                <w:bCs/>
                <w:color w:val="000000"/>
                <w:sz w:val="18"/>
                <w:szCs w:val="18"/>
              </w:rPr>
            </w:pPr>
            <w:r w:rsidRPr="00732C61">
              <w:rPr>
                <w:b/>
                <w:bCs/>
                <w:color w:val="000000"/>
                <w:sz w:val="18"/>
                <w:szCs w:val="18"/>
              </w:rPr>
              <w:t>2024</w:t>
            </w:r>
          </w:p>
        </w:tc>
        <w:tc>
          <w:tcPr>
            <w:tcW w:w="836" w:type="dxa"/>
            <w:tcBorders>
              <w:top w:val="nil"/>
              <w:left w:val="nil"/>
              <w:bottom w:val="nil"/>
              <w:right w:val="nil"/>
            </w:tcBorders>
            <w:shd w:val="clear" w:color="auto" w:fill="auto"/>
            <w:vAlign w:val="center"/>
            <w:hideMark/>
          </w:tcPr>
          <w:p w14:paraId="743940AB" w14:textId="77777777" w:rsidR="00C45D5B" w:rsidRPr="00732C61" w:rsidRDefault="00C45D5B" w:rsidP="00CF774B">
            <w:pPr>
              <w:jc w:val="center"/>
              <w:rPr>
                <w:b/>
                <w:bCs/>
                <w:color w:val="000000"/>
                <w:sz w:val="18"/>
                <w:szCs w:val="18"/>
              </w:rPr>
            </w:pPr>
            <w:r w:rsidRPr="00732C61">
              <w:rPr>
                <w:b/>
                <w:bCs/>
                <w:color w:val="000000"/>
                <w:sz w:val="18"/>
                <w:szCs w:val="18"/>
              </w:rPr>
              <w:t>2025</w:t>
            </w:r>
          </w:p>
        </w:tc>
      </w:tr>
      <w:tr w:rsidR="00C45D5B" w:rsidRPr="00AB54ED" w14:paraId="1044CB0E" w14:textId="77777777" w:rsidTr="00CF774B">
        <w:trPr>
          <w:trHeight w:val="283"/>
        </w:trPr>
        <w:tc>
          <w:tcPr>
            <w:tcW w:w="3085" w:type="dxa"/>
            <w:vMerge/>
            <w:tcBorders>
              <w:top w:val="nil"/>
              <w:left w:val="nil"/>
              <w:bottom w:val="single" w:sz="6" w:space="0" w:color="auto"/>
              <w:right w:val="nil"/>
            </w:tcBorders>
            <w:vAlign w:val="center"/>
            <w:hideMark/>
          </w:tcPr>
          <w:p w14:paraId="77C17128" w14:textId="77777777" w:rsidR="00C45D5B" w:rsidRPr="00732C61" w:rsidRDefault="00C45D5B" w:rsidP="00CF774B">
            <w:pPr>
              <w:rPr>
                <w:rFonts w:cs="Times New Roman"/>
                <w:color w:val="000000"/>
                <w:sz w:val="18"/>
                <w:szCs w:val="18"/>
              </w:rPr>
            </w:pPr>
          </w:p>
        </w:tc>
        <w:tc>
          <w:tcPr>
            <w:tcW w:w="836" w:type="dxa"/>
            <w:vMerge/>
            <w:tcBorders>
              <w:top w:val="nil"/>
              <w:left w:val="nil"/>
              <w:bottom w:val="single" w:sz="6" w:space="0" w:color="auto"/>
              <w:right w:val="nil"/>
            </w:tcBorders>
            <w:vAlign w:val="center"/>
            <w:hideMark/>
          </w:tcPr>
          <w:p w14:paraId="531F05D0" w14:textId="77777777" w:rsidR="00C45D5B" w:rsidRPr="00732C61" w:rsidRDefault="00C45D5B" w:rsidP="00CF774B">
            <w:pPr>
              <w:rPr>
                <w:rFonts w:cs="Times New Roman"/>
                <w:color w:val="000000"/>
                <w:sz w:val="18"/>
                <w:szCs w:val="18"/>
              </w:rPr>
            </w:pPr>
          </w:p>
        </w:tc>
        <w:tc>
          <w:tcPr>
            <w:tcW w:w="885" w:type="dxa"/>
            <w:tcBorders>
              <w:top w:val="nil"/>
              <w:left w:val="nil"/>
              <w:bottom w:val="single" w:sz="8" w:space="0" w:color="auto"/>
              <w:right w:val="nil"/>
            </w:tcBorders>
            <w:shd w:val="clear" w:color="auto" w:fill="auto"/>
            <w:noWrap/>
            <w:vAlign w:val="bottom"/>
            <w:hideMark/>
          </w:tcPr>
          <w:p w14:paraId="682EE72F" w14:textId="77777777" w:rsidR="00C45D5B" w:rsidRPr="00732C61" w:rsidRDefault="00C45D5B" w:rsidP="00CF774B">
            <w:pPr>
              <w:jc w:val="center"/>
              <w:rPr>
                <w:rFonts w:cs="Times New Roman"/>
                <w:color w:val="000000"/>
                <w:sz w:val="18"/>
                <w:szCs w:val="18"/>
              </w:rPr>
            </w:pPr>
            <w:r w:rsidRPr="00732C61">
              <w:rPr>
                <w:color w:val="000000"/>
                <w:sz w:val="18"/>
                <w:szCs w:val="18"/>
              </w:rPr>
              <w:t>Skutočnosť</w:t>
            </w:r>
          </w:p>
        </w:tc>
        <w:tc>
          <w:tcPr>
            <w:tcW w:w="836" w:type="dxa"/>
            <w:tcBorders>
              <w:top w:val="nil"/>
              <w:left w:val="nil"/>
              <w:bottom w:val="single" w:sz="8" w:space="0" w:color="auto"/>
              <w:right w:val="nil"/>
            </w:tcBorders>
            <w:shd w:val="clear" w:color="auto" w:fill="auto"/>
            <w:vAlign w:val="bottom"/>
            <w:hideMark/>
          </w:tcPr>
          <w:p w14:paraId="6A67E21E" w14:textId="77777777" w:rsidR="00C45D5B" w:rsidRPr="00732C61" w:rsidRDefault="00C45D5B" w:rsidP="00CF774B">
            <w:pPr>
              <w:jc w:val="center"/>
              <w:rPr>
                <w:rFonts w:cs="Times New Roman"/>
                <w:color w:val="000000"/>
                <w:sz w:val="18"/>
                <w:szCs w:val="18"/>
              </w:rPr>
            </w:pPr>
            <w:r w:rsidRPr="00732C61">
              <w:rPr>
                <w:color w:val="000000"/>
                <w:sz w:val="18"/>
                <w:szCs w:val="18"/>
              </w:rPr>
              <w:t>miera rastu</w:t>
            </w:r>
          </w:p>
        </w:tc>
        <w:tc>
          <w:tcPr>
            <w:tcW w:w="836" w:type="dxa"/>
            <w:tcBorders>
              <w:top w:val="nil"/>
              <w:left w:val="nil"/>
              <w:bottom w:val="single" w:sz="8" w:space="0" w:color="auto"/>
              <w:right w:val="nil"/>
            </w:tcBorders>
            <w:shd w:val="clear" w:color="auto" w:fill="auto"/>
            <w:vAlign w:val="bottom"/>
            <w:hideMark/>
          </w:tcPr>
          <w:p w14:paraId="2E5A9641" w14:textId="77777777" w:rsidR="00C45D5B" w:rsidRPr="00732C61" w:rsidRDefault="00C45D5B" w:rsidP="00CF774B">
            <w:pPr>
              <w:jc w:val="center"/>
              <w:rPr>
                <w:rFonts w:cs="Times New Roman"/>
                <w:color w:val="000000"/>
                <w:sz w:val="18"/>
                <w:szCs w:val="18"/>
              </w:rPr>
            </w:pPr>
            <w:r w:rsidRPr="00732C61">
              <w:rPr>
                <w:color w:val="000000"/>
                <w:sz w:val="18"/>
                <w:szCs w:val="18"/>
              </w:rPr>
              <w:t>miera rastu</w:t>
            </w:r>
          </w:p>
        </w:tc>
        <w:tc>
          <w:tcPr>
            <w:tcW w:w="836" w:type="dxa"/>
            <w:tcBorders>
              <w:top w:val="nil"/>
              <w:left w:val="nil"/>
              <w:bottom w:val="single" w:sz="8" w:space="0" w:color="auto"/>
              <w:right w:val="nil"/>
            </w:tcBorders>
            <w:shd w:val="clear" w:color="auto" w:fill="auto"/>
            <w:vAlign w:val="bottom"/>
            <w:hideMark/>
          </w:tcPr>
          <w:p w14:paraId="64431108" w14:textId="77777777" w:rsidR="00C45D5B" w:rsidRPr="00732C61" w:rsidRDefault="00C45D5B" w:rsidP="00CF774B">
            <w:pPr>
              <w:jc w:val="center"/>
              <w:rPr>
                <w:rFonts w:cs="Times New Roman"/>
                <w:color w:val="000000"/>
                <w:sz w:val="18"/>
                <w:szCs w:val="18"/>
              </w:rPr>
            </w:pPr>
            <w:r w:rsidRPr="00732C61">
              <w:rPr>
                <w:color w:val="000000"/>
                <w:sz w:val="18"/>
                <w:szCs w:val="18"/>
              </w:rPr>
              <w:t>miera rastu</w:t>
            </w:r>
          </w:p>
        </w:tc>
        <w:tc>
          <w:tcPr>
            <w:tcW w:w="836" w:type="dxa"/>
            <w:tcBorders>
              <w:top w:val="nil"/>
              <w:left w:val="nil"/>
              <w:bottom w:val="single" w:sz="8" w:space="0" w:color="auto"/>
              <w:right w:val="nil"/>
            </w:tcBorders>
            <w:shd w:val="clear" w:color="auto" w:fill="auto"/>
            <w:vAlign w:val="bottom"/>
            <w:hideMark/>
          </w:tcPr>
          <w:p w14:paraId="7BF13C70" w14:textId="77777777" w:rsidR="00C45D5B" w:rsidRPr="00732C61" w:rsidRDefault="00C45D5B" w:rsidP="00CF774B">
            <w:pPr>
              <w:jc w:val="center"/>
              <w:rPr>
                <w:rFonts w:cs="Times New Roman"/>
                <w:color w:val="000000"/>
                <w:sz w:val="18"/>
                <w:szCs w:val="18"/>
              </w:rPr>
            </w:pPr>
            <w:r w:rsidRPr="00732C61">
              <w:rPr>
                <w:color w:val="000000"/>
                <w:sz w:val="18"/>
                <w:szCs w:val="18"/>
              </w:rPr>
              <w:t>miera rastu</w:t>
            </w:r>
          </w:p>
        </w:tc>
        <w:tc>
          <w:tcPr>
            <w:tcW w:w="836" w:type="dxa"/>
            <w:tcBorders>
              <w:top w:val="nil"/>
              <w:left w:val="nil"/>
              <w:bottom w:val="single" w:sz="8" w:space="0" w:color="auto"/>
              <w:right w:val="nil"/>
            </w:tcBorders>
            <w:shd w:val="clear" w:color="auto" w:fill="auto"/>
            <w:vAlign w:val="bottom"/>
            <w:hideMark/>
          </w:tcPr>
          <w:p w14:paraId="70A8A166" w14:textId="77777777" w:rsidR="00C45D5B" w:rsidRPr="00732C61" w:rsidRDefault="00C45D5B" w:rsidP="00CF774B">
            <w:pPr>
              <w:jc w:val="center"/>
              <w:rPr>
                <w:rFonts w:cs="Times New Roman"/>
                <w:color w:val="000000"/>
                <w:sz w:val="18"/>
                <w:szCs w:val="18"/>
              </w:rPr>
            </w:pPr>
            <w:r w:rsidRPr="00732C61">
              <w:rPr>
                <w:color w:val="000000"/>
                <w:sz w:val="18"/>
                <w:szCs w:val="18"/>
              </w:rPr>
              <w:t>miera rastu</w:t>
            </w:r>
          </w:p>
        </w:tc>
      </w:tr>
      <w:tr w:rsidR="00C45D5B" w:rsidRPr="00AB54ED" w14:paraId="6D105720" w14:textId="77777777" w:rsidTr="00CF774B">
        <w:trPr>
          <w:trHeight w:val="283"/>
        </w:trPr>
        <w:tc>
          <w:tcPr>
            <w:tcW w:w="3085" w:type="dxa"/>
            <w:tcBorders>
              <w:top w:val="nil"/>
              <w:left w:val="nil"/>
              <w:bottom w:val="nil"/>
              <w:right w:val="nil"/>
            </w:tcBorders>
            <w:shd w:val="clear" w:color="auto" w:fill="auto"/>
            <w:vAlign w:val="center"/>
            <w:hideMark/>
          </w:tcPr>
          <w:p w14:paraId="3A2E9B72" w14:textId="77777777" w:rsidR="00C45D5B" w:rsidRPr="00732C61" w:rsidRDefault="00C45D5B" w:rsidP="00CF774B">
            <w:pPr>
              <w:rPr>
                <w:rFonts w:cs="Times New Roman"/>
                <w:color w:val="000000"/>
                <w:sz w:val="18"/>
                <w:szCs w:val="18"/>
              </w:rPr>
            </w:pPr>
            <w:r w:rsidRPr="00732C61">
              <w:rPr>
                <w:color w:val="000000"/>
                <w:sz w:val="18"/>
                <w:szCs w:val="18"/>
              </w:rPr>
              <w:t>1. Reálne HDP</w:t>
            </w:r>
          </w:p>
        </w:tc>
        <w:tc>
          <w:tcPr>
            <w:tcW w:w="836" w:type="dxa"/>
            <w:tcBorders>
              <w:top w:val="nil"/>
              <w:left w:val="nil"/>
              <w:bottom w:val="nil"/>
              <w:right w:val="nil"/>
            </w:tcBorders>
            <w:shd w:val="clear" w:color="auto" w:fill="auto"/>
            <w:vAlign w:val="center"/>
            <w:hideMark/>
          </w:tcPr>
          <w:p w14:paraId="290E4992" w14:textId="77777777" w:rsidR="00C45D5B" w:rsidRPr="00732C61" w:rsidRDefault="00C45D5B" w:rsidP="00CF774B">
            <w:pPr>
              <w:jc w:val="center"/>
              <w:rPr>
                <w:rFonts w:cs="Times New Roman"/>
                <w:color w:val="000000"/>
                <w:sz w:val="18"/>
                <w:szCs w:val="18"/>
              </w:rPr>
            </w:pPr>
            <w:r w:rsidRPr="00732C61">
              <w:rPr>
                <w:color w:val="000000"/>
                <w:sz w:val="18"/>
                <w:szCs w:val="18"/>
              </w:rPr>
              <w:t>B1*g</w:t>
            </w:r>
          </w:p>
        </w:tc>
        <w:tc>
          <w:tcPr>
            <w:tcW w:w="885" w:type="dxa"/>
            <w:tcBorders>
              <w:top w:val="nil"/>
              <w:left w:val="nil"/>
              <w:bottom w:val="nil"/>
              <w:right w:val="nil"/>
            </w:tcBorders>
            <w:shd w:val="clear" w:color="000000" w:fill="FFFFFF"/>
            <w:vAlign w:val="center"/>
            <w:hideMark/>
          </w:tcPr>
          <w:p w14:paraId="242921C2" w14:textId="77777777" w:rsidR="00C45D5B" w:rsidRPr="00732C61" w:rsidRDefault="00C45D5B" w:rsidP="00CF774B">
            <w:pPr>
              <w:jc w:val="center"/>
              <w:rPr>
                <w:rFonts w:cs="Times New Roman"/>
                <w:color w:val="000000"/>
                <w:sz w:val="18"/>
                <w:szCs w:val="18"/>
              </w:rPr>
            </w:pPr>
            <w:r w:rsidRPr="00732C61">
              <w:rPr>
                <w:color w:val="000000"/>
                <w:sz w:val="18"/>
                <w:szCs w:val="18"/>
              </w:rPr>
              <w:t>88,0</w:t>
            </w:r>
          </w:p>
        </w:tc>
        <w:tc>
          <w:tcPr>
            <w:tcW w:w="836" w:type="dxa"/>
            <w:tcBorders>
              <w:top w:val="nil"/>
              <w:left w:val="nil"/>
              <w:bottom w:val="nil"/>
              <w:right w:val="nil"/>
            </w:tcBorders>
            <w:shd w:val="clear" w:color="000000" w:fill="FFFFFF"/>
            <w:vAlign w:val="center"/>
            <w:hideMark/>
          </w:tcPr>
          <w:p w14:paraId="5900E066" w14:textId="77777777" w:rsidR="00C45D5B" w:rsidRPr="00732C61" w:rsidRDefault="00C45D5B" w:rsidP="00CF774B">
            <w:pPr>
              <w:jc w:val="center"/>
              <w:rPr>
                <w:color w:val="000000"/>
                <w:sz w:val="18"/>
                <w:szCs w:val="18"/>
              </w:rPr>
            </w:pPr>
            <w:r w:rsidRPr="00732C61">
              <w:rPr>
                <w:color w:val="000000"/>
                <w:sz w:val="18"/>
                <w:szCs w:val="18"/>
              </w:rPr>
              <w:t>3,0</w:t>
            </w:r>
          </w:p>
        </w:tc>
        <w:tc>
          <w:tcPr>
            <w:tcW w:w="836" w:type="dxa"/>
            <w:tcBorders>
              <w:top w:val="nil"/>
              <w:left w:val="nil"/>
              <w:bottom w:val="nil"/>
              <w:right w:val="nil"/>
            </w:tcBorders>
            <w:shd w:val="clear" w:color="auto" w:fill="auto"/>
            <w:vAlign w:val="center"/>
            <w:hideMark/>
          </w:tcPr>
          <w:p w14:paraId="11AD897E" w14:textId="77777777" w:rsidR="00C45D5B" w:rsidRPr="00732C61" w:rsidRDefault="00C45D5B" w:rsidP="00CF774B">
            <w:pPr>
              <w:jc w:val="center"/>
              <w:rPr>
                <w:color w:val="000000"/>
                <w:sz w:val="18"/>
                <w:szCs w:val="18"/>
              </w:rPr>
            </w:pPr>
            <w:r w:rsidRPr="00732C61">
              <w:rPr>
                <w:color w:val="000000"/>
                <w:sz w:val="18"/>
                <w:szCs w:val="18"/>
              </w:rPr>
              <w:t>2,1</w:t>
            </w:r>
          </w:p>
        </w:tc>
        <w:tc>
          <w:tcPr>
            <w:tcW w:w="836" w:type="dxa"/>
            <w:tcBorders>
              <w:top w:val="nil"/>
              <w:left w:val="nil"/>
              <w:bottom w:val="nil"/>
              <w:right w:val="nil"/>
            </w:tcBorders>
            <w:shd w:val="clear" w:color="auto" w:fill="auto"/>
            <w:vAlign w:val="center"/>
            <w:hideMark/>
          </w:tcPr>
          <w:p w14:paraId="4980517B" w14:textId="77777777" w:rsidR="00C45D5B" w:rsidRPr="00732C61" w:rsidRDefault="00C45D5B" w:rsidP="00CF774B">
            <w:pPr>
              <w:jc w:val="center"/>
              <w:rPr>
                <w:color w:val="000000"/>
                <w:sz w:val="18"/>
                <w:szCs w:val="18"/>
              </w:rPr>
            </w:pPr>
            <w:r w:rsidRPr="00732C61">
              <w:rPr>
                <w:color w:val="000000"/>
                <w:sz w:val="18"/>
                <w:szCs w:val="18"/>
              </w:rPr>
              <w:t>5,3</w:t>
            </w:r>
          </w:p>
        </w:tc>
        <w:tc>
          <w:tcPr>
            <w:tcW w:w="836" w:type="dxa"/>
            <w:tcBorders>
              <w:top w:val="nil"/>
              <w:left w:val="nil"/>
              <w:bottom w:val="nil"/>
              <w:right w:val="nil"/>
            </w:tcBorders>
            <w:shd w:val="clear" w:color="auto" w:fill="auto"/>
            <w:vAlign w:val="center"/>
            <w:hideMark/>
          </w:tcPr>
          <w:p w14:paraId="5AC2CA0D" w14:textId="77777777" w:rsidR="00C45D5B" w:rsidRPr="00732C61" w:rsidRDefault="00C45D5B" w:rsidP="00CF774B">
            <w:pPr>
              <w:jc w:val="center"/>
              <w:rPr>
                <w:color w:val="000000"/>
                <w:sz w:val="18"/>
                <w:szCs w:val="18"/>
              </w:rPr>
            </w:pPr>
            <w:r w:rsidRPr="00732C61">
              <w:rPr>
                <w:color w:val="000000"/>
                <w:sz w:val="18"/>
                <w:szCs w:val="18"/>
              </w:rPr>
              <w:t>1,8</w:t>
            </w:r>
          </w:p>
        </w:tc>
        <w:tc>
          <w:tcPr>
            <w:tcW w:w="836" w:type="dxa"/>
            <w:tcBorders>
              <w:top w:val="nil"/>
              <w:left w:val="nil"/>
              <w:bottom w:val="nil"/>
              <w:right w:val="nil"/>
            </w:tcBorders>
            <w:shd w:val="clear" w:color="auto" w:fill="auto"/>
            <w:vAlign w:val="center"/>
            <w:hideMark/>
          </w:tcPr>
          <w:p w14:paraId="7DCE43EA" w14:textId="77777777" w:rsidR="00C45D5B" w:rsidRPr="00732C61" w:rsidRDefault="00C45D5B" w:rsidP="00CF774B">
            <w:pPr>
              <w:jc w:val="center"/>
              <w:rPr>
                <w:color w:val="000000"/>
                <w:sz w:val="18"/>
                <w:szCs w:val="18"/>
              </w:rPr>
            </w:pPr>
            <w:r w:rsidRPr="00732C61">
              <w:rPr>
                <w:color w:val="000000"/>
                <w:sz w:val="18"/>
                <w:szCs w:val="18"/>
              </w:rPr>
              <w:t>1,8</w:t>
            </w:r>
          </w:p>
        </w:tc>
      </w:tr>
      <w:tr w:rsidR="00C45D5B" w:rsidRPr="00AB54ED" w14:paraId="0E1FDA6D" w14:textId="77777777" w:rsidTr="00CF774B">
        <w:trPr>
          <w:trHeight w:val="283"/>
        </w:trPr>
        <w:tc>
          <w:tcPr>
            <w:tcW w:w="3085" w:type="dxa"/>
            <w:tcBorders>
              <w:top w:val="nil"/>
              <w:left w:val="nil"/>
              <w:bottom w:val="nil"/>
              <w:right w:val="nil"/>
            </w:tcBorders>
            <w:shd w:val="clear" w:color="auto" w:fill="auto"/>
            <w:vAlign w:val="center"/>
            <w:hideMark/>
          </w:tcPr>
          <w:p w14:paraId="26EB4EDA" w14:textId="77777777" w:rsidR="00C45D5B" w:rsidRPr="00732C61" w:rsidRDefault="00C45D5B" w:rsidP="00CF774B">
            <w:pPr>
              <w:rPr>
                <w:rFonts w:cs="Times New Roman"/>
                <w:color w:val="000000"/>
                <w:sz w:val="18"/>
                <w:szCs w:val="18"/>
              </w:rPr>
            </w:pPr>
            <w:r w:rsidRPr="00732C61">
              <w:rPr>
                <w:color w:val="000000"/>
                <w:sz w:val="18"/>
                <w:szCs w:val="18"/>
              </w:rPr>
              <w:t>2. Nominálne HDP</w:t>
            </w:r>
          </w:p>
        </w:tc>
        <w:tc>
          <w:tcPr>
            <w:tcW w:w="836" w:type="dxa"/>
            <w:tcBorders>
              <w:top w:val="nil"/>
              <w:left w:val="nil"/>
              <w:bottom w:val="nil"/>
              <w:right w:val="nil"/>
            </w:tcBorders>
            <w:shd w:val="clear" w:color="auto" w:fill="auto"/>
            <w:vAlign w:val="center"/>
            <w:hideMark/>
          </w:tcPr>
          <w:p w14:paraId="2C3CCE26" w14:textId="77777777" w:rsidR="00C45D5B" w:rsidRPr="00732C61" w:rsidRDefault="00C45D5B" w:rsidP="00CF774B">
            <w:pPr>
              <w:jc w:val="center"/>
              <w:rPr>
                <w:rFonts w:cs="Times New Roman"/>
                <w:color w:val="000000"/>
                <w:sz w:val="18"/>
                <w:szCs w:val="18"/>
              </w:rPr>
            </w:pPr>
            <w:r w:rsidRPr="00732C61">
              <w:rPr>
                <w:color w:val="000000"/>
                <w:sz w:val="18"/>
                <w:szCs w:val="18"/>
              </w:rPr>
              <w:t>B1*g</w:t>
            </w:r>
          </w:p>
        </w:tc>
        <w:tc>
          <w:tcPr>
            <w:tcW w:w="885" w:type="dxa"/>
            <w:tcBorders>
              <w:top w:val="nil"/>
              <w:left w:val="nil"/>
              <w:bottom w:val="nil"/>
              <w:right w:val="nil"/>
            </w:tcBorders>
            <w:shd w:val="clear" w:color="000000" w:fill="FFFFFF"/>
            <w:vAlign w:val="center"/>
            <w:hideMark/>
          </w:tcPr>
          <w:p w14:paraId="33BD5030" w14:textId="77777777" w:rsidR="00C45D5B" w:rsidRPr="00732C61" w:rsidRDefault="00C45D5B" w:rsidP="00CF774B">
            <w:pPr>
              <w:jc w:val="center"/>
              <w:rPr>
                <w:color w:val="000000"/>
                <w:sz w:val="18"/>
                <w:szCs w:val="18"/>
              </w:rPr>
            </w:pPr>
            <w:r w:rsidRPr="00732C61">
              <w:rPr>
                <w:color w:val="000000"/>
                <w:sz w:val="18"/>
                <w:szCs w:val="18"/>
              </w:rPr>
              <w:t>97,1</w:t>
            </w:r>
          </w:p>
        </w:tc>
        <w:tc>
          <w:tcPr>
            <w:tcW w:w="836" w:type="dxa"/>
            <w:tcBorders>
              <w:top w:val="nil"/>
              <w:left w:val="nil"/>
              <w:bottom w:val="nil"/>
              <w:right w:val="nil"/>
            </w:tcBorders>
            <w:shd w:val="clear" w:color="000000" w:fill="FFFFFF"/>
            <w:vAlign w:val="center"/>
            <w:hideMark/>
          </w:tcPr>
          <w:p w14:paraId="00BA06C0" w14:textId="77777777" w:rsidR="00C45D5B" w:rsidRPr="00732C61" w:rsidRDefault="00C45D5B" w:rsidP="00CF774B">
            <w:pPr>
              <w:jc w:val="center"/>
              <w:rPr>
                <w:color w:val="000000"/>
                <w:sz w:val="18"/>
                <w:szCs w:val="18"/>
              </w:rPr>
            </w:pPr>
            <w:r w:rsidRPr="00732C61">
              <w:rPr>
                <w:color w:val="000000"/>
                <w:sz w:val="18"/>
                <w:szCs w:val="18"/>
              </w:rPr>
              <w:t>5,5</w:t>
            </w:r>
          </w:p>
        </w:tc>
        <w:tc>
          <w:tcPr>
            <w:tcW w:w="836" w:type="dxa"/>
            <w:tcBorders>
              <w:top w:val="nil"/>
              <w:left w:val="nil"/>
              <w:bottom w:val="nil"/>
              <w:right w:val="nil"/>
            </w:tcBorders>
            <w:shd w:val="clear" w:color="auto" w:fill="auto"/>
            <w:vAlign w:val="center"/>
            <w:hideMark/>
          </w:tcPr>
          <w:p w14:paraId="7BA1A7E6" w14:textId="77777777" w:rsidR="00C45D5B" w:rsidRPr="00732C61" w:rsidRDefault="00C45D5B" w:rsidP="00CF774B">
            <w:pPr>
              <w:jc w:val="center"/>
              <w:rPr>
                <w:color w:val="000000"/>
                <w:sz w:val="18"/>
                <w:szCs w:val="18"/>
              </w:rPr>
            </w:pPr>
            <w:r w:rsidRPr="00732C61">
              <w:rPr>
                <w:color w:val="000000"/>
                <w:sz w:val="18"/>
                <w:szCs w:val="18"/>
              </w:rPr>
              <w:t>9,6</w:t>
            </w:r>
          </w:p>
        </w:tc>
        <w:tc>
          <w:tcPr>
            <w:tcW w:w="836" w:type="dxa"/>
            <w:tcBorders>
              <w:top w:val="nil"/>
              <w:left w:val="nil"/>
              <w:bottom w:val="nil"/>
              <w:right w:val="nil"/>
            </w:tcBorders>
            <w:shd w:val="clear" w:color="auto" w:fill="auto"/>
            <w:vAlign w:val="center"/>
            <w:hideMark/>
          </w:tcPr>
          <w:p w14:paraId="03B30C95" w14:textId="77777777" w:rsidR="00C45D5B" w:rsidRPr="00732C61" w:rsidRDefault="00C45D5B" w:rsidP="00CF774B">
            <w:pPr>
              <w:jc w:val="center"/>
              <w:rPr>
                <w:color w:val="000000"/>
                <w:sz w:val="18"/>
                <w:szCs w:val="18"/>
              </w:rPr>
            </w:pPr>
            <w:r w:rsidRPr="00732C61">
              <w:rPr>
                <w:color w:val="000000"/>
                <w:sz w:val="18"/>
                <w:szCs w:val="18"/>
              </w:rPr>
              <w:t>10,7</w:t>
            </w:r>
          </w:p>
        </w:tc>
        <w:tc>
          <w:tcPr>
            <w:tcW w:w="836" w:type="dxa"/>
            <w:tcBorders>
              <w:top w:val="nil"/>
              <w:left w:val="nil"/>
              <w:bottom w:val="nil"/>
              <w:right w:val="nil"/>
            </w:tcBorders>
            <w:shd w:val="clear" w:color="auto" w:fill="auto"/>
            <w:vAlign w:val="center"/>
            <w:hideMark/>
          </w:tcPr>
          <w:p w14:paraId="06F6700C" w14:textId="77777777" w:rsidR="00C45D5B" w:rsidRPr="00732C61" w:rsidRDefault="00C45D5B" w:rsidP="00CF774B">
            <w:pPr>
              <w:jc w:val="center"/>
              <w:rPr>
                <w:color w:val="000000"/>
                <w:sz w:val="18"/>
                <w:szCs w:val="18"/>
              </w:rPr>
            </w:pPr>
            <w:r w:rsidRPr="00732C61">
              <w:rPr>
                <w:color w:val="000000"/>
                <w:sz w:val="18"/>
                <w:szCs w:val="18"/>
              </w:rPr>
              <w:t>4,2</w:t>
            </w:r>
          </w:p>
        </w:tc>
        <w:tc>
          <w:tcPr>
            <w:tcW w:w="836" w:type="dxa"/>
            <w:tcBorders>
              <w:top w:val="nil"/>
              <w:left w:val="nil"/>
              <w:bottom w:val="nil"/>
              <w:right w:val="nil"/>
            </w:tcBorders>
            <w:shd w:val="clear" w:color="auto" w:fill="auto"/>
            <w:vAlign w:val="center"/>
            <w:hideMark/>
          </w:tcPr>
          <w:p w14:paraId="37352D83" w14:textId="77777777" w:rsidR="00C45D5B" w:rsidRPr="00732C61" w:rsidRDefault="00C45D5B" w:rsidP="00CF774B">
            <w:pPr>
              <w:jc w:val="center"/>
              <w:rPr>
                <w:color w:val="000000"/>
                <w:sz w:val="18"/>
                <w:szCs w:val="18"/>
              </w:rPr>
            </w:pPr>
            <w:r w:rsidRPr="00732C61">
              <w:rPr>
                <w:color w:val="000000"/>
                <w:sz w:val="18"/>
                <w:szCs w:val="18"/>
              </w:rPr>
              <w:t>3,9</w:t>
            </w:r>
          </w:p>
        </w:tc>
      </w:tr>
      <w:tr w:rsidR="00C45D5B" w:rsidRPr="00AB54ED" w14:paraId="06BAA47F" w14:textId="77777777" w:rsidTr="00CF774B">
        <w:trPr>
          <w:trHeight w:val="283"/>
        </w:trPr>
        <w:tc>
          <w:tcPr>
            <w:tcW w:w="8986" w:type="dxa"/>
            <w:gridSpan w:val="8"/>
            <w:tcBorders>
              <w:top w:val="nil"/>
              <w:left w:val="nil"/>
              <w:bottom w:val="nil"/>
              <w:right w:val="nil"/>
            </w:tcBorders>
            <w:shd w:val="clear" w:color="auto" w:fill="auto"/>
            <w:vAlign w:val="center"/>
            <w:hideMark/>
          </w:tcPr>
          <w:p w14:paraId="770B4749" w14:textId="77777777" w:rsidR="00C45D5B" w:rsidRPr="00732C61" w:rsidRDefault="00C45D5B" w:rsidP="00CF774B">
            <w:pPr>
              <w:jc w:val="center"/>
              <w:rPr>
                <w:rFonts w:cs="Times New Roman"/>
                <w:b/>
                <w:bCs/>
                <w:color w:val="000000"/>
                <w:sz w:val="18"/>
                <w:szCs w:val="18"/>
              </w:rPr>
            </w:pPr>
            <w:r w:rsidRPr="00732C61">
              <w:rPr>
                <w:rFonts w:cs="Times New Roman"/>
                <w:b/>
                <w:bCs/>
                <w:color w:val="000000"/>
                <w:sz w:val="18"/>
                <w:szCs w:val="18"/>
              </w:rPr>
              <w:t>Zložky reálneho HDP</w:t>
            </w:r>
          </w:p>
        </w:tc>
      </w:tr>
      <w:tr w:rsidR="00C45D5B" w:rsidRPr="00AB54ED" w14:paraId="0FA8206F" w14:textId="77777777" w:rsidTr="00CF774B">
        <w:trPr>
          <w:trHeight w:val="283"/>
        </w:trPr>
        <w:tc>
          <w:tcPr>
            <w:tcW w:w="3085" w:type="dxa"/>
            <w:tcBorders>
              <w:top w:val="nil"/>
              <w:left w:val="nil"/>
              <w:bottom w:val="nil"/>
              <w:right w:val="nil"/>
            </w:tcBorders>
            <w:shd w:val="clear" w:color="auto" w:fill="auto"/>
            <w:vAlign w:val="center"/>
            <w:hideMark/>
          </w:tcPr>
          <w:p w14:paraId="4145620C" w14:textId="77777777" w:rsidR="00C45D5B" w:rsidRPr="00732C61" w:rsidRDefault="00C45D5B" w:rsidP="00CF774B">
            <w:pPr>
              <w:rPr>
                <w:rFonts w:cs="Times New Roman"/>
                <w:color w:val="000000"/>
                <w:sz w:val="18"/>
                <w:szCs w:val="18"/>
              </w:rPr>
            </w:pPr>
            <w:r w:rsidRPr="00732C61">
              <w:rPr>
                <w:color w:val="000000"/>
                <w:sz w:val="18"/>
                <w:szCs w:val="18"/>
              </w:rPr>
              <w:t>3. Konečná spotreba domácností a NISD</w:t>
            </w:r>
          </w:p>
        </w:tc>
        <w:tc>
          <w:tcPr>
            <w:tcW w:w="836" w:type="dxa"/>
            <w:tcBorders>
              <w:top w:val="nil"/>
              <w:left w:val="nil"/>
              <w:bottom w:val="nil"/>
              <w:right w:val="nil"/>
            </w:tcBorders>
            <w:shd w:val="clear" w:color="auto" w:fill="auto"/>
            <w:vAlign w:val="center"/>
            <w:hideMark/>
          </w:tcPr>
          <w:p w14:paraId="1DCF2BE5" w14:textId="77777777" w:rsidR="00C45D5B" w:rsidRPr="00732C61" w:rsidRDefault="00C45D5B" w:rsidP="00CF774B">
            <w:pPr>
              <w:jc w:val="center"/>
              <w:rPr>
                <w:rFonts w:cs="Times New Roman"/>
                <w:color w:val="000000"/>
                <w:sz w:val="18"/>
                <w:szCs w:val="18"/>
              </w:rPr>
            </w:pPr>
            <w:r w:rsidRPr="00732C61">
              <w:rPr>
                <w:color w:val="000000"/>
                <w:sz w:val="18"/>
                <w:szCs w:val="18"/>
              </w:rPr>
              <w:t>P.3</w:t>
            </w:r>
          </w:p>
        </w:tc>
        <w:tc>
          <w:tcPr>
            <w:tcW w:w="885" w:type="dxa"/>
            <w:tcBorders>
              <w:top w:val="nil"/>
              <w:left w:val="nil"/>
              <w:bottom w:val="nil"/>
              <w:right w:val="nil"/>
            </w:tcBorders>
            <w:shd w:val="clear" w:color="auto" w:fill="auto"/>
            <w:vAlign w:val="center"/>
            <w:hideMark/>
          </w:tcPr>
          <w:p w14:paraId="2FD3B93F" w14:textId="77777777" w:rsidR="00C45D5B" w:rsidRPr="00732C61" w:rsidRDefault="00C45D5B" w:rsidP="00CF774B">
            <w:pPr>
              <w:jc w:val="center"/>
              <w:rPr>
                <w:rFonts w:cs="Times New Roman"/>
                <w:color w:val="000000"/>
                <w:sz w:val="18"/>
                <w:szCs w:val="18"/>
              </w:rPr>
            </w:pPr>
            <w:r w:rsidRPr="00732C61">
              <w:rPr>
                <w:color w:val="000000"/>
                <w:sz w:val="18"/>
                <w:szCs w:val="18"/>
              </w:rPr>
              <w:t>50,0</w:t>
            </w:r>
          </w:p>
        </w:tc>
        <w:tc>
          <w:tcPr>
            <w:tcW w:w="836" w:type="dxa"/>
            <w:tcBorders>
              <w:top w:val="nil"/>
              <w:left w:val="nil"/>
              <w:bottom w:val="nil"/>
              <w:right w:val="nil"/>
            </w:tcBorders>
            <w:shd w:val="clear" w:color="auto" w:fill="auto"/>
            <w:vAlign w:val="center"/>
            <w:hideMark/>
          </w:tcPr>
          <w:p w14:paraId="6876838C" w14:textId="77777777" w:rsidR="00C45D5B" w:rsidRPr="00732C61" w:rsidRDefault="00C45D5B" w:rsidP="00CF774B">
            <w:pPr>
              <w:jc w:val="center"/>
              <w:rPr>
                <w:color w:val="000000"/>
                <w:sz w:val="18"/>
                <w:szCs w:val="18"/>
              </w:rPr>
            </w:pPr>
            <w:r w:rsidRPr="00732C61">
              <w:rPr>
                <w:color w:val="000000"/>
                <w:sz w:val="18"/>
                <w:szCs w:val="18"/>
              </w:rPr>
              <w:t>1,2</w:t>
            </w:r>
          </w:p>
        </w:tc>
        <w:tc>
          <w:tcPr>
            <w:tcW w:w="836" w:type="dxa"/>
            <w:tcBorders>
              <w:top w:val="nil"/>
              <w:left w:val="nil"/>
              <w:bottom w:val="nil"/>
              <w:right w:val="nil"/>
            </w:tcBorders>
            <w:shd w:val="clear" w:color="auto" w:fill="auto"/>
            <w:vAlign w:val="center"/>
            <w:hideMark/>
          </w:tcPr>
          <w:p w14:paraId="25A16DA6" w14:textId="77777777" w:rsidR="00C45D5B" w:rsidRPr="00732C61" w:rsidRDefault="00C45D5B" w:rsidP="00CF774B">
            <w:pPr>
              <w:jc w:val="center"/>
              <w:rPr>
                <w:color w:val="000000"/>
                <w:sz w:val="18"/>
                <w:szCs w:val="18"/>
              </w:rPr>
            </w:pPr>
            <w:r w:rsidRPr="00732C61">
              <w:rPr>
                <w:color w:val="000000"/>
                <w:sz w:val="18"/>
                <w:szCs w:val="18"/>
              </w:rPr>
              <w:t>1,4</w:t>
            </w:r>
          </w:p>
        </w:tc>
        <w:tc>
          <w:tcPr>
            <w:tcW w:w="836" w:type="dxa"/>
            <w:tcBorders>
              <w:top w:val="nil"/>
              <w:left w:val="nil"/>
              <w:bottom w:val="nil"/>
              <w:right w:val="nil"/>
            </w:tcBorders>
            <w:shd w:val="clear" w:color="auto" w:fill="auto"/>
            <w:vAlign w:val="center"/>
            <w:hideMark/>
          </w:tcPr>
          <w:p w14:paraId="3CF84056" w14:textId="77777777" w:rsidR="00C45D5B" w:rsidRPr="00732C61" w:rsidRDefault="00C45D5B" w:rsidP="00CF774B">
            <w:pPr>
              <w:jc w:val="center"/>
              <w:rPr>
                <w:color w:val="000000"/>
                <w:sz w:val="18"/>
                <w:szCs w:val="18"/>
              </w:rPr>
            </w:pPr>
            <w:r w:rsidRPr="00732C61">
              <w:rPr>
                <w:color w:val="000000"/>
                <w:sz w:val="18"/>
                <w:szCs w:val="18"/>
              </w:rPr>
              <w:t>2,3</w:t>
            </w:r>
          </w:p>
        </w:tc>
        <w:tc>
          <w:tcPr>
            <w:tcW w:w="836" w:type="dxa"/>
            <w:tcBorders>
              <w:top w:val="nil"/>
              <w:left w:val="nil"/>
              <w:bottom w:val="nil"/>
              <w:right w:val="nil"/>
            </w:tcBorders>
            <w:shd w:val="clear" w:color="auto" w:fill="auto"/>
            <w:vAlign w:val="center"/>
            <w:hideMark/>
          </w:tcPr>
          <w:p w14:paraId="1AC90494" w14:textId="77777777" w:rsidR="00C45D5B" w:rsidRPr="00732C61" w:rsidRDefault="00C45D5B" w:rsidP="00CF774B">
            <w:pPr>
              <w:jc w:val="center"/>
              <w:rPr>
                <w:color w:val="000000"/>
                <w:sz w:val="18"/>
                <w:szCs w:val="18"/>
              </w:rPr>
            </w:pPr>
            <w:r w:rsidRPr="00732C61">
              <w:rPr>
                <w:color w:val="000000"/>
                <w:sz w:val="18"/>
                <w:szCs w:val="18"/>
              </w:rPr>
              <w:t>2,8</w:t>
            </w:r>
          </w:p>
        </w:tc>
        <w:tc>
          <w:tcPr>
            <w:tcW w:w="836" w:type="dxa"/>
            <w:tcBorders>
              <w:top w:val="nil"/>
              <w:left w:val="nil"/>
              <w:bottom w:val="nil"/>
              <w:right w:val="nil"/>
            </w:tcBorders>
            <w:shd w:val="clear" w:color="auto" w:fill="auto"/>
            <w:vAlign w:val="center"/>
            <w:hideMark/>
          </w:tcPr>
          <w:p w14:paraId="2CC1535F" w14:textId="77777777" w:rsidR="00C45D5B" w:rsidRPr="00732C61" w:rsidRDefault="00C45D5B" w:rsidP="00CF774B">
            <w:pPr>
              <w:jc w:val="center"/>
              <w:rPr>
                <w:color w:val="000000"/>
                <w:sz w:val="18"/>
                <w:szCs w:val="18"/>
              </w:rPr>
            </w:pPr>
            <w:r w:rsidRPr="00732C61">
              <w:rPr>
                <w:color w:val="000000"/>
                <w:sz w:val="18"/>
                <w:szCs w:val="18"/>
              </w:rPr>
              <w:t>2,1</w:t>
            </w:r>
          </w:p>
        </w:tc>
      </w:tr>
      <w:tr w:rsidR="00C45D5B" w:rsidRPr="00AB54ED" w14:paraId="56A56A30" w14:textId="77777777" w:rsidTr="00CF774B">
        <w:trPr>
          <w:trHeight w:val="283"/>
        </w:trPr>
        <w:tc>
          <w:tcPr>
            <w:tcW w:w="3085" w:type="dxa"/>
            <w:tcBorders>
              <w:top w:val="nil"/>
              <w:left w:val="nil"/>
              <w:bottom w:val="nil"/>
              <w:right w:val="nil"/>
            </w:tcBorders>
            <w:shd w:val="clear" w:color="auto" w:fill="auto"/>
            <w:vAlign w:val="center"/>
            <w:hideMark/>
          </w:tcPr>
          <w:p w14:paraId="3FF0E94A" w14:textId="77777777" w:rsidR="00C45D5B" w:rsidRPr="00732C61" w:rsidRDefault="00C45D5B" w:rsidP="00CF774B">
            <w:pPr>
              <w:rPr>
                <w:rFonts w:cs="Times New Roman"/>
                <w:color w:val="000000"/>
                <w:sz w:val="18"/>
                <w:szCs w:val="18"/>
              </w:rPr>
            </w:pPr>
            <w:r w:rsidRPr="00732C61">
              <w:rPr>
                <w:color w:val="000000"/>
                <w:sz w:val="18"/>
                <w:szCs w:val="18"/>
              </w:rPr>
              <w:t xml:space="preserve">4. Konečná spotreba verejnej správy </w:t>
            </w:r>
          </w:p>
        </w:tc>
        <w:tc>
          <w:tcPr>
            <w:tcW w:w="836" w:type="dxa"/>
            <w:tcBorders>
              <w:top w:val="nil"/>
              <w:left w:val="nil"/>
              <w:bottom w:val="nil"/>
              <w:right w:val="nil"/>
            </w:tcBorders>
            <w:shd w:val="clear" w:color="auto" w:fill="auto"/>
            <w:vAlign w:val="center"/>
            <w:hideMark/>
          </w:tcPr>
          <w:p w14:paraId="183280BF" w14:textId="77777777" w:rsidR="00C45D5B" w:rsidRPr="00732C61" w:rsidRDefault="00C45D5B" w:rsidP="00CF774B">
            <w:pPr>
              <w:jc w:val="center"/>
              <w:rPr>
                <w:rFonts w:cs="Times New Roman"/>
                <w:color w:val="000000"/>
                <w:sz w:val="18"/>
                <w:szCs w:val="18"/>
              </w:rPr>
            </w:pPr>
            <w:r w:rsidRPr="00732C61">
              <w:rPr>
                <w:color w:val="000000"/>
                <w:sz w:val="18"/>
                <w:szCs w:val="18"/>
              </w:rPr>
              <w:t>P.3</w:t>
            </w:r>
          </w:p>
        </w:tc>
        <w:tc>
          <w:tcPr>
            <w:tcW w:w="885" w:type="dxa"/>
            <w:tcBorders>
              <w:top w:val="nil"/>
              <w:left w:val="nil"/>
              <w:bottom w:val="nil"/>
              <w:right w:val="nil"/>
            </w:tcBorders>
            <w:shd w:val="clear" w:color="auto" w:fill="auto"/>
            <w:vAlign w:val="center"/>
            <w:hideMark/>
          </w:tcPr>
          <w:p w14:paraId="6481D017" w14:textId="77777777" w:rsidR="00C45D5B" w:rsidRPr="00732C61" w:rsidRDefault="00C45D5B" w:rsidP="00CF774B">
            <w:pPr>
              <w:jc w:val="center"/>
              <w:rPr>
                <w:color w:val="000000"/>
                <w:sz w:val="18"/>
                <w:szCs w:val="18"/>
              </w:rPr>
            </w:pPr>
            <w:r w:rsidRPr="00732C61">
              <w:rPr>
                <w:color w:val="000000"/>
                <w:sz w:val="18"/>
                <w:szCs w:val="18"/>
              </w:rPr>
              <w:t>16,4</w:t>
            </w:r>
          </w:p>
        </w:tc>
        <w:tc>
          <w:tcPr>
            <w:tcW w:w="836" w:type="dxa"/>
            <w:tcBorders>
              <w:top w:val="nil"/>
              <w:left w:val="nil"/>
              <w:bottom w:val="nil"/>
              <w:right w:val="nil"/>
            </w:tcBorders>
            <w:shd w:val="clear" w:color="auto" w:fill="auto"/>
            <w:vAlign w:val="center"/>
            <w:hideMark/>
          </w:tcPr>
          <w:p w14:paraId="6318DEBE" w14:textId="77777777" w:rsidR="00C45D5B" w:rsidRPr="00732C61" w:rsidRDefault="00C45D5B" w:rsidP="00CF774B">
            <w:pPr>
              <w:jc w:val="center"/>
              <w:rPr>
                <w:color w:val="000000"/>
                <w:sz w:val="18"/>
                <w:szCs w:val="18"/>
              </w:rPr>
            </w:pPr>
            <w:r w:rsidRPr="00732C61">
              <w:rPr>
                <w:color w:val="000000"/>
                <w:sz w:val="18"/>
                <w:szCs w:val="18"/>
              </w:rPr>
              <w:t>1,9</w:t>
            </w:r>
          </w:p>
        </w:tc>
        <w:tc>
          <w:tcPr>
            <w:tcW w:w="836" w:type="dxa"/>
            <w:tcBorders>
              <w:top w:val="nil"/>
              <w:left w:val="nil"/>
              <w:bottom w:val="nil"/>
              <w:right w:val="nil"/>
            </w:tcBorders>
            <w:shd w:val="clear" w:color="auto" w:fill="auto"/>
            <w:vAlign w:val="center"/>
            <w:hideMark/>
          </w:tcPr>
          <w:p w14:paraId="4C25F770" w14:textId="77777777" w:rsidR="00C45D5B" w:rsidRPr="00732C61" w:rsidRDefault="00C45D5B" w:rsidP="00CF774B">
            <w:pPr>
              <w:jc w:val="center"/>
              <w:rPr>
                <w:color w:val="000000"/>
                <w:sz w:val="18"/>
                <w:szCs w:val="18"/>
              </w:rPr>
            </w:pPr>
            <w:r w:rsidRPr="00732C61">
              <w:rPr>
                <w:color w:val="000000"/>
                <w:sz w:val="18"/>
                <w:szCs w:val="18"/>
              </w:rPr>
              <w:t>-3,9</w:t>
            </w:r>
          </w:p>
        </w:tc>
        <w:tc>
          <w:tcPr>
            <w:tcW w:w="836" w:type="dxa"/>
            <w:tcBorders>
              <w:top w:val="nil"/>
              <w:left w:val="nil"/>
              <w:bottom w:val="nil"/>
              <w:right w:val="nil"/>
            </w:tcBorders>
            <w:shd w:val="clear" w:color="auto" w:fill="auto"/>
            <w:vAlign w:val="center"/>
            <w:hideMark/>
          </w:tcPr>
          <w:p w14:paraId="67926A69" w14:textId="77777777" w:rsidR="00C45D5B" w:rsidRPr="00732C61" w:rsidRDefault="00C45D5B" w:rsidP="00CF774B">
            <w:pPr>
              <w:jc w:val="center"/>
              <w:rPr>
                <w:color w:val="000000"/>
                <w:sz w:val="18"/>
                <w:szCs w:val="18"/>
              </w:rPr>
            </w:pPr>
            <w:r w:rsidRPr="00732C61">
              <w:rPr>
                <w:color w:val="000000"/>
                <w:sz w:val="18"/>
                <w:szCs w:val="18"/>
              </w:rPr>
              <w:t>0,2</w:t>
            </w:r>
          </w:p>
        </w:tc>
        <w:tc>
          <w:tcPr>
            <w:tcW w:w="836" w:type="dxa"/>
            <w:tcBorders>
              <w:top w:val="nil"/>
              <w:left w:val="nil"/>
              <w:bottom w:val="nil"/>
              <w:right w:val="nil"/>
            </w:tcBorders>
            <w:shd w:val="clear" w:color="auto" w:fill="auto"/>
            <w:vAlign w:val="center"/>
            <w:hideMark/>
          </w:tcPr>
          <w:p w14:paraId="77093F78" w14:textId="77777777" w:rsidR="00C45D5B" w:rsidRPr="00732C61" w:rsidRDefault="00C45D5B" w:rsidP="00CF774B">
            <w:pPr>
              <w:jc w:val="center"/>
              <w:rPr>
                <w:color w:val="000000"/>
                <w:sz w:val="18"/>
                <w:szCs w:val="18"/>
              </w:rPr>
            </w:pPr>
            <w:r w:rsidRPr="00732C61">
              <w:rPr>
                <w:color w:val="000000"/>
                <w:sz w:val="18"/>
                <w:szCs w:val="18"/>
              </w:rPr>
              <w:t>-0,7</w:t>
            </w:r>
          </w:p>
        </w:tc>
        <w:tc>
          <w:tcPr>
            <w:tcW w:w="836" w:type="dxa"/>
            <w:tcBorders>
              <w:top w:val="nil"/>
              <w:left w:val="nil"/>
              <w:bottom w:val="nil"/>
              <w:right w:val="nil"/>
            </w:tcBorders>
            <w:shd w:val="clear" w:color="auto" w:fill="auto"/>
            <w:vAlign w:val="center"/>
            <w:hideMark/>
          </w:tcPr>
          <w:p w14:paraId="38D4CC11" w14:textId="77777777" w:rsidR="00C45D5B" w:rsidRPr="00732C61" w:rsidRDefault="00C45D5B" w:rsidP="00CF774B">
            <w:pPr>
              <w:jc w:val="center"/>
              <w:rPr>
                <w:color w:val="000000"/>
                <w:sz w:val="18"/>
                <w:szCs w:val="18"/>
              </w:rPr>
            </w:pPr>
            <w:r w:rsidRPr="00732C61">
              <w:rPr>
                <w:color w:val="000000"/>
                <w:sz w:val="18"/>
                <w:szCs w:val="18"/>
              </w:rPr>
              <w:t>-0,5</w:t>
            </w:r>
          </w:p>
        </w:tc>
      </w:tr>
      <w:tr w:rsidR="00C45D5B" w:rsidRPr="00AB54ED" w14:paraId="344AF144" w14:textId="77777777" w:rsidTr="00CF774B">
        <w:trPr>
          <w:trHeight w:val="283"/>
        </w:trPr>
        <w:tc>
          <w:tcPr>
            <w:tcW w:w="3085" w:type="dxa"/>
            <w:tcBorders>
              <w:top w:val="nil"/>
              <w:left w:val="nil"/>
              <w:bottom w:val="nil"/>
              <w:right w:val="nil"/>
            </w:tcBorders>
            <w:shd w:val="clear" w:color="auto" w:fill="auto"/>
            <w:vAlign w:val="center"/>
            <w:hideMark/>
          </w:tcPr>
          <w:p w14:paraId="22E78E41" w14:textId="77777777" w:rsidR="00C45D5B" w:rsidRPr="00732C61" w:rsidRDefault="00C45D5B" w:rsidP="00CF774B">
            <w:pPr>
              <w:rPr>
                <w:rFonts w:cs="Times New Roman"/>
                <w:color w:val="000000"/>
                <w:sz w:val="18"/>
                <w:szCs w:val="18"/>
              </w:rPr>
            </w:pPr>
            <w:r w:rsidRPr="00732C61">
              <w:rPr>
                <w:color w:val="000000"/>
                <w:sz w:val="18"/>
                <w:szCs w:val="18"/>
              </w:rPr>
              <w:t>5. Tvorba hrubého fixného kapitálu</w:t>
            </w:r>
          </w:p>
        </w:tc>
        <w:tc>
          <w:tcPr>
            <w:tcW w:w="836" w:type="dxa"/>
            <w:tcBorders>
              <w:top w:val="nil"/>
              <w:left w:val="nil"/>
              <w:bottom w:val="nil"/>
              <w:right w:val="nil"/>
            </w:tcBorders>
            <w:shd w:val="clear" w:color="auto" w:fill="auto"/>
            <w:vAlign w:val="center"/>
            <w:hideMark/>
          </w:tcPr>
          <w:p w14:paraId="28490CC9" w14:textId="77777777" w:rsidR="00C45D5B" w:rsidRPr="00732C61" w:rsidRDefault="00C45D5B" w:rsidP="00CF774B">
            <w:pPr>
              <w:jc w:val="center"/>
              <w:rPr>
                <w:rFonts w:cs="Times New Roman"/>
                <w:color w:val="000000"/>
                <w:sz w:val="18"/>
                <w:szCs w:val="18"/>
              </w:rPr>
            </w:pPr>
            <w:r w:rsidRPr="00732C61">
              <w:rPr>
                <w:color w:val="000000"/>
                <w:sz w:val="18"/>
                <w:szCs w:val="18"/>
              </w:rPr>
              <w:t>P.51g</w:t>
            </w:r>
          </w:p>
        </w:tc>
        <w:tc>
          <w:tcPr>
            <w:tcW w:w="885" w:type="dxa"/>
            <w:tcBorders>
              <w:top w:val="nil"/>
              <w:left w:val="nil"/>
              <w:bottom w:val="nil"/>
              <w:right w:val="nil"/>
            </w:tcBorders>
            <w:shd w:val="clear" w:color="auto" w:fill="auto"/>
            <w:vAlign w:val="center"/>
            <w:hideMark/>
          </w:tcPr>
          <w:p w14:paraId="157C4534" w14:textId="77777777" w:rsidR="00C45D5B" w:rsidRPr="00732C61" w:rsidRDefault="00C45D5B" w:rsidP="00CF774B">
            <w:pPr>
              <w:jc w:val="center"/>
              <w:rPr>
                <w:color w:val="000000"/>
                <w:sz w:val="18"/>
                <w:szCs w:val="18"/>
              </w:rPr>
            </w:pPr>
            <w:r w:rsidRPr="00732C61">
              <w:rPr>
                <w:color w:val="000000"/>
                <w:sz w:val="18"/>
                <w:szCs w:val="18"/>
              </w:rPr>
              <w:t>17,3</w:t>
            </w:r>
          </w:p>
        </w:tc>
        <w:tc>
          <w:tcPr>
            <w:tcW w:w="836" w:type="dxa"/>
            <w:tcBorders>
              <w:top w:val="nil"/>
              <w:left w:val="nil"/>
              <w:bottom w:val="nil"/>
              <w:right w:val="nil"/>
            </w:tcBorders>
            <w:shd w:val="clear" w:color="auto" w:fill="auto"/>
            <w:vAlign w:val="center"/>
            <w:hideMark/>
          </w:tcPr>
          <w:p w14:paraId="5B77889F" w14:textId="77777777" w:rsidR="00C45D5B" w:rsidRPr="00732C61" w:rsidRDefault="00C45D5B" w:rsidP="00CF774B">
            <w:pPr>
              <w:jc w:val="center"/>
              <w:rPr>
                <w:color w:val="000000"/>
                <w:sz w:val="18"/>
                <w:szCs w:val="18"/>
              </w:rPr>
            </w:pPr>
            <w:r w:rsidRPr="00732C61">
              <w:rPr>
                <w:color w:val="000000"/>
                <w:sz w:val="18"/>
                <w:szCs w:val="18"/>
              </w:rPr>
              <w:t>0,6</w:t>
            </w:r>
          </w:p>
        </w:tc>
        <w:tc>
          <w:tcPr>
            <w:tcW w:w="836" w:type="dxa"/>
            <w:tcBorders>
              <w:top w:val="nil"/>
              <w:left w:val="nil"/>
              <w:bottom w:val="nil"/>
              <w:right w:val="nil"/>
            </w:tcBorders>
            <w:shd w:val="clear" w:color="auto" w:fill="auto"/>
            <w:vAlign w:val="center"/>
            <w:hideMark/>
          </w:tcPr>
          <w:p w14:paraId="13C12676" w14:textId="77777777" w:rsidR="00C45D5B" w:rsidRPr="00732C61" w:rsidRDefault="00C45D5B" w:rsidP="00CF774B">
            <w:pPr>
              <w:jc w:val="center"/>
              <w:rPr>
                <w:color w:val="000000"/>
                <w:sz w:val="18"/>
                <w:szCs w:val="18"/>
              </w:rPr>
            </w:pPr>
            <w:r w:rsidRPr="00732C61">
              <w:rPr>
                <w:color w:val="000000"/>
                <w:sz w:val="18"/>
                <w:szCs w:val="18"/>
              </w:rPr>
              <w:t>15,2</w:t>
            </w:r>
          </w:p>
        </w:tc>
        <w:tc>
          <w:tcPr>
            <w:tcW w:w="836" w:type="dxa"/>
            <w:tcBorders>
              <w:top w:val="nil"/>
              <w:left w:val="nil"/>
              <w:bottom w:val="nil"/>
              <w:right w:val="nil"/>
            </w:tcBorders>
            <w:shd w:val="clear" w:color="auto" w:fill="auto"/>
            <w:vAlign w:val="center"/>
            <w:hideMark/>
          </w:tcPr>
          <w:p w14:paraId="73ED4984" w14:textId="77777777" w:rsidR="00C45D5B" w:rsidRPr="00732C61" w:rsidRDefault="00C45D5B" w:rsidP="00CF774B">
            <w:pPr>
              <w:jc w:val="center"/>
              <w:rPr>
                <w:color w:val="000000"/>
                <w:sz w:val="18"/>
                <w:szCs w:val="18"/>
              </w:rPr>
            </w:pPr>
            <w:r w:rsidRPr="00732C61">
              <w:rPr>
                <w:color w:val="000000"/>
                <w:sz w:val="18"/>
                <w:szCs w:val="18"/>
              </w:rPr>
              <w:t>15,1</w:t>
            </w:r>
          </w:p>
        </w:tc>
        <w:tc>
          <w:tcPr>
            <w:tcW w:w="836" w:type="dxa"/>
            <w:tcBorders>
              <w:top w:val="nil"/>
              <w:left w:val="nil"/>
              <w:bottom w:val="nil"/>
              <w:right w:val="nil"/>
            </w:tcBorders>
            <w:shd w:val="clear" w:color="auto" w:fill="auto"/>
            <w:vAlign w:val="center"/>
            <w:hideMark/>
          </w:tcPr>
          <w:p w14:paraId="712A462F" w14:textId="77777777" w:rsidR="00C45D5B" w:rsidRPr="00732C61" w:rsidRDefault="00C45D5B" w:rsidP="00CF774B">
            <w:pPr>
              <w:jc w:val="center"/>
              <w:rPr>
                <w:color w:val="000000"/>
                <w:sz w:val="18"/>
                <w:szCs w:val="18"/>
              </w:rPr>
            </w:pPr>
            <w:r w:rsidRPr="00732C61">
              <w:rPr>
                <w:color w:val="000000"/>
                <w:sz w:val="18"/>
                <w:szCs w:val="18"/>
              </w:rPr>
              <w:t>-2,5</w:t>
            </w:r>
          </w:p>
        </w:tc>
        <w:tc>
          <w:tcPr>
            <w:tcW w:w="836" w:type="dxa"/>
            <w:tcBorders>
              <w:top w:val="nil"/>
              <w:left w:val="nil"/>
              <w:bottom w:val="nil"/>
              <w:right w:val="nil"/>
            </w:tcBorders>
            <w:shd w:val="clear" w:color="auto" w:fill="auto"/>
            <w:vAlign w:val="center"/>
            <w:hideMark/>
          </w:tcPr>
          <w:p w14:paraId="7DD37560" w14:textId="77777777" w:rsidR="00C45D5B" w:rsidRPr="00732C61" w:rsidRDefault="00C45D5B" w:rsidP="00CF774B">
            <w:pPr>
              <w:jc w:val="center"/>
              <w:rPr>
                <w:color w:val="000000"/>
                <w:sz w:val="18"/>
                <w:szCs w:val="18"/>
              </w:rPr>
            </w:pPr>
            <w:r w:rsidRPr="00732C61">
              <w:rPr>
                <w:color w:val="000000"/>
                <w:sz w:val="18"/>
                <w:szCs w:val="18"/>
              </w:rPr>
              <w:t>-0,6</w:t>
            </w:r>
          </w:p>
        </w:tc>
      </w:tr>
      <w:tr w:rsidR="00C45D5B" w:rsidRPr="00AB54ED" w14:paraId="40C31BDB" w14:textId="77777777" w:rsidTr="00CF774B">
        <w:trPr>
          <w:trHeight w:val="283"/>
        </w:trPr>
        <w:tc>
          <w:tcPr>
            <w:tcW w:w="3085" w:type="dxa"/>
            <w:tcBorders>
              <w:top w:val="nil"/>
              <w:left w:val="nil"/>
              <w:bottom w:val="nil"/>
              <w:right w:val="nil"/>
            </w:tcBorders>
            <w:shd w:val="clear" w:color="auto" w:fill="auto"/>
            <w:vAlign w:val="center"/>
            <w:hideMark/>
          </w:tcPr>
          <w:p w14:paraId="3A168E40" w14:textId="77777777" w:rsidR="00C45D5B" w:rsidRPr="00732C61" w:rsidRDefault="00C45D5B" w:rsidP="00CF774B">
            <w:pPr>
              <w:rPr>
                <w:rFonts w:cs="Times New Roman"/>
                <w:color w:val="000000"/>
                <w:sz w:val="18"/>
                <w:szCs w:val="18"/>
              </w:rPr>
            </w:pPr>
            <w:r w:rsidRPr="00732C61">
              <w:rPr>
                <w:color w:val="000000"/>
                <w:sz w:val="18"/>
                <w:szCs w:val="18"/>
              </w:rPr>
              <w:t>6. Zmena stavu zásob a čisté nadobudnutie cenností (% HDP)</w:t>
            </w:r>
          </w:p>
        </w:tc>
        <w:tc>
          <w:tcPr>
            <w:tcW w:w="836" w:type="dxa"/>
            <w:tcBorders>
              <w:top w:val="nil"/>
              <w:left w:val="nil"/>
              <w:bottom w:val="nil"/>
              <w:right w:val="nil"/>
            </w:tcBorders>
            <w:shd w:val="clear" w:color="auto" w:fill="auto"/>
            <w:vAlign w:val="center"/>
            <w:hideMark/>
          </w:tcPr>
          <w:p w14:paraId="0E5C1135" w14:textId="77777777" w:rsidR="00C45D5B" w:rsidRPr="00732C61" w:rsidRDefault="00C45D5B" w:rsidP="00CF774B">
            <w:pPr>
              <w:jc w:val="center"/>
              <w:rPr>
                <w:rFonts w:cs="Times New Roman"/>
                <w:color w:val="000000"/>
                <w:sz w:val="18"/>
                <w:szCs w:val="18"/>
              </w:rPr>
            </w:pPr>
            <w:r w:rsidRPr="00732C61">
              <w:rPr>
                <w:color w:val="000000"/>
                <w:sz w:val="18"/>
                <w:szCs w:val="18"/>
              </w:rPr>
              <w:t>P.52 + P.53</w:t>
            </w:r>
          </w:p>
        </w:tc>
        <w:tc>
          <w:tcPr>
            <w:tcW w:w="885" w:type="dxa"/>
            <w:tcBorders>
              <w:top w:val="nil"/>
              <w:left w:val="nil"/>
              <w:bottom w:val="nil"/>
              <w:right w:val="nil"/>
            </w:tcBorders>
            <w:shd w:val="clear" w:color="auto" w:fill="auto"/>
            <w:vAlign w:val="center"/>
            <w:hideMark/>
          </w:tcPr>
          <w:p w14:paraId="7D0CDD91" w14:textId="77777777" w:rsidR="00C45D5B" w:rsidRPr="00732C61" w:rsidRDefault="00C45D5B" w:rsidP="00CF774B">
            <w:pPr>
              <w:jc w:val="center"/>
              <w:rPr>
                <w:rFonts w:cs="Times New Roman"/>
                <w:color w:val="000000"/>
                <w:sz w:val="18"/>
                <w:szCs w:val="18"/>
              </w:rPr>
            </w:pPr>
            <w:r w:rsidRPr="00732C61">
              <w:rPr>
                <w:sz w:val="18"/>
                <w:szCs w:val="18"/>
              </w:rPr>
              <w:t>2,2</w:t>
            </w:r>
          </w:p>
        </w:tc>
        <w:tc>
          <w:tcPr>
            <w:tcW w:w="836" w:type="dxa"/>
            <w:tcBorders>
              <w:top w:val="nil"/>
              <w:left w:val="nil"/>
              <w:bottom w:val="nil"/>
              <w:right w:val="nil"/>
            </w:tcBorders>
            <w:shd w:val="clear" w:color="auto" w:fill="auto"/>
            <w:vAlign w:val="center"/>
            <w:hideMark/>
          </w:tcPr>
          <w:p w14:paraId="719CF02B" w14:textId="77777777" w:rsidR="00C45D5B" w:rsidRPr="00732C61" w:rsidRDefault="00C45D5B" w:rsidP="00CF774B">
            <w:pPr>
              <w:jc w:val="center"/>
              <w:rPr>
                <w:rFonts w:cs="Times New Roman"/>
                <w:color w:val="000000"/>
                <w:sz w:val="18"/>
                <w:szCs w:val="18"/>
              </w:rPr>
            </w:pPr>
            <w:r w:rsidRPr="00732C61">
              <w:rPr>
                <w:sz w:val="18"/>
                <w:szCs w:val="18"/>
              </w:rPr>
              <w:t>2,5</w:t>
            </w:r>
          </w:p>
        </w:tc>
        <w:tc>
          <w:tcPr>
            <w:tcW w:w="836" w:type="dxa"/>
            <w:tcBorders>
              <w:top w:val="nil"/>
              <w:left w:val="nil"/>
              <w:bottom w:val="nil"/>
              <w:right w:val="nil"/>
            </w:tcBorders>
            <w:shd w:val="clear" w:color="auto" w:fill="auto"/>
            <w:vAlign w:val="center"/>
            <w:hideMark/>
          </w:tcPr>
          <w:p w14:paraId="2CB6A26D" w14:textId="77777777" w:rsidR="00C45D5B" w:rsidRPr="00732C61" w:rsidRDefault="00C45D5B" w:rsidP="00CF774B">
            <w:pPr>
              <w:jc w:val="center"/>
              <w:rPr>
                <w:rFonts w:cs="Times New Roman"/>
                <w:color w:val="000000"/>
                <w:sz w:val="18"/>
                <w:szCs w:val="18"/>
              </w:rPr>
            </w:pPr>
            <w:r w:rsidRPr="00732C61">
              <w:rPr>
                <w:sz w:val="18"/>
                <w:szCs w:val="18"/>
              </w:rPr>
              <w:t>1,8</w:t>
            </w:r>
          </w:p>
        </w:tc>
        <w:tc>
          <w:tcPr>
            <w:tcW w:w="836" w:type="dxa"/>
            <w:tcBorders>
              <w:top w:val="nil"/>
              <w:left w:val="nil"/>
              <w:bottom w:val="nil"/>
              <w:right w:val="nil"/>
            </w:tcBorders>
            <w:shd w:val="clear" w:color="auto" w:fill="auto"/>
            <w:vAlign w:val="center"/>
            <w:hideMark/>
          </w:tcPr>
          <w:p w14:paraId="7581EC5D" w14:textId="77777777" w:rsidR="00C45D5B" w:rsidRPr="00732C61" w:rsidRDefault="00C45D5B" w:rsidP="00CF774B">
            <w:pPr>
              <w:jc w:val="center"/>
              <w:rPr>
                <w:rFonts w:cs="Times New Roman"/>
                <w:color w:val="000000"/>
                <w:sz w:val="18"/>
                <w:szCs w:val="18"/>
              </w:rPr>
            </w:pPr>
            <w:r w:rsidRPr="00732C61">
              <w:rPr>
                <w:sz w:val="18"/>
                <w:szCs w:val="18"/>
              </w:rPr>
              <w:t>1,6</w:t>
            </w:r>
          </w:p>
        </w:tc>
        <w:tc>
          <w:tcPr>
            <w:tcW w:w="836" w:type="dxa"/>
            <w:tcBorders>
              <w:top w:val="nil"/>
              <w:left w:val="nil"/>
              <w:bottom w:val="nil"/>
              <w:right w:val="nil"/>
            </w:tcBorders>
            <w:shd w:val="clear" w:color="auto" w:fill="auto"/>
            <w:vAlign w:val="center"/>
            <w:hideMark/>
          </w:tcPr>
          <w:p w14:paraId="1455918A" w14:textId="77777777" w:rsidR="00C45D5B" w:rsidRPr="00732C61" w:rsidRDefault="00C45D5B" w:rsidP="00CF774B">
            <w:pPr>
              <w:jc w:val="center"/>
              <w:rPr>
                <w:rFonts w:cs="Times New Roman"/>
                <w:color w:val="000000"/>
                <w:sz w:val="18"/>
                <w:szCs w:val="18"/>
              </w:rPr>
            </w:pPr>
            <w:r w:rsidRPr="00732C61">
              <w:rPr>
                <w:sz w:val="18"/>
                <w:szCs w:val="18"/>
              </w:rPr>
              <w:t>1,7</w:t>
            </w:r>
          </w:p>
        </w:tc>
        <w:tc>
          <w:tcPr>
            <w:tcW w:w="836" w:type="dxa"/>
            <w:tcBorders>
              <w:top w:val="nil"/>
              <w:left w:val="nil"/>
              <w:bottom w:val="nil"/>
              <w:right w:val="nil"/>
            </w:tcBorders>
            <w:shd w:val="clear" w:color="auto" w:fill="auto"/>
            <w:vAlign w:val="center"/>
            <w:hideMark/>
          </w:tcPr>
          <w:p w14:paraId="31BD2863" w14:textId="77777777" w:rsidR="00C45D5B" w:rsidRPr="00732C61" w:rsidRDefault="00C45D5B" w:rsidP="00CF774B">
            <w:pPr>
              <w:jc w:val="center"/>
              <w:rPr>
                <w:rFonts w:cs="Times New Roman"/>
                <w:color w:val="000000"/>
                <w:sz w:val="18"/>
                <w:szCs w:val="18"/>
              </w:rPr>
            </w:pPr>
            <w:r w:rsidRPr="00732C61">
              <w:rPr>
                <w:sz w:val="18"/>
                <w:szCs w:val="18"/>
              </w:rPr>
              <w:t>1,6</w:t>
            </w:r>
          </w:p>
        </w:tc>
      </w:tr>
      <w:tr w:rsidR="00C45D5B" w:rsidRPr="00AB54ED" w14:paraId="7F7D5952" w14:textId="77777777" w:rsidTr="00CF774B">
        <w:trPr>
          <w:trHeight w:val="283"/>
        </w:trPr>
        <w:tc>
          <w:tcPr>
            <w:tcW w:w="3085" w:type="dxa"/>
            <w:tcBorders>
              <w:top w:val="nil"/>
              <w:left w:val="nil"/>
              <w:bottom w:val="nil"/>
              <w:right w:val="nil"/>
            </w:tcBorders>
            <w:shd w:val="clear" w:color="auto" w:fill="auto"/>
            <w:vAlign w:val="center"/>
            <w:hideMark/>
          </w:tcPr>
          <w:p w14:paraId="18107BC0" w14:textId="77777777" w:rsidR="00C45D5B" w:rsidRPr="00732C61" w:rsidRDefault="00C45D5B" w:rsidP="00CF774B">
            <w:pPr>
              <w:rPr>
                <w:rFonts w:cs="Times New Roman"/>
                <w:color w:val="000000"/>
                <w:sz w:val="18"/>
                <w:szCs w:val="18"/>
              </w:rPr>
            </w:pPr>
            <w:r w:rsidRPr="00732C61">
              <w:rPr>
                <w:color w:val="000000"/>
                <w:sz w:val="18"/>
                <w:szCs w:val="18"/>
              </w:rPr>
              <w:t>7. Vývoz výrobkov a služieb</w:t>
            </w:r>
          </w:p>
        </w:tc>
        <w:tc>
          <w:tcPr>
            <w:tcW w:w="836" w:type="dxa"/>
            <w:tcBorders>
              <w:top w:val="nil"/>
              <w:left w:val="nil"/>
              <w:bottom w:val="nil"/>
              <w:right w:val="nil"/>
            </w:tcBorders>
            <w:shd w:val="clear" w:color="auto" w:fill="auto"/>
            <w:vAlign w:val="center"/>
            <w:hideMark/>
          </w:tcPr>
          <w:p w14:paraId="4B682A66" w14:textId="77777777" w:rsidR="00C45D5B" w:rsidRPr="00732C61" w:rsidRDefault="00C45D5B" w:rsidP="00CF774B">
            <w:pPr>
              <w:jc w:val="center"/>
              <w:rPr>
                <w:rFonts w:cs="Times New Roman"/>
                <w:color w:val="000000"/>
                <w:sz w:val="18"/>
                <w:szCs w:val="18"/>
              </w:rPr>
            </w:pPr>
            <w:r w:rsidRPr="00732C61">
              <w:rPr>
                <w:color w:val="000000"/>
                <w:sz w:val="18"/>
                <w:szCs w:val="18"/>
              </w:rPr>
              <w:t>P.6</w:t>
            </w:r>
          </w:p>
        </w:tc>
        <w:tc>
          <w:tcPr>
            <w:tcW w:w="885" w:type="dxa"/>
            <w:tcBorders>
              <w:top w:val="nil"/>
              <w:left w:val="nil"/>
              <w:bottom w:val="nil"/>
              <w:right w:val="nil"/>
            </w:tcBorders>
            <w:shd w:val="clear" w:color="auto" w:fill="auto"/>
            <w:vAlign w:val="center"/>
            <w:hideMark/>
          </w:tcPr>
          <w:p w14:paraId="762F66FD" w14:textId="77777777" w:rsidR="00C45D5B" w:rsidRPr="00732C61" w:rsidRDefault="00C45D5B" w:rsidP="00CF774B">
            <w:pPr>
              <w:jc w:val="center"/>
              <w:rPr>
                <w:rFonts w:cs="Times New Roman"/>
                <w:color w:val="000000"/>
                <w:sz w:val="18"/>
                <w:szCs w:val="18"/>
              </w:rPr>
            </w:pPr>
            <w:r w:rsidRPr="00732C61">
              <w:rPr>
                <w:color w:val="000000"/>
                <w:sz w:val="18"/>
                <w:szCs w:val="18"/>
              </w:rPr>
              <w:t>86,5</w:t>
            </w:r>
          </w:p>
        </w:tc>
        <w:tc>
          <w:tcPr>
            <w:tcW w:w="836" w:type="dxa"/>
            <w:tcBorders>
              <w:top w:val="nil"/>
              <w:left w:val="nil"/>
              <w:bottom w:val="nil"/>
              <w:right w:val="nil"/>
            </w:tcBorders>
            <w:shd w:val="clear" w:color="auto" w:fill="auto"/>
            <w:vAlign w:val="center"/>
            <w:hideMark/>
          </w:tcPr>
          <w:p w14:paraId="138EF33F" w14:textId="77777777" w:rsidR="00C45D5B" w:rsidRPr="00732C61" w:rsidRDefault="00C45D5B" w:rsidP="00CF774B">
            <w:pPr>
              <w:jc w:val="center"/>
              <w:rPr>
                <w:color w:val="000000"/>
                <w:sz w:val="18"/>
                <w:szCs w:val="18"/>
              </w:rPr>
            </w:pPr>
            <w:r w:rsidRPr="00732C61">
              <w:rPr>
                <w:color w:val="000000"/>
                <w:sz w:val="18"/>
                <w:szCs w:val="18"/>
              </w:rPr>
              <w:t>10,2</w:t>
            </w:r>
          </w:p>
        </w:tc>
        <w:tc>
          <w:tcPr>
            <w:tcW w:w="836" w:type="dxa"/>
            <w:tcBorders>
              <w:top w:val="nil"/>
              <w:left w:val="nil"/>
              <w:bottom w:val="nil"/>
              <w:right w:val="nil"/>
            </w:tcBorders>
            <w:shd w:val="clear" w:color="auto" w:fill="auto"/>
            <w:vAlign w:val="center"/>
            <w:hideMark/>
          </w:tcPr>
          <w:p w14:paraId="6E166AC3" w14:textId="77777777" w:rsidR="00C45D5B" w:rsidRPr="00732C61" w:rsidRDefault="00C45D5B" w:rsidP="00CF774B">
            <w:pPr>
              <w:jc w:val="center"/>
              <w:rPr>
                <w:color w:val="000000"/>
                <w:sz w:val="18"/>
                <w:szCs w:val="18"/>
              </w:rPr>
            </w:pPr>
            <w:r w:rsidRPr="00732C61">
              <w:rPr>
                <w:color w:val="000000"/>
                <w:sz w:val="18"/>
                <w:szCs w:val="18"/>
              </w:rPr>
              <w:t>1,5</w:t>
            </w:r>
          </w:p>
        </w:tc>
        <w:tc>
          <w:tcPr>
            <w:tcW w:w="836" w:type="dxa"/>
            <w:tcBorders>
              <w:top w:val="nil"/>
              <w:left w:val="nil"/>
              <w:bottom w:val="nil"/>
              <w:right w:val="nil"/>
            </w:tcBorders>
            <w:shd w:val="clear" w:color="auto" w:fill="auto"/>
            <w:vAlign w:val="center"/>
            <w:hideMark/>
          </w:tcPr>
          <w:p w14:paraId="6D0AA17D" w14:textId="77777777" w:rsidR="00C45D5B" w:rsidRPr="00732C61" w:rsidRDefault="00C45D5B" w:rsidP="00CF774B">
            <w:pPr>
              <w:jc w:val="center"/>
              <w:rPr>
                <w:color w:val="000000"/>
                <w:sz w:val="18"/>
                <w:szCs w:val="18"/>
              </w:rPr>
            </w:pPr>
            <w:r w:rsidRPr="00732C61">
              <w:rPr>
                <w:color w:val="000000"/>
                <w:sz w:val="18"/>
                <w:szCs w:val="18"/>
              </w:rPr>
              <w:t>9,0</w:t>
            </w:r>
          </w:p>
        </w:tc>
        <w:tc>
          <w:tcPr>
            <w:tcW w:w="836" w:type="dxa"/>
            <w:tcBorders>
              <w:top w:val="nil"/>
              <w:left w:val="nil"/>
              <w:bottom w:val="nil"/>
              <w:right w:val="nil"/>
            </w:tcBorders>
            <w:shd w:val="clear" w:color="auto" w:fill="auto"/>
            <w:vAlign w:val="center"/>
            <w:hideMark/>
          </w:tcPr>
          <w:p w14:paraId="4BE232EB" w14:textId="77777777" w:rsidR="00C45D5B" w:rsidRPr="00732C61" w:rsidRDefault="00C45D5B" w:rsidP="00CF774B">
            <w:pPr>
              <w:jc w:val="center"/>
              <w:rPr>
                <w:color w:val="000000"/>
                <w:sz w:val="18"/>
                <w:szCs w:val="18"/>
              </w:rPr>
            </w:pPr>
            <w:r w:rsidRPr="00732C61">
              <w:rPr>
                <w:color w:val="000000"/>
                <w:sz w:val="18"/>
                <w:szCs w:val="18"/>
              </w:rPr>
              <w:t>4,7</w:t>
            </w:r>
          </w:p>
        </w:tc>
        <w:tc>
          <w:tcPr>
            <w:tcW w:w="836" w:type="dxa"/>
            <w:tcBorders>
              <w:top w:val="nil"/>
              <w:left w:val="nil"/>
              <w:bottom w:val="nil"/>
              <w:right w:val="nil"/>
            </w:tcBorders>
            <w:shd w:val="clear" w:color="auto" w:fill="auto"/>
            <w:vAlign w:val="center"/>
            <w:hideMark/>
          </w:tcPr>
          <w:p w14:paraId="3FC83A9C" w14:textId="77777777" w:rsidR="00C45D5B" w:rsidRPr="00732C61" w:rsidRDefault="00C45D5B" w:rsidP="00CF774B">
            <w:pPr>
              <w:jc w:val="center"/>
              <w:rPr>
                <w:color w:val="000000"/>
                <w:sz w:val="18"/>
                <w:szCs w:val="18"/>
              </w:rPr>
            </w:pPr>
            <w:r w:rsidRPr="00732C61">
              <w:rPr>
                <w:color w:val="000000"/>
                <w:sz w:val="18"/>
                <w:szCs w:val="18"/>
              </w:rPr>
              <w:t>3,1</w:t>
            </w:r>
          </w:p>
        </w:tc>
      </w:tr>
      <w:tr w:rsidR="00C45D5B" w:rsidRPr="00AB54ED" w14:paraId="697CBADB" w14:textId="77777777" w:rsidTr="00CF774B">
        <w:trPr>
          <w:trHeight w:val="283"/>
        </w:trPr>
        <w:tc>
          <w:tcPr>
            <w:tcW w:w="3085" w:type="dxa"/>
            <w:tcBorders>
              <w:top w:val="nil"/>
              <w:left w:val="nil"/>
              <w:bottom w:val="nil"/>
              <w:right w:val="nil"/>
            </w:tcBorders>
            <w:shd w:val="clear" w:color="auto" w:fill="auto"/>
            <w:vAlign w:val="center"/>
            <w:hideMark/>
          </w:tcPr>
          <w:p w14:paraId="06D89927" w14:textId="77777777" w:rsidR="00C45D5B" w:rsidRPr="00732C61" w:rsidRDefault="00C45D5B" w:rsidP="00CF774B">
            <w:pPr>
              <w:rPr>
                <w:rFonts w:cs="Times New Roman"/>
                <w:color w:val="000000"/>
                <w:sz w:val="18"/>
                <w:szCs w:val="18"/>
              </w:rPr>
            </w:pPr>
            <w:r w:rsidRPr="00732C61">
              <w:rPr>
                <w:color w:val="000000"/>
                <w:sz w:val="18"/>
                <w:szCs w:val="18"/>
              </w:rPr>
              <w:t xml:space="preserve">8. Dovoz výrobkov a služieb       </w:t>
            </w:r>
          </w:p>
        </w:tc>
        <w:tc>
          <w:tcPr>
            <w:tcW w:w="836" w:type="dxa"/>
            <w:tcBorders>
              <w:top w:val="nil"/>
              <w:left w:val="nil"/>
              <w:bottom w:val="nil"/>
              <w:right w:val="nil"/>
            </w:tcBorders>
            <w:shd w:val="clear" w:color="auto" w:fill="auto"/>
            <w:vAlign w:val="center"/>
            <w:hideMark/>
          </w:tcPr>
          <w:p w14:paraId="3E78121C" w14:textId="77777777" w:rsidR="00C45D5B" w:rsidRPr="00732C61" w:rsidRDefault="00C45D5B" w:rsidP="00CF774B">
            <w:pPr>
              <w:jc w:val="center"/>
              <w:rPr>
                <w:rFonts w:cs="Times New Roman"/>
                <w:color w:val="000000"/>
                <w:sz w:val="18"/>
                <w:szCs w:val="18"/>
              </w:rPr>
            </w:pPr>
            <w:r w:rsidRPr="00732C61">
              <w:rPr>
                <w:color w:val="000000"/>
                <w:sz w:val="18"/>
                <w:szCs w:val="18"/>
              </w:rPr>
              <w:t>P.7</w:t>
            </w:r>
          </w:p>
        </w:tc>
        <w:tc>
          <w:tcPr>
            <w:tcW w:w="885" w:type="dxa"/>
            <w:tcBorders>
              <w:top w:val="nil"/>
              <w:left w:val="nil"/>
              <w:bottom w:val="nil"/>
              <w:right w:val="nil"/>
            </w:tcBorders>
            <w:shd w:val="clear" w:color="auto" w:fill="auto"/>
            <w:vAlign w:val="center"/>
            <w:hideMark/>
          </w:tcPr>
          <w:p w14:paraId="1F5B84B4" w14:textId="77777777" w:rsidR="00C45D5B" w:rsidRPr="00732C61" w:rsidRDefault="00C45D5B" w:rsidP="00CF774B">
            <w:pPr>
              <w:jc w:val="center"/>
              <w:rPr>
                <w:color w:val="000000"/>
                <w:sz w:val="18"/>
                <w:szCs w:val="18"/>
              </w:rPr>
            </w:pPr>
            <w:r w:rsidRPr="00732C61">
              <w:rPr>
                <w:color w:val="000000"/>
                <w:sz w:val="18"/>
                <w:szCs w:val="18"/>
              </w:rPr>
              <w:t>84,5</w:t>
            </w:r>
          </w:p>
        </w:tc>
        <w:tc>
          <w:tcPr>
            <w:tcW w:w="836" w:type="dxa"/>
            <w:tcBorders>
              <w:top w:val="nil"/>
              <w:left w:val="nil"/>
              <w:bottom w:val="nil"/>
              <w:right w:val="nil"/>
            </w:tcBorders>
            <w:shd w:val="clear" w:color="auto" w:fill="auto"/>
            <w:vAlign w:val="center"/>
            <w:hideMark/>
          </w:tcPr>
          <w:p w14:paraId="14FEC0A4" w14:textId="77777777" w:rsidR="00C45D5B" w:rsidRPr="00732C61" w:rsidRDefault="00C45D5B" w:rsidP="00CF774B">
            <w:pPr>
              <w:jc w:val="center"/>
              <w:rPr>
                <w:color w:val="000000"/>
                <w:sz w:val="18"/>
                <w:szCs w:val="18"/>
              </w:rPr>
            </w:pPr>
            <w:r w:rsidRPr="00732C61">
              <w:rPr>
                <w:color w:val="000000"/>
                <w:sz w:val="18"/>
                <w:szCs w:val="18"/>
              </w:rPr>
              <w:t>11,2</w:t>
            </w:r>
          </w:p>
        </w:tc>
        <w:tc>
          <w:tcPr>
            <w:tcW w:w="836" w:type="dxa"/>
            <w:tcBorders>
              <w:top w:val="nil"/>
              <w:left w:val="nil"/>
              <w:bottom w:val="nil"/>
              <w:right w:val="nil"/>
            </w:tcBorders>
            <w:shd w:val="clear" w:color="auto" w:fill="auto"/>
            <w:vAlign w:val="center"/>
            <w:hideMark/>
          </w:tcPr>
          <w:p w14:paraId="0C30FF7D" w14:textId="77777777" w:rsidR="00C45D5B" w:rsidRPr="00732C61" w:rsidRDefault="00C45D5B" w:rsidP="00CF774B">
            <w:pPr>
              <w:jc w:val="center"/>
              <w:rPr>
                <w:color w:val="000000"/>
                <w:sz w:val="18"/>
                <w:szCs w:val="18"/>
              </w:rPr>
            </w:pPr>
            <w:r w:rsidRPr="00732C61">
              <w:rPr>
                <w:color w:val="000000"/>
                <w:sz w:val="18"/>
                <w:szCs w:val="18"/>
              </w:rPr>
              <w:t>1,8</w:t>
            </w:r>
          </w:p>
        </w:tc>
        <w:tc>
          <w:tcPr>
            <w:tcW w:w="836" w:type="dxa"/>
            <w:tcBorders>
              <w:top w:val="nil"/>
              <w:left w:val="nil"/>
              <w:bottom w:val="nil"/>
              <w:right w:val="nil"/>
            </w:tcBorders>
            <w:shd w:val="clear" w:color="auto" w:fill="auto"/>
            <w:vAlign w:val="center"/>
            <w:hideMark/>
          </w:tcPr>
          <w:p w14:paraId="4EC622D2" w14:textId="77777777" w:rsidR="00C45D5B" w:rsidRPr="00732C61" w:rsidRDefault="00C45D5B" w:rsidP="00CF774B">
            <w:pPr>
              <w:jc w:val="center"/>
              <w:rPr>
                <w:color w:val="000000"/>
                <w:sz w:val="18"/>
                <w:szCs w:val="18"/>
              </w:rPr>
            </w:pPr>
            <w:r w:rsidRPr="00732C61">
              <w:rPr>
                <w:color w:val="000000"/>
                <w:sz w:val="18"/>
                <w:szCs w:val="18"/>
              </w:rPr>
              <w:t>8,4</w:t>
            </w:r>
          </w:p>
        </w:tc>
        <w:tc>
          <w:tcPr>
            <w:tcW w:w="836" w:type="dxa"/>
            <w:tcBorders>
              <w:top w:val="nil"/>
              <w:left w:val="nil"/>
              <w:bottom w:val="nil"/>
              <w:right w:val="nil"/>
            </w:tcBorders>
            <w:shd w:val="clear" w:color="auto" w:fill="auto"/>
            <w:vAlign w:val="center"/>
            <w:hideMark/>
          </w:tcPr>
          <w:p w14:paraId="2232A5E9" w14:textId="77777777" w:rsidR="00C45D5B" w:rsidRPr="00732C61" w:rsidRDefault="00C45D5B" w:rsidP="00CF774B">
            <w:pPr>
              <w:jc w:val="center"/>
              <w:rPr>
                <w:color w:val="000000"/>
                <w:sz w:val="18"/>
                <w:szCs w:val="18"/>
              </w:rPr>
            </w:pPr>
            <w:r w:rsidRPr="00732C61">
              <w:rPr>
                <w:color w:val="000000"/>
                <w:sz w:val="18"/>
                <w:szCs w:val="18"/>
              </w:rPr>
              <w:t>3,9</w:t>
            </w:r>
          </w:p>
        </w:tc>
        <w:tc>
          <w:tcPr>
            <w:tcW w:w="836" w:type="dxa"/>
            <w:tcBorders>
              <w:top w:val="nil"/>
              <w:left w:val="nil"/>
              <w:bottom w:val="nil"/>
              <w:right w:val="nil"/>
            </w:tcBorders>
            <w:shd w:val="clear" w:color="auto" w:fill="auto"/>
            <w:vAlign w:val="center"/>
            <w:hideMark/>
          </w:tcPr>
          <w:p w14:paraId="0C13AA66" w14:textId="77777777" w:rsidR="00C45D5B" w:rsidRPr="00732C61" w:rsidRDefault="00C45D5B" w:rsidP="00CF774B">
            <w:pPr>
              <w:jc w:val="center"/>
              <w:rPr>
                <w:color w:val="000000"/>
                <w:sz w:val="18"/>
                <w:szCs w:val="18"/>
              </w:rPr>
            </w:pPr>
            <w:r w:rsidRPr="00732C61">
              <w:rPr>
                <w:color w:val="000000"/>
                <w:sz w:val="18"/>
                <w:szCs w:val="18"/>
              </w:rPr>
              <w:t>2,3</w:t>
            </w:r>
          </w:p>
        </w:tc>
      </w:tr>
      <w:tr w:rsidR="00C45D5B" w:rsidRPr="00AB54ED" w14:paraId="756E4902" w14:textId="77777777" w:rsidTr="00CF774B">
        <w:trPr>
          <w:trHeight w:val="283"/>
        </w:trPr>
        <w:tc>
          <w:tcPr>
            <w:tcW w:w="8986" w:type="dxa"/>
            <w:gridSpan w:val="8"/>
            <w:tcBorders>
              <w:top w:val="nil"/>
              <w:left w:val="nil"/>
              <w:bottom w:val="nil"/>
              <w:right w:val="nil"/>
            </w:tcBorders>
            <w:shd w:val="clear" w:color="auto" w:fill="auto"/>
            <w:vAlign w:val="center"/>
            <w:hideMark/>
          </w:tcPr>
          <w:p w14:paraId="71195F6A" w14:textId="77777777" w:rsidR="00C45D5B" w:rsidRPr="00732C61" w:rsidRDefault="00C45D5B" w:rsidP="00CF774B">
            <w:pPr>
              <w:jc w:val="center"/>
              <w:rPr>
                <w:rFonts w:cs="Times New Roman"/>
                <w:b/>
                <w:bCs/>
                <w:color w:val="000000"/>
                <w:sz w:val="18"/>
                <w:szCs w:val="18"/>
              </w:rPr>
            </w:pPr>
            <w:r w:rsidRPr="00732C61">
              <w:rPr>
                <w:rFonts w:cs="Times New Roman"/>
                <w:b/>
                <w:bCs/>
                <w:color w:val="000000"/>
                <w:sz w:val="18"/>
                <w:szCs w:val="18"/>
              </w:rPr>
              <w:t>Príspevky k reálnemu rastu HDP</w:t>
            </w:r>
          </w:p>
        </w:tc>
      </w:tr>
      <w:tr w:rsidR="00C45D5B" w:rsidRPr="00AB54ED" w14:paraId="1A4DEE9E" w14:textId="77777777" w:rsidTr="00CF774B">
        <w:trPr>
          <w:trHeight w:val="283"/>
        </w:trPr>
        <w:tc>
          <w:tcPr>
            <w:tcW w:w="3085" w:type="dxa"/>
            <w:tcBorders>
              <w:top w:val="nil"/>
              <w:left w:val="nil"/>
              <w:bottom w:val="nil"/>
              <w:right w:val="nil"/>
            </w:tcBorders>
            <w:shd w:val="clear" w:color="auto" w:fill="auto"/>
            <w:noWrap/>
            <w:vAlign w:val="center"/>
            <w:hideMark/>
          </w:tcPr>
          <w:p w14:paraId="22F3DA53" w14:textId="77777777" w:rsidR="00C45D5B" w:rsidRPr="00732C61" w:rsidRDefault="00C45D5B" w:rsidP="00CF774B">
            <w:pPr>
              <w:rPr>
                <w:rFonts w:cs="Times New Roman"/>
                <w:color w:val="000000"/>
                <w:sz w:val="18"/>
                <w:szCs w:val="18"/>
              </w:rPr>
            </w:pPr>
            <w:r w:rsidRPr="00732C61">
              <w:rPr>
                <w:color w:val="000000"/>
                <w:sz w:val="18"/>
                <w:szCs w:val="18"/>
              </w:rPr>
              <w:t>9. Domáci dopyt spolu</w:t>
            </w:r>
          </w:p>
        </w:tc>
        <w:tc>
          <w:tcPr>
            <w:tcW w:w="836" w:type="dxa"/>
            <w:tcBorders>
              <w:top w:val="nil"/>
              <w:left w:val="nil"/>
              <w:bottom w:val="nil"/>
              <w:right w:val="nil"/>
            </w:tcBorders>
            <w:shd w:val="clear" w:color="auto" w:fill="auto"/>
            <w:noWrap/>
            <w:vAlign w:val="center"/>
            <w:hideMark/>
          </w:tcPr>
          <w:p w14:paraId="000B5ABA" w14:textId="77777777" w:rsidR="00C45D5B" w:rsidRPr="00732C61" w:rsidRDefault="00C45D5B" w:rsidP="00CF774B">
            <w:pPr>
              <w:jc w:val="center"/>
              <w:rPr>
                <w:rFonts w:cs="Times New Roman"/>
                <w:color w:val="000000"/>
                <w:sz w:val="18"/>
                <w:szCs w:val="18"/>
              </w:rPr>
            </w:pPr>
          </w:p>
        </w:tc>
        <w:tc>
          <w:tcPr>
            <w:tcW w:w="885" w:type="dxa"/>
            <w:tcBorders>
              <w:top w:val="nil"/>
              <w:left w:val="nil"/>
              <w:bottom w:val="nil"/>
              <w:right w:val="nil"/>
            </w:tcBorders>
            <w:shd w:val="clear" w:color="auto" w:fill="auto"/>
            <w:noWrap/>
            <w:vAlign w:val="center"/>
            <w:hideMark/>
          </w:tcPr>
          <w:p w14:paraId="4EA44A5E" w14:textId="77777777" w:rsidR="00C45D5B" w:rsidRPr="00732C61" w:rsidRDefault="00C45D5B" w:rsidP="00CF774B">
            <w:pPr>
              <w:jc w:val="center"/>
              <w:rPr>
                <w:rFonts w:cs="Times New Roman"/>
                <w:color w:val="000000"/>
                <w:sz w:val="18"/>
                <w:szCs w:val="18"/>
              </w:rPr>
            </w:pPr>
            <w:r w:rsidRPr="00732C61">
              <w:rPr>
                <w:sz w:val="18"/>
                <w:szCs w:val="18"/>
              </w:rPr>
              <w:t>86,0</w:t>
            </w:r>
          </w:p>
        </w:tc>
        <w:tc>
          <w:tcPr>
            <w:tcW w:w="836" w:type="dxa"/>
            <w:tcBorders>
              <w:top w:val="nil"/>
              <w:left w:val="nil"/>
              <w:bottom w:val="nil"/>
              <w:right w:val="nil"/>
            </w:tcBorders>
            <w:shd w:val="clear" w:color="auto" w:fill="auto"/>
            <w:noWrap/>
            <w:vAlign w:val="center"/>
            <w:hideMark/>
          </w:tcPr>
          <w:p w14:paraId="0FC5C5DB" w14:textId="77777777" w:rsidR="00C45D5B" w:rsidRPr="00732C61" w:rsidRDefault="00C45D5B" w:rsidP="00CF774B">
            <w:pPr>
              <w:jc w:val="center"/>
              <w:rPr>
                <w:rFonts w:cs="Times New Roman"/>
                <w:color w:val="000000"/>
                <w:sz w:val="18"/>
                <w:szCs w:val="18"/>
              </w:rPr>
            </w:pPr>
            <w:r w:rsidRPr="00732C61">
              <w:rPr>
                <w:sz w:val="18"/>
                <w:szCs w:val="18"/>
              </w:rPr>
              <w:t>3,8</w:t>
            </w:r>
          </w:p>
        </w:tc>
        <w:tc>
          <w:tcPr>
            <w:tcW w:w="836" w:type="dxa"/>
            <w:tcBorders>
              <w:top w:val="nil"/>
              <w:left w:val="nil"/>
              <w:bottom w:val="nil"/>
              <w:right w:val="nil"/>
            </w:tcBorders>
            <w:shd w:val="clear" w:color="auto" w:fill="auto"/>
            <w:noWrap/>
            <w:vAlign w:val="center"/>
            <w:hideMark/>
          </w:tcPr>
          <w:p w14:paraId="31440B2C" w14:textId="77777777" w:rsidR="00C45D5B" w:rsidRPr="00732C61" w:rsidRDefault="00C45D5B" w:rsidP="00CF774B">
            <w:pPr>
              <w:jc w:val="center"/>
              <w:rPr>
                <w:color w:val="000000"/>
                <w:sz w:val="18"/>
                <w:szCs w:val="18"/>
              </w:rPr>
            </w:pPr>
            <w:r w:rsidRPr="00732C61">
              <w:rPr>
                <w:sz w:val="18"/>
                <w:szCs w:val="18"/>
              </w:rPr>
              <w:t>2,3</w:t>
            </w:r>
          </w:p>
        </w:tc>
        <w:tc>
          <w:tcPr>
            <w:tcW w:w="836" w:type="dxa"/>
            <w:tcBorders>
              <w:top w:val="nil"/>
              <w:left w:val="nil"/>
              <w:bottom w:val="nil"/>
              <w:right w:val="nil"/>
            </w:tcBorders>
            <w:shd w:val="clear" w:color="auto" w:fill="auto"/>
            <w:noWrap/>
            <w:vAlign w:val="center"/>
            <w:hideMark/>
          </w:tcPr>
          <w:p w14:paraId="1A6D5BB2" w14:textId="77777777" w:rsidR="00C45D5B" w:rsidRPr="00732C61" w:rsidRDefault="00C45D5B" w:rsidP="00CF774B">
            <w:pPr>
              <w:jc w:val="center"/>
              <w:rPr>
                <w:color w:val="000000"/>
                <w:sz w:val="18"/>
                <w:szCs w:val="18"/>
              </w:rPr>
            </w:pPr>
            <w:r w:rsidRPr="00732C61">
              <w:rPr>
                <w:sz w:val="18"/>
                <w:szCs w:val="18"/>
              </w:rPr>
              <w:t>4,7</w:t>
            </w:r>
          </w:p>
        </w:tc>
        <w:tc>
          <w:tcPr>
            <w:tcW w:w="836" w:type="dxa"/>
            <w:tcBorders>
              <w:top w:val="nil"/>
              <w:left w:val="nil"/>
              <w:bottom w:val="nil"/>
              <w:right w:val="nil"/>
            </w:tcBorders>
            <w:shd w:val="clear" w:color="auto" w:fill="auto"/>
            <w:noWrap/>
            <w:vAlign w:val="center"/>
            <w:hideMark/>
          </w:tcPr>
          <w:p w14:paraId="706384CB" w14:textId="77777777" w:rsidR="00C45D5B" w:rsidRPr="00732C61" w:rsidRDefault="00C45D5B" w:rsidP="00CF774B">
            <w:pPr>
              <w:jc w:val="center"/>
              <w:rPr>
                <w:color w:val="000000"/>
                <w:sz w:val="18"/>
                <w:szCs w:val="18"/>
              </w:rPr>
            </w:pPr>
            <w:r w:rsidRPr="00732C61">
              <w:rPr>
                <w:sz w:val="18"/>
                <w:szCs w:val="18"/>
              </w:rPr>
              <w:t>0,9</w:t>
            </w:r>
          </w:p>
        </w:tc>
        <w:tc>
          <w:tcPr>
            <w:tcW w:w="836" w:type="dxa"/>
            <w:tcBorders>
              <w:top w:val="nil"/>
              <w:left w:val="nil"/>
              <w:bottom w:val="nil"/>
              <w:right w:val="nil"/>
            </w:tcBorders>
            <w:shd w:val="clear" w:color="auto" w:fill="auto"/>
            <w:noWrap/>
            <w:vAlign w:val="center"/>
            <w:hideMark/>
          </w:tcPr>
          <w:p w14:paraId="34EA4460" w14:textId="77777777" w:rsidR="00C45D5B" w:rsidRPr="00732C61" w:rsidRDefault="00C45D5B" w:rsidP="00CF774B">
            <w:pPr>
              <w:jc w:val="center"/>
              <w:rPr>
                <w:color w:val="000000"/>
                <w:sz w:val="18"/>
                <w:szCs w:val="18"/>
              </w:rPr>
            </w:pPr>
            <w:r w:rsidRPr="00732C61">
              <w:rPr>
                <w:sz w:val="18"/>
                <w:szCs w:val="18"/>
              </w:rPr>
              <w:t>0,9</w:t>
            </w:r>
          </w:p>
        </w:tc>
      </w:tr>
      <w:tr w:rsidR="00C45D5B" w:rsidRPr="00AB54ED" w14:paraId="012C28B9" w14:textId="77777777" w:rsidTr="00CF774B">
        <w:trPr>
          <w:trHeight w:val="283"/>
        </w:trPr>
        <w:tc>
          <w:tcPr>
            <w:tcW w:w="3085" w:type="dxa"/>
            <w:tcBorders>
              <w:top w:val="nil"/>
              <w:left w:val="nil"/>
              <w:bottom w:val="nil"/>
              <w:right w:val="nil"/>
            </w:tcBorders>
            <w:shd w:val="clear" w:color="auto" w:fill="auto"/>
            <w:vAlign w:val="center"/>
            <w:hideMark/>
          </w:tcPr>
          <w:p w14:paraId="3AC7F1C6" w14:textId="77777777" w:rsidR="00C45D5B" w:rsidRPr="00732C61" w:rsidRDefault="00C45D5B" w:rsidP="00CF774B">
            <w:pPr>
              <w:rPr>
                <w:rFonts w:cs="Times New Roman"/>
                <w:color w:val="000000"/>
                <w:sz w:val="18"/>
                <w:szCs w:val="18"/>
              </w:rPr>
            </w:pPr>
            <w:r w:rsidRPr="00732C61">
              <w:rPr>
                <w:color w:val="000000"/>
                <w:sz w:val="18"/>
                <w:szCs w:val="18"/>
              </w:rPr>
              <w:t>10. Zmena stavu zásob a čisté nadobudnutie cenností</w:t>
            </w:r>
          </w:p>
        </w:tc>
        <w:tc>
          <w:tcPr>
            <w:tcW w:w="836" w:type="dxa"/>
            <w:tcBorders>
              <w:top w:val="nil"/>
              <w:left w:val="nil"/>
              <w:bottom w:val="nil"/>
              <w:right w:val="nil"/>
            </w:tcBorders>
            <w:shd w:val="clear" w:color="auto" w:fill="auto"/>
            <w:vAlign w:val="center"/>
            <w:hideMark/>
          </w:tcPr>
          <w:p w14:paraId="2393129F" w14:textId="77777777" w:rsidR="00C45D5B" w:rsidRPr="00732C61" w:rsidRDefault="00C45D5B" w:rsidP="00CF774B">
            <w:pPr>
              <w:jc w:val="center"/>
              <w:rPr>
                <w:rFonts w:cs="Times New Roman"/>
                <w:color w:val="000000"/>
                <w:sz w:val="18"/>
                <w:szCs w:val="18"/>
              </w:rPr>
            </w:pPr>
            <w:r w:rsidRPr="00732C61">
              <w:rPr>
                <w:color w:val="000000"/>
                <w:sz w:val="18"/>
                <w:szCs w:val="18"/>
              </w:rPr>
              <w:t>P.52 + P.53</w:t>
            </w:r>
          </w:p>
        </w:tc>
        <w:tc>
          <w:tcPr>
            <w:tcW w:w="885" w:type="dxa"/>
            <w:tcBorders>
              <w:top w:val="nil"/>
              <w:left w:val="nil"/>
              <w:bottom w:val="nil"/>
              <w:right w:val="nil"/>
            </w:tcBorders>
            <w:shd w:val="clear" w:color="auto" w:fill="auto"/>
            <w:noWrap/>
            <w:vAlign w:val="center"/>
            <w:hideMark/>
          </w:tcPr>
          <w:p w14:paraId="5C3E217F" w14:textId="77777777" w:rsidR="00C45D5B" w:rsidRPr="00732C61" w:rsidRDefault="00C45D5B" w:rsidP="00CF774B">
            <w:pPr>
              <w:jc w:val="center"/>
              <w:rPr>
                <w:rFonts w:cs="Times New Roman"/>
                <w:color w:val="000000"/>
                <w:sz w:val="18"/>
                <w:szCs w:val="18"/>
              </w:rPr>
            </w:pPr>
            <w:r w:rsidRPr="00732C61">
              <w:rPr>
                <w:sz w:val="18"/>
                <w:szCs w:val="18"/>
              </w:rPr>
              <w:t>2,2</w:t>
            </w:r>
          </w:p>
        </w:tc>
        <w:tc>
          <w:tcPr>
            <w:tcW w:w="836" w:type="dxa"/>
            <w:tcBorders>
              <w:top w:val="nil"/>
              <w:left w:val="nil"/>
              <w:bottom w:val="nil"/>
              <w:right w:val="nil"/>
            </w:tcBorders>
            <w:shd w:val="clear" w:color="auto" w:fill="auto"/>
            <w:vAlign w:val="center"/>
            <w:hideMark/>
          </w:tcPr>
          <w:p w14:paraId="5697E6C4" w14:textId="77777777" w:rsidR="00C45D5B" w:rsidRPr="00732C61" w:rsidRDefault="00C45D5B" w:rsidP="00CF774B">
            <w:pPr>
              <w:jc w:val="center"/>
              <w:rPr>
                <w:color w:val="000000"/>
                <w:sz w:val="18"/>
                <w:szCs w:val="18"/>
              </w:rPr>
            </w:pPr>
            <w:r w:rsidRPr="00732C61">
              <w:rPr>
                <w:sz w:val="18"/>
                <w:szCs w:val="18"/>
              </w:rPr>
              <w:t>2,7</w:t>
            </w:r>
          </w:p>
        </w:tc>
        <w:tc>
          <w:tcPr>
            <w:tcW w:w="836" w:type="dxa"/>
            <w:tcBorders>
              <w:top w:val="nil"/>
              <w:left w:val="nil"/>
              <w:bottom w:val="nil"/>
              <w:right w:val="nil"/>
            </w:tcBorders>
            <w:shd w:val="clear" w:color="auto" w:fill="auto"/>
            <w:vAlign w:val="center"/>
            <w:hideMark/>
          </w:tcPr>
          <w:p w14:paraId="1C7CE10B" w14:textId="77777777" w:rsidR="00C45D5B" w:rsidRPr="00732C61" w:rsidRDefault="00C45D5B" w:rsidP="00CF774B">
            <w:pPr>
              <w:jc w:val="center"/>
              <w:rPr>
                <w:color w:val="000000"/>
                <w:sz w:val="18"/>
                <w:szCs w:val="18"/>
              </w:rPr>
            </w:pPr>
            <w:r w:rsidRPr="00732C61">
              <w:rPr>
                <w:sz w:val="18"/>
                <w:szCs w:val="18"/>
              </w:rPr>
              <w:t>-0,7</w:t>
            </w:r>
          </w:p>
        </w:tc>
        <w:tc>
          <w:tcPr>
            <w:tcW w:w="836" w:type="dxa"/>
            <w:tcBorders>
              <w:top w:val="nil"/>
              <w:left w:val="nil"/>
              <w:bottom w:val="nil"/>
              <w:right w:val="nil"/>
            </w:tcBorders>
            <w:shd w:val="clear" w:color="auto" w:fill="auto"/>
            <w:vAlign w:val="center"/>
            <w:hideMark/>
          </w:tcPr>
          <w:p w14:paraId="7DD235CA" w14:textId="77777777" w:rsidR="00C45D5B" w:rsidRPr="00732C61" w:rsidRDefault="00C45D5B" w:rsidP="00CF774B">
            <w:pPr>
              <w:jc w:val="center"/>
              <w:rPr>
                <w:color w:val="000000"/>
                <w:sz w:val="18"/>
                <w:szCs w:val="18"/>
              </w:rPr>
            </w:pPr>
            <w:r w:rsidRPr="00732C61">
              <w:rPr>
                <w:sz w:val="18"/>
                <w:szCs w:val="18"/>
              </w:rPr>
              <w:t>0,0</w:t>
            </w:r>
          </w:p>
        </w:tc>
        <w:tc>
          <w:tcPr>
            <w:tcW w:w="836" w:type="dxa"/>
            <w:tcBorders>
              <w:top w:val="nil"/>
              <w:left w:val="nil"/>
              <w:bottom w:val="nil"/>
              <w:right w:val="nil"/>
            </w:tcBorders>
            <w:shd w:val="clear" w:color="auto" w:fill="auto"/>
            <w:vAlign w:val="center"/>
            <w:hideMark/>
          </w:tcPr>
          <w:p w14:paraId="04667B93" w14:textId="77777777" w:rsidR="00C45D5B" w:rsidRPr="00732C61" w:rsidRDefault="00C45D5B" w:rsidP="00CF774B">
            <w:pPr>
              <w:jc w:val="center"/>
              <w:rPr>
                <w:color w:val="000000"/>
                <w:sz w:val="18"/>
                <w:szCs w:val="18"/>
              </w:rPr>
            </w:pPr>
            <w:r w:rsidRPr="00732C61">
              <w:rPr>
                <w:sz w:val="18"/>
                <w:szCs w:val="18"/>
              </w:rPr>
              <w:t>0,1</w:t>
            </w:r>
          </w:p>
        </w:tc>
        <w:tc>
          <w:tcPr>
            <w:tcW w:w="836" w:type="dxa"/>
            <w:tcBorders>
              <w:top w:val="nil"/>
              <w:left w:val="nil"/>
              <w:bottom w:val="nil"/>
              <w:right w:val="nil"/>
            </w:tcBorders>
            <w:shd w:val="clear" w:color="auto" w:fill="auto"/>
            <w:vAlign w:val="center"/>
            <w:hideMark/>
          </w:tcPr>
          <w:p w14:paraId="6A9F6D2C" w14:textId="77777777" w:rsidR="00C45D5B" w:rsidRPr="00732C61" w:rsidRDefault="00C45D5B" w:rsidP="00CF774B">
            <w:pPr>
              <w:jc w:val="center"/>
              <w:rPr>
                <w:color w:val="000000"/>
                <w:sz w:val="18"/>
                <w:szCs w:val="18"/>
              </w:rPr>
            </w:pPr>
            <w:r w:rsidRPr="00732C61">
              <w:rPr>
                <w:sz w:val="18"/>
                <w:szCs w:val="18"/>
              </w:rPr>
              <w:t>0,0</w:t>
            </w:r>
          </w:p>
        </w:tc>
      </w:tr>
      <w:tr w:rsidR="00C45D5B" w:rsidRPr="00AB54ED" w14:paraId="4C15F0B4" w14:textId="77777777" w:rsidTr="00CF774B">
        <w:trPr>
          <w:trHeight w:val="283"/>
        </w:trPr>
        <w:tc>
          <w:tcPr>
            <w:tcW w:w="3085" w:type="dxa"/>
            <w:tcBorders>
              <w:top w:val="nil"/>
              <w:left w:val="nil"/>
              <w:bottom w:val="single" w:sz="8" w:space="0" w:color="auto"/>
              <w:right w:val="nil"/>
            </w:tcBorders>
            <w:shd w:val="clear" w:color="auto" w:fill="auto"/>
            <w:noWrap/>
            <w:vAlign w:val="center"/>
            <w:hideMark/>
          </w:tcPr>
          <w:p w14:paraId="1622FEBA" w14:textId="77777777" w:rsidR="00C45D5B" w:rsidRPr="00732C61" w:rsidRDefault="00C45D5B" w:rsidP="00CF774B">
            <w:pPr>
              <w:rPr>
                <w:rFonts w:cs="Times New Roman"/>
                <w:color w:val="000000"/>
                <w:sz w:val="18"/>
                <w:szCs w:val="18"/>
              </w:rPr>
            </w:pPr>
            <w:r w:rsidRPr="00732C61">
              <w:rPr>
                <w:color w:val="000000"/>
                <w:sz w:val="18"/>
                <w:szCs w:val="18"/>
              </w:rPr>
              <w:t>11. Saldo zahr. obchodu s výrobkami a službami</w:t>
            </w:r>
          </w:p>
        </w:tc>
        <w:tc>
          <w:tcPr>
            <w:tcW w:w="836" w:type="dxa"/>
            <w:tcBorders>
              <w:top w:val="nil"/>
              <w:left w:val="nil"/>
              <w:bottom w:val="single" w:sz="8" w:space="0" w:color="auto"/>
              <w:right w:val="nil"/>
            </w:tcBorders>
            <w:shd w:val="clear" w:color="auto" w:fill="auto"/>
            <w:noWrap/>
            <w:vAlign w:val="center"/>
            <w:hideMark/>
          </w:tcPr>
          <w:p w14:paraId="5792DDEB" w14:textId="77777777" w:rsidR="00C45D5B" w:rsidRPr="00732C61" w:rsidRDefault="00C45D5B" w:rsidP="00CF774B">
            <w:pPr>
              <w:jc w:val="center"/>
              <w:rPr>
                <w:rFonts w:cs="Times New Roman"/>
                <w:color w:val="000000"/>
                <w:sz w:val="18"/>
                <w:szCs w:val="18"/>
              </w:rPr>
            </w:pPr>
            <w:r w:rsidRPr="00732C61">
              <w:rPr>
                <w:color w:val="000000"/>
                <w:sz w:val="18"/>
                <w:szCs w:val="18"/>
              </w:rPr>
              <w:t>B.11</w:t>
            </w:r>
          </w:p>
        </w:tc>
        <w:tc>
          <w:tcPr>
            <w:tcW w:w="885" w:type="dxa"/>
            <w:tcBorders>
              <w:top w:val="nil"/>
              <w:left w:val="nil"/>
              <w:bottom w:val="single" w:sz="8" w:space="0" w:color="auto"/>
              <w:right w:val="nil"/>
            </w:tcBorders>
            <w:shd w:val="clear" w:color="auto" w:fill="auto"/>
            <w:noWrap/>
            <w:vAlign w:val="center"/>
            <w:hideMark/>
          </w:tcPr>
          <w:p w14:paraId="38585621" w14:textId="77777777" w:rsidR="00C45D5B" w:rsidRPr="00732C61" w:rsidRDefault="00C45D5B" w:rsidP="00CF774B">
            <w:pPr>
              <w:jc w:val="center"/>
              <w:rPr>
                <w:rFonts w:cs="Times New Roman"/>
                <w:color w:val="000000"/>
                <w:sz w:val="18"/>
                <w:szCs w:val="18"/>
              </w:rPr>
            </w:pPr>
            <w:r w:rsidRPr="00732C61">
              <w:rPr>
                <w:sz w:val="18"/>
                <w:szCs w:val="18"/>
              </w:rPr>
              <w:t>2,0</w:t>
            </w:r>
          </w:p>
        </w:tc>
        <w:tc>
          <w:tcPr>
            <w:tcW w:w="836" w:type="dxa"/>
            <w:tcBorders>
              <w:top w:val="nil"/>
              <w:left w:val="nil"/>
              <w:bottom w:val="single" w:sz="8" w:space="0" w:color="auto"/>
              <w:right w:val="nil"/>
            </w:tcBorders>
            <w:shd w:val="clear" w:color="auto" w:fill="auto"/>
            <w:noWrap/>
            <w:vAlign w:val="center"/>
            <w:hideMark/>
          </w:tcPr>
          <w:p w14:paraId="2FECF260" w14:textId="77777777" w:rsidR="00C45D5B" w:rsidRPr="00732C61" w:rsidRDefault="00C45D5B" w:rsidP="00CF774B">
            <w:pPr>
              <w:jc w:val="center"/>
              <w:rPr>
                <w:color w:val="000000"/>
                <w:sz w:val="18"/>
                <w:szCs w:val="18"/>
              </w:rPr>
            </w:pPr>
            <w:r w:rsidRPr="00732C61">
              <w:rPr>
                <w:sz w:val="18"/>
                <w:szCs w:val="18"/>
              </w:rPr>
              <w:t>-0,6</w:t>
            </w:r>
          </w:p>
        </w:tc>
        <w:tc>
          <w:tcPr>
            <w:tcW w:w="836" w:type="dxa"/>
            <w:tcBorders>
              <w:top w:val="nil"/>
              <w:left w:val="nil"/>
              <w:bottom w:val="single" w:sz="8" w:space="0" w:color="auto"/>
              <w:right w:val="nil"/>
            </w:tcBorders>
            <w:shd w:val="clear" w:color="auto" w:fill="auto"/>
            <w:noWrap/>
            <w:vAlign w:val="center"/>
            <w:hideMark/>
          </w:tcPr>
          <w:p w14:paraId="301B242B" w14:textId="77777777" w:rsidR="00C45D5B" w:rsidRPr="00732C61" w:rsidRDefault="00C45D5B" w:rsidP="00CF774B">
            <w:pPr>
              <w:jc w:val="center"/>
              <w:rPr>
                <w:color w:val="000000"/>
                <w:sz w:val="18"/>
                <w:szCs w:val="18"/>
              </w:rPr>
            </w:pPr>
            <w:r w:rsidRPr="00732C61">
              <w:rPr>
                <w:sz w:val="18"/>
                <w:szCs w:val="18"/>
              </w:rPr>
              <w:t>-0,3</w:t>
            </w:r>
          </w:p>
        </w:tc>
        <w:tc>
          <w:tcPr>
            <w:tcW w:w="836" w:type="dxa"/>
            <w:tcBorders>
              <w:top w:val="nil"/>
              <w:left w:val="nil"/>
              <w:bottom w:val="single" w:sz="8" w:space="0" w:color="auto"/>
              <w:right w:val="nil"/>
            </w:tcBorders>
            <w:shd w:val="clear" w:color="auto" w:fill="auto"/>
            <w:noWrap/>
            <w:vAlign w:val="center"/>
            <w:hideMark/>
          </w:tcPr>
          <w:p w14:paraId="1C47508D" w14:textId="77777777" w:rsidR="00C45D5B" w:rsidRPr="00732C61" w:rsidRDefault="00C45D5B" w:rsidP="00CF774B">
            <w:pPr>
              <w:jc w:val="center"/>
              <w:rPr>
                <w:color w:val="000000"/>
                <w:sz w:val="18"/>
                <w:szCs w:val="18"/>
              </w:rPr>
            </w:pPr>
            <w:r w:rsidRPr="00732C61">
              <w:rPr>
                <w:sz w:val="18"/>
                <w:szCs w:val="18"/>
              </w:rPr>
              <w:t>0,7</w:t>
            </w:r>
          </w:p>
        </w:tc>
        <w:tc>
          <w:tcPr>
            <w:tcW w:w="836" w:type="dxa"/>
            <w:tcBorders>
              <w:top w:val="nil"/>
              <w:left w:val="nil"/>
              <w:bottom w:val="single" w:sz="8" w:space="0" w:color="auto"/>
              <w:right w:val="nil"/>
            </w:tcBorders>
            <w:shd w:val="clear" w:color="auto" w:fill="auto"/>
            <w:noWrap/>
            <w:vAlign w:val="center"/>
            <w:hideMark/>
          </w:tcPr>
          <w:p w14:paraId="76E9FD46" w14:textId="77777777" w:rsidR="00C45D5B" w:rsidRPr="00732C61" w:rsidRDefault="00C45D5B" w:rsidP="00CF774B">
            <w:pPr>
              <w:jc w:val="center"/>
              <w:rPr>
                <w:color w:val="000000"/>
                <w:sz w:val="18"/>
                <w:szCs w:val="18"/>
              </w:rPr>
            </w:pPr>
            <w:r w:rsidRPr="00732C61">
              <w:rPr>
                <w:sz w:val="18"/>
                <w:szCs w:val="18"/>
              </w:rPr>
              <w:t>0,9</w:t>
            </w:r>
          </w:p>
        </w:tc>
        <w:tc>
          <w:tcPr>
            <w:tcW w:w="836" w:type="dxa"/>
            <w:tcBorders>
              <w:top w:val="nil"/>
              <w:left w:val="nil"/>
              <w:bottom w:val="single" w:sz="8" w:space="0" w:color="auto"/>
              <w:right w:val="nil"/>
            </w:tcBorders>
            <w:shd w:val="clear" w:color="auto" w:fill="auto"/>
            <w:noWrap/>
            <w:vAlign w:val="center"/>
            <w:hideMark/>
          </w:tcPr>
          <w:p w14:paraId="09A64E49" w14:textId="77777777" w:rsidR="00C45D5B" w:rsidRPr="00732C61" w:rsidRDefault="00C45D5B" w:rsidP="00CF774B">
            <w:pPr>
              <w:jc w:val="center"/>
              <w:rPr>
                <w:color w:val="000000"/>
                <w:sz w:val="18"/>
                <w:szCs w:val="18"/>
              </w:rPr>
            </w:pPr>
            <w:r w:rsidRPr="00732C61">
              <w:rPr>
                <w:sz w:val="18"/>
                <w:szCs w:val="18"/>
              </w:rPr>
              <w:t>0,9</w:t>
            </w:r>
          </w:p>
        </w:tc>
      </w:tr>
      <w:tr w:rsidR="00C45D5B" w:rsidRPr="00AB54ED" w14:paraId="46948E52" w14:textId="77777777" w:rsidTr="00CF774B">
        <w:trPr>
          <w:trHeight w:val="283"/>
        </w:trPr>
        <w:tc>
          <w:tcPr>
            <w:tcW w:w="3085" w:type="dxa"/>
            <w:tcBorders>
              <w:top w:val="single" w:sz="8" w:space="0" w:color="auto"/>
              <w:left w:val="nil"/>
              <w:bottom w:val="nil"/>
              <w:right w:val="nil"/>
            </w:tcBorders>
            <w:shd w:val="clear" w:color="auto" w:fill="auto"/>
            <w:noWrap/>
            <w:vAlign w:val="bottom"/>
          </w:tcPr>
          <w:p w14:paraId="00C00D59" w14:textId="77777777" w:rsidR="00C45D5B" w:rsidRPr="00732C61" w:rsidRDefault="00C45D5B" w:rsidP="00CF774B">
            <w:pPr>
              <w:rPr>
                <w:rFonts w:cs="Times New Roman"/>
                <w:color w:val="000000"/>
                <w:sz w:val="18"/>
                <w:szCs w:val="18"/>
              </w:rPr>
            </w:pPr>
          </w:p>
        </w:tc>
        <w:tc>
          <w:tcPr>
            <w:tcW w:w="836" w:type="dxa"/>
            <w:tcBorders>
              <w:top w:val="single" w:sz="8" w:space="0" w:color="auto"/>
              <w:left w:val="nil"/>
              <w:bottom w:val="nil"/>
              <w:right w:val="nil"/>
            </w:tcBorders>
            <w:shd w:val="clear" w:color="auto" w:fill="auto"/>
            <w:noWrap/>
            <w:vAlign w:val="bottom"/>
          </w:tcPr>
          <w:p w14:paraId="62CCCEA5" w14:textId="77777777" w:rsidR="00C45D5B" w:rsidRPr="00732C61" w:rsidRDefault="00C45D5B" w:rsidP="00CF774B">
            <w:pPr>
              <w:jc w:val="center"/>
              <w:rPr>
                <w:rFonts w:cs="Times New Roman"/>
                <w:color w:val="000000"/>
                <w:sz w:val="18"/>
                <w:szCs w:val="18"/>
              </w:rPr>
            </w:pPr>
          </w:p>
        </w:tc>
        <w:tc>
          <w:tcPr>
            <w:tcW w:w="885" w:type="dxa"/>
            <w:tcBorders>
              <w:top w:val="single" w:sz="8" w:space="0" w:color="auto"/>
              <w:left w:val="nil"/>
              <w:bottom w:val="nil"/>
              <w:right w:val="nil"/>
            </w:tcBorders>
            <w:shd w:val="clear" w:color="auto" w:fill="auto"/>
            <w:noWrap/>
            <w:vAlign w:val="bottom"/>
          </w:tcPr>
          <w:p w14:paraId="66207C70" w14:textId="77777777" w:rsidR="00C45D5B" w:rsidRPr="00732C61" w:rsidRDefault="00C45D5B" w:rsidP="00CF774B">
            <w:pPr>
              <w:jc w:val="center"/>
              <w:rPr>
                <w:rFonts w:cs="Times New Roman"/>
                <w:color w:val="000000"/>
                <w:sz w:val="18"/>
                <w:szCs w:val="18"/>
              </w:rPr>
            </w:pPr>
          </w:p>
        </w:tc>
        <w:tc>
          <w:tcPr>
            <w:tcW w:w="836" w:type="dxa"/>
            <w:tcBorders>
              <w:top w:val="single" w:sz="8" w:space="0" w:color="auto"/>
              <w:left w:val="nil"/>
              <w:bottom w:val="nil"/>
              <w:right w:val="nil"/>
            </w:tcBorders>
            <w:shd w:val="clear" w:color="auto" w:fill="auto"/>
            <w:noWrap/>
            <w:vAlign w:val="center"/>
          </w:tcPr>
          <w:p w14:paraId="0752BA98" w14:textId="77777777" w:rsidR="00C45D5B" w:rsidRPr="00732C61" w:rsidRDefault="00C45D5B" w:rsidP="00CF774B">
            <w:pPr>
              <w:jc w:val="center"/>
              <w:rPr>
                <w:rFonts w:cs="Times New Roman"/>
                <w:color w:val="000000"/>
                <w:sz w:val="18"/>
                <w:szCs w:val="18"/>
              </w:rPr>
            </w:pPr>
          </w:p>
        </w:tc>
        <w:tc>
          <w:tcPr>
            <w:tcW w:w="836" w:type="dxa"/>
            <w:tcBorders>
              <w:top w:val="single" w:sz="8" w:space="0" w:color="auto"/>
              <w:left w:val="nil"/>
              <w:bottom w:val="nil"/>
              <w:right w:val="nil"/>
            </w:tcBorders>
            <w:shd w:val="clear" w:color="auto" w:fill="auto"/>
            <w:noWrap/>
            <w:vAlign w:val="center"/>
          </w:tcPr>
          <w:p w14:paraId="0BCD0DE6" w14:textId="77777777" w:rsidR="00C45D5B" w:rsidRPr="00732C61" w:rsidRDefault="00C45D5B" w:rsidP="00CF774B">
            <w:pPr>
              <w:jc w:val="center"/>
              <w:rPr>
                <w:rFonts w:cs="Times New Roman"/>
                <w:color w:val="000000"/>
                <w:sz w:val="18"/>
                <w:szCs w:val="18"/>
              </w:rPr>
            </w:pPr>
          </w:p>
        </w:tc>
        <w:tc>
          <w:tcPr>
            <w:tcW w:w="836" w:type="dxa"/>
            <w:tcBorders>
              <w:top w:val="single" w:sz="8" w:space="0" w:color="auto"/>
              <w:left w:val="nil"/>
              <w:bottom w:val="nil"/>
              <w:right w:val="nil"/>
            </w:tcBorders>
            <w:shd w:val="clear" w:color="auto" w:fill="auto"/>
            <w:noWrap/>
            <w:vAlign w:val="center"/>
          </w:tcPr>
          <w:p w14:paraId="549AD844" w14:textId="77777777" w:rsidR="00C45D5B" w:rsidRPr="00732C61" w:rsidRDefault="00C45D5B" w:rsidP="00CF774B">
            <w:pPr>
              <w:jc w:val="center"/>
              <w:rPr>
                <w:rFonts w:cs="Times New Roman"/>
                <w:color w:val="000000"/>
                <w:sz w:val="18"/>
                <w:szCs w:val="18"/>
              </w:rPr>
            </w:pPr>
          </w:p>
        </w:tc>
        <w:tc>
          <w:tcPr>
            <w:tcW w:w="1672" w:type="dxa"/>
            <w:gridSpan w:val="2"/>
            <w:tcBorders>
              <w:top w:val="single" w:sz="8" w:space="0" w:color="auto"/>
              <w:left w:val="nil"/>
              <w:bottom w:val="nil"/>
              <w:right w:val="nil"/>
            </w:tcBorders>
            <w:shd w:val="clear" w:color="auto" w:fill="auto"/>
            <w:noWrap/>
            <w:vAlign w:val="center"/>
          </w:tcPr>
          <w:p w14:paraId="53678CE2" w14:textId="77777777" w:rsidR="00C45D5B" w:rsidRPr="00732C61" w:rsidRDefault="00C45D5B" w:rsidP="00CF774B">
            <w:pPr>
              <w:jc w:val="right"/>
              <w:rPr>
                <w:rFonts w:cs="Times New Roman"/>
                <w:color w:val="000000"/>
                <w:sz w:val="18"/>
                <w:szCs w:val="18"/>
              </w:rPr>
            </w:pPr>
            <w:r w:rsidRPr="00732C61">
              <w:rPr>
                <w:rFonts w:cs="Times New Roman"/>
                <w:i/>
                <w:iCs/>
                <w:color w:val="000000"/>
                <w:sz w:val="16"/>
                <w:szCs w:val="18"/>
              </w:rPr>
              <w:t>Zdroj: MF SR</w:t>
            </w:r>
          </w:p>
        </w:tc>
      </w:tr>
    </w:tbl>
    <w:p w14:paraId="4C24BFEC" w14:textId="77777777" w:rsidR="00C45D5B" w:rsidRPr="00AB54ED" w:rsidRDefault="00C45D5B" w:rsidP="00C45D5B">
      <w:pPr>
        <w:rPr>
          <w:sz w:val="18"/>
          <w:szCs w:val="18"/>
          <w:highlight w:val="yellow"/>
        </w:rPr>
      </w:pPr>
    </w:p>
    <w:tbl>
      <w:tblPr>
        <w:tblW w:w="9529" w:type="dxa"/>
        <w:tblLayout w:type="fixed"/>
        <w:tblCellMar>
          <w:left w:w="70" w:type="dxa"/>
          <w:right w:w="70" w:type="dxa"/>
        </w:tblCellMar>
        <w:tblLook w:val="04A0" w:firstRow="1" w:lastRow="0" w:firstColumn="1" w:lastColumn="0" w:noHBand="0" w:noVBand="1"/>
      </w:tblPr>
      <w:tblGrid>
        <w:gridCol w:w="2650"/>
        <w:gridCol w:w="462"/>
        <w:gridCol w:w="428"/>
        <w:gridCol w:w="549"/>
        <w:gridCol w:w="384"/>
        <w:gridCol w:w="601"/>
        <w:gridCol w:w="244"/>
        <w:gridCol w:w="616"/>
        <w:gridCol w:w="124"/>
        <w:gridCol w:w="55"/>
        <w:gridCol w:w="616"/>
        <w:gridCol w:w="256"/>
        <w:gridCol w:w="53"/>
        <w:gridCol w:w="563"/>
        <w:gridCol w:w="112"/>
        <w:gridCol w:w="305"/>
        <w:gridCol w:w="398"/>
        <w:gridCol w:w="589"/>
        <w:gridCol w:w="27"/>
        <w:gridCol w:w="165"/>
        <w:gridCol w:w="332"/>
      </w:tblGrid>
      <w:tr w:rsidR="00C45D5B" w:rsidRPr="00AB54ED" w14:paraId="0EEFE81A" w14:textId="77777777" w:rsidTr="00CF774B">
        <w:trPr>
          <w:trHeight w:val="279"/>
        </w:trPr>
        <w:tc>
          <w:tcPr>
            <w:tcW w:w="9529" w:type="dxa"/>
            <w:gridSpan w:val="21"/>
            <w:tcBorders>
              <w:top w:val="nil"/>
              <w:left w:val="nil"/>
              <w:bottom w:val="single" w:sz="4" w:space="0" w:color="FFFFFF" w:themeColor="background1"/>
              <w:right w:val="nil"/>
            </w:tcBorders>
            <w:shd w:val="clear" w:color="auto" w:fill="auto"/>
            <w:noWrap/>
            <w:vAlign w:val="center"/>
            <w:hideMark/>
          </w:tcPr>
          <w:p w14:paraId="38E39C4C" w14:textId="3580B87F" w:rsidR="00C45D5B" w:rsidRPr="00732C61" w:rsidRDefault="00C45D5B" w:rsidP="00CF774B">
            <w:pPr>
              <w:rPr>
                <w:rFonts w:eastAsiaTheme="minorHAnsi"/>
                <w:b/>
                <w:color w:val="2C9ADC"/>
                <w:sz w:val="20"/>
                <w:szCs w:val="20"/>
                <w:lang w:eastAsia="en-US"/>
              </w:rPr>
            </w:pPr>
            <w:bookmarkStart w:id="223" w:name="_Toc480905411"/>
            <w:bookmarkStart w:id="224" w:name="_Toc40186689"/>
            <w:bookmarkStart w:id="225" w:name="_Toc71622458"/>
            <w:bookmarkStart w:id="226" w:name="_Toc101880699"/>
            <w:r w:rsidRPr="00732C61">
              <w:rPr>
                <w:rFonts w:eastAsiaTheme="minorHAnsi"/>
                <w:b/>
                <w:color w:val="2C9ADC"/>
                <w:sz w:val="20"/>
                <w:szCs w:val="20"/>
                <w:lang w:eastAsia="en-US"/>
              </w:rPr>
              <w:t xml:space="preserve">TABUĽKA </w:t>
            </w:r>
            <w:r w:rsidRPr="00732C61">
              <w:rPr>
                <w:rFonts w:eastAsiaTheme="minorHAnsi"/>
                <w:b/>
                <w:color w:val="2C9ADC"/>
                <w:sz w:val="20"/>
                <w:szCs w:val="20"/>
                <w:lang w:eastAsia="en-US"/>
              </w:rPr>
              <w:fldChar w:fldCharType="begin"/>
            </w:r>
            <w:r w:rsidRPr="00732C61">
              <w:rPr>
                <w:rFonts w:eastAsiaTheme="minorHAnsi"/>
                <w:b/>
                <w:color w:val="2C9ADC"/>
                <w:sz w:val="20"/>
                <w:szCs w:val="20"/>
                <w:lang w:eastAsia="en-US"/>
              </w:rPr>
              <w:instrText xml:space="preserve"> SEQ TABUĽKA \* ARABIC </w:instrText>
            </w:r>
            <w:r w:rsidRPr="00732C61">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20</w:t>
            </w:r>
            <w:r w:rsidRPr="00732C61">
              <w:rPr>
                <w:rFonts w:eastAsiaTheme="minorHAnsi"/>
                <w:b/>
                <w:color w:val="2C9ADC"/>
                <w:sz w:val="20"/>
                <w:szCs w:val="20"/>
                <w:lang w:eastAsia="en-US"/>
              </w:rPr>
              <w:fldChar w:fldCharType="end"/>
            </w:r>
            <w:r w:rsidRPr="00732C61">
              <w:rPr>
                <w:rFonts w:eastAsiaTheme="minorHAnsi"/>
                <w:b/>
                <w:color w:val="2C9ADC"/>
                <w:sz w:val="20"/>
                <w:szCs w:val="20"/>
                <w:lang w:eastAsia="en-US"/>
              </w:rPr>
              <w:t xml:space="preserve"> (Tabuľka 1b) – Cenový vývoj (ESA 2010)</w:t>
            </w:r>
            <w:bookmarkEnd w:id="223"/>
            <w:bookmarkEnd w:id="224"/>
            <w:bookmarkEnd w:id="225"/>
            <w:bookmarkEnd w:id="226"/>
            <w:r w:rsidRPr="00732C61">
              <w:rPr>
                <w:rFonts w:eastAsiaTheme="minorHAnsi"/>
                <w:b/>
                <w:color w:val="2C9ADC"/>
                <w:sz w:val="20"/>
                <w:szCs w:val="20"/>
                <w:lang w:eastAsia="en-US"/>
              </w:rPr>
              <w:t xml:space="preserve"> </w:t>
            </w:r>
          </w:p>
        </w:tc>
      </w:tr>
      <w:tr w:rsidR="00C45D5B" w:rsidRPr="00732C61" w14:paraId="1F9C3959" w14:textId="77777777" w:rsidTr="00CF774B">
        <w:trPr>
          <w:gridAfter w:val="3"/>
          <w:wAfter w:w="524" w:type="dxa"/>
          <w:trHeight w:val="279"/>
        </w:trPr>
        <w:tc>
          <w:tcPr>
            <w:tcW w:w="2650" w:type="dxa"/>
            <w:vMerge w:val="restart"/>
            <w:tcBorders>
              <w:top w:val="single" w:sz="4" w:space="0" w:color="auto"/>
              <w:left w:val="nil"/>
              <w:bottom w:val="single" w:sz="6" w:space="0" w:color="auto"/>
              <w:right w:val="nil"/>
            </w:tcBorders>
            <w:shd w:val="clear" w:color="auto" w:fill="auto"/>
            <w:vAlign w:val="bottom"/>
            <w:hideMark/>
          </w:tcPr>
          <w:p w14:paraId="24A7F4C7" w14:textId="77777777" w:rsidR="00C45D5B" w:rsidRPr="00732C61" w:rsidRDefault="00C45D5B" w:rsidP="00CF774B">
            <w:pPr>
              <w:rPr>
                <w:rFonts w:cs="Times New Roman"/>
                <w:color w:val="000000"/>
                <w:sz w:val="18"/>
                <w:szCs w:val="18"/>
              </w:rPr>
            </w:pPr>
            <w:r w:rsidRPr="00732C61">
              <w:rPr>
                <w:rFonts w:cs="Times New Roman"/>
                <w:color w:val="000000"/>
                <w:sz w:val="18"/>
                <w:szCs w:val="18"/>
              </w:rPr>
              <w:t> </w:t>
            </w:r>
          </w:p>
        </w:tc>
        <w:tc>
          <w:tcPr>
            <w:tcW w:w="462" w:type="dxa"/>
            <w:vMerge w:val="restart"/>
            <w:tcBorders>
              <w:top w:val="single" w:sz="4" w:space="0" w:color="auto"/>
              <w:left w:val="nil"/>
              <w:bottom w:val="single" w:sz="6" w:space="0" w:color="auto"/>
              <w:right w:val="nil"/>
            </w:tcBorders>
            <w:shd w:val="clear" w:color="auto" w:fill="auto"/>
            <w:vAlign w:val="center"/>
            <w:hideMark/>
          </w:tcPr>
          <w:p w14:paraId="5A664D22" w14:textId="77777777" w:rsidR="00C45D5B" w:rsidRPr="00732C61" w:rsidRDefault="00C45D5B" w:rsidP="00CF774B">
            <w:pPr>
              <w:jc w:val="center"/>
              <w:rPr>
                <w:rFonts w:cs="Times New Roman"/>
                <w:color w:val="000000"/>
                <w:sz w:val="18"/>
                <w:szCs w:val="18"/>
              </w:rPr>
            </w:pPr>
            <w:r w:rsidRPr="00732C61">
              <w:rPr>
                <w:rFonts w:cs="Times New Roman"/>
                <w:color w:val="000000"/>
                <w:sz w:val="18"/>
                <w:szCs w:val="18"/>
              </w:rPr>
              <w:t>ESA kód</w:t>
            </w:r>
          </w:p>
        </w:tc>
        <w:tc>
          <w:tcPr>
            <w:tcW w:w="977" w:type="dxa"/>
            <w:gridSpan w:val="2"/>
            <w:tcBorders>
              <w:top w:val="single" w:sz="4" w:space="0" w:color="auto"/>
              <w:left w:val="nil"/>
              <w:bottom w:val="nil"/>
              <w:right w:val="nil"/>
            </w:tcBorders>
            <w:shd w:val="clear" w:color="auto" w:fill="auto"/>
            <w:vAlign w:val="center"/>
            <w:hideMark/>
          </w:tcPr>
          <w:p w14:paraId="21A9FF33" w14:textId="77777777" w:rsidR="00C45D5B" w:rsidRPr="00732C61" w:rsidRDefault="00C45D5B" w:rsidP="00CF774B">
            <w:pPr>
              <w:jc w:val="center"/>
              <w:rPr>
                <w:rFonts w:cs="Times New Roman"/>
                <w:b/>
                <w:bCs/>
                <w:color w:val="000000"/>
                <w:sz w:val="18"/>
                <w:szCs w:val="18"/>
              </w:rPr>
            </w:pPr>
            <w:r w:rsidRPr="00732C61">
              <w:rPr>
                <w:b/>
                <w:bCs/>
                <w:color w:val="000000"/>
                <w:sz w:val="18"/>
                <w:szCs w:val="18"/>
              </w:rPr>
              <w:t>2021</w:t>
            </w:r>
          </w:p>
        </w:tc>
        <w:tc>
          <w:tcPr>
            <w:tcW w:w="985" w:type="dxa"/>
            <w:gridSpan w:val="2"/>
            <w:tcBorders>
              <w:top w:val="single" w:sz="4" w:space="0" w:color="auto"/>
              <w:left w:val="nil"/>
              <w:bottom w:val="nil"/>
              <w:right w:val="nil"/>
            </w:tcBorders>
            <w:shd w:val="clear" w:color="auto" w:fill="auto"/>
            <w:vAlign w:val="center"/>
            <w:hideMark/>
          </w:tcPr>
          <w:p w14:paraId="11B005F2" w14:textId="77777777" w:rsidR="00C45D5B" w:rsidRPr="00732C61" w:rsidRDefault="00C45D5B" w:rsidP="00CF774B">
            <w:pPr>
              <w:jc w:val="center"/>
              <w:rPr>
                <w:b/>
                <w:bCs/>
                <w:color w:val="000000"/>
                <w:sz w:val="18"/>
                <w:szCs w:val="18"/>
              </w:rPr>
            </w:pPr>
            <w:r w:rsidRPr="00732C61">
              <w:rPr>
                <w:b/>
                <w:bCs/>
                <w:color w:val="000000"/>
                <w:sz w:val="18"/>
                <w:szCs w:val="18"/>
              </w:rPr>
              <w:t>2021</w:t>
            </w:r>
          </w:p>
        </w:tc>
        <w:tc>
          <w:tcPr>
            <w:tcW w:w="984" w:type="dxa"/>
            <w:gridSpan w:val="3"/>
            <w:tcBorders>
              <w:top w:val="single" w:sz="4" w:space="0" w:color="auto"/>
              <w:left w:val="nil"/>
              <w:bottom w:val="nil"/>
              <w:right w:val="nil"/>
            </w:tcBorders>
            <w:shd w:val="clear" w:color="auto" w:fill="auto"/>
            <w:vAlign w:val="center"/>
            <w:hideMark/>
          </w:tcPr>
          <w:p w14:paraId="28E0D428" w14:textId="77777777" w:rsidR="00C45D5B" w:rsidRPr="00732C61" w:rsidRDefault="00C45D5B" w:rsidP="00CF774B">
            <w:pPr>
              <w:jc w:val="center"/>
              <w:rPr>
                <w:b/>
                <w:bCs/>
                <w:color w:val="000000"/>
                <w:sz w:val="18"/>
                <w:szCs w:val="18"/>
              </w:rPr>
            </w:pPr>
            <w:r w:rsidRPr="00732C61">
              <w:rPr>
                <w:b/>
                <w:bCs/>
                <w:color w:val="000000"/>
                <w:sz w:val="18"/>
                <w:szCs w:val="18"/>
              </w:rPr>
              <w:t>2022</w:t>
            </w:r>
          </w:p>
        </w:tc>
        <w:tc>
          <w:tcPr>
            <w:tcW w:w="980" w:type="dxa"/>
            <w:gridSpan w:val="4"/>
            <w:tcBorders>
              <w:top w:val="single" w:sz="4" w:space="0" w:color="auto"/>
              <w:left w:val="nil"/>
              <w:bottom w:val="nil"/>
              <w:right w:val="nil"/>
            </w:tcBorders>
            <w:shd w:val="clear" w:color="auto" w:fill="auto"/>
            <w:vAlign w:val="center"/>
            <w:hideMark/>
          </w:tcPr>
          <w:p w14:paraId="5437C1B2" w14:textId="77777777" w:rsidR="00C45D5B" w:rsidRPr="00732C61" w:rsidRDefault="00C45D5B" w:rsidP="00CF774B">
            <w:pPr>
              <w:jc w:val="center"/>
              <w:rPr>
                <w:b/>
                <w:bCs/>
                <w:color w:val="000000"/>
                <w:sz w:val="18"/>
                <w:szCs w:val="18"/>
              </w:rPr>
            </w:pPr>
            <w:r w:rsidRPr="00732C61">
              <w:rPr>
                <w:b/>
                <w:bCs/>
                <w:color w:val="000000"/>
                <w:sz w:val="18"/>
                <w:szCs w:val="18"/>
              </w:rPr>
              <w:t>2023</w:t>
            </w:r>
          </w:p>
        </w:tc>
        <w:tc>
          <w:tcPr>
            <w:tcW w:w="980" w:type="dxa"/>
            <w:gridSpan w:val="3"/>
            <w:tcBorders>
              <w:top w:val="single" w:sz="4" w:space="0" w:color="auto"/>
              <w:left w:val="nil"/>
              <w:bottom w:val="nil"/>
              <w:right w:val="nil"/>
            </w:tcBorders>
            <w:shd w:val="clear" w:color="auto" w:fill="auto"/>
            <w:vAlign w:val="center"/>
            <w:hideMark/>
          </w:tcPr>
          <w:p w14:paraId="7A0EA838" w14:textId="77777777" w:rsidR="00C45D5B" w:rsidRPr="00732C61" w:rsidRDefault="00C45D5B" w:rsidP="00CF774B">
            <w:pPr>
              <w:jc w:val="center"/>
              <w:rPr>
                <w:b/>
                <w:bCs/>
                <w:color w:val="000000"/>
                <w:sz w:val="18"/>
                <w:szCs w:val="18"/>
              </w:rPr>
            </w:pPr>
            <w:r w:rsidRPr="00732C61">
              <w:rPr>
                <w:b/>
                <w:bCs/>
                <w:color w:val="000000"/>
                <w:sz w:val="18"/>
                <w:szCs w:val="18"/>
              </w:rPr>
              <w:t>2024</w:t>
            </w:r>
          </w:p>
        </w:tc>
        <w:tc>
          <w:tcPr>
            <w:tcW w:w="987" w:type="dxa"/>
            <w:gridSpan w:val="2"/>
            <w:tcBorders>
              <w:top w:val="single" w:sz="4" w:space="0" w:color="auto"/>
              <w:left w:val="nil"/>
              <w:bottom w:val="nil"/>
              <w:right w:val="nil"/>
            </w:tcBorders>
            <w:shd w:val="clear" w:color="auto" w:fill="auto"/>
            <w:vAlign w:val="center"/>
            <w:hideMark/>
          </w:tcPr>
          <w:p w14:paraId="1F587564" w14:textId="77777777" w:rsidR="00C45D5B" w:rsidRPr="00732C61" w:rsidRDefault="00C45D5B" w:rsidP="00CF774B">
            <w:pPr>
              <w:jc w:val="center"/>
              <w:rPr>
                <w:b/>
                <w:bCs/>
                <w:color w:val="000000"/>
                <w:sz w:val="18"/>
                <w:szCs w:val="18"/>
              </w:rPr>
            </w:pPr>
            <w:r w:rsidRPr="00732C61">
              <w:rPr>
                <w:b/>
                <w:bCs/>
                <w:color w:val="000000"/>
                <w:sz w:val="18"/>
                <w:szCs w:val="18"/>
              </w:rPr>
              <w:t>2025</w:t>
            </w:r>
          </w:p>
        </w:tc>
      </w:tr>
      <w:tr w:rsidR="00C45D5B" w:rsidRPr="00732C61" w14:paraId="567CAD9C" w14:textId="77777777" w:rsidTr="00CF774B">
        <w:trPr>
          <w:gridAfter w:val="3"/>
          <w:wAfter w:w="524" w:type="dxa"/>
          <w:trHeight w:val="279"/>
        </w:trPr>
        <w:tc>
          <w:tcPr>
            <w:tcW w:w="2650" w:type="dxa"/>
            <w:vMerge/>
            <w:tcBorders>
              <w:top w:val="single" w:sz="8" w:space="0" w:color="000000"/>
              <w:left w:val="nil"/>
              <w:bottom w:val="single" w:sz="6" w:space="0" w:color="auto"/>
              <w:right w:val="nil"/>
            </w:tcBorders>
            <w:vAlign w:val="center"/>
            <w:hideMark/>
          </w:tcPr>
          <w:p w14:paraId="4750D1C4" w14:textId="77777777" w:rsidR="00C45D5B" w:rsidRPr="00732C61" w:rsidRDefault="00C45D5B" w:rsidP="00CF774B">
            <w:pPr>
              <w:rPr>
                <w:rFonts w:cs="Times New Roman"/>
                <w:color w:val="000000"/>
                <w:sz w:val="18"/>
                <w:szCs w:val="18"/>
              </w:rPr>
            </w:pPr>
          </w:p>
        </w:tc>
        <w:tc>
          <w:tcPr>
            <w:tcW w:w="462" w:type="dxa"/>
            <w:vMerge/>
            <w:tcBorders>
              <w:top w:val="single" w:sz="8" w:space="0" w:color="000000"/>
              <w:left w:val="nil"/>
              <w:bottom w:val="single" w:sz="6" w:space="0" w:color="auto"/>
              <w:right w:val="nil"/>
            </w:tcBorders>
            <w:vAlign w:val="center"/>
            <w:hideMark/>
          </w:tcPr>
          <w:p w14:paraId="028C1C28" w14:textId="77777777" w:rsidR="00C45D5B" w:rsidRPr="00732C61" w:rsidRDefault="00C45D5B" w:rsidP="00CF774B">
            <w:pPr>
              <w:rPr>
                <w:rFonts w:cs="Times New Roman"/>
                <w:color w:val="000000"/>
                <w:sz w:val="18"/>
                <w:szCs w:val="18"/>
              </w:rPr>
            </w:pPr>
          </w:p>
        </w:tc>
        <w:tc>
          <w:tcPr>
            <w:tcW w:w="977" w:type="dxa"/>
            <w:gridSpan w:val="2"/>
            <w:tcBorders>
              <w:top w:val="nil"/>
              <w:left w:val="nil"/>
              <w:bottom w:val="single" w:sz="6" w:space="0" w:color="auto"/>
              <w:right w:val="nil"/>
            </w:tcBorders>
            <w:shd w:val="clear" w:color="auto" w:fill="auto"/>
            <w:noWrap/>
            <w:vAlign w:val="bottom"/>
            <w:hideMark/>
          </w:tcPr>
          <w:p w14:paraId="5420D6BD" w14:textId="77777777" w:rsidR="00C45D5B" w:rsidRPr="00732C61" w:rsidRDefault="00C45D5B" w:rsidP="00CF774B">
            <w:pPr>
              <w:jc w:val="center"/>
              <w:rPr>
                <w:color w:val="000000"/>
                <w:sz w:val="18"/>
                <w:szCs w:val="18"/>
              </w:rPr>
            </w:pPr>
            <w:r w:rsidRPr="00732C61">
              <w:rPr>
                <w:color w:val="000000"/>
                <w:sz w:val="18"/>
                <w:szCs w:val="18"/>
              </w:rPr>
              <w:t>Skutočnosť</w:t>
            </w:r>
          </w:p>
        </w:tc>
        <w:tc>
          <w:tcPr>
            <w:tcW w:w="985" w:type="dxa"/>
            <w:gridSpan w:val="2"/>
            <w:tcBorders>
              <w:top w:val="nil"/>
              <w:left w:val="nil"/>
              <w:bottom w:val="single" w:sz="6" w:space="0" w:color="auto"/>
              <w:right w:val="nil"/>
            </w:tcBorders>
            <w:shd w:val="clear" w:color="auto" w:fill="auto"/>
            <w:vAlign w:val="bottom"/>
            <w:hideMark/>
          </w:tcPr>
          <w:p w14:paraId="0ADAF0F3" w14:textId="77777777" w:rsidR="00C45D5B" w:rsidRPr="00732C61" w:rsidRDefault="00C45D5B" w:rsidP="00CF774B">
            <w:pPr>
              <w:jc w:val="center"/>
              <w:rPr>
                <w:color w:val="000000"/>
                <w:sz w:val="18"/>
                <w:szCs w:val="18"/>
              </w:rPr>
            </w:pPr>
            <w:r w:rsidRPr="00732C61">
              <w:rPr>
                <w:color w:val="000000"/>
                <w:sz w:val="18"/>
                <w:szCs w:val="18"/>
              </w:rPr>
              <w:t>miera rastu</w:t>
            </w:r>
          </w:p>
        </w:tc>
        <w:tc>
          <w:tcPr>
            <w:tcW w:w="984" w:type="dxa"/>
            <w:gridSpan w:val="3"/>
            <w:tcBorders>
              <w:top w:val="nil"/>
              <w:left w:val="nil"/>
              <w:bottom w:val="single" w:sz="6" w:space="0" w:color="auto"/>
              <w:right w:val="nil"/>
            </w:tcBorders>
            <w:shd w:val="clear" w:color="auto" w:fill="auto"/>
            <w:vAlign w:val="bottom"/>
            <w:hideMark/>
          </w:tcPr>
          <w:p w14:paraId="0C5A4E0E" w14:textId="77777777" w:rsidR="00C45D5B" w:rsidRPr="00732C61" w:rsidRDefault="00C45D5B" w:rsidP="00CF774B">
            <w:pPr>
              <w:jc w:val="center"/>
              <w:rPr>
                <w:color w:val="000000"/>
                <w:sz w:val="18"/>
                <w:szCs w:val="18"/>
              </w:rPr>
            </w:pPr>
            <w:r w:rsidRPr="00732C61">
              <w:rPr>
                <w:color w:val="000000"/>
                <w:sz w:val="18"/>
                <w:szCs w:val="18"/>
              </w:rPr>
              <w:t>miera rastu</w:t>
            </w:r>
          </w:p>
        </w:tc>
        <w:tc>
          <w:tcPr>
            <w:tcW w:w="980" w:type="dxa"/>
            <w:gridSpan w:val="4"/>
            <w:tcBorders>
              <w:top w:val="nil"/>
              <w:left w:val="nil"/>
              <w:bottom w:val="single" w:sz="6" w:space="0" w:color="auto"/>
              <w:right w:val="nil"/>
            </w:tcBorders>
            <w:shd w:val="clear" w:color="auto" w:fill="auto"/>
            <w:vAlign w:val="bottom"/>
            <w:hideMark/>
          </w:tcPr>
          <w:p w14:paraId="7F713644" w14:textId="77777777" w:rsidR="00C45D5B" w:rsidRPr="00732C61" w:rsidRDefault="00C45D5B" w:rsidP="00CF774B">
            <w:pPr>
              <w:jc w:val="center"/>
              <w:rPr>
                <w:color w:val="000000"/>
                <w:sz w:val="18"/>
                <w:szCs w:val="18"/>
              </w:rPr>
            </w:pPr>
            <w:r w:rsidRPr="00732C61">
              <w:rPr>
                <w:color w:val="000000"/>
                <w:sz w:val="18"/>
                <w:szCs w:val="18"/>
              </w:rPr>
              <w:t>miera rastu</w:t>
            </w:r>
          </w:p>
        </w:tc>
        <w:tc>
          <w:tcPr>
            <w:tcW w:w="980" w:type="dxa"/>
            <w:gridSpan w:val="3"/>
            <w:tcBorders>
              <w:top w:val="nil"/>
              <w:left w:val="nil"/>
              <w:bottom w:val="single" w:sz="6" w:space="0" w:color="auto"/>
              <w:right w:val="nil"/>
            </w:tcBorders>
            <w:shd w:val="clear" w:color="auto" w:fill="auto"/>
            <w:vAlign w:val="bottom"/>
            <w:hideMark/>
          </w:tcPr>
          <w:p w14:paraId="353BBDF9" w14:textId="77777777" w:rsidR="00C45D5B" w:rsidRPr="00732C61" w:rsidRDefault="00C45D5B" w:rsidP="00CF774B">
            <w:pPr>
              <w:jc w:val="center"/>
              <w:rPr>
                <w:color w:val="000000"/>
                <w:sz w:val="18"/>
                <w:szCs w:val="18"/>
              </w:rPr>
            </w:pPr>
            <w:r w:rsidRPr="00732C61">
              <w:rPr>
                <w:color w:val="000000"/>
                <w:sz w:val="18"/>
                <w:szCs w:val="18"/>
              </w:rPr>
              <w:t>miera rastu</w:t>
            </w:r>
          </w:p>
        </w:tc>
        <w:tc>
          <w:tcPr>
            <w:tcW w:w="987" w:type="dxa"/>
            <w:gridSpan w:val="2"/>
            <w:tcBorders>
              <w:top w:val="nil"/>
              <w:left w:val="nil"/>
              <w:bottom w:val="single" w:sz="6" w:space="0" w:color="auto"/>
              <w:right w:val="nil"/>
            </w:tcBorders>
            <w:shd w:val="clear" w:color="auto" w:fill="auto"/>
            <w:vAlign w:val="bottom"/>
            <w:hideMark/>
          </w:tcPr>
          <w:p w14:paraId="4FF3C941" w14:textId="77777777" w:rsidR="00C45D5B" w:rsidRPr="00732C61" w:rsidRDefault="00C45D5B" w:rsidP="00CF774B">
            <w:pPr>
              <w:jc w:val="center"/>
              <w:rPr>
                <w:color w:val="000000"/>
                <w:sz w:val="18"/>
                <w:szCs w:val="18"/>
              </w:rPr>
            </w:pPr>
            <w:r w:rsidRPr="00732C61">
              <w:rPr>
                <w:color w:val="000000"/>
                <w:sz w:val="18"/>
                <w:szCs w:val="18"/>
              </w:rPr>
              <w:t>miera rastu</w:t>
            </w:r>
          </w:p>
        </w:tc>
      </w:tr>
      <w:tr w:rsidR="00C45D5B" w:rsidRPr="00732C61" w14:paraId="4F083C47" w14:textId="77777777" w:rsidTr="00CF774B">
        <w:trPr>
          <w:gridAfter w:val="3"/>
          <w:wAfter w:w="524" w:type="dxa"/>
          <w:trHeight w:val="279"/>
        </w:trPr>
        <w:tc>
          <w:tcPr>
            <w:tcW w:w="2650" w:type="dxa"/>
            <w:tcBorders>
              <w:top w:val="single" w:sz="6" w:space="0" w:color="auto"/>
              <w:left w:val="nil"/>
              <w:bottom w:val="nil"/>
              <w:right w:val="nil"/>
            </w:tcBorders>
            <w:shd w:val="clear" w:color="auto" w:fill="auto"/>
            <w:vAlign w:val="center"/>
            <w:hideMark/>
          </w:tcPr>
          <w:p w14:paraId="081D2233" w14:textId="77777777" w:rsidR="00C45D5B" w:rsidRPr="00732C61" w:rsidRDefault="00C45D5B" w:rsidP="00CF774B">
            <w:pPr>
              <w:rPr>
                <w:rFonts w:cs="Times New Roman"/>
                <w:color w:val="000000"/>
                <w:sz w:val="18"/>
                <w:szCs w:val="18"/>
              </w:rPr>
            </w:pPr>
            <w:r w:rsidRPr="00732C61">
              <w:rPr>
                <w:rFonts w:cs="Times New Roman"/>
                <w:color w:val="000000"/>
                <w:sz w:val="18"/>
                <w:szCs w:val="18"/>
              </w:rPr>
              <w:t>1. Deflátor HDP</w:t>
            </w:r>
          </w:p>
        </w:tc>
        <w:tc>
          <w:tcPr>
            <w:tcW w:w="462" w:type="dxa"/>
            <w:tcBorders>
              <w:top w:val="single" w:sz="6" w:space="0" w:color="auto"/>
              <w:left w:val="nil"/>
              <w:bottom w:val="nil"/>
              <w:right w:val="nil"/>
            </w:tcBorders>
            <w:shd w:val="clear" w:color="auto" w:fill="auto"/>
            <w:vAlign w:val="bottom"/>
            <w:hideMark/>
          </w:tcPr>
          <w:p w14:paraId="60B5C0EA" w14:textId="77777777" w:rsidR="00C45D5B" w:rsidRPr="00732C61" w:rsidRDefault="00C45D5B" w:rsidP="00CF774B">
            <w:pPr>
              <w:rPr>
                <w:rFonts w:cs="Times New Roman"/>
                <w:color w:val="000000"/>
                <w:sz w:val="18"/>
                <w:szCs w:val="18"/>
              </w:rPr>
            </w:pPr>
          </w:p>
        </w:tc>
        <w:tc>
          <w:tcPr>
            <w:tcW w:w="977" w:type="dxa"/>
            <w:gridSpan w:val="2"/>
            <w:tcBorders>
              <w:top w:val="nil"/>
              <w:left w:val="nil"/>
              <w:bottom w:val="nil"/>
              <w:right w:val="nil"/>
            </w:tcBorders>
            <w:shd w:val="clear" w:color="auto" w:fill="auto"/>
            <w:vAlign w:val="center"/>
            <w:hideMark/>
          </w:tcPr>
          <w:p w14:paraId="37B6A84D" w14:textId="77777777" w:rsidR="00C45D5B" w:rsidRPr="00732C61" w:rsidRDefault="00C45D5B" w:rsidP="00CF774B">
            <w:pPr>
              <w:jc w:val="center"/>
              <w:rPr>
                <w:color w:val="000000"/>
                <w:sz w:val="18"/>
                <w:szCs w:val="18"/>
              </w:rPr>
            </w:pPr>
            <w:r w:rsidRPr="00732C61">
              <w:rPr>
                <w:color w:val="000000"/>
                <w:sz w:val="18"/>
                <w:szCs w:val="18"/>
              </w:rPr>
              <w:t>1,1</w:t>
            </w:r>
          </w:p>
        </w:tc>
        <w:tc>
          <w:tcPr>
            <w:tcW w:w="985" w:type="dxa"/>
            <w:gridSpan w:val="2"/>
            <w:tcBorders>
              <w:top w:val="nil"/>
              <w:left w:val="nil"/>
              <w:bottom w:val="nil"/>
              <w:right w:val="nil"/>
            </w:tcBorders>
            <w:shd w:val="clear" w:color="auto" w:fill="auto"/>
            <w:noWrap/>
            <w:vAlign w:val="center"/>
            <w:hideMark/>
          </w:tcPr>
          <w:p w14:paraId="75635CE6" w14:textId="77777777" w:rsidR="00C45D5B" w:rsidRPr="00732C61" w:rsidRDefault="00C45D5B" w:rsidP="00CF774B">
            <w:pPr>
              <w:jc w:val="center"/>
              <w:rPr>
                <w:color w:val="000000"/>
                <w:sz w:val="18"/>
                <w:szCs w:val="18"/>
              </w:rPr>
            </w:pPr>
            <w:r w:rsidRPr="00732C61">
              <w:rPr>
                <w:color w:val="000000"/>
                <w:sz w:val="18"/>
                <w:szCs w:val="18"/>
              </w:rPr>
              <w:t>2,4</w:t>
            </w:r>
          </w:p>
        </w:tc>
        <w:tc>
          <w:tcPr>
            <w:tcW w:w="984" w:type="dxa"/>
            <w:gridSpan w:val="3"/>
            <w:tcBorders>
              <w:top w:val="nil"/>
              <w:left w:val="nil"/>
              <w:bottom w:val="nil"/>
              <w:right w:val="nil"/>
            </w:tcBorders>
            <w:shd w:val="clear" w:color="auto" w:fill="auto"/>
            <w:noWrap/>
            <w:vAlign w:val="center"/>
            <w:hideMark/>
          </w:tcPr>
          <w:p w14:paraId="7FEFD5F7" w14:textId="77777777" w:rsidR="00C45D5B" w:rsidRPr="00732C61" w:rsidRDefault="00C45D5B" w:rsidP="00CF774B">
            <w:pPr>
              <w:jc w:val="center"/>
              <w:rPr>
                <w:color w:val="000000"/>
                <w:sz w:val="18"/>
                <w:szCs w:val="18"/>
              </w:rPr>
            </w:pPr>
            <w:r w:rsidRPr="00732C61">
              <w:rPr>
                <w:color w:val="000000"/>
                <w:sz w:val="18"/>
                <w:szCs w:val="18"/>
              </w:rPr>
              <w:t>7,4</w:t>
            </w:r>
          </w:p>
        </w:tc>
        <w:tc>
          <w:tcPr>
            <w:tcW w:w="980" w:type="dxa"/>
            <w:gridSpan w:val="4"/>
            <w:tcBorders>
              <w:top w:val="nil"/>
              <w:left w:val="nil"/>
              <w:bottom w:val="nil"/>
              <w:right w:val="nil"/>
            </w:tcBorders>
            <w:shd w:val="clear" w:color="auto" w:fill="auto"/>
            <w:noWrap/>
            <w:vAlign w:val="center"/>
            <w:hideMark/>
          </w:tcPr>
          <w:p w14:paraId="2EF07305" w14:textId="77777777" w:rsidR="00C45D5B" w:rsidRPr="00732C61" w:rsidRDefault="00C45D5B" w:rsidP="00CF774B">
            <w:pPr>
              <w:jc w:val="center"/>
              <w:rPr>
                <w:color w:val="000000"/>
                <w:sz w:val="18"/>
                <w:szCs w:val="18"/>
              </w:rPr>
            </w:pPr>
            <w:r w:rsidRPr="00732C61">
              <w:rPr>
                <w:color w:val="000000"/>
                <w:sz w:val="18"/>
                <w:szCs w:val="18"/>
              </w:rPr>
              <w:t>5,1</w:t>
            </w:r>
          </w:p>
        </w:tc>
        <w:tc>
          <w:tcPr>
            <w:tcW w:w="980" w:type="dxa"/>
            <w:gridSpan w:val="3"/>
            <w:tcBorders>
              <w:top w:val="nil"/>
              <w:left w:val="nil"/>
              <w:bottom w:val="nil"/>
              <w:right w:val="nil"/>
            </w:tcBorders>
            <w:shd w:val="clear" w:color="auto" w:fill="auto"/>
            <w:noWrap/>
            <w:vAlign w:val="center"/>
            <w:hideMark/>
          </w:tcPr>
          <w:p w14:paraId="59795E42" w14:textId="77777777" w:rsidR="00C45D5B" w:rsidRPr="00732C61" w:rsidRDefault="00C45D5B" w:rsidP="00CF774B">
            <w:pPr>
              <w:jc w:val="center"/>
              <w:rPr>
                <w:color w:val="000000"/>
                <w:sz w:val="18"/>
                <w:szCs w:val="18"/>
              </w:rPr>
            </w:pPr>
            <w:r w:rsidRPr="00732C61">
              <w:rPr>
                <w:color w:val="000000"/>
                <w:sz w:val="18"/>
                <w:szCs w:val="18"/>
              </w:rPr>
              <w:t>2,4</w:t>
            </w:r>
          </w:p>
        </w:tc>
        <w:tc>
          <w:tcPr>
            <w:tcW w:w="987" w:type="dxa"/>
            <w:gridSpan w:val="2"/>
            <w:tcBorders>
              <w:top w:val="nil"/>
              <w:left w:val="nil"/>
              <w:bottom w:val="nil"/>
              <w:right w:val="nil"/>
            </w:tcBorders>
            <w:shd w:val="clear" w:color="auto" w:fill="auto"/>
            <w:noWrap/>
            <w:vAlign w:val="center"/>
            <w:hideMark/>
          </w:tcPr>
          <w:p w14:paraId="2021E2D8" w14:textId="77777777" w:rsidR="00C45D5B" w:rsidRPr="00732C61" w:rsidRDefault="00C45D5B" w:rsidP="00CF774B">
            <w:pPr>
              <w:jc w:val="center"/>
              <w:rPr>
                <w:color w:val="000000"/>
                <w:sz w:val="18"/>
                <w:szCs w:val="18"/>
              </w:rPr>
            </w:pPr>
            <w:r w:rsidRPr="00732C61">
              <w:rPr>
                <w:color w:val="000000"/>
                <w:sz w:val="18"/>
                <w:szCs w:val="18"/>
              </w:rPr>
              <w:t>2,1</w:t>
            </w:r>
          </w:p>
        </w:tc>
      </w:tr>
      <w:tr w:rsidR="00C45D5B" w:rsidRPr="00732C61" w14:paraId="518C035F" w14:textId="77777777" w:rsidTr="00CF774B">
        <w:trPr>
          <w:gridAfter w:val="3"/>
          <w:wAfter w:w="524" w:type="dxa"/>
          <w:trHeight w:val="279"/>
        </w:trPr>
        <w:tc>
          <w:tcPr>
            <w:tcW w:w="2650" w:type="dxa"/>
            <w:tcBorders>
              <w:top w:val="nil"/>
              <w:left w:val="nil"/>
              <w:bottom w:val="nil"/>
              <w:right w:val="nil"/>
            </w:tcBorders>
            <w:shd w:val="clear" w:color="auto" w:fill="auto"/>
            <w:vAlign w:val="center"/>
            <w:hideMark/>
          </w:tcPr>
          <w:p w14:paraId="09FD5866" w14:textId="77777777" w:rsidR="00C45D5B" w:rsidRPr="00732C61" w:rsidRDefault="00C45D5B" w:rsidP="00CF774B">
            <w:pPr>
              <w:rPr>
                <w:rFonts w:cs="Times New Roman"/>
                <w:color w:val="000000"/>
                <w:sz w:val="18"/>
                <w:szCs w:val="18"/>
              </w:rPr>
            </w:pPr>
            <w:r w:rsidRPr="00732C61">
              <w:rPr>
                <w:rFonts w:cs="Times New Roman"/>
                <w:color w:val="000000"/>
                <w:sz w:val="18"/>
                <w:szCs w:val="18"/>
              </w:rPr>
              <w:t>2. Deflátor súkromnej spotreby</w:t>
            </w:r>
          </w:p>
        </w:tc>
        <w:tc>
          <w:tcPr>
            <w:tcW w:w="462" w:type="dxa"/>
            <w:tcBorders>
              <w:top w:val="nil"/>
              <w:left w:val="nil"/>
              <w:bottom w:val="nil"/>
              <w:right w:val="nil"/>
            </w:tcBorders>
            <w:shd w:val="clear" w:color="auto" w:fill="auto"/>
            <w:vAlign w:val="bottom"/>
            <w:hideMark/>
          </w:tcPr>
          <w:p w14:paraId="5734E40C" w14:textId="77777777" w:rsidR="00C45D5B" w:rsidRPr="00732C61" w:rsidRDefault="00C45D5B" w:rsidP="00CF774B">
            <w:pPr>
              <w:rPr>
                <w:rFonts w:cs="Times New Roman"/>
                <w:color w:val="000000"/>
                <w:sz w:val="18"/>
                <w:szCs w:val="18"/>
              </w:rPr>
            </w:pPr>
          </w:p>
        </w:tc>
        <w:tc>
          <w:tcPr>
            <w:tcW w:w="977" w:type="dxa"/>
            <w:gridSpan w:val="2"/>
            <w:tcBorders>
              <w:top w:val="nil"/>
              <w:left w:val="nil"/>
              <w:bottom w:val="nil"/>
              <w:right w:val="nil"/>
            </w:tcBorders>
            <w:shd w:val="clear" w:color="auto" w:fill="auto"/>
            <w:vAlign w:val="center"/>
            <w:hideMark/>
          </w:tcPr>
          <w:p w14:paraId="231D7388" w14:textId="77777777" w:rsidR="00C45D5B" w:rsidRPr="00732C61" w:rsidRDefault="00C45D5B" w:rsidP="00CF774B">
            <w:pPr>
              <w:jc w:val="center"/>
              <w:rPr>
                <w:color w:val="000000"/>
                <w:sz w:val="18"/>
                <w:szCs w:val="18"/>
              </w:rPr>
            </w:pPr>
            <w:r w:rsidRPr="00732C61">
              <w:rPr>
                <w:color w:val="000000"/>
                <w:sz w:val="18"/>
                <w:szCs w:val="18"/>
              </w:rPr>
              <w:t>1,1</w:t>
            </w:r>
          </w:p>
        </w:tc>
        <w:tc>
          <w:tcPr>
            <w:tcW w:w="985" w:type="dxa"/>
            <w:gridSpan w:val="2"/>
            <w:tcBorders>
              <w:top w:val="nil"/>
              <w:left w:val="nil"/>
              <w:bottom w:val="nil"/>
              <w:right w:val="nil"/>
            </w:tcBorders>
            <w:shd w:val="clear" w:color="auto" w:fill="auto"/>
            <w:noWrap/>
            <w:vAlign w:val="center"/>
            <w:hideMark/>
          </w:tcPr>
          <w:p w14:paraId="3BE5F3B6" w14:textId="77777777" w:rsidR="00C45D5B" w:rsidRPr="00732C61" w:rsidRDefault="00C45D5B" w:rsidP="00CF774B">
            <w:pPr>
              <w:jc w:val="center"/>
              <w:rPr>
                <w:color w:val="000000"/>
                <w:sz w:val="18"/>
                <w:szCs w:val="18"/>
              </w:rPr>
            </w:pPr>
            <w:r w:rsidRPr="00732C61">
              <w:rPr>
                <w:color w:val="000000"/>
                <w:sz w:val="18"/>
                <w:szCs w:val="18"/>
              </w:rPr>
              <w:t>3,3</w:t>
            </w:r>
          </w:p>
        </w:tc>
        <w:tc>
          <w:tcPr>
            <w:tcW w:w="984" w:type="dxa"/>
            <w:gridSpan w:val="3"/>
            <w:tcBorders>
              <w:top w:val="nil"/>
              <w:left w:val="nil"/>
              <w:bottom w:val="nil"/>
              <w:right w:val="nil"/>
            </w:tcBorders>
            <w:shd w:val="clear" w:color="auto" w:fill="auto"/>
            <w:noWrap/>
            <w:vAlign w:val="center"/>
            <w:hideMark/>
          </w:tcPr>
          <w:p w14:paraId="7FC355A5" w14:textId="77777777" w:rsidR="00C45D5B" w:rsidRPr="00732C61" w:rsidRDefault="00C45D5B" w:rsidP="00CF774B">
            <w:pPr>
              <w:jc w:val="center"/>
              <w:rPr>
                <w:color w:val="000000"/>
                <w:sz w:val="18"/>
                <w:szCs w:val="18"/>
              </w:rPr>
            </w:pPr>
            <w:r w:rsidRPr="00732C61">
              <w:rPr>
                <w:color w:val="000000"/>
                <w:sz w:val="18"/>
                <w:szCs w:val="18"/>
              </w:rPr>
              <w:t>8,2</w:t>
            </w:r>
          </w:p>
        </w:tc>
        <w:tc>
          <w:tcPr>
            <w:tcW w:w="980" w:type="dxa"/>
            <w:gridSpan w:val="4"/>
            <w:tcBorders>
              <w:top w:val="nil"/>
              <w:left w:val="nil"/>
              <w:bottom w:val="nil"/>
              <w:right w:val="nil"/>
            </w:tcBorders>
            <w:shd w:val="clear" w:color="auto" w:fill="auto"/>
            <w:noWrap/>
            <w:vAlign w:val="center"/>
            <w:hideMark/>
          </w:tcPr>
          <w:p w14:paraId="03B9948E" w14:textId="77777777" w:rsidR="00C45D5B" w:rsidRPr="00732C61" w:rsidRDefault="00C45D5B" w:rsidP="00CF774B">
            <w:pPr>
              <w:jc w:val="center"/>
              <w:rPr>
                <w:color w:val="000000"/>
                <w:sz w:val="18"/>
                <w:szCs w:val="18"/>
              </w:rPr>
            </w:pPr>
            <w:r w:rsidRPr="00732C61">
              <w:rPr>
                <w:color w:val="000000"/>
                <w:sz w:val="18"/>
                <w:szCs w:val="18"/>
              </w:rPr>
              <w:t>6,6</w:t>
            </w:r>
          </w:p>
        </w:tc>
        <w:tc>
          <w:tcPr>
            <w:tcW w:w="980" w:type="dxa"/>
            <w:gridSpan w:val="3"/>
            <w:tcBorders>
              <w:top w:val="nil"/>
              <w:left w:val="nil"/>
              <w:bottom w:val="nil"/>
              <w:right w:val="nil"/>
            </w:tcBorders>
            <w:shd w:val="clear" w:color="auto" w:fill="auto"/>
            <w:noWrap/>
            <w:vAlign w:val="center"/>
            <w:hideMark/>
          </w:tcPr>
          <w:p w14:paraId="0184B793" w14:textId="77777777" w:rsidR="00C45D5B" w:rsidRPr="00732C61" w:rsidRDefault="00C45D5B" w:rsidP="00CF774B">
            <w:pPr>
              <w:jc w:val="center"/>
              <w:rPr>
                <w:color w:val="000000"/>
                <w:sz w:val="18"/>
                <w:szCs w:val="18"/>
              </w:rPr>
            </w:pPr>
            <w:r w:rsidRPr="00732C61">
              <w:rPr>
                <w:color w:val="000000"/>
                <w:sz w:val="18"/>
                <w:szCs w:val="18"/>
              </w:rPr>
              <w:t>2,0</w:t>
            </w:r>
          </w:p>
        </w:tc>
        <w:tc>
          <w:tcPr>
            <w:tcW w:w="987" w:type="dxa"/>
            <w:gridSpan w:val="2"/>
            <w:tcBorders>
              <w:top w:val="nil"/>
              <w:left w:val="nil"/>
              <w:bottom w:val="nil"/>
              <w:right w:val="nil"/>
            </w:tcBorders>
            <w:shd w:val="clear" w:color="auto" w:fill="auto"/>
            <w:noWrap/>
            <w:vAlign w:val="center"/>
            <w:hideMark/>
          </w:tcPr>
          <w:p w14:paraId="5B83276A" w14:textId="77777777" w:rsidR="00C45D5B" w:rsidRPr="00732C61" w:rsidRDefault="00C45D5B" w:rsidP="00CF774B">
            <w:pPr>
              <w:jc w:val="center"/>
              <w:rPr>
                <w:color w:val="000000"/>
                <w:sz w:val="18"/>
                <w:szCs w:val="18"/>
              </w:rPr>
            </w:pPr>
            <w:r w:rsidRPr="00732C61">
              <w:rPr>
                <w:color w:val="000000"/>
                <w:sz w:val="18"/>
                <w:szCs w:val="18"/>
              </w:rPr>
              <w:t>1,8</w:t>
            </w:r>
          </w:p>
        </w:tc>
      </w:tr>
      <w:tr w:rsidR="00C45D5B" w:rsidRPr="00732C61" w14:paraId="48003F78" w14:textId="77777777" w:rsidTr="00CF774B">
        <w:trPr>
          <w:gridAfter w:val="3"/>
          <w:wAfter w:w="524" w:type="dxa"/>
          <w:trHeight w:val="279"/>
        </w:trPr>
        <w:tc>
          <w:tcPr>
            <w:tcW w:w="2650" w:type="dxa"/>
            <w:tcBorders>
              <w:top w:val="nil"/>
              <w:left w:val="nil"/>
              <w:bottom w:val="nil"/>
              <w:right w:val="nil"/>
            </w:tcBorders>
            <w:shd w:val="clear" w:color="auto" w:fill="auto"/>
            <w:noWrap/>
            <w:vAlign w:val="center"/>
            <w:hideMark/>
          </w:tcPr>
          <w:p w14:paraId="036A2E1B" w14:textId="77777777" w:rsidR="00C45D5B" w:rsidRPr="00732C61" w:rsidRDefault="00C45D5B" w:rsidP="00CF774B">
            <w:pPr>
              <w:rPr>
                <w:rFonts w:cs="Times New Roman"/>
                <w:color w:val="000000"/>
                <w:sz w:val="18"/>
                <w:szCs w:val="18"/>
              </w:rPr>
            </w:pPr>
            <w:r w:rsidRPr="00732C61">
              <w:rPr>
                <w:rFonts w:cs="Times New Roman"/>
                <w:color w:val="000000"/>
                <w:sz w:val="18"/>
                <w:szCs w:val="18"/>
              </w:rPr>
              <w:t xml:space="preserve">3. HICP  </w:t>
            </w:r>
          </w:p>
        </w:tc>
        <w:tc>
          <w:tcPr>
            <w:tcW w:w="462" w:type="dxa"/>
            <w:tcBorders>
              <w:top w:val="nil"/>
              <w:left w:val="nil"/>
              <w:bottom w:val="nil"/>
              <w:right w:val="nil"/>
            </w:tcBorders>
            <w:shd w:val="clear" w:color="auto" w:fill="auto"/>
            <w:vAlign w:val="bottom"/>
            <w:hideMark/>
          </w:tcPr>
          <w:p w14:paraId="1B776614" w14:textId="77777777" w:rsidR="00C45D5B" w:rsidRPr="00732C61" w:rsidRDefault="00C45D5B" w:rsidP="00CF774B">
            <w:pPr>
              <w:rPr>
                <w:rFonts w:cs="Times New Roman"/>
                <w:color w:val="000000"/>
                <w:sz w:val="18"/>
                <w:szCs w:val="18"/>
              </w:rPr>
            </w:pPr>
          </w:p>
        </w:tc>
        <w:tc>
          <w:tcPr>
            <w:tcW w:w="977" w:type="dxa"/>
            <w:gridSpan w:val="2"/>
            <w:tcBorders>
              <w:top w:val="nil"/>
              <w:left w:val="nil"/>
              <w:bottom w:val="nil"/>
              <w:right w:val="nil"/>
            </w:tcBorders>
            <w:shd w:val="clear" w:color="auto" w:fill="auto"/>
            <w:vAlign w:val="center"/>
            <w:hideMark/>
          </w:tcPr>
          <w:p w14:paraId="4E93BD72" w14:textId="77777777" w:rsidR="00C45D5B" w:rsidRPr="00732C61" w:rsidRDefault="00C45D5B" w:rsidP="00CF774B">
            <w:pPr>
              <w:jc w:val="center"/>
              <w:rPr>
                <w:color w:val="000000"/>
                <w:sz w:val="18"/>
                <w:szCs w:val="18"/>
              </w:rPr>
            </w:pPr>
            <w:r w:rsidRPr="00732C61">
              <w:rPr>
                <w:color w:val="000000"/>
                <w:sz w:val="18"/>
                <w:szCs w:val="18"/>
              </w:rPr>
              <w:t>2,8</w:t>
            </w:r>
          </w:p>
        </w:tc>
        <w:tc>
          <w:tcPr>
            <w:tcW w:w="985" w:type="dxa"/>
            <w:gridSpan w:val="2"/>
            <w:tcBorders>
              <w:top w:val="nil"/>
              <w:left w:val="nil"/>
              <w:bottom w:val="nil"/>
              <w:right w:val="nil"/>
            </w:tcBorders>
            <w:shd w:val="clear" w:color="auto" w:fill="auto"/>
            <w:vAlign w:val="center"/>
            <w:hideMark/>
          </w:tcPr>
          <w:p w14:paraId="14D79063" w14:textId="77777777" w:rsidR="00C45D5B" w:rsidRPr="00732C61" w:rsidRDefault="00C45D5B" w:rsidP="00CF774B">
            <w:pPr>
              <w:jc w:val="center"/>
              <w:rPr>
                <w:color w:val="000000"/>
                <w:sz w:val="18"/>
                <w:szCs w:val="18"/>
              </w:rPr>
            </w:pPr>
            <w:r w:rsidRPr="00732C61">
              <w:rPr>
                <w:color w:val="000000"/>
                <w:sz w:val="18"/>
                <w:szCs w:val="18"/>
              </w:rPr>
              <w:t>2,8</w:t>
            </w:r>
          </w:p>
        </w:tc>
        <w:tc>
          <w:tcPr>
            <w:tcW w:w="984" w:type="dxa"/>
            <w:gridSpan w:val="3"/>
            <w:tcBorders>
              <w:top w:val="nil"/>
              <w:left w:val="nil"/>
              <w:bottom w:val="nil"/>
              <w:right w:val="nil"/>
            </w:tcBorders>
            <w:shd w:val="clear" w:color="auto" w:fill="auto"/>
            <w:vAlign w:val="center"/>
            <w:hideMark/>
          </w:tcPr>
          <w:p w14:paraId="2CCAF4DE" w14:textId="77777777" w:rsidR="00C45D5B" w:rsidRPr="00732C61" w:rsidRDefault="00C45D5B" w:rsidP="00CF774B">
            <w:pPr>
              <w:jc w:val="center"/>
              <w:rPr>
                <w:color w:val="000000"/>
                <w:sz w:val="18"/>
                <w:szCs w:val="18"/>
              </w:rPr>
            </w:pPr>
            <w:r w:rsidRPr="00732C61">
              <w:rPr>
                <w:color w:val="000000"/>
                <w:sz w:val="18"/>
                <w:szCs w:val="18"/>
              </w:rPr>
              <w:t>8,1</w:t>
            </w:r>
          </w:p>
        </w:tc>
        <w:tc>
          <w:tcPr>
            <w:tcW w:w="980" w:type="dxa"/>
            <w:gridSpan w:val="4"/>
            <w:tcBorders>
              <w:top w:val="nil"/>
              <w:left w:val="nil"/>
              <w:bottom w:val="nil"/>
              <w:right w:val="nil"/>
            </w:tcBorders>
            <w:shd w:val="clear" w:color="auto" w:fill="auto"/>
            <w:vAlign w:val="center"/>
            <w:hideMark/>
          </w:tcPr>
          <w:p w14:paraId="0120A665" w14:textId="77777777" w:rsidR="00C45D5B" w:rsidRPr="00732C61" w:rsidRDefault="00C45D5B" w:rsidP="00CF774B">
            <w:pPr>
              <w:jc w:val="center"/>
              <w:rPr>
                <w:color w:val="000000"/>
                <w:sz w:val="18"/>
                <w:szCs w:val="18"/>
              </w:rPr>
            </w:pPr>
            <w:r w:rsidRPr="00732C61">
              <w:rPr>
                <w:color w:val="000000"/>
                <w:sz w:val="18"/>
                <w:szCs w:val="18"/>
              </w:rPr>
              <w:t>6,7</w:t>
            </w:r>
          </w:p>
        </w:tc>
        <w:tc>
          <w:tcPr>
            <w:tcW w:w="980" w:type="dxa"/>
            <w:gridSpan w:val="3"/>
            <w:tcBorders>
              <w:top w:val="nil"/>
              <w:left w:val="nil"/>
              <w:bottom w:val="nil"/>
              <w:right w:val="nil"/>
            </w:tcBorders>
            <w:shd w:val="clear" w:color="auto" w:fill="auto"/>
            <w:vAlign w:val="center"/>
            <w:hideMark/>
          </w:tcPr>
          <w:p w14:paraId="5C9C1794" w14:textId="77777777" w:rsidR="00C45D5B" w:rsidRPr="00732C61" w:rsidRDefault="00C45D5B" w:rsidP="00CF774B">
            <w:pPr>
              <w:jc w:val="center"/>
              <w:rPr>
                <w:color w:val="000000"/>
                <w:sz w:val="18"/>
                <w:szCs w:val="18"/>
              </w:rPr>
            </w:pPr>
            <w:r w:rsidRPr="00732C61">
              <w:rPr>
                <w:color w:val="000000"/>
                <w:sz w:val="18"/>
                <w:szCs w:val="18"/>
              </w:rPr>
              <w:t>2,0</w:t>
            </w:r>
          </w:p>
        </w:tc>
        <w:tc>
          <w:tcPr>
            <w:tcW w:w="987" w:type="dxa"/>
            <w:gridSpan w:val="2"/>
            <w:tcBorders>
              <w:top w:val="nil"/>
              <w:left w:val="nil"/>
              <w:bottom w:val="nil"/>
              <w:right w:val="nil"/>
            </w:tcBorders>
            <w:shd w:val="clear" w:color="auto" w:fill="auto"/>
            <w:vAlign w:val="center"/>
            <w:hideMark/>
          </w:tcPr>
          <w:p w14:paraId="6B416D05" w14:textId="77777777" w:rsidR="00C45D5B" w:rsidRPr="00732C61" w:rsidRDefault="00C45D5B" w:rsidP="00CF774B">
            <w:pPr>
              <w:jc w:val="center"/>
              <w:rPr>
                <w:color w:val="000000"/>
                <w:sz w:val="18"/>
                <w:szCs w:val="18"/>
              </w:rPr>
            </w:pPr>
            <w:r w:rsidRPr="00732C61">
              <w:rPr>
                <w:color w:val="000000"/>
                <w:sz w:val="18"/>
                <w:szCs w:val="18"/>
              </w:rPr>
              <w:t>2,0</w:t>
            </w:r>
          </w:p>
        </w:tc>
      </w:tr>
      <w:tr w:rsidR="00C45D5B" w:rsidRPr="00732C61" w14:paraId="2C0E3199" w14:textId="77777777" w:rsidTr="00CF774B">
        <w:trPr>
          <w:gridAfter w:val="3"/>
          <w:wAfter w:w="524" w:type="dxa"/>
          <w:trHeight w:val="279"/>
        </w:trPr>
        <w:tc>
          <w:tcPr>
            <w:tcW w:w="2650" w:type="dxa"/>
            <w:tcBorders>
              <w:top w:val="nil"/>
              <w:left w:val="nil"/>
              <w:bottom w:val="nil"/>
              <w:right w:val="nil"/>
            </w:tcBorders>
            <w:shd w:val="clear" w:color="auto" w:fill="auto"/>
            <w:vAlign w:val="center"/>
            <w:hideMark/>
          </w:tcPr>
          <w:p w14:paraId="4C8FB2BD" w14:textId="77777777" w:rsidR="00C45D5B" w:rsidRPr="00732C61" w:rsidRDefault="00C45D5B" w:rsidP="00CF774B">
            <w:pPr>
              <w:rPr>
                <w:rFonts w:cs="Times New Roman"/>
                <w:color w:val="000000"/>
                <w:sz w:val="18"/>
                <w:szCs w:val="18"/>
              </w:rPr>
            </w:pPr>
            <w:r w:rsidRPr="00732C61">
              <w:rPr>
                <w:rFonts w:cs="Times New Roman"/>
                <w:color w:val="000000"/>
                <w:sz w:val="18"/>
                <w:szCs w:val="18"/>
              </w:rPr>
              <w:t>4. Deflátor verejnej spotreby</w:t>
            </w:r>
          </w:p>
        </w:tc>
        <w:tc>
          <w:tcPr>
            <w:tcW w:w="462" w:type="dxa"/>
            <w:tcBorders>
              <w:top w:val="nil"/>
              <w:left w:val="nil"/>
              <w:bottom w:val="nil"/>
              <w:right w:val="nil"/>
            </w:tcBorders>
            <w:shd w:val="clear" w:color="auto" w:fill="auto"/>
            <w:vAlign w:val="bottom"/>
            <w:hideMark/>
          </w:tcPr>
          <w:p w14:paraId="3FC8D5D3" w14:textId="77777777" w:rsidR="00C45D5B" w:rsidRPr="00732C61" w:rsidRDefault="00C45D5B" w:rsidP="00CF774B">
            <w:pPr>
              <w:rPr>
                <w:rFonts w:cs="Times New Roman"/>
                <w:color w:val="000000"/>
                <w:sz w:val="18"/>
                <w:szCs w:val="18"/>
              </w:rPr>
            </w:pPr>
          </w:p>
        </w:tc>
        <w:tc>
          <w:tcPr>
            <w:tcW w:w="977" w:type="dxa"/>
            <w:gridSpan w:val="2"/>
            <w:tcBorders>
              <w:top w:val="nil"/>
              <w:left w:val="nil"/>
              <w:bottom w:val="nil"/>
              <w:right w:val="nil"/>
            </w:tcBorders>
            <w:shd w:val="clear" w:color="auto" w:fill="auto"/>
            <w:vAlign w:val="center"/>
            <w:hideMark/>
          </w:tcPr>
          <w:p w14:paraId="16BFDF57" w14:textId="77777777" w:rsidR="00C45D5B" w:rsidRPr="00732C61" w:rsidRDefault="00C45D5B" w:rsidP="00CF774B">
            <w:pPr>
              <w:jc w:val="center"/>
              <w:rPr>
                <w:color w:val="000000"/>
                <w:sz w:val="18"/>
                <w:szCs w:val="18"/>
              </w:rPr>
            </w:pPr>
            <w:r w:rsidRPr="00732C61">
              <w:rPr>
                <w:color w:val="000000"/>
                <w:sz w:val="18"/>
                <w:szCs w:val="18"/>
              </w:rPr>
              <w:t>1,3</w:t>
            </w:r>
          </w:p>
        </w:tc>
        <w:tc>
          <w:tcPr>
            <w:tcW w:w="985" w:type="dxa"/>
            <w:gridSpan w:val="2"/>
            <w:tcBorders>
              <w:top w:val="nil"/>
              <w:left w:val="nil"/>
              <w:bottom w:val="nil"/>
              <w:right w:val="nil"/>
            </w:tcBorders>
            <w:shd w:val="clear" w:color="auto" w:fill="auto"/>
            <w:noWrap/>
            <w:vAlign w:val="center"/>
            <w:hideMark/>
          </w:tcPr>
          <w:p w14:paraId="59E7BE5B" w14:textId="77777777" w:rsidR="00C45D5B" w:rsidRPr="00732C61" w:rsidRDefault="00C45D5B" w:rsidP="00CF774B">
            <w:pPr>
              <w:jc w:val="center"/>
              <w:rPr>
                <w:color w:val="000000"/>
                <w:sz w:val="18"/>
                <w:szCs w:val="18"/>
              </w:rPr>
            </w:pPr>
            <w:r w:rsidRPr="00732C61">
              <w:rPr>
                <w:color w:val="000000"/>
                <w:sz w:val="18"/>
                <w:szCs w:val="18"/>
              </w:rPr>
              <w:t>3,9</w:t>
            </w:r>
          </w:p>
        </w:tc>
        <w:tc>
          <w:tcPr>
            <w:tcW w:w="984" w:type="dxa"/>
            <w:gridSpan w:val="3"/>
            <w:tcBorders>
              <w:top w:val="nil"/>
              <w:left w:val="nil"/>
              <w:bottom w:val="nil"/>
              <w:right w:val="nil"/>
            </w:tcBorders>
            <w:shd w:val="clear" w:color="auto" w:fill="auto"/>
            <w:noWrap/>
            <w:vAlign w:val="center"/>
            <w:hideMark/>
          </w:tcPr>
          <w:p w14:paraId="2A7E9A47" w14:textId="77777777" w:rsidR="00C45D5B" w:rsidRPr="00732C61" w:rsidRDefault="00C45D5B" w:rsidP="00CF774B">
            <w:pPr>
              <w:jc w:val="center"/>
              <w:rPr>
                <w:color w:val="000000"/>
                <w:sz w:val="18"/>
                <w:szCs w:val="18"/>
              </w:rPr>
            </w:pPr>
            <w:r w:rsidRPr="00732C61">
              <w:rPr>
                <w:color w:val="000000"/>
                <w:sz w:val="18"/>
                <w:szCs w:val="18"/>
              </w:rPr>
              <w:t>9,8</w:t>
            </w:r>
          </w:p>
        </w:tc>
        <w:tc>
          <w:tcPr>
            <w:tcW w:w="980" w:type="dxa"/>
            <w:gridSpan w:val="4"/>
            <w:tcBorders>
              <w:top w:val="nil"/>
              <w:left w:val="nil"/>
              <w:bottom w:val="nil"/>
              <w:right w:val="nil"/>
            </w:tcBorders>
            <w:shd w:val="clear" w:color="auto" w:fill="auto"/>
            <w:noWrap/>
            <w:vAlign w:val="center"/>
            <w:hideMark/>
          </w:tcPr>
          <w:p w14:paraId="55F15AE0" w14:textId="77777777" w:rsidR="00C45D5B" w:rsidRPr="00732C61" w:rsidRDefault="00C45D5B" w:rsidP="00CF774B">
            <w:pPr>
              <w:jc w:val="center"/>
              <w:rPr>
                <w:color w:val="000000"/>
                <w:sz w:val="18"/>
                <w:szCs w:val="18"/>
              </w:rPr>
            </w:pPr>
            <w:r w:rsidRPr="00732C61">
              <w:rPr>
                <w:color w:val="000000"/>
                <w:sz w:val="18"/>
                <w:szCs w:val="18"/>
              </w:rPr>
              <w:t>5,0</w:t>
            </w:r>
          </w:p>
        </w:tc>
        <w:tc>
          <w:tcPr>
            <w:tcW w:w="980" w:type="dxa"/>
            <w:gridSpan w:val="3"/>
            <w:tcBorders>
              <w:top w:val="nil"/>
              <w:left w:val="nil"/>
              <w:bottom w:val="nil"/>
              <w:right w:val="nil"/>
            </w:tcBorders>
            <w:shd w:val="clear" w:color="auto" w:fill="auto"/>
            <w:noWrap/>
            <w:vAlign w:val="center"/>
            <w:hideMark/>
          </w:tcPr>
          <w:p w14:paraId="27382F59" w14:textId="77777777" w:rsidR="00C45D5B" w:rsidRPr="00732C61" w:rsidRDefault="00C45D5B" w:rsidP="00CF774B">
            <w:pPr>
              <w:jc w:val="center"/>
              <w:rPr>
                <w:color w:val="000000"/>
                <w:sz w:val="18"/>
                <w:szCs w:val="18"/>
              </w:rPr>
            </w:pPr>
            <w:r w:rsidRPr="00732C61">
              <w:rPr>
                <w:color w:val="000000"/>
                <w:sz w:val="18"/>
                <w:szCs w:val="18"/>
              </w:rPr>
              <w:t>2,6</w:t>
            </w:r>
          </w:p>
        </w:tc>
        <w:tc>
          <w:tcPr>
            <w:tcW w:w="987" w:type="dxa"/>
            <w:gridSpan w:val="2"/>
            <w:tcBorders>
              <w:top w:val="nil"/>
              <w:left w:val="nil"/>
              <w:bottom w:val="nil"/>
              <w:right w:val="nil"/>
            </w:tcBorders>
            <w:shd w:val="clear" w:color="auto" w:fill="auto"/>
            <w:noWrap/>
            <w:vAlign w:val="center"/>
            <w:hideMark/>
          </w:tcPr>
          <w:p w14:paraId="317D395B" w14:textId="77777777" w:rsidR="00C45D5B" w:rsidRPr="00732C61" w:rsidRDefault="00C45D5B" w:rsidP="00CF774B">
            <w:pPr>
              <w:jc w:val="center"/>
              <w:rPr>
                <w:color w:val="000000"/>
                <w:sz w:val="18"/>
                <w:szCs w:val="18"/>
              </w:rPr>
            </w:pPr>
            <w:r w:rsidRPr="00732C61">
              <w:rPr>
                <w:color w:val="000000"/>
                <w:sz w:val="18"/>
                <w:szCs w:val="18"/>
              </w:rPr>
              <w:t>2,2</w:t>
            </w:r>
          </w:p>
        </w:tc>
      </w:tr>
      <w:tr w:rsidR="00C45D5B" w:rsidRPr="00732C61" w14:paraId="5D38B08F" w14:textId="77777777" w:rsidTr="00CF774B">
        <w:trPr>
          <w:gridAfter w:val="3"/>
          <w:wAfter w:w="524" w:type="dxa"/>
          <w:trHeight w:val="279"/>
        </w:trPr>
        <w:tc>
          <w:tcPr>
            <w:tcW w:w="2650" w:type="dxa"/>
            <w:tcBorders>
              <w:top w:val="nil"/>
              <w:left w:val="nil"/>
              <w:bottom w:val="nil"/>
              <w:right w:val="nil"/>
            </w:tcBorders>
            <w:shd w:val="clear" w:color="auto" w:fill="auto"/>
            <w:vAlign w:val="center"/>
            <w:hideMark/>
          </w:tcPr>
          <w:p w14:paraId="379196BF" w14:textId="77777777" w:rsidR="00C45D5B" w:rsidRPr="00732C61" w:rsidRDefault="00C45D5B" w:rsidP="00CF774B">
            <w:pPr>
              <w:rPr>
                <w:rFonts w:cs="Times New Roman"/>
                <w:color w:val="000000"/>
                <w:sz w:val="18"/>
                <w:szCs w:val="18"/>
              </w:rPr>
            </w:pPr>
            <w:r w:rsidRPr="00732C61">
              <w:rPr>
                <w:rFonts w:cs="Times New Roman"/>
                <w:color w:val="000000"/>
                <w:sz w:val="18"/>
                <w:szCs w:val="18"/>
              </w:rPr>
              <w:t>5. Deflátor investícií</w:t>
            </w:r>
          </w:p>
        </w:tc>
        <w:tc>
          <w:tcPr>
            <w:tcW w:w="462" w:type="dxa"/>
            <w:tcBorders>
              <w:top w:val="nil"/>
              <w:left w:val="nil"/>
              <w:bottom w:val="nil"/>
              <w:right w:val="nil"/>
            </w:tcBorders>
            <w:shd w:val="clear" w:color="auto" w:fill="auto"/>
            <w:vAlign w:val="bottom"/>
            <w:hideMark/>
          </w:tcPr>
          <w:p w14:paraId="6750E0E5" w14:textId="77777777" w:rsidR="00C45D5B" w:rsidRPr="00732C61" w:rsidRDefault="00C45D5B" w:rsidP="00CF774B">
            <w:pPr>
              <w:rPr>
                <w:rFonts w:cs="Times New Roman"/>
                <w:color w:val="000000"/>
                <w:sz w:val="18"/>
                <w:szCs w:val="18"/>
              </w:rPr>
            </w:pPr>
          </w:p>
        </w:tc>
        <w:tc>
          <w:tcPr>
            <w:tcW w:w="977" w:type="dxa"/>
            <w:gridSpan w:val="2"/>
            <w:tcBorders>
              <w:top w:val="nil"/>
              <w:left w:val="nil"/>
              <w:bottom w:val="nil"/>
              <w:right w:val="nil"/>
            </w:tcBorders>
            <w:shd w:val="clear" w:color="auto" w:fill="auto"/>
            <w:vAlign w:val="center"/>
            <w:hideMark/>
          </w:tcPr>
          <w:p w14:paraId="24D0A449" w14:textId="77777777" w:rsidR="00C45D5B" w:rsidRPr="00732C61" w:rsidRDefault="00C45D5B" w:rsidP="00CF774B">
            <w:pPr>
              <w:jc w:val="center"/>
              <w:rPr>
                <w:color w:val="000000"/>
                <w:sz w:val="18"/>
                <w:szCs w:val="18"/>
              </w:rPr>
            </w:pPr>
            <w:r w:rsidRPr="00732C61">
              <w:rPr>
                <w:color w:val="000000"/>
                <w:sz w:val="18"/>
                <w:szCs w:val="18"/>
              </w:rPr>
              <w:t>1,1</w:t>
            </w:r>
          </w:p>
        </w:tc>
        <w:tc>
          <w:tcPr>
            <w:tcW w:w="985" w:type="dxa"/>
            <w:gridSpan w:val="2"/>
            <w:tcBorders>
              <w:top w:val="nil"/>
              <w:left w:val="nil"/>
              <w:bottom w:val="nil"/>
              <w:right w:val="nil"/>
            </w:tcBorders>
            <w:shd w:val="clear" w:color="auto" w:fill="auto"/>
            <w:noWrap/>
            <w:vAlign w:val="center"/>
            <w:hideMark/>
          </w:tcPr>
          <w:p w14:paraId="733B37FE" w14:textId="77777777" w:rsidR="00C45D5B" w:rsidRPr="00732C61" w:rsidRDefault="00C45D5B" w:rsidP="00CF774B">
            <w:pPr>
              <w:jc w:val="center"/>
              <w:rPr>
                <w:color w:val="000000"/>
                <w:sz w:val="18"/>
                <w:szCs w:val="18"/>
              </w:rPr>
            </w:pPr>
            <w:r w:rsidRPr="00732C61">
              <w:rPr>
                <w:color w:val="000000"/>
                <w:sz w:val="18"/>
                <w:szCs w:val="18"/>
              </w:rPr>
              <w:t>2,2</w:t>
            </w:r>
          </w:p>
        </w:tc>
        <w:tc>
          <w:tcPr>
            <w:tcW w:w="984" w:type="dxa"/>
            <w:gridSpan w:val="3"/>
            <w:tcBorders>
              <w:top w:val="nil"/>
              <w:left w:val="nil"/>
              <w:bottom w:val="nil"/>
              <w:right w:val="nil"/>
            </w:tcBorders>
            <w:shd w:val="clear" w:color="auto" w:fill="auto"/>
            <w:noWrap/>
            <w:vAlign w:val="center"/>
            <w:hideMark/>
          </w:tcPr>
          <w:p w14:paraId="41E0034F" w14:textId="77777777" w:rsidR="00C45D5B" w:rsidRPr="00732C61" w:rsidRDefault="00C45D5B" w:rsidP="00CF774B">
            <w:pPr>
              <w:jc w:val="center"/>
              <w:rPr>
                <w:color w:val="000000"/>
                <w:sz w:val="18"/>
                <w:szCs w:val="18"/>
              </w:rPr>
            </w:pPr>
            <w:r w:rsidRPr="00732C61">
              <w:rPr>
                <w:color w:val="000000"/>
                <w:sz w:val="18"/>
                <w:szCs w:val="18"/>
              </w:rPr>
              <w:t>7,1</w:t>
            </w:r>
          </w:p>
        </w:tc>
        <w:tc>
          <w:tcPr>
            <w:tcW w:w="980" w:type="dxa"/>
            <w:gridSpan w:val="4"/>
            <w:tcBorders>
              <w:top w:val="nil"/>
              <w:left w:val="nil"/>
              <w:bottom w:val="nil"/>
              <w:right w:val="nil"/>
            </w:tcBorders>
            <w:shd w:val="clear" w:color="auto" w:fill="auto"/>
            <w:noWrap/>
            <w:vAlign w:val="center"/>
            <w:hideMark/>
          </w:tcPr>
          <w:p w14:paraId="49EBC73D" w14:textId="77777777" w:rsidR="00C45D5B" w:rsidRPr="00732C61" w:rsidRDefault="00C45D5B" w:rsidP="00CF774B">
            <w:pPr>
              <w:jc w:val="center"/>
              <w:rPr>
                <w:color w:val="000000"/>
                <w:sz w:val="18"/>
                <w:szCs w:val="18"/>
              </w:rPr>
            </w:pPr>
            <w:r w:rsidRPr="00732C61">
              <w:rPr>
                <w:color w:val="000000"/>
                <w:sz w:val="18"/>
                <w:szCs w:val="18"/>
              </w:rPr>
              <w:t>3,4</w:t>
            </w:r>
          </w:p>
        </w:tc>
        <w:tc>
          <w:tcPr>
            <w:tcW w:w="980" w:type="dxa"/>
            <w:gridSpan w:val="3"/>
            <w:tcBorders>
              <w:top w:val="nil"/>
              <w:left w:val="nil"/>
              <w:bottom w:val="nil"/>
              <w:right w:val="nil"/>
            </w:tcBorders>
            <w:shd w:val="clear" w:color="auto" w:fill="auto"/>
            <w:noWrap/>
            <w:vAlign w:val="center"/>
            <w:hideMark/>
          </w:tcPr>
          <w:p w14:paraId="75474B52" w14:textId="77777777" w:rsidR="00C45D5B" w:rsidRPr="00732C61" w:rsidRDefault="00C45D5B" w:rsidP="00CF774B">
            <w:pPr>
              <w:jc w:val="center"/>
              <w:rPr>
                <w:color w:val="000000"/>
                <w:sz w:val="18"/>
                <w:szCs w:val="18"/>
              </w:rPr>
            </w:pPr>
            <w:r w:rsidRPr="00732C61">
              <w:rPr>
                <w:color w:val="000000"/>
                <w:sz w:val="18"/>
                <w:szCs w:val="18"/>
              </w:rPr>
              <w:t>3,4</w:t>
            </w:r>
          </w:p>
        </w:tc>
        <w:tc>
          <w:tcPr>
            <w:tcW w:w="987" w:type="dxa"/>
            <w:gridSpan w:val="2"/>
            <w:tcBorders>
              <w:top w:val="nil"/>
              <w:left w:val="nil"/>
              <w:bottom w:val="nil"/>
              <w:right w:val="nil"/>
            </w:tcBorders>
            <w:shd w:val="clear" w:color="auto" w:fill="auto"/>
            <w:noWrap/>
            <w:vAlign w:val="center"/>
            <w:hideMark/>
          </w:tcPr>
          <w:p w14:paraId="4B2172AA" w14:textId="77777777" w:rsidR="00C45D5B" w:rsidRPr="00732C61" w:rsidRDefault="00C45D5B" w:rsidP="00CF774B">
            <w:pPr>
              <w:jc w:val="center"/>
              <w:rPr>
                <w:color w:val="000000"/>
                <w:sz w:val="18"/>
                <w:szCs w:val="18"/>
              </w:rPr>
            </w:pPr>
            <w:r w:rsidRPr="00732C61">
              <w:rPr>
                <w:color w:val="000000"/>
                <w:sz w:val="18"/>
                <w:szCs w:val="18"/>
              </w:rPr>
              <w:t>2,7</w:t>
            </w:r>
          </w:p>
        </w:tc>
      </w:tr>
      <w:tr w:rsidR="00C45D5B" w:rsidRPr="00732C61" w14:paraId="6D53C5A9" w14:textId="77777777" w:rsidTr="00CF774B">
        <w:trPr>
          <w:gridAfter w:val="3"/>
          <w:wAfter w:w="524" w:type="dxa"/>
          <w:trHeight w:val="279"/>
        </w:trPr>
        <w:tc>
          <w:tcPr>
            <w:tcW w:w="2650" w:type="dxa"/>
            <w:tcBorders>
              <w:top w:val="nil"/>
              <w:left w:val="nil"/>
              <w:bottom w:val="nil"/>
              <w:right w:val="nil"/>
            </w:tcBorders>
            <w:shd w:val="clear" w:color="auto" w:fill="auto"/>
            <w:vAlign w:val="center"/>
            <w:hideMark/>
          </w:tcPr>
          <w:p w14:paraId="62DA3EC1" w14:textId="77777777" w:rsidR="00C45D5B" w:rsidRPr="00732C61" w:rsidRDefault="00C45D5B" w:rsidP="00CF774B">
            <w:pPr>
              <w:rPr>
                <w:rFonts w:cs="Times New Roman"/>
                <w:color w:val="000000"/>
                <w:sz w:val="18"/>
                <w:szCs w:val="18"/>
              </w:rPr>
            </w:pPr>
            <w:r w:rsidRPr="00732C61">
              <w:rPr>
                <w:rFonts w:cs="Times New Roman"/>
                <w:color w:val="000000"/>
                <w:sz w:val="18"/>
                <w:szCs w:val="18"/>
              </w:rPr>
              <w:t>6. Deflátor exportu tovarov a služieb</w:t>
            </w:r>
          </w:p>
        </w:tc>
        <w:tc>
          <w:tcPr>
            <w:tcW w:w="462" w:type="dxa"/>
            <w:tcBorders>
              <w:top w:val="nil"/>
              <w:left w:val="nil"/>
              <w:bottom w:val="nil"/>
              <w:right w:val="nil"/>
            </w:tcBorders>
            <w:shd w:val="clear" w:color="auto" w:fill="auto"/>
            <w:vAlign w:val="bottom"/>
            <w:hideMark/>
          </w:tcPr>
          <w:p w14:paraId="69A66606" w14:textId="77777777" w:rsidR="00C45D5B" w:rsidRPr="00732C61" w:rsidRDefault="00C45D5B" w:rsidP="00CF774B">
            <w:pPr>
              <w:rPr>
                <w:rFonts w:cs="Times New Roman"/>
                <w:color w:val="000000"/>
                <w:sz w:val="18"/>
                <w:szCs w:val="18"/>
              </w:rPr>
            </w:pPr>
          </w:p>
        </w:tc>
        <w:tc>
          <w:tcPr>
            <w:tcW w:w="977" w:type="dxa"/>
            <w:gridSpan w:val="2"/>
            <w:tcBorders>
              <w:top w:val="nil"/>
              <w:left w:val="nil"/>
              <w:bottom w:val="nil"/>
              <w:right w:val="nil"/>
            </w:tcBorders>
            <w:shd w:val="clear" w:color="auto" w:fill="auto"/>
            <w:vAlign w:val="center"/>
            <w:hideMark/>
          </w:tcPr>
          <w:p w14:paraId="2FA4F44F" w14:textId="77777777" w:rsidR="00C45D5B" w:rsidRPr="00732C61" w:rsidRDefault="00C45D5B" w:rsidP="00CF774B">
            <w:pPr>
              <w:jc w:val="center"/>
              <w:rPr>
                <w:color w:val="000000"/>
                <w:sz w:val="18"/>
                <w:szCs w:val="18"/>
              </w:rPr>
            </w:pPr>
            <w:r w:rsidRPr="00732C61">
              <w:rPr>
                <w:color w:val="000000"/>
                <w:sz w:val="18"/>
                <w:szCs w:val="18"/>
              </w:rPr>
              <w:t>1,1</w:t>
            </w:r>
          </w:p>
        </w:tc>
        <w:tc>
          <w:tcPr>
            <w:tcW w:w="985" w:type="dxa"/>
            <w:gridSpan w:val="2"/>
            <w:tcBorders>
              <w:top w:val="nil"/>
              <w:left w:val="nil"/>
              <w:bottom w:val="nil"/>
              <w:right w:val="nil"/>
            </w:tcBorders>
            <w:shd w:val="clear" w:color="auto" w:fill="auto"/>
            <w:noWrap/>
            <w:vAlign w:val="center"/>
            <w:hideMark/>
          </w:tcPr>
          <w:p w14:paraId="663D4567" w14:textId="77777777" w:rsidR="00C45D5B" w:rsidRPr="00732C61" w:rsidRDefault="00C45D5B" w:rsidP="00CF774B">
            <w:pPr>
              <w:jc w:val="center"/>
              <w:rPr>
                <w:color w:val="000000"/>
                <w:sz w:val="18"/>
                <w:szCs w:val="18"/>
              </w:rPr>
            </w:pPr>
            <w:r w:rsidRPr="00732C61">
              <w:rPr>
                <w:color w:val="000000"/>
                <w:sz w:val="18"/>
                <w:szCs w:val="18"/>
              </w:rPr>
              <w:t>5,1</w:t>
            </w:r>
          </w:p>
        </w:tc>
        <w:tc>
          <w:tcPr>
            <w:tcW w:w="984" w:type="dxa"/>
            <w:gridSpan w:val="3"/>
            <w:tcBorders>
              <w:top w:val="nil"/>
              <w:left w:val="nil"/>
              <w:bottom w:val="nil"/>
              <w:right w:val="nil"/>
            </w:tcBorders>
            <w:shd w:val="clear" w:color="auto" w:fill="auto"/>
            <w:noWrap/>
            <w:vAlign w:val="center"/>
            <w:hideMark/>
          </w:tcPr>
          <w:p w14:paraId="579C5DED" w14:textId="77777777" w:rsidR="00C45D5B" w:rsidRPr="00732C61" w:rsidRDefault="00C45D5B" w:rsidP="00CF774B">
            <w:pPr>
              <w:jc w:val="center"/>
              <w:rPr>
                <w:color w:val="000000"/>
                <w:sz w:val="18"/>
                <w:szCs w:val="18"/>
              </w:rPr>
            </w:pPr>
            <w:r w:rsidRPr="00732C61">
              <w:rPr>
                <w:color w:val="000000"/>
                <w:sz w:val="18"/>
                <w:szCs w:val="18"/>
              </w:rPr>
              <w:t>9,3</w:t>
            </w:r>
          </w:p>
        </w:tc>
        <w:tc>
          <w:tcPr>
            <w:tcW w:w="980" w:type="dxa"/>
            <w:gridSpan w:val="4"/>
            <w:tcBorders>
              <w:top w:val="nil"/>
              <w:left w:val="nil"/>
              <w:bottom w:val="nil"/>
              <w:right w:val="nil"/>
            </w:tcBorders>
            <w:shd w:val="clear" w:color="auto" w:fill="auto"/>
            <w:noWrap/>
            <w:vAlign w:val="center"/>
            <w:hideMark/>
          </w:tcPr>
          <w:p w14:paraId="24CC4150" w14:textId="77777777" w:rsidR="00C45D5B" w:rsidRPr="00732C61" w:rsidRDefault="00C45D5B" w:rsidP="00CF774B">
            <w:pPr>
              <w:jc w:val="center"/>
              <w:rPr>
                <w:color w:val="000000"/>
                <w:sz w:val="18"/>
                <w:szCs w:val="18"/>
              </w:rPr>
            </w:pPr>
            <w:r w:rsidRPr="00732C61">
              <w:rPr>
                <w:color w:val="000000"/>
                <w:sz w:val="18"/>
                <w:szCs w:val="18"/>
              </w:rPr>
              <w:t>3,0</w:t>
            </w:r>
          </w:p>
        </w:tc>
        <w:tc>
          <w:tcPr>
            <w:tcW w:w="980" w:type="dxa"/>
            <w:gridSpan w:val="3"/>
            <w:tcBorders>
              <w:top w:val="nil"/>
              <w:left w:val="nil"/>
              <w:bottom w:val="nil"/>
              <w:right w:val="nil"/>
            </w:tcBorders>
            <w:shd w:val="clear" w:color="auto" w:fill="auto"/>
            <w:noWrap/>
            <w:vAlign w:val="center"/>
            <w:hideMark/>
          </w:tcPr>
          <w:p w14:paraId="4AF26956" w14:textId="77777777" w:rsidR="00C45D5B" w:rsidRPr="00732C61" w:rsidRDefault="00C45D5B" w:rsidP="00CF774B">
            <w:pPr>
              <w:jc w:val="center"/>
              <w:rPr>
                <w:color w:val="000000"/>
                <w:sz w:val="18"/>
                <w:szCs w:val="18"/>
              </w:rPr>
            </w:pPr>
            <w:r w:rsidRPr="00732C61">
              <w:rPr>
                <w:color w:val="000000"/>
                <w:sz w:val="18"/>
                <w:szCs w:val="18"/>
              </w:rPr>
              <w:t>3,1</w:t>
            </w:r>
          </w:p>
        </w:tc>
        <w:tc>
          <w:tcPr>
            <w:tcW w:w="987" w:type="dxa"/>
            <w:gridSpan w:val="2"/>
            <w:tcBorders>
              <w:top w:val="nil"/>
              <w:left w:val="nil"/>
              <w:bottom w:val="nil"/>
              <w:right w:val="nil"/>
            </w:tcBorders>
            <w:shd w:val="clear" w:color="auto" w:fill="auto"/>
            <w:noWrap/>
            <w:vAlign w:val="center"/>
            <w:hideMark/>
          </w:tcPr>
          <w:p w14:paraId="50BFE8D3" w14:textId="77777777" w:rsidR="00C45D5B" w:rsidRPr="00732C61" w:rsidRDefault="00C45D5B" w:rsidP="00CF774B">
            <w:pPr>
              <w:jc w:val="center"/>
              <w:rPr>
                <w:color w:val="000000"/>
                <w:sz w:val="18"/>
                <w:szCs w:val="18"/>
              </w:rPr>
            </w:pPr>
            <w:r w:rsidRPr="00732C61">
              <w:rPr>
                <w:color w:val="000000"/>
                <w:sz w:val="18"/>
                <w:szCs w:val="18"/>
              </w:rPr>
              <w:t>2,5</w:t>
            </w:r>
          </w:p>
        </w:tc>
      </w:tr>
      <w:tr w:rsidR="00C45D5B" w:rsidRPr="00732C61" w14:paraId="5FCC6CD1" w14:textId="77777777" w:rsidTr="00CF774B">
        <w:trPr>
          <w:gridAfter w:val="3"/>
          <w:wAfter w:w="524" w:type="dxa"/>
          <w:trHeight w:val="279"/>
        </w:trPr>
        <w:tc>
          <w:tcPr>
            <w:tcW w:w="2650" w:type="dxa"/>
            <w:tcBorders>
              <w:top w:val="nil"/>
              <w:left w:val="nil"/>
              <w:bottom w:val="single" w:sz="8" w:space="0" w:color="auto"/>
              <w:right w:val="nil"/>
            </w:tcBorders>
            <w:shd w:val="clear" w:color="auto" w:fill="auto"/>
            <w:vAlign w:val="center"/>
            <w:hideMark/>
          </w:tcPr>
          <w:p w14:paraId="41D2CA86" w14:textId="77777777" w:rsidR="00C45D5B" w:rsidRPr="00732C61" w:rsidRDefault="00C45D5B" w:rsidP="00CF774B">
            <w:pPr>
              <w:rPr>
                <w:rFonts w:cs="Times New Roman"/>
                <w:color w:val="000000"/>
                <w:sz w:val="18"/>
                <w:szCs w:val="18"/>
              </w:rPr>
            </w:pPr>
            <w:r w:rsidRPr="00732C61">
              <w:rPr>
                <w:rFonts w:cs="Times New Roman"/>
                <w:color w:val="000000"/>
                <w:sz w:val="18"/>
                <w:szCs w:val="18"/>
              </w:rPr>
              <w:t>7. Deflátor importu tovarov a služieb</w:t>
            </w:r>
          </w:p>
        </w:tc>
        <w:tc>
          <w:tcPr>
            <w:tcW w:w="462" w:type="dxa"/>
            <w:tcBorders>
              <w:top w:val="nil"/>
              <w:left w:val="nil"/>
              <w:bottom w:val="single" w:sz="8" w:space="0" w:color="auto"/>
              <w:right w:val="nil"/>
            </w:tcBorders>
            <w:shd w:val="clear" w:color="auto" w:fill="auto"/>
            <w:vAlign w:val="bottom"/>
            <w:hideMark/>
          </w:tcPr>
          <w:p w14:paraId="4EB04055" w14:textId="77777777" w:rsidR="00C45D5B" w:rsidRPr="00732C61" w:rsidRDefault="00C45D5B" w:rsidP="00CF774B">
            <w:pPr>
              <w:jc w:val="center"/>
              <w:rPr>
                <w:rFonts w:cs="Times New Roman"/>
                <w:color w:val="000000"/>
                <w:sz w:val="18"/>
                <w:szCs w:val="18"/>
              </w:rPr>
            </w:pPr>
            <w:r w:rsidRPr="00732C61">
              <w:rPr>
                <w:rFonts w:cs="Times New Roman"/>
                <w:color w:val="000000"/>
                <w:sz w:val="18"/>
                <w:szCs w:val="18"/>
              </w:rPr>
              <w:t> </w:t>
            </w:r>
          </w:p>
        </w:tc>
        <w:tc>
          <w:tcPr>
            <w:tcW w:w="977" w:type="dxa"/>
            <w:gridSpan w:val="2"/>
            <w:tcBorders>
              <w:top w:val="nil"/>
              <w:left w:val="nil"/>
              <w:bottom w:val="single" w:sz="8" w:space="0" w:color="auto"/>
              <w:right w:val="nil"/>
            </w:tcBorders>
            <w:shd w:val="clear" w:color="auto" w:fill="auto"/>
            <w:vAlign w:val="center"/>
            <w:hideMark/>
          </w:tcPr>
          <w:p w14:paraId="5AA0EBEC" w14:textId="77777777" w:rsidR="00C45D5B" w:rsidRPr="00732C61" w:rsidRDefault="00C45D5B" w:rsidP="00CF774B">
            <w:pPr>
              <w:jc w:val="center"/>
              <w:rPr>
                <w:color w:val="000000"/>
                <w:sz w:val="18"/>
                <w:szCs w:val="18"/>
              </w:rPr>
            </w:pPr>
            <w:r w:rsidRPr="00732C61">
              <w:rPr>
                <w:color w:val="000000"/>
                <w:sz w:val="18"/>
                <w:szCs w:val="18"/>
              </w:rPr>
              <w:t>1,1</w:t>
            </w:r>
          </w:p>
        </w:tc>
        <w:tc>
          <w:tcPr>
            <w:tcW w:w="985" w:type="dxa"/>
            <w:gridSpan w:val="2"/>
            <w:tcBorders>
              <w:top w:val="nil"/>
              <w:left w:val="nil"/>
              <w:bottom w:val="single" w:sz="8" w:space="0" w:color="auto"/>
              <w:right w:val="nil"/>
            </w:tcBorders>
            <w:shd w:val="clear" w:color="auto" w:fill="auto"/>
            <w:noWrap/>
            <w:vAlign w:val="center"/>
            <w:hideMark/>
          </w:tcPr>
          <w:p w14:paraId="6A879DEA" w14:textId="77777777" w:rsidR="00C45D5B" w:rsidRPr="00732C61" w:rsidRDefault="00C45D5B" w:rsidP="00CF774B">
            <w:pPr>
              <w:jc w:val="center"/>
              <w:rPr>
                <w:color w:val="000000"/>
                <w:sz w:val="18"/>
                <w:szCs w:val="18"/>
              </w:rPr>
            </w:pPr>
            <w:r w:rsidRPr="00732C61">
              <w:rPr>
                <w:color w:val="000000"/>
                <w:sz w:val="18"/>
                <w:szCs w:val="18"/>
              </w:rPr>
              <w:t>6,0</w:t>
            </w:r>
          </w:p>
        </w:tc>
        <w:tc>
          <w:tcPr>
            <w:tcW w:w="984" w:type="dxa"/>
            <w:gridSpan w:val="3"/>
            <w:tcBorders>
              <w:top w:val="nil"/>
              <w:left w:val="nil"/>
              <w:bottom w:val="single" w:sz="8" w:space="0" w:color="auto"/>
              <w:right w:val="nil"/>
            </w:tcBorders>
            <w:shd w:val="clear" w:color="auto" w:fill="auto"/>
            <w:noWrap/>
            <w:vAlign w:val="center"/>
            <w:hideMark/>
          </w:tcPr>
          <w:p w14:paraId="6FC20A66" w14:textId="77777777" w:rsidR="00C45D5B" w:rsidRPr="00732C61" w:rsidRDefault="00C45D5B" w:rsidP="00CF774B">
            <w:pPr>
              <w:jc w:val="center"/>
              <w:rPr>
                <w:color w:val="000000"/>
                <w:sz w:val="18"/>
                <w:szCs w:val="18"/>
              </w:rPr>
            </w:pPr>
            <w:r w:rsidRPr="00732C61">
              <w:rPr>
                <w:color w:val="000000"/>
                <w:sz w:val="18"/>
                <w:szCs w:val="18"/>
              </w:rPr>
              <w:t>10,3</w:t>
            </w:r>
          </w:p>
        </w:tc>
        <w:tc>
          <w:tcPr>
            <w:tcW w:w="980" w:type="dxa"/>
            <w:gridSpan w:val="4"/>
            <w:tcBorders>
              <w:top w:val="nil"/>
              <w:left w:val="nil"/>
              <w:bottom w:val="single" w:sz="8" w:space="0" w:color="auto"/>
              <w:right w:val="nil"/>
            </w:tcBorders>
            <w:shd w:val="clear" w:color="auto" w:fill="auto"/>
            <w:noWrap/>
            <w:vAlign w:val="center"/>
            <w:hideMark/>
          </w:tcPr>
          <w:p w14:paraId="0215D695" w14:textId="77777777" w:rsidR="00C45D5B" w:rsidRPr="00732C61" w:rsidRDefault="00C45D5B" w:rsidP="00CF774B">
            <w:pPr>
              <w:jc w:val="center"/>
              <w:rPr>
                <w:color w:val="000000"/>
                <w:sz w:val="18"/>
                <w:szCs w:val="18"/>
              </w:rPr>
            </w:pPr>
            <w:r w:rsidRPr="00732C61">
              <w:rPr>
                <w:color w:val="000000"/>
                <w:sz w:val="18"/>
                <w:szCs w:val="18"/>
              </w:rPr>
              <w:t>3,1</w:t>
            </w:r>
          </w:p>
        </w:tc>
        <w:tc>
          <w:tcPr>
            <w:tcW w:w="980" w:type="dxa"/>
            <w:gridSpan w:val="3"/>
            <w:tcBorders>
              <w:top w:val="nil"/>
              <w:left w:val="nil"/>
              <w:bottom w:val="single" w:sz="8" w:space="0" w:color="auto"/>
              <w:right w:val="nil"/>
            </w:tcBorders>
            <w:shd w:val="clear" w:color="auto" w:fill="auto"/>
            <w:noWrap/>
            <w:vAlign w:val="center"/>
            <w:hideMark/>
          </w:tcPr>
          <w:p w14:paraId="1AD5B86B" w14:textId="77777777" w:rsidR="00C45D5B" w:rsidRPr="00732C61" w:rsidRDefault="00C45D5B" w:rsidP="00CF774B">
            <w:pPr>
              <w:jc w:val="center"/>
              <w:rPr>
                <w:color w:val="000000"/>
                <w:sz w:val="18"/>
                <w:szCs w:val="18"/>
              </w:rPr>
            </w:pPr>
            <w:r w:rsidRPr="00732C61">
              <w:rPr>
                <w:color w:val="000000"/>
                <w:sz w:val="18"/>
                <w:szCs w:val="18"/>
              </w:rPr>
              <w:t>3,0</w:t>
            </w:r>
          </w:p>
        </w:tc>
        <w:tc>
          <w:tcPr>
            <w:tcW w:w="987" w:type="dxa"/>
            <w:gridSpan w:val="2"/>
            <w:tcBorders>
              <w:top w:val="nil"/>
              <w:left w:val="nil"/>
              <w:bottom w:val="single" w:sz="8" w:space="0" w:color="auto"/>
              <w:right w:val="nil"/>
            </w:tcBorders>
            <w:shd w:val="clear" w:color="auto" w:fill="auto"/>
            <w:noWrap/>
            <w:vAlign w:val="center"/>
            <w:hideMark/>
          </w:tcPr>
          <w:p w14:paraId="1410B3BF" w14:textId="77777777" w:rsidR="00C45D5B" w:rsidRPr="00732C61" w:rsidRDefault="00C45D5B" w:rsidP="00CF774B">
            <w:pPr>
              <w:jc w:val="center"/>
              <w:rPr>
                <w:color w:val="000000"/>
                <w:sz w:val="18"/>
                <w:szCs w:val="18"/>
              </w:rPr>
            </w:pPr>
            <w:r w:rsidRPr="00732C61">
              <w:rPr>
                <w:color w:val="000000"/>
                <w:sz w:val="18"/>
                <w:szCs w:val="18"/>
              </w:rPr>
              <w:t>2,4</w:t>
            </w:r>
          </w:p>
        </w:tc>
      </w:tr>
      <w:tr w:rsidR="00C45D5B" w:rsidRPr="00AB54ED" w14:paraId="4418EABB" w14:textId="77777777" w:rsidTr="00CF774B">
        <w:trPr>
          <w:trHeight w:val="279"/>
        </w:trPr>
        <w:tc>
          <w:tcPr>
            <w:tcW w:w="9529" w:type="dxa"/>
            <w:gridSpan w:val="21"/>
            <w:tcBorders>
              <w:top w:val="single" w:sz="4" w:space="0" w:color="FFFFFF"/>
              <w:left w:val="nil"/>
              <w:right w:val="nil"/>
            </w:tcBorders>
            <w:shd w:val="clear" w:color="auto" w:fill="auto"/>
            <w:noWrap/>
            <w:vAlign w:val="center"/>
            <w:hideMark/>
          </w:tcPr>
          <w:p w14:paraId="4077843D" w14:textId="77777777" w:rsidR="00C45D5B" w:rsidRPr="00732C61" w:rsidRDefault="00C45D5B" w:rsidP="00CF774B">
            <w:pPr>
              <w:ind w:right="528"/>
              <w:jc w:val="right"/>
              <w:rPr>
                <w:rFonts w:cs="Times New Roman"/>
                <w:i/>
                <w:iCs/>
                <w:color w:val="000000"/>
                <w:sz w:val="18"/>
                <w:szCs w:val="18"/>
              </w:rPr>
            </w:pPr>
            <w:r w:rsidRPr="00732C61">
              <w:rPr>
                <w:rFonts w:cs="Times New Roman"/>
                <w:i/>
                <w:iCs/>
                <w:color w:val="000000"/>
                <w:sz w:val="16"/>
                <w:szCs w:val="18"/>
              </w:rPr>
              <w:t>Zdroj: MF SR</w:t>
            </w:r>
          </w:p>
        </w:tc>
      </w:tr>
      <w:tr w:rsidR="00C45D5B" w:rsidRPr="00AB54ED" w14:paraId="706EDD88" w14:textId="77777777" w:rsidTr="00CF774B">
        <w:trPr>
          <w:trHeight w:val="279"/>
        </w:trPr>
        <w:tc>
          <w:tcPr>
            <w:tcW w:w="9529" w:type="dxa"/>
            <w:gridSpan w:val="21"/>
            <w:tcBorders>
              <w:left w:val="nil"/>
              <w:bottom w:val="nil"/>
              <w:right w:val="nil"/>
            </w:tcBorders>
            <w:shd w:val="clear" w:color="auto" w:fill="auto"/>
            <w:noWrap/>
            <w:vAlign w:val="center"/>
            <w:hideMark/>
          </w:tcPr>
          <w:p w14:paraId="0AF1E838" w14:textId="77777777" w:rsidR="00C45D5B" w:rsidRPr="006401D1" w:rsidRDefault="00C45D5B" w:rsidP="00CF774B">
            <w:pPr>
              <w:rPr>
                <w:rFonts w:eastAsiaTheme="minorHAnsi"/>
                <w:b/>
                <w:color w:val="2C9ADC"/>
                <w:sz w:val="18"/>
                <w:szCs w:val="18"/>
                <w:lang w:eastAsia="en-US"/>
              </w:rPr>
            </w:pPr>
            <w:bookmarkStart w:id="227" w:name="_Toc480905414"/>
            <w:bookmarkStart w:id="228" w:name="_Toc40186690"/>
          </w:p>
          <w:p w14:paraId="7D666F7A" w14:textId="77777777" w:rsidR="00C45D5B" w:rsidRPr="006401D1" w:rsidRDefault="00C45D5B" w:rsidP="00CF774B">
            <w:pPr>
              <w:rPr>
                <w:rFonts w:eastAsiaTheme="minorHAnsi"/>
                <w:b/>
                <w:color w:val="2C9ADC"/>
                <w:sz w:val="18"/>
                <w:szCs w:val="18"/>
                <w:lang w:eastAsia="en-US"/>
              </w:rPr>
            </w:pPr>
          </w:p>
          <w:p w14:paraId="5DCF91EE" w14:textId="77777777" w:rsidR="00C45D5B" w:rsidRPr="006401D1" w:rsidRDefault="00C45D5B" w:rsidP="00CF774B">
            <w:pPr>
              <w:rPr>
                <w:rFonts w:eastAsiaTheme="minorHAnsi"/>
                <w:b/>
                <w:color w:val="2C9ADC"/>
                <w:sz w:val="18"/>
                <w:szCs w:val="18"/>
                <w:lang w:eastAsia="en-US"/>
              </w:rPr>
            </w:pPr>
          </w:p>
          <w:tbl>
            <w:tblPr>
              <w:tblW w:w="8967" w:type="dxa"/>
              <w:tblLayout w:type="fixed"/>
              <w:tblCellMar>
                <w:left w:w="70" w:type="dxa"/>
                <w:right w:w="70" w:type="dxa"/>
              </w:tblCellMar>
              <w:tblLook w:val="04A0" w:firstRow="1" w:lastRow="0" w:firstColumn="1" w:lastColumn="0" w:noHBand="0" w:noVBand="1"/>
            </w:tblPr>
            <w:tblGrid>
              <w:gridCol w:w="3474"/>
              <w:gridCol w:w="679"/>
              <w:gridCol w:w="931"/>
              <w:gridCol w:w="775"/>
              <w:gridCol w:w="775"/>
              <w:gridCol w:w="213"/>
              <w:gridCol w:w="567"/>
              <w:gridCol w:w="775"/>
              <w:gridCol w:w="211"/>
              <w:gridCol w:w="461"/>
              <w:gridCol w:w="106"/>
            </w:tblGrid>
            <w:tr w:rsidR="00C45D5B" w:rsidRPr="006401D1" w14:paraId="476F84F3" w14:textId="77777777" w:rsidTr="00CF774B">
              <w:trPr>
                <w:gridAfter w:val="2"/>
                <w:wAfter w:w="567" w:type="dxa"/>
                <w:trHeight w:val="287"/>
              </w:trPr>
              <w:tc>
                <w:tcPr>
                  <w:tcW w:w="8400" w:type="dxa"/>
                  <w:gridSpan w:val="9"/>
                  <w:tcBorders>
                    <w:top w:val="nil"/>
                    <w:left w:val="nil"/>
                    <w:bottom w:val="single" w:sz="8" w:space="0" w:color="auto"/>
                    <w:right w:val="nil"/>
                  </w:tcBorders>
                  <w:shd w:val="clear" w:color="auto" w:fill="auto"/>
                  <w:noWrap/>
                  <w:vAlign w:val="center"/>
                  <w:hideMark/>
                </w:tcPr>
                <w:p w14:paraId="7F1E45FA" w14:textId="282F057D" w:rsidR="00C45D5B" w:rsidRPr="006401D1" w:rsidRDefault="00C45D5B" w:rsidP="00CF774B">
                  <w:pPr>
                    <w:rPr>
                      <w:rFonts w:eastAsiaTheme="minorHAnsi"/>
                      <w:b/>
                      <w:color w:val="2C9ADC"/>
                      <w:sz w:val="20"/>
                      <w:szCs w:val="20"/>
                      <w:lang w:eastAsia="en-US"/>
                    </w:rPr>
                  </w:pPr>
                  <w:bookmarkStart w:id="229" w:name="_Toc480905412"/>
                  <w:bookmarkStart w:id="230" w:name="_Toc6314219"/>
                  <w:bookmarkStart w:id="231" w:name="_Toc71622459"/>
                  <w:bookmarkStart w:id="232" w:name="_Toc101880700"/>
                  <w:r w:rsidRPr="006401D1">
                    <w:rPr>
                      <w:rFonts w:eastAsiaTheme="minorHAnsi"/>
                      <w:b/>
                      <w:color w:val="2C9ADC"/>
                      <w:sz w:val="20"/>
                      <w:szCs w:val="20"/>
                      <w:lang w:eastAsia="en-US"/>
                    </w:rPr>
                    <w:t xml:space="preserve">TABUĽKA </w:t>
                  </w:r>
                  <w:r w:rsidRPr="006401D1">
                    <w:rPr>
                      <w:rFonts w:eastAsiaTheme="minorHAnsi"/>
                      <w:b/>
                      <w:color w:val="2C9ADC"/>
                      <w:sz w:val="20"/>
                      <w:szCs w:val="20"/>
                      <w:lang w:eastAsia="en-US"/>
                    </w:rPr>
                    <w:fldChar w:fldCharType="begin"/>
                  </w:r>
                  <w:r w:rsidRPr="006401D1">
                    <w:rPr>
                      <w:rFonts w:eastAsiaTheme="minorHAnsi"/>
                      <w:b/>
                      <w:color w:val="2C9ADC"/>
                      <w:sz w:val="20"/>
                      <w:szCs w:val="20"/>
                      <w:lang w:eastAsia="en-US"/>
                    </w:rPr>
                    <w:instrText xml:space="preserve"> SEQ TABUĽKA \* ARABIC </w:instrText>
                  </w:r>
                  <w:r w:rsidRPr="006401D1">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21</w:t>
                  </w:r>
                  <w:r w:rsidRPr="006401D1">
                    <w:rPr>
                      <w:rFonts w:eastAsiaTheme="minorHAnsi"/>
                      <w:b/>
                      <w:color w:val="2C9ADC"/>
                      <w:sz w:val="20"/>
                      <w:szCs w:val="20"/>
                      <w:lang w:eastAsia="en-US"/>
                    </w:rPr>
                    <w:fldChar w:fldCharType="end"/>
                  </w:r>
                  <w:r w:rsidRPr="006401D1">
                    <w:rPr>
                      <w:rFonts w:eastAsiaTheme="minorHAnsi"/>
                      <w:b/>
                      <w:color w:val="2C9ADC"/>
                      <w:sz w:val="20"/>
                      <w:szCs w:val="20"/>
                      <w:lang w:eastAsia="en-US"/>
                    </w:rPr>
                    <w:t xml:space="preserve"> (Tabuľka 1c) – Ukazovatele trhu práce (ESA 2010)</w:t>
                  </w:r>
                  <w:bookmarkEnd w:id="229"/>
                  <w:bookmarkEnd w:id="230"/>
                  <w:bookmarkEnd w:id="231"/>
                  <w:bookmarkEnd w:id="232"/>
                </w:p>
              </w:tc>
            </w:tr>
            <w:tr w:rsidR="00C45D5B" w:rsidRPr="006401D1" w14:paraId="158E1F00" w14:textId="77777777" w:rsidTr="00CF774B">
              <w:trPr>
                <w:trHeight w:val="287"/>
              </w:trPr>
              <w:tc>
                <w:tcPr>
                  <w:tcW w:w="3474" w:type="dxa"/>
                  <w:vMerge w:val="restart"/>
                  <w:tcBorders>
                    <w:top w:val="nil"/>
                    <w:left w:val="nil"/>
                    <w:bottom w:val="single" w:sz="6" w:space="0" w:color="auto"/>
                    <w:right w:val="nil"/>
                  </w:tcBorders>
                  <w:shd w:val="clear" w:color="auto" w:fill="auto"/>
                  <w:vAlign w:val="bottom"/>
                  <w:hideMark/>
                </w:tcPr>
                <w:p w14:paraId="1C4C454E" w14:textId="77777777" w:rsidR="00C45D5B" w:rsidRPr="006401D1" w:rsidRDefault="00C45D5B" w:rsidP="00CF774B">
                  <w:pPr>
                    <w:rPr>
                      <w:rFonts w:cs="Times New Roman"/>
                      <w:color w:val="000000"/>
                      <w:sz w:val="18"/>
                      <w:szCs w:val="18"/>
                    </w:rPr>
                  </w:pPr>
                  <w:r w:rsidRPr="006401D1">
                    <w:rPr>
                      <w:rFonts w:cs="Times New Roman"/>
                      <w:color w:val="000000"/>
                      <w:sz w:val="18"/>
                      <w:szCs w:val="18"/>
                    </w:rPr>
                    <w:t> </w:t>
                  </w:r>
                </w:p>
              </w:tc>
              <w:tc>
                <w:tcPr>
                  <w:tcW w:w="679" w:type="dxa"/>
                  <w:vMerge w:val="restart"/>
                  <w:tcBorders>
                    <w:top w:val="nil"/>
                    <w:left w:val="nil"/>
                    <w:bottom w:val="single" w:sz="6" w:space="0" w:color="auto"/>
                    <w:right w:val="nil"/>
                  </w:tcBorders>
                  <w:shd w:val="clear" w:color="auto" w:fill="auto"/>
                  <w:vAlign w:val="center"/>
                  <w:hideMark/>
                </w:tcPr>
                <w:p w14:paraId="350B91CF"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ESA kód</w:t>
                  </w:r>
                </w:p>
                <w:p w14:paraId="17E58F30" w14:textId="77777777" w:rsidR="00C45D5B" w:rsidRPr="006401D1" w:rsidRDefault="00C45D5B" w:rsidP="00CF774B">
                  <w:pPr>
                    <w:rPr>
                      <w:rFonts w:cs="Times New Roman"/>
                      <w:sz w:val="18"/>
                      <w:szCs w:val="18"/>
                    </w:rPr>
                  </w:pPr>
                </w:p>
              </w:tc>
              <w:tc>
                <w:tcPr>
                  <w:tcW w:w="931" w:type="dxa"/>
                  <w:tcBorders>
                    <w:top w:val="nil"/>
                    <w:left w:val="nil"/>
                    <w:bottom w:val="nil"/>
                    <w:right w:val="nil"/>
                  </w:tcBorders>
                  <w:shd w:val="clear" w:color="auto" w:fill="auto"/>
                  <w:vAlign w:val="center"/>
                  <w:hideMark/>
                </w:tcPr>
                <w:p w14:paraId="5CB2E7DF"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2021</w:t>
                  </w:r>
                </w:p>
              </w:tc>
              <w:tc>
                <w:tcPr>
                  <w:tcW w:w="775" w:type="dxa"/>
                  <w:tcBorders>
                    <w:top w:val="nil"/>
                    <w:left w:val="nil"/>
                    <w:bottom w:val="nil"/>
                    <w:right w:val="nil"/>
                  </w:tcBorders>
                  <w:shd w:val="clear" w:color="auto" w:fill="auto"/>
                  <w:vAlign w:val="center"/>
                  <w:hideMark/>
                </w:tcPr>
                <w:p w14:paraId="56764222"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2021</w:t>
                  </w:r>
                </w:p>
              </w:tc>
              <w:tc>
                <w:tcPr>
                  <w:tcW w:w="775" w:type="dxa"/>
                  <w:tcBorders>
                    <w:top w:val="nil"/>
                    <w:left w:val="nil"/>
                    <w:bottom w:val="nil"/>
                    <w:right w:val="nil"/>
                  </w:tcBorders>
                  <w:shd w:val="clear" w:color="auto" w:fill="auto"/>
                  <w:vAlign w:val="center"/>
                  <w:hideMark/>
                </w:tcPr>
                <w:p w14:paraId="11D3F051"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2022</w:t>
                  </w:r>
                </w:p>
              </w:tc>
              <w:tc>
                <w:tcPr>
                  <w:tcW w:w="780" w:type="dxa"/>
                  <w:gridSpan w:val="2"/>
                  <w:tcBorders>
                    <w:top w:val="nil"/>
                    <w:left w:val="nil"/>
                    <w:bottom w:val="nil"/>
                    <w:right w:val="nil"/>
                  </w:tcBorders>
                  <w:shd w:val="clear" w:color="auto" w:fill="auto"/>
                  <w:vAlign w:val="center"/>
                  <w:hideMark/>
                </w:tcPr>
                <w:p w14:paraId="0AB6FE5D"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2023</w:t>
                  </w:r>
                </w:p>
              </w:tc>
              <w:tc>
                <w:tcPr>
                  <w:tcW w:w="775" w:type="dxa"/>
                  <w:tcBorders>
                    <w:top w:val="nil"/>
                    <w:left w:val="nil"/>
                    <w:bottom w:val="nil"/>
                    <w:right w:val="nil"/>
                  </w:tcBorders>
                  <w:shd w:val="clear" w:color="auto" w:fill="auto"/>
                  <w:vAlign w:val="center"/>
                  <w:hideMark/>
                </w:tcPr>
                <w:p w14:paraId="2948EC56"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2024</w:t>
                  </w:r>
                </w:p>
              </w:tc>
              <w:tc>
                <w:tcPr>
                  <w:tcW w:w="778" w:type="dxa"/>
                  <w:gridSpan w:val="3"/>
                  <w:tcBorders>
                    <w:top w:val="single" w:sz="8" w:space="0" w:color="auto"/>
                    <w:left w:val="nil"/>
                    <w:bottom w:val="nil"/>
                    <w:right w:val="nil"/>
                  </w:tcBorders>
                  <w:shd w:val="clear" w:color="auto" w:fill="auto"/>
                  <w:vAlign w:val="center"/>
                  <w:hideMark/>
                </w:tcPr>
                <w:p w14:paraId="6D9F5BB5"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2025</w:t>
                  </w:r>
                </w:p>
              </w:tc>
            </w:tr>
            <w:tr w:rsidR="00C45D5B" w:rsidRPr="006401D1" w14:paraId="448C64A3" w14:textId="77777777" w:rsidTr="00CF774B">
              <w:trPr>
                <w:trHeight w:val="287"/>
              </w:trPr>
              <w:tc>
                <w:tcPr>
                  <w:tcW w:w="3474" w:type="dxa"/>
                  <w:vMerge/>
                  <w:tcBorders>
                    <w:top w:val="single" w:sz="8" w:space="0" w:color="000000"/>
                    <w:left w:val="nil"/>
                    <w:bottom w:val="single" w:sz="6" w:space="0" w:color="auto"/>
                    <w:right w:val="nil"/>
                  </w:tcBorders>
                  <w:vAlign w:val="center"/>
                  <w:hideMark/>
                </w:tcPr>
                <w:p w14:paraId="0847FA60" w14:textId="77777777" w:rsidR="00C45D5B" w:rsidRPr="006401D1" w:rsidRDefault="00C45D5B" w:rsidP="00CF774B">
                  <w:pPr>
                    <w:rPr>
                      <w:rFonts w:cs="Times New Roman"/>
                      <w:color w:val="000000"/>
                      <w:sz w:val="18"/>
                      <w:szCs w:val="18"/>
                    </w:rPr>
                  </w:pPr>
                </w:p>
              </w:tc>
              <w:tc>
                <w:tcPr>
                  <w:tcW w:w="679" w:type="dxa"/>
                  <w:vMerge/>
                  <w:tcBorders>
                    <w:top w:val="single" w:sz="8" w:space="0" w:color="000000"/>
                    <w:left w:val="nil"/>
                    <w:bottom w:val="single" w:sz="6" w:space="0" w:color="auto"/>
                    <w:right w:val="nil"/>
                  </w:tcBorders>
                  <w:vAlign w:val="center"/>
                  <w:hideMark/>
                </w:tcPr>
                <w:p w14:paraId="4C5CF144" w14:textId="77777777" w:rsidR="00C45D5B" w:rsidRPr="006401D1" w:rsidRDefault="00C45D5B" w:rsidP="00CF774B">
                  <w:pPr>
                    <w:rPr>
                      <w:rFonts w:cs="Times New Roman"/>
                      <w:color w:val="000000"/>
                      <w:sz w:val="18"/>
                      <w:szCs w:val="18"/>
                    </w:rPr>
                  </w:pPr>
                </w:p>
              </w:tc>
              <w:tc>
                <w:tcPr>
                  <w:tcW w:w="931" w:type="dxa"/>
                  <w:tcBorders>
                    <w:top w:val="nil"/>
                    <w:left w:val="nil"/>
                    <w:bottom w:val="single" w:sz="6" w:space="0" w:color="auto"/>
                    <w:right w:val="nil"/>
                  </w:tcBorders>
                  <w:shd w:val="clear" w:color="auto" w:fill="auto"/>
                  <w:noWrap/>
                  <w:vAlign w:val="bottom"/>
                  <w:hideMark/>
                </w:tcPr>
                <w:p w14:paraId="24A0A6FB" w14:textId="77777777" w:rsidR="00C45D5B" w:rsidRPr="006401D1" w:rsidRDefault="00C45D5B" w:rsidP="00CF774B">
                  <w:pPr>
                    <w:jc w:val="center"/>
                    <w:rPr>
                      <w:rFonts w:cs="Times New Roman"/>
                      <w:color w:val="000000"/>
                      <w:sz w:val="18"/>
                      <w:szCs w:val="18"/>
                    </w:rPr>
                  </w:pPr>
                  <w:r w:rsidRPr="006401D1">
                    <w:rPr>
                      <w:color w:val="000000"/>
                      <w:sz w:val="18"/>
                      <w:szCs w:val="18"/>
                    </w:rPr>
                    <w:t>Skutočnosť</w:t>
                  </w:r>
                </w:p>
              </w:tc>
              <w:tc>
                <w:tcPr>
                  <w:tcW w:w="775" w:type="dxa"/>
                  <w:tcBorders>
                    <w:top w:val="nil"/>
                    <w:left w:val="nil"/>
                    <w:bottom w:val="single" w:sz="6" w:space="0" w:color="auto"/>
                    <w:right w:val="nil"/>
                  </w:tcBorders>
                  <w:shd w:val="clear" w:color="auto" w:fill="auto"/>
                  <w:vAlign w:val="bottom"/>
                  <w:hideMark/>
                </w:tcPr>
                <w:p w14:paraId="4232A687" w14:textId="77777777" w:rsidR="00C45D5B" w:rsidRPr="006401D1" w:rsidRDefault="00C45D5B" w:rsidP="00CF774B">
                  <w:pPr>
                    <w:jc w:val="center"/>
                    <w:rPr>
                      <w:rFonts w:cs="Times New Roman"/>
                      <w:color w:val="000000"/>
                      <w:sz w:val="18"/>
                      <w:szCs w:val="18"/>
                    </w:rPr>
                  </w:pPr>
                  <w:r w:rsidRPr="006401D1">
                    <w:rPr>
                      <w:color w:val="000000"/>
                      <w:sz w:val="18"/>
                      <w:szCs w:val="18"/>
                    </w:rPr>
                    <w:t>miera rastu</w:t>
                  </w:r>
                </w:p>
              </w:tc>
              <w:tc>
                <w:tcPr>
                  <w:tcW w:w="775" w:type="dxa"/>
                  <w:tcBorders>
                    <w:top w:val="nil"/>
                    <w:left w:val="nil"/>
                    <w:bottom w:val="single" w:sz="6" w:space="0" w:color="auto"/>
                    <w:right w:val="nil"/>
                  </w:tcBorders>
                  <w:shd w:val="clear" w:color="auto" w:fill="auto"/>
                  <w:vAlign w:val="bottom"/>
                  <w:hideMark/>
                </w:tcPr>
                <w:p w14:paraId="2C2B5D7D" w14:textId="77777777" w:rsidR="00C45D5B" w:rsidRPr="006401D1" w:rsidRDefault="00C45D5B" w:rsidP="00CF774B">
                  <w:pPr>
                    <w:jc w:val="center"/>
                    <w:rPr>
                      <w:rFonts w:cs="Times New Roman"/>
                      <w:color w:val="000000"/>
                      <w:sz w:val="18"/>
                      <w:szCs w:val="18"/>
                    </w:rPr>
                  </w:pPr>
                  <w:r w:rsidRPr="006401D1">
                    <w:rPr>
                      <w:color w:val="000000"/>
                      <w:sz w:val="18"/>
                      <w:szCs w:val="18"/>
                    </w:rPr>
                    <w:t>miera rastu</w:t>
                  </w:r>
                </w:p>
              </w:tc>
              <w:tc>
                <w:tcPr>
                  <w:tcW w:w="780" w:type="dxa"/>
                  <w:gridSpan w:val="2"/>
                  <w:tcBorders>
                    <w:top w:val="nil"/>
                    <w:left w:val="nil"/>
                    <w:bottom w:val="single" w:sz="6" w:space="0" w:color="auto"/>
                    <w:right w:val="nil"/>
                  </w:tcBorders>
                  <w:shd w:val="clear" w:color="auto" w:fill="auto"/>
                  <w:vAlign w:val="bottom"/>
                  <w:hideMark/>
                </w:tcPr>
                <w:p w14:paraId="16AE5316" w14:textId="77777777" w:rsidR="00C45D5B" w:rsidRPr="006401D1" w:rsidRDefault="00C45D5B" w:rsidP="00CF774B">
                  <w:pPr>
                    <w:jc w:val="center"/>
                    <w:rPr>
                      <w:rFonts w:cs="Times New Roman"/>
                      <w:color w:val="000000"/>
                      <w:sz w:val="18"/>
                      <w:szCs w:val="18"/>
                    </w:rPr>
                  </w:pPr>
                  <w:r w:rsidRPr="006401D1">
                    <w:rPr>
                      <w:color w:val="000000"/>
                      <w:sz w:val="18"/>
                      <w:szCs w:val="18"/>
                    </w:rPr>
                    <w:t>miera rastu</w:t>
                  </w:r>
                </w:p>
              </w:tc>
              <w:tc>
                <w:tcPr>
                  <w:tcW w:w="775" w:type="dxa"/>
                  <w:tcBorders>
                    <w:top w:val="nil"/>
                    <w:left w:val="nil"/>
                    <w:bottom w:val="single" w:sz="6" w:space="0" w:color="auto"/>
                    <w:right w:val="nil"/>
                  </w:tcBorders>
                  <w:shd w:val="clear" w:color="auto" w:fill="auto"/>
                  <w:vAlign w:val="bottom"/>
                  <w:hideMark/>
                </w:tcPr>
                <w:p w14:paraId="38B64231" w14:textId="77777777" w:rsidR="00C45D5B" w:rsidRPr="006401D1" w:rsidRDefault="00C45D5B" w:rsidP="00CF774B">
                  <w:pPr>
                    <w:jc w:val="center"/>
                    <w:rPr>
                      <w:rFonts w:cs="Times New Roman"/>
                      <w:color w:val="000000"/>
                      <w:sz w:val="18"/>
                      <w:szCs w:val="18"/>
                    </w:rPr>
                  </w:pPr>
                  <w:r w:rsidRPr="006401D1">
                    <w:rPr>
                      <w:color w:val="000000"/>
                      <w:sz w:val="18"/>
                      <w:szCs w:val="18"/>
                    </w:rPr>
                    <w:t>miera rastu</w:t>
                  </w:r>
                </w:p>
              </w:tc>
              <w:tc>
                <w:tcPr>
                  <w:tcW w:w="778" w:type="dxa"/>
                  <w:gridSpan w:val="3"/>
                  <w:tcBorders>
                    <w:top w:val="nil"/>
                    <w:left w:val="nil"/>
                    <w:bottom w:val="single" w:sz="6" w:space="0" w:color="auto"/>
                    <w:right w:val="nil"/>
                  </w:tcBorders>
                  <w:shd w:val="clear" w:color="auto" w:fill="auto"/>
                  <w:vAlign w:val="bottom"/>
                  <w:hideMark/>
                </w:tcPr>
                <w:p w14:paraId="43162B6A" w14:textId="77777777" w:rsidR="00C45D5B" w:rsidRPr="006401D1" w:rsidRDefault="00C45D5B" w:rsidP="00CF774B">
                  <w:pPr>
                    <w:jc w:val="center"/>
                    <w:rPr>
                      <w:rFonts w:cs="Times New Roman"/>
                      <w:color w:val="000000"/>
                      <w:sz w:val="18"/>
                      <w:szCs w:val="18"/>
                    </w:rPr>
                  </w:pPr>
                  <w:r w:rsidRPr="006401D1">
                    <w:rPr>
                      <w:color w:val="000000"/>
                      <w:sz w:val="18"/>
                      <w:szCs w:val="18"/>
                    </w:rPr>
                    <w:t>miera rastu</w:t>
                  </w:r>
                </w:p>
              </w:tc>
            </w:tr>
            <w:tr w:rsidR="00C45D5B" w:rsidRPr="006401D1" w14:paraId="1BEDD216" w14:textId="77777777" w:rsidTr="00CF774B">
              <w:trPr>
                <w:trHeight w:val="287"/>
              </w:trPr>
              <w:tc>
                <w:tcPr>
                  <w:tcW w:w="3474" w:type="dxa"/>
                  <w:tcBorders>
                    <w:top w:val="single" w:sz="6" w:space="0" w:color="auto"/>
                    <w:left w:val="nil"/>
                    <w:bottom w:val="nil"/>
                    <w:right w:val="nil"/>
                  </w:tcBorders>
                  <w:shd w:val="clear" w:color="auto" w:fill="auto"/>
                  <w:noWrap/>
                  <w:vAlign w:val="center"/>
                  <w:hideMark/>
                </w:tcPr>
                <w:p w14:paraId="58FDA6F7"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1. Počet zamestnaných (tis.) [1] </w:t>
                  </w:r>
                </w:p>
              </w:tc>
              <w:tc>
                <w:tcPr>
                  <w:tcW w:w="679" w:type="dxa"/>
                  <w:tcBorders>
                    <w:top w:val="single" w:sz="6" w:space="0" w:color="auto"/>
                    <w:left w:val="nil"/>
                    <w:bottom w:val="nil"/>
                    <w:right w:val="nil"/>
                  </w:tcBorders>
                  <w:shd w:val="clear" w:color="auto" w:fill="auto"/>
                  <w:vAlign w:val="bottom"/>
                  <w:hideMark/>
                </w:tcPr>
                <w:p w14:paraId="15FB4533" w14:textId="77777777" w:rsidR="00C45D5B" w:rsidRPr="006401D1" w:rsidRDefault="00C45D5B" w:rsidP="00CF774B">
                  <w:pPr>
                    <w:rPr>
                      <w:rFonts w:cs="Times New Roman"/>
                      <w:color w:val="000000"/>
                      <w:sz w:val="18"/>
                      <w:szCs w:val="18"/>
                    </w:rPr>
                  </w:pPr>
                </w:p>
              </w:tc>
              <w:tc>
                <w:tcPr>
                  <w:tcW w:w="931" w:type="dxa"/>
                  <w:tcBorders>
                    <w:top w:val="nil"/>
                    <w:left w:val="nil"/>
                    <w:bottom w:val="nil"/>
                    <w:right w:val="nil"/>
                  </w:tcBorders>
                  <w:shd w:val="clear" w:color="auto" w:fill="auto"/>
                  <w:vAlign w:val="bottom"/>
                  <w:hideMark/>
                </w:tcPr>
                <w:p w14:paraId="639A657B" w14:textId="77777777" w:rsidR="00C45D5B" w:rsidRPr="006401D1" w:rsidRDefault="00C45D5B" w:rsidP="00CF774B">
                  <w:pPr>
                    <w:jc w:val="center"/>
                    <w:rPr>
                      <w:rFonts w:cs="Times New Roman"/>
                      <w:color w:val="000000"/>
                      <w:sz w:val="18"/>
                      <w:szCs w:val="18"/>
                    </w:rPr>
                  </w:pPr>
                  <w:r w:rsidRPr="006401D1">
                    <w:rPr>
                      <w:color w:val="000000"/>
                      <w:sz w:val="18"/>
                      <w:szCs w:val="18"/>
                    </w:rPr>
                    <w:t>2 385</w:t>
                  </w:r>
                </w:p>
              </w:tc>
              <w:tc>
                <w:tcPr>
                  <w:tcW w:w="775" w:type="dxa"/>
                  <w:tcBorders>
                    <w:top w:val="nil"/>
                    <w:left w:val="nil"/>
                    <w:bottom w:val="nil"/>
                    <w:right w:val="nil"/>
                  </w:tcBorders>
                  <w:shd w:val="clear" w:color="auto" w:fill="auto"/>
                  <w:vAlign w:val="bottom"/>
                  <w:hideMark/>
                </w:tcPr>
                <w:p w14:paraId="3534031D" w14:textId="77777777" w:rsidR="00C45D5B" w:rsidRPr="006401D1" w:rsidRDefault="00C45D5B" w:rsidP="00CF774B">
                  <w:pPr>
                    <w:jc w:val="center"/>
                    <w:rPr>
                      <w:rFonts w:cs="Times New Roman"/>
                      <w:color w:val="000000"/>
                      <w:sz w:val="18"/>
                      <w:szCs w:val="18"/>
                    </w:rPr>
                  </w:pPr>
                  <w:r w:rsidRPr="006401D1">
                    <w:rPr>
                      <w:color w:val="000000"/>
                      <w:sz w:val="18"/>
                      <w:szCs w:val="18"/>
                    </w:rPr>
                    <w:t>-0,6</w:t>
                  </w:r>
                </w:p>
              </w:tc>
              <w:tc>
                <w:tcPr>
                  <w:tcW w:w="775" w:type="dxa"/>
                  <w:tcBorders>
                    <w:top w:val="nil"/>
                    <w:left w:val="nil"/>
                    <w:bottom w:val="nil"/>
                    <w:right w:val="nil"/>
                  </w:tcBorders>
                  <w:shd w:val="clear" w:color="auto" w:fill="auto"/>
                  <w:vAlign w:val="center"/>
                  <w:hideMark/>
                </w:tcPr>
                <w:p w14:paraId="27684ACD" w14:textId="77777777" w:rsidR="00C45D5B" w:rsidRPr="006401D1" w:rsidRDefault="00C45D5B" w:rsidP="00CF774B">
                  <w:pPr>
                    <w:jc w:val="center"/>
                    <w:rPr>
                      <w:rFonts w:cs="Times New Roman"/>
                      <w:color w:val="000000"/>
                      <w:sz w:val="18"/>
                      <w:szCs w:val="18"/>
                    </w:rPr>
                  </w:pPr>
                  <w:r w:rsidRPr="006401D1">
                    <w:rPr>
                      <w:color w:val="000000"/>
                      <w:sz w:val="18"/>
                      <w:szCs w:val="18"/>
                    </w:rPr>
                    <w:t>0,6</w:t>
                  </w:r>
                </w:p>
              </w:tc>
              <w:tc>
                <w:tcPr>
                  <w:tcW w:w="780" w:type="dxa"/>
                  <w:gridSpan w:val="2"/>
                  <w:tcBorders>
                    <w:top w:val="nil"/>
                    <w:left w:val="nil"/>
                    <w:bottom w:val="nil"/>
                    <w:right w:val="nil"/>
                  </w:tcBorders>
                  <w:shd w:val="clear" w:color="auto" w:fill="auto"/>
                  <w:vAlign w:val="center"/>
                  <w:hideMark/>
                </w:tcPr>
                <w:p w14:paraId="670A5716" w14:textId="77777777" w:rsidR="00C45D5B" w:rsidRPr="006401D1" w:rsidRDefault="00C45D5B" w:rsidP="00CF774B">
                  <w:pPr>
                    <w:jc w:val="center"/>
                    <w:rPr>
                      <w:rFonts w:cs="Times New Roman"/>
                      <w:color w:val="000000"/>
                      <w:sz w:val="18"/>
                      <w:szCs w:val="18"/>
                    </w:rPr>
                  </w:pPr>
                  <w:r w:rsidRPr="006401D1">
                    <w:rPr>
                      <w:color w:val="000000"/>
                      <w:sz w:val="18"/>
                      <w:szCs w:val="18"/>
                    </w:rPr>
                    <w:t>1,6</w:t>
                  </w:r>
                </w:p>
              </w:tc>
              <w:tc>
                <w:tcPr>
                  <w:tcW w:w="775" w:type="dxa"/>
                  <w:tcBorders>
                    <w:top w:val="nil"/>
                    <w:left w:val="nil"/>
                    <w:bottom w:val="nil"/>
                    <w:right w:val="nil"/>
                  </w:tcBorders>
                  <w:shd w:val="clear" w:color="auto" w:fill="auto"/>
                  <w:vAlign w:val="center"/>
                  <w:hideMark/>
                </w:tcPr>
                <w:p w14:paraId="12BBE52D" w14:textId="77777777" w:rsidR="00C45D5B" w:rsidRPr="006401D1" w:rsidRDefault="00C45D5B" w:rsidP="00CF774B">
                  <w:pPr>
                    <w:jc w:val="center"/>
                    <w:rPr>
                      <w:rFonts w:cs="Times New Roman"/>
                      <w:color w:val="000000"/>
                      <w:sz w:val="18"/>
                      <w:szCs w:val="18"/>
                    </w:rPr>
                  </w:pPr>
                  <w:r w:rsidRPr="006401D1">
                    <w:rPr>
                      <w:color w:val="000000"/>
                      <w:sz w:val="18"/>
                      <w:szCs w:val="18"/>
                    </w:rPr>
                    <w:t>0,6</w:t>
                  </w:r>
                </w:p>
              </w:tc>
              <w:tc>
                <w:tcPr>
                  <w:tcW w:w="778" w:type="dxa"/>
                  <w:gridSpan w:val="3"/>
                  <w:tcBorders>
                    <w:top w:val="nil"/>
                    <w:left w:val="nil"/>
                    <w:bottom w:val="nil"/>
                    <w:right w:val="nil"/>
                  </w:tcBorders>
                  <w:shd w:val="clear" w:color="auto" w:fill="auto"/>
                  <w:vAlign w:val="center"/>
                  <w:hideMark/>
                </w:tcPr>
                <w:p w14:paraId="4D539E54"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r>
            <w:tr w:rsidR="00C45D5B" w:rsidRPr="006401D1" w14:paraId="3CA0C64B" w14:textId="77777777" w:rsidTr="00CF774B">
              <w:trPr>
                <w:trHeight w:val="287"/>
              </w:trPr>
              <w:tc>
                <w:tcPr>
                  <w:tcW w:w="3474" w:type="dxa"/>
                  <w:tcBorders>
                    <w:top w:val="nil"/>
                    <w:left w:val="nil"/>
                    <w:bottom w:val="nil"/>
                    <w:right w:val="nil"/>
                  </w:tcBorders>
                  <w:shd w:val="clear" w:color="auto" w:fill="auto"/>
                  <w:noWrap/>
                  <w:vAlign w:val="center"/>
                  <w:hideMark/>
                </w:tcPr>
                <w:p w14:paraId="0DA15A1B" w14:textId="77777777" w:rsidR="00C45D5B" w:rsidRPr="006401D1" w:rsidRDefault="00C45D5B" w:rsidP="00CF774B">
                  <w:pPr>
                    <w:rPr>
                      <w:rFonts w:cs="Times New Roman"/>
                      <w:color w:val="000000"/>
                      <w:sz w:val="18"/>
                      <w:szCs w:val="18"/>
                    </w:rPr>
                  </w:pPr>
                  <w:r w:rsidRPr="006401D1">
                    <w:rPr>
                      <w:rFonts w:cs="Times New Roman"/>
                      <w:color w:val="000000"/>
                      <w:sz w:val="18"/>
                      <w:szCs w:val="18"/>
                    </w:rPr>
                    <w:t>2. Počet odpracovaných hodín (mil.)[2]</w:t>
                  </w:r>
                </w:p>
              </w:tc>
              <w:tc>
                <w:tcPr>
                  <w:tcW w:w="679" w:type="dxa"/>
                  <w:tcBorders>
                    <w:top w:val="nil"/>
                    <w:left w:val="nil"/>
                    <w:bottom w:val="nil"/>
                    <w:right w:val="nil"/>
                  </w:tcBorders>
                  <w:shd w:val="clear" w:color="auto" w:fill="auto"/>
                  <w:vAlign w:val="bottom"/>
                  <w:hideMark/>
                </w:tcPr>
                <w:p w14:paraId="020A758F" w14:textId="77777777" w:rsidR="00C45D5B" w:rsidRPr="006401D1" w:rsidRDefault="00C45D5B" w:rsidP="00CF774B">
                  <w:pPr>
                    <w:rPr>
                      <w:rFonts w:cs="Times New Roman"/>
                      <w:color w:val="000000"/>
                      <w:sz w:val="18"/>
                      <w:szCs w:val="18"/>
                    </w:rPr>
                  </w:pPr>
                </w:p>
              </w:tc>
              <w:tc>
                <w:tcPr>
                  <w:tcW w:w="931" w:type="dxa"/>
                  <w:tcBorders>
                    <w:top w:val="nil"/>
                    <w:left w:val="nil"/>
                    <w:bottom w:val="nil"/>
                    <w:right w:val="nil"/>
                  </w:tcBorders>
                  <w:shd w:val="clear" w:color="auto" w:fill="auto"/>
                  <w:vAlign w:val="bottom"/>
                  <w:hideMark/>
                </w:tcPr>
                <w:p w14:paraId="664CA7D1" w14:textId="77777777" w:rsidR="00C45D5B" w:rsidRPr="006401D1" w:rsidRDefault="00C45D5B" w:rsidP="00CF774B">
                  <w:pPr>
                    <w:jc w:val="center"/>
                    <w:rPr>
                      <w:rFonts w:cs="Times New Roman"/>
                      <w:color w:val="000000"/>
                      <w:sz w:val="18"/>
                      <w:szCs w:val="18"/>
                    </w:rPr>
                  </w:pPr>
                  <w:r w:rsidRPr="006401D1">
                    <w:rPr>
                      <w:color w:val="000000"/>
                      <w:sz w:val="18"/>
                      <w:szCs w:val="18"/>
                    </w:rPr>
                    <w:t>3 776</w:t>
                  </w:r>
                </w:p>
              </w:tc>
              <w:tc>
                <w:tcPr>
                  <w:tcW w:w="775" w:type="dxa"/>
                  <w:tcBorders>
                    <w:top w:val="nil"/>
                    <w:left w:val="nil"/>
                    <w:bottom w:val="nil"/>
                    <w:right w:val="nil"/>
                  </w:tcBorders>
                  <w:shd w:val="clear" w:color="auto" w:fill="auto"/>
                  <w:vAlign w:val="bottom"/>
                  <w:hideMark/>
                </w:tcPr>
                <w:p w14:paraId="25CEF7F6" w14:textId="77777777" w:rsidR="00C45D5B" w:rsidRPr="006401D1" w:rsidRDefault="00C45D5B" w:rsidP="00CF774B">
                  <w:pPr>
                    <w:jc w:val="center"/>
                    <w:rPr>
                      <w:rFonts w:cs="Times New Roman"/>
                      <w:color w:val="000000"/>
                      <w:sz w:val="18"/>
                      <w:szCs w:val="18"/>
                    </w:rPr>
                  </w:pPr>
                  <w:r w:rsidRPr="006401D1">
                    <w:rPr>
                      <w:color w:val="000000"/>
                      <w:sz w:val="18"/>
                      <w:szCs w:val="18"/>
                    </w:rPr>
                    <w:t>0,1</w:t>
                  </w:r>
                </w:p>
              </w:tc>
              <w:tc>
                <w:tcPr>
                  <w:tcW w:w="775" w:type="dxa"/>
                  <w:tcBorders>
                    <w:top w:val="nil"/>
                    <w:left w:val="nil"/>
                    <w:bottom w:val="nil"/>
                    <w:right w:val="nil"/>
                  </w:tcBorders>
                  <w:shd w:val="clear" w:color="auto" w:fill="auto"/>
                  <w:vAlign w:val="center"/>
                  <w:hideMark/>
                </w:tcPr>
                <w:p w14:paraId="100B6C97" w14:textId="77777777" w:rsidR="00C45D5B" w:rsidRPr="006401D1" w:rsidRDefault="00C45D5B" w:rsidP="00CF774B">
                  <w:pPr>
                    <w:jc w:val="center"/>
                    <w:rPr>
                      <w:rFonts w:cs="Times New Roman"/>
                      <w:color w:val="000000"/>
                      <w:sz w:val="18"/>
                      <w:szCs w:val="18"/>
                    </w:rPr>
                  </w:pPr>
                  <w:r w:rsidRPr="006401D1">
                    <w:rPr>
                      <w:color w:val="000000"/>
                      <w:sz w:val="18"/>
                      <w:szCs w:val="18"/>
                    </w:rPr>
                    <w:t>-1,5</w:t>
                  </w:r>
                </w:p>
              </w:tc>
              <w:tc>
                <w:tcPr>
                  <w:tcW w:w="780" w:type="dxa"/>
                  <w:gridSpan w:val="2"/>
                  <w:tcBorders>
                    <w:top w:val="nil"/>
                    <w:left w:val="nil"/>
                    <w:bottom w:val="nil"/>
                    <w:right w:val="nil"/>
                  </w:tcBorders>
                  <w:shd w:val="clear" w:color="auto" w:fill="auto"/>
                  <w:vAlign w:val="center"/>
                  <w:hideMark/>
                </w:tcPr>
                <w:p w14:paraId="215196A1" w14:textId="77777777" w:rsidR="00C45D5B" w:rsidRPr="006401D1" w:rsidRDefault="00C45D5B" w:rsidP="00CF774B">
                  <w:pPr>
                    <w:jc w:val="center"/>
                    <w:rPr>
                      <w:rFonts w:cs="Times New Roman"/>
                      <w:color w:val="000000"/>
                      <w:sz w:val="18"/>
                      <w:szCs w:val="18"/>
                    </w:rPr>
                  </w:pPr>
                  <w:r w:rsidRPr="006401D1">
                    <w:rPr>
                      <w:color w:val="000000"/>
                      <w:sz w:val="18"/>
                      <w:szCs w:val="18"/>
                    </w:rPr>
                    <w:t>4,4</w:t>
                  </w:r>
                </w:p>
              </w:tc>
              <w:tc>
                <w:tcPr>
                  <w:tcW w:w="775" w:type="dxa"/>
                  <w:tcBorders>
                    <w:top w:val="nil"/>
                    <w:left w:val="nil"/>
                    <w:bottom w:val="nil"/>
                    <w:right w:val="nil"/>
                  </w:tcBorders>
                  <w:shd w:val="clear" w:color="auto" w:fill="auto"/>
                  <w:vAlign w:val="center"/>
                  <w:hideMark/>
                </w:tcPr>
                <w:p w14:paraId="520C53B0" w14:textId="77777777" w:rsidR="00C45D5B" w:rsidRPr="006401D1" w:rsidRDefault="00C45D5B" w:rsidP="00CF774B">
                  <w:pPr>
                    <w:jc w:val="center"/>
                    <w:rPr>
                      <w:rFonts w:cs="Times New Roman"/>
                      <w:color w:val="000000"/>
                      <w:sz w:val="18"/>
                      <w:szCs w:val="18"/>
                    </w:rPr>
                  </w:pPr>
                  <w:r w:rsidRPr="006401D1">
                    <w:rPr>
                      <w:color w:val="000000"/>
                      <w:sz w:val="18"/>
                      <w:szCs w:val="18"/>
                    </w:rPr>
                    <w:t>-1,9</w:t>
                  </w:r>
                </w:p>
              </w:tc>
              <w:tc>
                <w:tcPr>
                  <w:tcW w:w="778" w:type="dxa"/>
                  <w:gridSpan w:val="3"/>
                  <w:tcBorders>
                    <w:top w:val="nil"/>
                    <w:left w:val="nil"/>
                    <w:bottom w:val="nil"/>
                    <w:right w:val="nil"/>
                  </w:tcBorders>
                  <w:shd w:val="clear" w:color="auto" w:fill="auto"/>
                  <w:vAlign w:val="center"/>
                  <w:hideMark/>
                </w:tcPr>
                <w:p w14:paraId="3DF35F6E" w14:textId="77777777" w:rsidR="00C45D5B" w:rsidRPr="006401D1" w:rsidRDefault="00C45D5B" w:rsidP="00CF774B">
                  <w:pPr>
                    <w:jc w:val="center"/>
                    <w:rPr>
                      <w:rFonts w:cs="Times New Roman"/>
                      <w:color w:val="000000"/>
                      <w:sz w:val="18"/>
                      <w:szCs w:val="18"/>
                    </w:rPr>
                  </w:pPr>
                  <w:r w:rsidRPr="006401D1">
                    <w:rPr>
                      <w:color w:val="000000"/>
                      <w:sz w:val="18"/>
                      <w:szCs w:val="18"/>
                    </w:rPr>
                    <w:t>-2,2</w:t>
                  </w:r>
                </w:p>
              </w:tc>
            </w:tr>
            <w:tr w:rsidR="00C45D5B" w:rsidRPr="006401D1" w14:paraId="36081FA8" w14:textId="77777777" w:rsidTr="00CF774B">
              <w:trPr>
                <w:trHeight w:val="287"/>
              </w:trPr>
              <w:tc>
                <w:tcPr>
                  <w:tcW w:w="3474" w:type="dxa"/>
                  <w:tcBorders>
                    <w:top w:val="nil"/>
                    <w:left w:val="nil"/>
                    <w:bottom w:val="nil"/>
                    <w:right w:val="nil"/>
                  </w:tcBorders>
                  <w:shd w:val="clear" w:color="auto" w:fill="auto"/>
                  <w:noWrap/>
                  <w:vAlign w:val="center"/>
                  <w:hideMark/>
                </w:tcPr>
                <w:p w14:paraId="7EE40216"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3. Miera nezamestnanosti (%)[3]  </w:t>
                  </w:r>
                </w:p>
              </w:tc>
              <w:tc>
                <w:tcPr>
                  <w:tcW w:w="679" w:type="dxa"/>
                  <w:tcBorders>
                    <w:top w:val="nil"/>
                    <w:left w:val="nil"/>
                    <w:bottom w:val="nil"/>
                    <w:right w:val="nil"/>
                  </w:tcBorders>
                  <w:shd w:val="clear" w:color="auto" w:fill="auto"/>
                  <w:vAlign w:val="bottom"/>
                  <w:hideMark/>
                </w:tcPr>
                <w:p w14:paraId="0C30F3D7" w14:textId="77777777" w:rsidR="00C45D5B" w:rsidRPr="006401D1" w:rsidRDefault="00C45D5B" w:rsidP="00CF774B">
                  <w:pPr>
                    <w:rPr>
                      <w:rFonts w:cs="Times New Roman"/>
                      <w:color w:val="000000"/>
                      <w:sz w:val="18"/>
                      <w:szCs w:val="18"/>
                    </w:rPr>
                  </w:pPr>
                </w:p>
              </w:tc>
              <w:tc>
                <w:tcPr>
                  <w:tcW w:w="931" w:type="dxa"/>
                  <w:tcBorders>
                    <w:top w:val="nil"/>
                    <w:left w:val="nil"/>
                    <w:bottom w:val="nil"/>
                    <w:right w:val="nil"/>
                  </w:tcBorders>
                  <w:shd w:val="clear" w:color="auto" w:fill="auto"/>
                  <w:vAlign w:val="center"/>
                  <w:hideMark/>
                </w:tcPr>
                <w:p w14:paraId="4D073DAC" w14:textId="77777777" w:rsidR="00C45D5B" w:rsidRPr="006401D1" w:rsidRDefault="00C45D5B" w:rsidP="00CF774B">
                  <w:pPr>
                    <w:jc w:val="center"/>
                    <w:rPr>
                      <w:rFonts w:ascii="Times New Roman" w:hAnsi="Times New Roman" w:cs="Times New Roman"/>
                      <w:sz w:val="18"/>
                      <w:szCs w:val="18"/>
                    </w:rPr>
                  </w:pPr>
                  <w:r w:rsidRPr="006401D1">
                    <w:rPr>
                      <w:color w:val="000000"/>
                      <w:sz w:val="18"/>
                      <w:szCs w:val="18"/>
                    </w:rPr>
                    <w:t>6,9</w:t>
                  </w:r>
                </w:p>
              </w:tc>
              <w:tc>
                <w:tcPr>
                  <w:tcW w:w="775" w:type="dxa"/>
                  <w:tcBorders>
                    <w:top w:val="nil"/>
                    <w:left w:val="nil"/>
                    <w:bottom w:val="nil"/>
                    <w:right w:val="nil"/>
                  </w:tcBorders>
                  <w:shd w:val="clear" w:color="auto" w:fill="auto"/>
                  <w:vAlign w:val="center"/>
                  <w:hideMark/>
                </w:tcPr>
                <w:p w14:paraId="29D5BCAA" w14:textId="77777777" w:rsidR="00C45D5B" w:rsidRPr="006401D1" w:rsidRDefault="00C45D5B" w:rsidP="00CF774B">
                  <w:pPr>
                    <w:jc w:val="center"/>
                    <w:rPr>
                      <w:rFonts w:cs="Times New Roman"/>
                      <w:color w:val="000000"/>
                      <w:sz w:val="18"/>
                      <w:szCs w:val="18"/>
                    </w:rPr>
                  </w:pPr>
                  <w:r w:rsidRPr="006401D1">
                    <w:rPr>
                      <w:color w:val="000000"/>
                      <w:sz w:val="18"/>
                      <w:szCs w:val="18"/>
                    </w:rPr>
                    <w:t>6,9</w:t>
                  </w:r>
                </w:p>
              </w:tc>
              <w:tc>
                <w:tcPr>
                  <w:tcW w:w="775" w:type="dxa"/>
                  <w:tcBorders>
                    <w:top w:val="nil"/>
                    <w:left w:val="nil"/>
                    <w:bottom w:val="nil"/>
                    <w:right w:val="nil"/>
                  </w:tcBorders>
                  <w:shd w:val="clear" w:color="auto" w:fill="auto"/>
                  <w:vAlign w:val="center"/>
                  <w:hideMark/>
                </w:tcPr>
                <w:p w14:paraId="07B37CAF" w14:textId="77777777" w:rsidR="00C45D5B" w:rsidRPr="006401D1" w:rsidRDefault="00C45D5B" w:rsidP="00CF774B">
                  <w:pPr>
                    <w:jc w:val="center"/>
                    <w:rPr>
                      <w:rFonts w:cs="Times New Roman"/>
                      <w:color w:val="000000"/>
                      <w:sz w:val="18"/>
                      <w:szCs w:val="18"/>
                    </w:rPr>
                  </w:pPr>
                  <w:r w:rsidRPr="006401D1">
                    <w:rPr>
                      <w:color w:val="000000"/>
                      <w:sz w:val="18"/>
                      <w:szCs w:val="18"/>
                    </w:rPr>
                    <w:t>6,6</w:t>
                  </w:r>
                </w:p>
              </w:tc>
              <w:tc>
                <w:tcPr>
                  <w:tcW w:w="780" w:type="dxa"/>
                  <w:gridSpan w:val="2"/>
                  <w:tcBorders>
                    <w:top w:val="nil"/>
                    <w:left w:val="nil"/>
                    <w:bottom w:val="nil"/>
                    <w:right w:val="nil"/>
                  </w:tcBorders>
                  <w:shd w:val="clear" w:color="auto" w:fill="auto"/>
                  <w:vAlign w:val="center"/>
                  <w:hideMark/>
                </w:tcPr>
                <w:p w14:paraId="0BC2FE86" w14:textId="77777777" w:rsidR="00C45D5B" w:rsidRPr="006401D1" w:rsidRDefault="00C45D5B" w:rsidP="00CF774B">
                  <w:pPr>
                    <w:jc w:val="center"/>
                    <w:rPr>
                      <w:rFonts w:cs="Times New Roman"/>
                      <w:color w:val="000000"/>
                      <w:sz w:val="18"/>
                      <w:szCs w:val="18"/>
                    </w:rPr>
                  </w:pPr>
                  <w:r w:rsidRPr="006401D1">
                    <w:rPr>
                      <w:color w:val="000000"/>
                      <w:sz w:val="18"/>
                      <w:szCs w:val="18"/>
                    </w:rPr>
                    <w:t>5,6</w:t>
                  </w:r>
                </w:p>
              </w:tc>
              <w:tc>
                <w:tcPr>
                  <w:tcW w:w="775" w:type="dxa"/>
                  <w:tcBorders>
                    <w:top w:val="nil"/>
                    <w:left w:val="nil"/>
                    <w:bottom w:val="nil"/>
                    <w:right w:val="nil"/>
                  </w:tcBorders>
                  <w:shd w:val="clear" w:color="auto" w:fill="auto"/>
                  <w:vAlign w:val="center"/>
                  <w:hideMark/>
                </w:tcPr>
                <w:p w14:paraId="52AB0FF4" w14:textId="77777777" w:rsidR="00C45D5B" w:rsidRPr="006401D1" w:rsidRDefault="00C45D5B" w:rsidP="00CF774B">
                  <w:pPr>
                    <w:jc w:val="center"/>
                    <w:rPr>
                      <w:rFonts w:cs="Times New Roman"/>
                      <w:color w:val="000000"/>
                      <w:sz w:val="18"/>
                      <w:szCs w:val="18"/>
                    </w:rPr>
                  </w:pPr>
                  <w:r w:rsidRPr="006401D1">
                    <w:rPr>
                      <w:color w:val="000000"/>
                      <w:sz w:val="18"/>
                      <w:szCs w:val="18"/>
                    </w:rPr>
                    <w:t>5,4</w:t>
                  </w:r>
                </w:p>
              </w:tc>
              <w:tc>
                <w:tcPr>
                  <w:tcW w:w="778" w:type="dxa"/>
                  <w:gridSpan w:val="3"/>
                  <w:tcBorders>
                    <w:top w:val="nil"/>
                    <w:left w:val="nil"/>
                    <w:bottom w:val="nil"/>
                    <w:right w:val="nil"/>
                  </w:tcBorders>
                  <w:shd w:val="clear" w:color="auto" w:fill="auto"/>
                  <w:vAlign w:val="center"/>
                  <w:hideMark/>
                </w:tcPr>
                <w:p w14:paraId="078FE31A" w14:textId="77777777" w:rsidR="00C45D5B" w:rsidRPr="006401D1" w:rsidRDefault="00C45D5B" w:rsidP="00CF774B">
                  <w:pPr>
                    <w:jc w:val="center"/>
                    <w:rPr>
                      <w:rFonts w:cs="Times New Roman"/>
                      <w:color w:val="000000"/>
                      <w:sz w:val="18"/>
                      <w:szCs w:val="18"/>
                    </w:rPr>
                  </w:pPr>
                  <w:r w:rsidRPr="006401D1">
                    <w:rPr>
                      <w:color w:val="000000"/>
                      <w:sz w:val="18"/>
                      <w:szCs w:val="18"/>
                    </w:rPr>
                    <w:t>5,2</w:t>
                  </w:r>
                </w:p>
              </w:tc>
            </w:tr>
            <w:tr w:rsidR="00C45D5B" w:rsidRPr="006401D1" w14:paraId="6E55071A" w14:textId="77777777" w:rsidTr="00CF774B">
              <w:trPr>
                <w:trHeight w:val="287"/>
              </w:trPr>
              <w:tc>
                <w:tcPr>
                  <w:tcW w:w="3474" w:type="dxa"/>
                  <w:tcBorders>
                    <w:top w:val="nil"/>
                    <w:left w:val="nil"/>
                    <w:bottom w:val="nil"/>
                    <w:right w:val="nil"/>
                  </w:tcBorders>
                  <w:shd w:val="clear" w:color="auto" w:fill="auto"/>
                  <w:noWrap/>
                  <w:vAlign w:val="center"/>
                  <w:hideMark/>
                </w:tcPr>
                <w:p w14:paraId="70B3473F"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4. Produktivita práce na osobu (eur) [4]  </w:t>
                  </w:r>
                </w:p>
              </w:tc>
              <w:tc>
                <w:tcPr>
                  <w:tcW w:w="679" w:type="dxa"/>
                  <w:tcBorders>
                    <w:top w:val="nil"/>
                    <w:left w:val="nil"/>
                    <w:bottom w:val="nil"/>
                    <w:right w:val="nil"/>
                  </w:tcBorders>
                  <w:shd w:val="clear" w:color="auto" w:fill="auto"/>
                  <w:vAlign w:val="bottom"/>
                  <w:hideMark/>
                </w:tcPr>
                <w:p w14:paraId="28C12636" w14:textId="77777777" w:rsidR="00C45D5B" w:rsidRPr="006401D1" w:rsidRDefault="00C45D5B" w:rsidP="00CF774B">
                  <w:pPr>
                    <w:rPr>
                      <w:rFonts w:cs="Times New Roman"/>
                      <w:color w:val="000000"/>
                      <w:sz w:val="18"/>
                      <w:szCs w:val="18"/>
                    </w:rPr>
                  </w:pPr>
                </w:p>
              </w:tc>
              <w:tc>
                <w:tcPr>
                  <w:tcW w:w="931" w:type="dxa"/>
                  <w:tcBorders>
                    <w:top w:val="nil"/>
                    <w:left w:val="nil"/>
                    <w:bottom w:val="nil"/>
                    <w:right w:val="nil"/>
                  </w:tcBorders>
                  <w:shd w:val="clear" w:color="auto" w:fill="auto"/>
                  <w:vAlign w:val="center"/>
                  <w:hideMark/>
                </w:tcPr>
                <w:p w14:paraId="14E3B5DE" w14:textId="77777777" w:rsidR="00C45D5B" w:rsidRPr="006401D1" w:rsidRDefault="00C45D5B" w:rsidP="00CF774B">
                  <w:pPr>
                    <w:jc w:val="center"/>
                    <w:rPr>
                      <w:rFonts w:cs="Times New Roman"/>
                      <w:color w:val="000000"/>
                      <w:sz w:val="18"/>
                      <w:szCs w:val="18"/>
                    </w:rPr>
                  </w:pPr>
                  <w:r w:rsidRPr="006401D1">
                    <w:rPr>
                      <w:color w:val="000000"/>
                      <w:sz w:val="18"/>
                      <w:szCs w:val="18"/>
                    </w:rPr>
                    <w:t>36 893</w:t>
                  </w:r>
                </w:p>
              </w:tc>
              <w:tc>
                <w:tcPr>
                  <w:tcW w:w="775" w:type="dxa"/>
                  <w:tcBorders>
                    <w:top w:val="nil"/>
                    <w:left w:val="nil"/>
                    <w:bottom w:val="nil"/>
                    <w:right w:val="nil"/>
                  </w:tcBorders>
                  <w:shd w:val="clear" w:color="auto" w:fill="auto"/>
                  <w:vAlign w:val="center"/>
                  <w:hideMark/>
                </w:tcPr>
                <w:p w14:paraId="7EC4CDBA" w14:textId="77777777" w:rsidR="00C45D5B" w:rsidRPr="006401D1" w:rsidRDefault="00C45D5B" w:rsidP="00CF774B">
                  <w:pPr>
                    <w:jc w:val="center"/>
                    <w:rPr>
                      <w:rFonts w:cs="Times New Roman"/>
                      <w:color w:val="000000"/>
                      <w:sz w:val="18"/>
                      <w:szCs w:val="18"/>
                    </w:rPr>
                  </w:pPr>
                  <w:r w:rsidRPr="006401D1">
                    <w:rPr>
                      <w:color w:val="000000"/>
                      <w:sz w:val="18"/>
                      <w:szCs w:val="18"/>
                    </w:rPr>
                    <w:t>3,6</w:t>
                  </w:r>
                </w:p>
              </w:tc>
              <w:tc>
                <w:tcPr>
                  <w:tcW w:w="775" w:type="dxa"/>
                  <w:tcBorders>
                    <w:top w:val="nil"/>
                    <w:left w:val="nil"/>
                    <w:bottom w:val="nil"/>
                    <w:right w:val="nil"/>
                  </w:tcBorders>
                  <w:shd w:val="clear" w:color="auto" w:fill="auto"/>
                  <w:vAlign w:val="center"/>
                  <w:hideMark/>
                </w:tcPr>
                <w:p w14:paraId="5F154EBB" w14:textId="77777777" w:rsidR="00C45D5B" w:rsidRPr="006401D1" w:rsidRDefault="00C45D5B" w:rsidP="00CF774B">
                  <w:pPr>
                    <w:jc w:val="center"/>
                    <w:rPr>
                      <w:rFonts w:cs="Times New Roman"/>
                      <w:color w:val="000000"/>
                      <w:sz w:val="18"/>
                      <w:szCs w:val="18"/>
                    </w:rPr>
                  </w:pPr>
                  <w:r w:rsidRPr="006401D1">
                    <w:rPr>
                      <w:color w:val="000000"/>
                      <w:sz w:val="18"/>
                      <w:szCs w:val="18"/>
                    </w:rPr>
                    <w:t>1,5</w:t>
                  </w:r>
                </w:p>
              </w:tc>
              <w:tc>
                <w:tcPr>
                  <w:tcW w:w="780" w:type="dxa"/>
                  <w:gridSpan w:val="2"/>
                  <w:tcBorders>
                    <w:top w:val="nil"/>
                    <w:left w:val="nil"/>
                    <w:bottom w:val="nil"/>
                    <w:right w:val="nil"/>
                  </w:tcBorders>
                  <w:shd w:val="clear" w:color="auto" w:fill="auto"/>
                  <w:vAlign w:val="center"/>
                  <w:hideMark/>
                </w:tcPr>
                <w:p w14:paraId="4F7A4701" w14:textId="77777777" w:rsidR="00C45D5B" w:rsidRPr="006401D1" w:rsidRDefault="00C45D5B" w:rsidP="00CF774B">
                  <w:pPr>
                    <w:jc w:val="center"/>
                    <w:rPr>
                      <w:rFonts w:cs="Times New Roman"/>
                      <w:color w:val="000000"/>
                      <w:sz w:val="18"/>
                      <w:szCs w:val="18"/>
                    </w:rPr>
                  </w:pPr>
                  <w:r w:rsidRPr="006401D1">
                    <w:rPr>
                      <w:color w:val="000000"/>
                      <w:sz w:val="18"/>
                      <w:szCs w:val="18"/>
                    </w:rPr>
                    <w:t>3,6</w:t>
                  </w:r>
                </w:p>
              </w:tc>
              <w:tc>
                <w:tcPr>
                  <w:tcW w:w="775" w:type="dxa"/>
                  <w:tcBorders>
                    <w:top w:val="nil"/>
                    <w:left w:val="nil"/>
                    <w:bottom w:val="nil"/>
                    <w:right w:val="nil"/>
                  </w:tcBorders>
                  <w:shd w:val="clear" w:color="auto" w:fill="auto"/>
                  <w:vAlign w:val="center"/>
                  <w:hideMark/>
                </w:tcPr>
                <w:p w14:paraId="2102E0DC" w14:textId="77777777" w:rsidR="00C45D5B" w:rsidRPr="006401D1" w:rsidRDefault="00C45D5B" w:rsidP="00CF774B">
                  <w:pPr>
                    <w:jc w:val="center"/>
                    <w:rPr>
                      <w:rFonts w:cs="Times New Roman"/>
                      <w:color w:val="000000"/>
                      <w:sz w:val="18"/>
                      <w:szCs w:val="18"/>
                    </w:rPr>
                  </w:pPr>
                  <w:r w:rsidRPr="006401D1">
                    <w:rPr>
                      <w:color w:val="000000"/>
                      <w:sz w:val="18"/>
                      <w:szCs w:val="18"/>
                    </w:rPr>
                    <w:t>1,2</w:t>
                  </w:r>
                </w:p>
              </w:tc>
              <w:tc>
                <w:tcPr>
                  <w:tcW w:w="778" w:type="dxa"/>
                  <w:gridSpan w:val="3"/>
                  <w:tcBorders>
                    <w:top w:val="nil"/>
                    <w:left w:val="nil"/>
                    <w:bottom w:val="nil"/>
                    <w:right w:val="nil"/>
                  </w:tcBorders>
                  <w:shd w:val="clear" w:color="auto" w:fill="auto"/>
                  <w:vAlign w:val="center"/>
                  <w:hideMark/>
                </w:tcPr>
                <w:p w14:paraId="06791631" w14:textId="77777777" w:rsidR="00C45D5B" w:rsidRPr="006401D1" w:rsidRDefault="00C45D5B" w:rsidP="00CF774B">
                  <w:pPr>
                    <w:jc w:val="center"/>
                    <w:rPr>
                      <w:rFonts w:cs="Times New Roman"/>
                      <w:color w:val="000000"/>
                      <w:sz w:val="18"/>
                      <w:szCs w:val="18"/>
                    </w:rPr>
                  </w:pPr>
                  <w:r w:rsidRPr="006401D1">
                    <w:rPr>
                      <w:color w:val="000000"/>
                      <w:sz w:val="18"/>
                      <w:szCs w:val="18"/>
                    </w:rPr>
                    <w:t>1,7</w:t>
                  </w:r>
                </w:p>
              </w:tc>
            </w:tr>
            <w:tr w:rsidR="00C45D5B" w:rsidRPr="006401D1" w14:paraId="709C878D" w14:textId="77777777" w:rsidTr="00CF774B">
              <w:trPr>
                <w:trHeight w:val="287"/>
              </w:trPr>
              <w:tc>
                <w:tcPr>
                  <w:tcW w:w="3474" w:type="dxa"/>
                  <w:tcBorders>
                    <w:top w:val="nil"/>
                    <w:left w:val="nil"/>
                    <w:bottom w:val="nil"/>
                    <w:right w:val="nil"/>
                  </w:tcBorders>
                  <w:shd w:val="clear" w:color="auto" w:fill="auto"/>
                  <w:noWrap/>
                  <w:vAlign w:val="center"/>
                  <w:hideMark/>
                </w:tcPr>
                <w:p w14:paraId="4EFE5E37" w14:textId="77777777" w:rsidR="00C45D5B" w:rsidRPr="006401D1" w:rsidRDefault="00C45D5B" w:rsidP="00CF774B">
                  <w:pPr>
                    <w:rPr>
                      <w:rFonts w:cs="Times New Roman"/>
                      <w:color w:val="000000"/>
                      <w:sz w:val="18"/>
                      <w:szCs w:val="18"/>
                    </w:rPr>
                  </w:pPr>
                  <w:r w:rsidRPr="006401D1">
                    <w:rPr>
                      <w:rFonts w:cs="Times New Roman"/>
                      <w:color w:val="000000"/>
                      <w:sz w:val="18"/>
                      <w:szCs w:val="18"/>
                    </w:rPr>
                    <w:t>5. Produktivita práce na hodinu (eur) [5]</w:t>
                  </w:r>
                </w:p>
              </w:tc>
              <w:tc>
                <w:tcPr>
                  <w:tcW w:w="679" w:type="dxa"/>
                  <w:tcBorders>
                    <w:top w:val="nil"/>
                    <w:left w:val="nil"/>
                    <w:bottom w:val="nil"/>
                    <w:right w:val="nil"/>
                  </w:tcBorders>
                  <w:shd w:val="clear" w:color="auto" w:fill="auto"/>
                  <w:noWrap/>
                  <w:vAlign w:val="bottom"/>
                  <w:hideMark/>
                </w:tcPr>
                <w:p w14:paraId="0F7141DE" w14:textId="77777777" w:rsidR="00C45D5B" w:rsidRPr="006401D1" w:rsidRDefault="00C45D5B" w:rsidP="00CF774B">
                  <w:pPr>
                    <w:rPr>
                      <w:rFonts w:cs="Times New Roman"/>
                      <w:color w:val="000000"/>
                      <w:sz w:val="18"/>
                      <w:szCs w:val="18"/>
                    </w:rPr>
                  </w:pPr>
                </w:p>
              </w:tc>
              <w:tc>
                <w:tcPr>
                  <w:tcW w:w="931" w:type="dxa"/>
                  <w:tcBorders>
                    <w:top w:val="nil"/>
                    <w:left w:val="nil"/>
                    <w:bottom w:val="nil"/>
                    <w:right w:val="nil"/>
                  </w:tcBorders>
                  <w:shd w:val="clear" w:color="auto" w:fill="auto"/>
                  <w:vAlign w:val="center"/>
                  <w:hideMark/>
                </w:tcPr>
                <w:p w14:paraId="06F8ABFB" w14:textId="77777777" w:rsidR="00C45D5B" w:rsidRPr="006401D1" w:rsidRDefault="00C45D5B" w:rsidP="00CF774B">
                  <w:pPr>
                    <w:jc w:val="center"/>
                    <w:rPr>
                      <w:rFonts w:cs="Times New Roman"/>
                      <w:color w:val="000000"/>
                      <w:sz w:val="18"/>
                      <w:szCs w:val="18"/>
                    </w:rPr>
                  </w:pPr>
                  <w:r w:rsidRPr="006401D1">
                    <w:rPr>
                      <w:color w:val="000000"/>
                      <w:sz w:val="18"/>
                      <w:szCs w:val="18"/>
                    </w:rPr>
                    <w:t>23,3</w:t>
                  </w:r>
                </w:p>
              </w:tc>
              <w:tc>
                <w:tcPr>
                  <w:tcW w:w="775" w:type="dxa"/>
                  <w:tcBorders>
                    <w:top w:val="nil"/>
                    <w:left w:val="nil"/>
                    <w:bottom w:val="nil"/>
                    <w:right w:val="nil"/>
                  </w:tcBorders>
                  <w:shd w:val="clear" w:color="auto" w:fill="auto"/>
                  <w:vAlign w:val="center"/>
                  <w:hideMark/>
                </w:tcPr>
                <w:p w14:paraId="0CEA76DB" w14:textId="77777777" w:rsidR="00C45D5B" w:rsidRPr="006401D1" w:rsidRDefault="00C45D5B" w:rsidP="00CF774B">
                  <w:pPr>
                    <w:jc w:val="center"/>
                    <w:rPr>
                      <w:rFonts w:cs="Times New Roman"/>
                      <w:color w:val="000000"/>
                      <w:sz w:val="18"/>
                      <w:szCs w:val="18"/>
                    </w:rPr>
                  </w:pPr>
                  <w:r w:rsidRPr="006401D1">
                    <w:rPr>
                      <w:color w:val="000000"/>
                      <w:sz w:val="18"/>
                      <w:szCs w:val="18"/>
                    </w:rPr>
                    <w:t>2,9</w:t>
                  </w:r>
                </w:p>
              </w:tc>
              <w:tc>
                <w:tcPr>
                  <w:tcW w:w="775" w:type="dxa"/>
                  <w:tcBorders>
                    <w:top w:val="nil"/>
                    <w:left w:val="nil"/>
                    <w:bottom w:val="nil"/>
                    <w:right w:val="nil"/>
                  </w:tcBorders>
                  <w:shd w:val="clear" w:color="auto" w:fill="auto"/>
                  <w:vAlign w:val="center"/>
                  <w:hideMark/>
                </w:tcPr>
                <w:p w14:paraId="19DE6BA7" w14:textId="77777777" w:rsidR="00C45D5B" w:rsidRPr="006401D1" w:rsidRDefault="00C45D5B" w:rsidP="00CF774B">
                  <w:pPr>
                    <w:jc w:val="center"/>
                    <w:rPr>
                      <w:rFonts w:cs="Times New Roman"/>
                      <w:color w:val="000000"/>
                      <w:sz w:val="18"/>
                      <w:szCs w:val="18"/>
                    </w:rPr>
                  </w:pPr>
                  <w:r w:rsidRPr="006401D1">
                    <w:rPr>
                      <w:color w:val="000000"/>
                      <w:sz w:val="18"/>
                      <w:szCs w:val="18"/>
                    </w:rPr>
                    <w:t>3,7</w:t>
                  </w:r>
                </w:p>
              </w:tc>
              <w:tc>
                <w:tcPr>
                  <w:tcW w:w="780" w:type="dxa"/>
                  <w:gridSpan w:val="2"/>
                  <w:tcBorders>
                    <w:top w:val="nil"/>
                    <w:left w:val="nil"/>
                    <w:bottom w:val="nil"/>
                    <w:right w:val="nil"/>
                  </w:tcBorders>
                  <w:shd w:val="clear" w:color="auto" w:fill="auto"/>
                  <w:vAlign w:val="center"/>
                  <w:hideMark/>
                </w:tcPr>
                <w:p w14:paraId="04D4B313" w14:textId="77777777" w:rsidR="00C45D5B" w:rsidRPr="006401D1" w:rsidRDefault="00C45D5B" w:rsidP="00CF774B">
                  <w:pPr>
                    <w:jc w:val="center"/>
                    <w:rPr>
                      <w:rFonts w:cs="Times New Roman"/>
                      <w:color w:val="000000"/>
                      <w:sz w:val="18"/>
                      <w:szCs w:val="18"/>
                    </w:rPr>
                  </w:pPr>
                  <w:r w:rsidRPr="006401D1">
                    <w:rPr>
                      <w:color w:val="000000"/>
                      <w:sz w:val="18"/>
                      <w:szCs w:val="18"/>
                    </w:rPr>
                    <w:t>0,9</w:t>
                  </w:r>
                </w:p>
              </w:tc>
              <w:tc>
                <w:tcPr>
                  <w:tcW w:w="775" w:type="dxa"/>
                  <w:tcBorders>
                    <w:top w:val="nil"/>
                    <w:left w:val="nil"/>
                    <w:bottom w:val="nil"/>
                    <w:right w:val="nil"/>
                  </w:tcBorders>
                  <w:shd w:val="clear" w:color="auto" w:fill="auto"/>
                  <w:vAlign w:val="center"/>
                  <w:hideMark/>
                </w:tcPr>
                <w:p w14:paraId="6EE6855D" w14:textId="77777777" w:rsidR="00C45D5B" w:rsidRPr="006401D1" w:rsidRDefault="00C45D5B" w:rsidP="00CF774B">
                  <w:pPr>
                    <w:jc w:val="center"/>
                    <w:rPr>
                      <w:rFonts w:cs="Times New Roman"/>
                      <w:color w:val="000000"/>
                      <w:sz w:val="18"/>
                      <w:szCs w:val="18"/>
                    </w:rPr>
                  </w:pPr>
                  <w:r w:rsidRPr="006401D1">
                    <w:rPr>
                      <w:color w:val="000000"/>
                      <w:sz w:val="18"/>
                      <w:szCs w:val="18"/>
                    </w:rPr>
                    <w:t>3,8</w:t>
                  </w:r>
                </w:p>
              </w:tc>
              <w:tc>
                <w:tcPr>
                  <w:tcW w:w="778" w:type="dxa"/>
                  <w:gridSpan w:val="3"/>
                  <w:tcBorders>
                    <w:top w:val="nil"/>
                    <w:left w:val="nil"/>
                    <w:bottom w:val="nil"/>
                    <w:right w:val="nil"/>
                  </w:tcBorders>
                  <w:shd w:val="clear" w:color="auto" w:fill="auto"/>
                  <w:vAlign w:val="center"/>
                  <w:hideMark/>
                </w:tcPr>
                <w:p w14:paraId="1C973A19" w14:textId="77777777" w:rsidR="00C45D5B" w:rsidRPr="006401D1" w:rsidRDefault="00C45D5B" w:rsidP="00CF774B">
                  <w:pPr>
                    <w:jc w:val="center"/>
                    <w:rPr>
                      <w:rFonts w:cs="Times New Roman"/>
                      <w:color w:val="000000"/>
                      <w:sz w:val="18"/>
                      <w:szCs w:val="18"/>
                    </w:rPr>
                  </w:pPr>
                  <w:r w:rsidRPr="006401D1">
                    <w:rPr>
                      <w:color w:val="000000"/>
                      <w:sz w:val="18"/>
                      <w:szCs w:val="18"/>
                    </w:rPr>
                    <w:t>4,1</w:t>
                  </w:r>
                </w:p>
              </w:tc>
            </w:tr>
            <w:tr w:rsidR="00C45D5B" w:rsidRPr="006401D1" w14:paraId="3E22031B" w14:textId="77777777" w:rsidTr="00CF774B">
              <w:trPr>
                <w:trHeight w:val="287"/>
              </w:trPr>
              <w:tc>
                <w:tcPr>
                  <w:tcW w:w="3474" w:type="dxa"/>
                  <w:tcBorders>
                    <w:top w:val="nil"/>
                    <w:left w:val="nil"/>
                    <w:bottom w:val="nil"/>
                    <w:right w:val="nil"/>
                  </w:tcBorders>
                  <w:shd w:val="clear" w:color="auto" w:fill="auto"/>
                  <w:noWrap/>
                  <w:vAlign w:val="center"/>
                  <w:hideMark/>
                </w:tcPr>
                <w:p w14:paraId="40092E73" w14:textId="77777777" w:rsidR="00C45D5B" w:rsidRPr="006401D1" w:rsidRDefault="00C45D5B" w:rsidP="00CF774B">
                  <w:pPr>
                    <w:rPr>
                      <w:rFonts w:cs="Times New Roman"/>
                      <w:color w:val="000000"/>
                      <w:sz w:val="18"/>
                      <w:szCs w:val="18"/>
                    </w:rPr>
                  </w:pPr>
                  <w:r w:rsidRPr="006401D1">
                    <w:rPr>
                      <w:rFonts w:cs="Times New Roman"/>
                      <w:color w:val="000000"/>
                      <w:sz w:val="18"/>
                      <w:szCs w:val="18"/>
                    </w:rPr>
                    <w:t>6. Odmeny zamestnancov (mil. eur)</w:t>
                  </w:r>
                </w:p>
              </w:tc>
              <w:tc>
                <w:tcPr>
                  <w:tcW w:w="679" w:type="dxa"/>
                  <w:tcBorders>
                    <w:top w:val="nil"/>
                    <w:left w:val="nil"/>
                    <w:bottom w:val="nil"/>
                    <w:right w:val="nil"/>
                  </w:tcBorders>
                  <w:shd w:val="clear" w:color="auto" w:fill="auto"/>
                  <w:noWrap/>
                  <w:vAlign w:val="center"/>
                  <w:hideMark/>
                </w:tcPr>
                <w:p w14:paraId="3B47BFEE"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D.1</w:t>
                  </w:r>
                </w:p>
              </w:tc>
              <w:tc>
                <w:tcPr>
                  <w:tcW w:w="931" w:type="dxa"/>
                  <w:tcBorders>
                    <w:top w:val="nil"/>
                    <w:left w:val="nil"/>
                    <w:bottom w:val="nil"/>
                    <w:right w:val="nil"/>
                  </w:tcBorders>
                  <w:shd w:val="clear" w:color="auto" w:fill="auto"/>
                  <w:vAlign w:val="center"/>
                  <w:hideMark/>
                </w:tcPr>
                <w:p w14:paraId="4A9AD23F" w14:textId="77777777" w:rsidR="00C45D5B" w:rsidRPr="006401D1" w:rsidRDefault="00C45D5B" w:rsidP="00CF774B">
                  <w:pPr>
                    <w:jc w:val="center"/>
                    <w:rPr>
                      <w:rFonts w:cs="Times New Roman"/>
                      <w:color w:val="000000"/>
                      <w:sz w:val="18"/>
                      <w:szCs w:val="18"/>
                    </w:rPr>
                  </w:pPr>
                  <w:r w:rsidRPr="006401D1">
                    <w:rPr>
                      <w:color w:val="000000"/>
                      <w:sz w:val="18"/>
                      <w:szCs w:val="18"/>
                    </w:rPr>
                    <w:t>42 855</w:t>
                  </w:r>
                </w:p>
              </w:tc>
              <w:tc>
                <w:tcPr>
                  <w:tcW w:w="775" w:type="dxa"/>
                  <w:tcBorders>
                    <w:top w:val="nil"/>
                    <w:left w:val="nil"/>
                    <w:bottom w:val="nil"/>
                    <w:right w:val="nil"/>
                  </w:tcBorders>
                  <w:shd w:val="clear" w:color="auto" w:fill="auto"/>
                  <w:vAlign w:val="center"/>
                  <w:hideMark/>
                </w:tcPr>
                <w:p w14:paraId="30808AFD" w14:textId="77777777" w:rsidR="00C45D5B" w:rsidRPr="006401D1" w:rsidRDefault="00C45D5B" w:rsidP="00CF774B">
                  <w:pPr>
                    <w:jc w:val="center"/>
                    <w:rPr>
                      <w:rFonts w:cs="Times New Roman"/>
                      <w:color w:val="000000"/>
                      <w:sz w:val="18"/>
                      <w:szCs w:val="18"/>
                    </w:rPr>
                  </w:pPr>
                  <w:r w:rsidRPr="006401D1">
                    <w:rPr>
                      <w:color w:val="000000"/>
                      <w:sz w:val="18"/>
                      <w:szCs w:val="18"/>
                    </w:rPr>
                    <w:t>4,8</w:t>
                  </w:r>
                </w:p>
              </w:tc>
              <w:tc>
                <w:tcPr>
                  <w:tcW w:w="775" w:type="dxa"/>
                  <w:tcBorders>
                    <w:top w:val="nil"/>
                    <w:left w:val="nil"/>
                    <w:bottom w:val="nil"/>
                    <w:right w:val="nil"/>
                  </w:tcBorders>
                  <w:shd w:val="clear" w:color="auto" w:fill="auto"/>
                  <w:vAlign w:val="center"/>
                  <w:hideMark/>
                </w:tcPr>
                <w:p w14:paraId="4E60C60E" w14:textId="77777777" w:rsidR="00C45D5B" w:rsidRPr="006401D1" w:rsidRDefault="00C45D5B" w:rsidP="00CF774B">
                  <w:pPr>
                    <w:jc w:val="center"/>
                    <w:rPr>
                      <w:rFonts w:cs="Times New Roman"/>
                      <w:color w:val="000000"/>
                      <w:sz w:val="18"/>
                      <w:szCs w:val="18"/>
                    </w:rPr>
                  </w:pPr>
                  <w:r w:rsidRPr="006401D1">
                    <w:rPr>
                      <w:color w:val="000000"/>
                      <w:sz w:val="18"/>
                      <w:szCs w:val="18"/>
                    </w:rPr>
                    <w:t>7,5</w:t>
                  </w:r>
                </w:p>
              </w:tc>
              <w:tc>
                <w:tcPr>
                  <w:tcW w:w="780" w:type="dxa"/>
                  <w:gridSpan w:val="2"/>
                  <w:tcBorders>
                    <w:top w:val="nil"/>
                    <w:left w:val="nil"/>
                    <w:bottom w:val="nil"/>
                    <w:right w:val="nil"/>
                  </w:tcBorders>
                  <w:shd w:val="clear" w:color="auto" w:fill="auto"/>
                  <w:vAlign w:val="center"/>
                  <w:hideMark/>
                </w:tcPr>
                <w:p w14:paraId="719ADF20" w14:textId="77777777" w:rsidR="00C45D5B" w:rsidRPr="006401D1" w:rsidRDefault="00C45D5B" w:rsidP="00CF774B">
                  <w:pPr>
                    <w:jc w:val="center"/>
                    <w:rPr>
                      <w:rFonts w:cs="Times New Roman"/>
                      <w:color w:val="000000"/>
                      <w:sz w:val="18"/>
                      <w:szCs w:val="18"/>
                    </w:rPr>
                  </w:pPr>
                  <w:r w:rsidRPr="006401D1">
                    <w:rPr>
                      <w:color w:val="000000"/>
                      <w:sz w:val="18"/>
                      <w:szCs w:val="18"/>
                    </w:rPr>
                    <w:t>8,8</w:t>
                  </w:r>
                </w:p>
              </w:tc>
              <w:tc>
                <w:tcPr>
                  <w:tcW w:w="775" w:type="dxa"/>
                  <w:tcBorders>
                    <w:top w:val="nil"/>
                    <w:left w:val="nil"/>
                    <w:bottom w:val="nil"/>
                    <w:right w:val="nil"/>
                  </w:tcBorders>
                  <w:shd w:val="clear" w:color="auto" w:fill="auto"/>
                  <w:vAlign w:val="center"/>
                  <w:hideMark/>
                </w:tcPr>
                <w:p w14:paraId="5D6EB8DF" w14:textId="77777777" w:rsidR="00C45D5B" w:rsidRPr="006401D1" w:rsidRDefault="00C45D5B" w:rsidP="00CF774B">
                  <w:pPr>
                    <w:jc w:val="center"/>
                    <w:rPr>
                      <w:rFonts w:cs="Times New Roman"/>
                      <w:color w:val="000000"/>
                      <w:sz w:val="18"/>
                      <w:szCs w:val="18"/>
                    </w:rPr>
                  </w:pPr>
                  <w:r w:rsidRPr="006401D1">
                    <w:rPr>
                      <w:color w:val="000000"/>
                      <w:sz w:val="18"/>
                      <w:szCs w:val="18"/>
                    </w:rPr>
                    <w:t>5,4</w:t>
                  </w:r>
                </w:p>
              </w:tc>
              <w:tc>
                <w:tcPr>
                  <w:tcW w:w="778" w:type="dxa"/>
                  <w:gridSpan w:val="3"/>
                  <w:tcBorders>
                    <w:top w:val="nil"/>
                    <w:left w:val="nil"/>
                    <w:bottom w:val="nil"/>
                    <w:right w:val="nil"/>
                  </w:tcBorders>
                  <w:shd w:val="clear" w:color="auto" w:fill="auto"/>
                  <w:vAlign w:val="center"/>
                  <w:hideMark/>
                </w:tcPr>
                <w:p w14:paraId="7BB732BA" w14:textId="77777777" w:rsidR="00C45D5B" w:rsidRPr="006401D1" w:rsidRDefault="00C45D5B" w:rsidP="00CF774B">
                  <w:pPr>
                    <w:jc w:val="center"/>
                    <w:rPr>
                      <w:rFonts w:cs="Times New Roman"/>
                      <w:color w:val="000000"/>
                      <w:sz w:val="18"/>
                      <w:szCs w:val="18"/>
                    </w:rPr>
                  </w:pPr>
                  <w:r w:rsidRPr="006401D1">
                    <w:rPr>
                      <w:color w:val="000000"/>
                      <w:sz w:val="18"/>
                      <w:szCs w:val="18"/>
                    </w:rPr>
                    <w:t>4,5</w:t>
                  </w:r>
                </w:p>
              </w:tc>
            </w:tr>
            <w:tr w:rsidR="00C45D5B" w:rsidRPr="006401D1" w14:paraId="4D28AFD8" w14:textId="77777777" w:rsidTr="00CF774B">
              <w:trPr>
                <w:trHeight w:val="287"/>
              </w:trPr>
              <w:tc>
                <w:tcPr>
                  <w:tcW w:w="3474" w:type="dxa"/>
                  <w:tcBorders>
                    <w:top w:val="nil"/>
                    <w:left w:val="nil"/>
                    <w:bottom w:val="single" w:sz="8" w:space="0" w:color="auto"/>
                    <w:right w:val="nil"/>
                  </w:tcBorders>
                  <w:shd w:val="clear" w:color="auto" w:fill="auto"/>
                  <w:noWrap/>
                  <w:vAlign w:val="center"/>
                  <w:hideMark/>
                </w:tcPr>
                <w:p w14:paraId="39DDEE43" w14:textId="77777777" w:rsidR="00C45D5B" w:rsidRPr="006401D1" w:rsidRDefault="00C45D5B" w:rsidP="00CF774B">
                  <w:pPr>
                    <w:rPr>
                      <w:rFonts w:cs="Times New Roman"/>
                      <w:color w:val="000000"/>
                      <w:sz w:val="18"/>
                      <w:szCs w:val="18"/>
                    </w:rPr>
                  </w:pPr>
                  <w:r w:rsidRPr="006401D1">
                    <w:rPr>
                      <w:rFonts w:cs="Times New Roman"/>
                      <w:color w:val="000000"/>
                      <w:sz w:val="18"/>
                      <w:szCs w:val="18"/>
                    </w:rPr>
                    <w:t>7. Odmeny na zamestnanca (eur)</w:t>
                  </w:r>
                </w:p>
              </w:tc>
              <w:tc>
                <w:tcPr>
                  <w:tcW w:w="679" w:type="dxa"/>
                  <w:tcBorders>
                    <w:top w:val="nil"/>
                    <w:left w:val="nil"/>
                    <w:bottom w:val="single" w:sz="8" w:space="0" w:color="auto"/>
                    <w:right w:val="nil"/>
                  </w:tcBorders>
                  <w:shd w:val="clear" w:color="auto" w:fill="auto"/>
                  <w:noWrap/>
                  <w:vAlign w:val="bottom"/>
                  <w:hideMark/>
                </w:tcPr>
                <w:p w14:paraId="120A56CF"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 </w:t>
                  </w:r>
                </w:p>
              </w:tc>
              <w:tc>
                <w:tcPr>
                  <w:tcW w:w="931" w:type="dxa"/>
                  <w:tcBorders>
                    <w:top w:val="nil"/>
                    <w:left w:val="nil"/>
                    <w:bottom w:val="single" w:sz="8" w:space="0" w:color="auto"/>
                    <w:right w:val="nil"/>
                  </w:tcBorders>
                  <w:shd w:val="clear" w:color="auto" w:fill="auto"/>
                  <w:vAlign w:val="center"/>
                  <w:hideMark/>
                </w:tcPr>
                <w:p w14:paraId="31B10E34" w14:textId="77777777" w:rsidR="00C45D5B" w:rsidRPr="006401D1" w:rsidRDefault="00C45D5B" w:rsidP="00CF774B">
                  <w:pPr>
                    <w:jc w:val="center"/>
                    <w:rPr>
                      <w:rFonts w:cs="Times New Roman"/>
                      <w:color w:val="000000"/>
                      <w:sz w:val="18"/>
                      <w:szCs w:val="18"/>
                    </w:rPr>
                  </w:pPr>
                  <w:r w:rsidRPr="006401D1">
                    <w:rPr>
                      <w:color w:val="000000"/>
                      <w:sz w:val="18"/>
                      <w:szCs w:val="18"/>
                    </w:rPr>
                    <w:t>20 861</w:t>
                  </w:r>
                </w:p>
              </w:tc>
              <w:tc>
                <w:tcPr>
                  <w:tcW w:w="775" w:type="dxa"/>
                  <w:tcBorders>
                    <w:top w:val="nil"/>
                    <w:left w:val="nil"/>
                    <w:bottom w:val="single" w:sz="8" w:space="0" w:color="auto"/>
                    <w:right w:val="nil"/>
                  </w:tcBorders>
                  <w:shd w:val="clear" w:color="auto" w:fill="auto"/>
                  <w:vAlign w:val="center"/>
                  <w:hideMark/>
                </w:tcPr>
                <w:p w14:paraId="707AB3E9" w14:textId="77777777" w:rsidR="00C45D5B" w:rsidRPr="006401D1" w:rsidRDefault="00C45D5B" w:rsidP="00CF774B">
                  <w:pPr>
                    <w:jc w:val="center"/>
                    <w:rPr>
                      <w:rFonts w:cs="Times New Roman"/>
                      <w:color w:val="000000"/>
                      <w:sz w:val="18"/>
                      <w:szCs w:val="18"/>
                    </w:rPr>
                  </w:pPr>
                  <w:r w:rsidRPr="006401D1">
                    <w:rPr>
                      <w:color w:val="000000"/>
                      <w:sz w:val="18"/>
                      <w:szCs w:val="18"/>
                    </w:rPr>
                    <w:t>5,9</w:t>
                  </w:r>
                </w:p>
              </w:tc>
              <w:tc>
                <w:tcPr>
                  <w:tcW w:w="775" w:type="dxa"/>
                  <w:tcBorders>
                    <w:top w:val="nil"/>
                    <w:left w:val="nil"/>
                    <w:bottom w:val="single" w:sz="8" w:space="0" w:color="auto"/>
                    <w:right w:val="nil"/>
                  </w:tcBorders>
                  <w:shd w:val="clear" w:color="auto" w:fill="auto"/>
                  <w:vAlign w:val="center"/>
                  <w:hideMark/>
                </w:tcPr>
                <w:p w14:paraId="2E54D560" w14:textId="77777777" w:rsidR="00C45D5B" w:rsidRPr="006401D1" w:rsidRDefault="00C45D5B" w:rsidP="00CF774B">
                  <w:pPr>
                    <w:jc w:val="center"/>
                    <w:rPr>
                      <w:rFonts w:cs="Times New Roman"/>
                      <w:color w:val="000000"/>
                      <w:sz w:val="18"/>
                      <w:szCs w:val="18"/>
                    </w:rPr>
                  </w:pPr>
                  <w:r w:rsidRPr="006401D1">
                    <w:rPr>
                      <w:color w:val="000000"/>
                      <w:sz w:val="18"/>
                      <w:szCs w:val="18"/>
                    </w:rPr>
                    <w:t>7,1</w:t>
                  </w:r>
                </w:p>
              </w:tc>
              <w:tc>
                <w:tcPr>
                  <w:tcW w:w="780" w:type="dxa"/>
                  <w:gridSpan w:val="2"/>
                  <w:tcBorders>
                    <w:top w:val="nil"/>
                    <w:left w:val="nil"/>
                    <w:bottom w:val="single" w:sz="8" w:space="0" w:color="auto"/>
                    <w:right w:val="nil"/>
                  </w:tcBorders>
                  <w:shd w:val="clear" w:color="auto" w:fill="auto"/>
                  <w:vAlign w:val="center"/>
                  <w:hideMark/>
                </w:tcPr>
                <w:p w14:paraId="078A94BA" w14:textId="77777777" w:rsidR="00C45D5B" w:rsidRPr="006401D1" w:rsidRDefault="00C45D5B" w:rsidP="00CF774B">
                  <w:pPr>
                    <w:jc w:val="center"/>
                    <w:rPr>
                      <w:rFonts w:cs="Times New Roman"/>
                      <w:color w:val="000000"/>
                      <w:sz w:val="18"/>
                      <w:szCs w:val="18"/>
                    </w:rPr>
                  </w:pPr>
                  <w:r w:rsidRPr="006401D1">
                    <w:rPr>
                      <w:color w:val="000000"/>
                      <w:sz w:val="18"/>
                      <w:szCs w:val="18"/>
                    </w:rPr>
                    <w:t>7,1</w:t>
                  </w:r>
                </w:p>
              </w:tc>
              <w:tc>
                <w:tcPr>
                  <w:tcW w:w="775" w:type="dxa"/>
                  <w:tcBorders>
                    <w:top w:val="nil"/>
                    <w:left w:val="nil"/>
                    <w:bottom w:val="single" w:sz="8" w:space="0" w:color="auto"/>
                    <w:right w:val="nil"/>
                  </w:tcBorders>
                  <w:shd w:val="clear" w:color="auto" w:fill="auto"/>
                  <w:vAlign w:val="center"/>
                  <w:hideMark/>
                </w:tcPr>
                <w:p w14:paraId="6A7856AB" w14:textId="77777777" w:rsidR="00C45D5B" w:rsidRPr="006401D1" w:rsidRDefault="00C45D5B" w:rsidP="00CF774B">
                  <w:pPr>
                    <w:jc w:val="center"/>
                    <w:rPr>
                      <w:rFonts w:cs="Times New Roman"/>
                      <w:color w:val="000000"/>
                      <w:sz w:val="18"/>
                      <w:szCs w:val="18"/>
                    </w:rPr>
                  </w:pPr>
                  <w:r w:rsidRPr="006401D1">
                    <w:rPr>
                      <w:color w:val="000000"/>
                      <w:sz w:val="18"/>
                      <w:szCs w:val="18"/>
                    </w:rPr>
                    <w:t>5,0</w:t>
                  </w:r>
                </w:p>
              </w:tc>
              <w:tc>
                <w:tcPr>
                  <w:tcW w:w="778" w:type="dxa"/>
                  <w:gridSpan w:val="3"/>
                  <w:tcBorders>
                    <w:top w:val="nil"/>
                    <w:left w:val="nil"/>
                    <w:bottom w:val="single" w:sz="8" w:space="0" w:color="auto"/>
                    <w:right w:val="nil"/>
                  </w:tcBorders>
                  <w:shd w:val="clear" w:color="auto" w:fill="auto"/>
                  <w:vAlign w:val="center"/>
                  <w:hideMark/>
                </w:tcPr>
                <w:p w14:paraId="25A1D9AE" w14:textId="77777777" w:rsidR="00C45D5B" w:rsidRPr="006401D1" w:rsidRDefault="00C45D5B" w:rsidP="00CF774B">
                  <w:pPr>
                    <w:jc w:val="center"/>
                    <w:rPr>
                      <w:rFonts w:cs="Times New Roman"/>
                      <w:color w:val="000000"/>
                      <w:sz w:val="18"/>
                      <w:szCs w:val="18"/>
                    </w:rPr>
                  </w:pPr>
                  <w:r w:rsidRPr="006401D1">
                    <w:rPr>
                      <w:color w:val="000000"/>
                      <w:sz w:val="18"/>
                      <w:szCs w:val="18"/>
                    </w:rPr>
                    <w:t>4,6</w:t>
                  </w:r>
                </w:p>
              </w:tc>
            </w:tr>
            <w:tr w:rsidR="00C45D5B" w:rsidRPr="006401D1" w14:paraId="1ADA0C96" w14:textId="77777777" w:rsidTr="00CF774B">
              <w:trPr>
                <w:gridAfter w:val="1"/>
                <w:wAfter w:w="106" w:type="dxa"/>
                <w:trHeight w:val="224"/>
              </w:trPr>
              <w:tc>
                <w:tcPr>
                  <w:tcW w:w="6847" w:type="dxa"/>
                  <w:gridSpan w:val="6"/>
                  <w:tcBorders>
                    <w:top w:val="single" w:sz="8" w:space="0" w:color="auto"/>
                    <w:left w:val="nil"/>
                    <w:bottom w:val="nil"/>
                    <w:right w:val="nil"/>
                  </w:tcBorders>
                  <w:shd w:val="clear" w:color="auto" w:fill="auto"/>
                  <w:vAlign w:val="bottom"/>
                  <w:hideMark/>
                </w:tcPr>
                <w:p w14:paraId="2CEEBDD2" w14:textId="77777777" w:rsidR="00C45D5B" w:rsidRPr="006401D1" w:rsidRDefault="00C45D5B" w:rsidP="00CF774B">
                  <w:pPr>
                    <w:rPr>
                      <w:rFonts w:cs="Times New Roman"/>
                      <w:i/>
                      <w:color w:val="000000"/>
                      <w:sz w:val="16"/>
                      <w:szCs w:val="18"/>
                    </w:rPr>
                  </w:pPr>
                  <w:r w:rsidRPr="006401D1">
                    <w:rPr>
                      <w:rFonts w:cs="Times New Roman"/>
                      <w:i/>
                      <w:color w:val="000000"/>
                      <w:sz w:val="16"/>
                      <w:szCs w:val="18"/>
                    </w:rPr>
                    <w:t>[1] Celková zamestnanosť, podľa národných účtov - domáci koncept.</w:t>
                  </w:r>
                </w:p>
              </w:tc>
              <w:tc>
                <w:tcPr>
                  <w:tcW w:w="2014" w:type="dxa"/>
                  <w:gridSpan w:val="4"/>
                  <w:tcBorders>
                    <w:top w:val="single" w:sz="8" w:space="0" w:color="auto"/>
                    <w:left w:val="nil"/>
                    <w:bottom w:val="nil"/>
                  </w:tcBorders>
                  <w:shd w:val="clear" w:color="auto" w:fill="auto"/>
                  <w:noWrap/>
                  <w:vAlign w:val="bottom"/>
                  <w:hideMark/>
                </w:tcPr>
                <w:p w14:paraId="5DF4FEA6" w14:textId="77777777" w:rsidR="00C45D5B" w:rsidRPr="006401D1" w:rsidRDefault="00C45D5B" w:rsidP="00CF774B">
                  <w:pPr>
                    <w:jc w:val="right"/>
                    <w:rPr>
                      <w:rFonts w:cs="Times New Roman"/>
                      <w:i/>
                      <w:iCs/>
                      <w:color w:val="000000"/>
                      <w:sz w:val="18"/>
                      <w:szCs w:val="18"/>
                    </w:rPr>
                  </w:pPr>
                  <w:r w:rsidRPr="006401D1">
                    <w:rPr>
                      <w:rFonts w:cs="Times New Roman"/>
                      <w:i/>
                      <w:iCs/>
                      <w:color w:val="000000"/>
                      <w:sz w:val="16"/>
                      <w:szCs w:val="18"/>
                    </w:rPr>
                    <w:t>Zdroj: ŠÚ SR, MF SR</w:t>
                  </w:r>
                </w:p>
              </w:tc>
            </w:tr>
            <w:tr w:rsidR="00C45D5B" w:rsidRPr="006401D1" w14:paraId="2A8725FC" w14:textId="77777777" w:rsidTr="00CF774B">
              <w:trPr>
                <w:gridAfter w:val="2"/>
                <w:wAfter w:w="567" w:type="dxa"/>
                <w:trHeight w:val="224"/>
              </w:trPr>
              <w:tc>
                <w:tcPr>
                  <w:tcW w:w="6847" w:type="dxa"/>
                  <w:gridSpan w:val="6"/>
                  <w:tcBorders>
                    <w:top w:val="nil"/>
                    <w:left w:val="nil"/>
                    <w:bottom w:val="nil"/>
                    <w:right w:val="nil"/>
                  </w:tcBorders>
                  <w:shd w:val="clear" w:color="auto" w:fill="auto"/>
                  <w:noWrap/>
                  <w:vAlign w:val="bottom"/>
                  <w:hideMark/>
                </w:tcPr>
                <w:p w14:paraId="3A2187A5" w14:textId="77777777" w:rsidR="00C45D5B" w:rsidRPr="006401D1" w:rsidRDefault="00C45D5B" w:rsidP="00CF774B">
                  <w:pPr>
                    <w:rPr>
                      <w:rFonts w:cs="Times New Roman"/>
                      <w:i/>
                      <w:color w:val="000000"/>
                      <w:sz w:val="16"/>
                      <w:szCs w:val="18"/>
                    </w:rPr>
                  </w:pPr>
                  <w:r w:rsidRPr="006401D1">
                    <w:rPr>
                      <w:rFonts w:cs="Times New Roman"/>
                      <w:i/>
                      <w:color w:val="000000"/>
                      <w:sz w:val="16"/>
                      <w:szCs w:val="18"/>
                    </w:rPr>
                    <w:t>2] Podľa definície národných účtov.</w:t>
                  </w:r>
                </w:p>
              </w:tc>
              <w:tc>
                <w:tcPr>
                  <w:tcW w:w="1553" w:type="dxa"/>
                  <w:gridSpan w:val="3"/>
                  <w:tcBorders>
                    <w:top w:val="nil"/>
                    <w:left w:val="nil"/>
                    <w:bottom w:val="nil"/>
                    <w:right w:val="nil"/>
                  </w:tcBorders>
                  <w:shd w:val="clear" w:color="auto" w:fill="auto"/>
                  <w:noWrap/>
                  <w:vAlign w:val="bottom"/>
                  <w:hideMark/>
                </w:tcPr>
                <w:p w14:paraId="335DA4C7" w14:textId="77777777" w:rsidR="00C45D5B" w:rsidRPr="006401D1" w:rsidRDefault="00C45D5B" w:rsidP="00CF774B">
                  <w:pPr>
                    <w:rPr>
                      <w:rFonts w:cs="Times New Roman"/>
                      <w:i/>
                      <w:color w:val="000000"/>
                      <w:sz w:val="18"/>
                      <w:szCs w:val="18"/>
                    </w:rPr>
                  </w:pPr>
                </w:p>
              </w:tc>
            </w:tr>
            <w:tr w:rsidR="00C45D5B" w:rsidRPr="006401D1" w14:paraId="49E8B580" w14:textId="77777777" w:rsidTr="00CF774B">
              <w:trPr>
                <w:gridAfter w:val="2"/>
                <w:wAfter w:w="567" w:type="dxa"/>
                <w:trHeight w:val="224"/>
              </w:trPr>
              <w:tc>
                <w:tcPr>
                  <w:tcW w:w="6847" w:type="dxa"/>
                  <w:gridSpan w:val="6"/>
                  <w:tcBorders>
                    <w:top w:val="nil"/>
                    <w:left w:val="nil"/>
                    <w:bottom w:val="nil"/>
                    <w:right w:val="nil"/>
                  </w:tcBorders>
                  <w:shd w:val="clear" w:color="auto" w:fill="auto"/>
                  <w:noWrap/>
                  <w:vAlign w:val="bottom"/>
                  <w:hideMark/>
                </w:tcPr>
                <w:p w14:paraId="1DC8F729" w14:textId="77777777" w:rsidR="00C45D5B" w:rsidRPr="006401D1" w:rsidRDefault="00C45D5B" w:rsidP="00CF774B">
                  <w:pPr>
                    <w:rPr>
                      <w:rFonts w:cs="Times New Roman"/>
                      <w:i/>
                      <w:color w:val="000000"/>
                      <w:sz w:val="16"/>
                      <w:szCs w:val="18"/>
                    </w:rPr>
                  </w:pPr>
                  <w:r w:rsidRPr="006401D1">
                    <w:rPr>
                      <w:rFonts w:cs="Times New Roman"/>
                      <w:i/>
                      <w:color w:val="000000"/>
                      <w:sz w:val="16"/>
                      <w:szCs w:val="18"/>
                    </w:rPr>
                    <w:t>[3] Harmonizovaná miera podľa Eurostatu.</w:t>
                  </w:r>
                </w:p>
              </w:tc>
              <w:tc>
                <w:tcPr>
                  <w:tcW w:w="1553" w:type="dxa"/>
                  <w:gridSpan w:val="3"/>
                  <w:tcBorders>
                    <w:top w:val="nil"/>
                    <w:left w:val="nil"/>
                    <w:bottom w:val="nil"/>
                    <w:right w:val="nil"/>
                  </w:tcBorders>
                  <w:shd w:val="clear" w:color="auto" w:fill="auto"/>
                  <w:noWrap/>
                  <w:vAlign w:val="bottom"/>
                  <w:hideMark/>
                </w:tcPr>
                <w:p w14:paraId="41BEA5BA" w14:textId="77777777" w:rsidR="00C45D5B" w:rsidRPr="006401D1" w:rsidRDefault="00C45D5B" w:rsidP="00CF774B">
                  <w:pPr>
                    <w:rPr>
                      <w:rFonts w:cs="Times New Roman"/>
                      <w:i/>
                      <w:color w:val="000000"/>
                      <w:sz w:val="18"/>
                      <w:szCs w:val="18"/>
                    </w:rPr>
                  </w:pPr>
                </w:p>
              </w:tc>
            </w:tr>
            <w:tr w:rsidR="00C45D5B" w:rsidRPr="006401D1" w14:paraId="5583F5BC" w14:textId="77777777" w:rsidTr="00CF774B">
              <w:trPr>
                <w:gridAfter w:val="2"/>
                <w:wAfter w:w="567" w:type="dxa"/>
                <w:trHeight w:val="224"/>
              </w:trPr>
              <w:tc>
                <w:tcPr>
                  <w:tcW w:w="6847" w:type="dxa"/>
                  <w:gridSpan w:val="6"/>
                  <w:tcBorders>
                    <w:top w:val="nil"/>
                    <w:left w:val="nil"/>
                    <w:bottom w:val="nil"/>
                    <w:right w:val="nil"/>
                  </w:tcBorders>
                  <w:shd w:val="clear" w:color="auto" w:fill="auto"/>
                  <w:noWrap/>
                  <w:vAlign w:val="bottom"/>
                  <w:hideMark/>
                </w:tcPr>
                <w:p w14:paraId="7F87BCAC" w14:textId="77777777" w:rsidR="00C45D5B" w:rsidRPr="006401D1" w:rsidRDefault="00C45D5B" w:rsidP="00CF774B">
                  <w:pPr>
                    <w:rPr>
                      <w:rFonts w:cs="Times New Roman"/>
                      <w:i/>
                      <w:color w:val="000000"/>
                      <w:sz w:val="16"/>
                      <w:szCs w:val="18"/>
                    </w:rPr>
                  </w:pPr>
                  <w:r w:rsidRPr="006401D1">
                    <w:rPr>
                      <w:rFonts w:cs="Times New Roman"/>
                      <w:i/>
                      <w:color w:val="000000"/>
                      <w:sz w:val="16"/>
                      <w:szCs w:val="18"/>
                    </w:rPr>
                    <w:t>[4] Reálne HDP na zamestnanú osobu.</w:t>
                  </w:r>
                </w:p>
              </w:tc>
              <w:tc>
                <w:tcPr>
                  <w:tcW w:w="1553" w:type="dxa"/>
                  <w:gridSpan w:val="3"/>
                  <w:tcBorders>
                    <w:top w:val="nil"/>
                    <w:left w:val="nil"/>
                    <w:bottom w:val="nil"/>
                    <w:right w:val="nil"/>
                  </w:tcBorders>
                  <w:shd w:val="clear" w:color="auto" w:fill="auto"/>
                  <w:noWrap/>
                  <w:vAlign w:val="bottom"/>
                  <w:hideMark/>
                </w:tcPr>
                <w:p w14:paraId="155E1623" w14:textId="77777777" w:rsidR="00C45D5B" w:rsidRPr="006401D1" w:rsidRDefault="00C45D5B" w:rsidP="00CF774B">
                  <w:pPr>
                    <w:rPr>
                      <w:rFonts w:cs="Times New Roman"/>
                      <w:i/>
                      <w:color w:val="000000"/>
                      <w:sz w:val="18"/>
                      <w:szCs w:val="18"/>
                    </w:rPr>
                  </w:pPr>
                </w:p>
              </w:tc>
            </w:tr>
            <w:tr w:rsidR="00C45D5B" w:rsidRPr="006401D1" w14:paraId="4DD96390" w14:textId="77777777" w:rsidTr="00CF774B">
              <w:trPr>
                <w:gridAfter w:val="2"/>
                <w:wAfter w:w="567" w:type="dxa"/>
                <w:trHeight w:val="224"/>
              </w:trPr>
              <w:tc>
                <w:tcPr>
                  <w:tcW w:w="6847" w:type="dxa"/>
                  <w:gridSpan w:val="6"/>
                  <w:tcBorders>
                    <w:top w:val="nil"/>
                    <w:left w:val="nil"/>
                    <w:bottom w:val="nil"/>
                    <w:right w:val="nil"/>
                  </w:tcBorders>
                  <w:shd w:val="clear" w:color="auto" w:fill="auto"/>
                  <w:noWrap/>
                  <w:vAlign w:val="bottom"/>
                  <w:hideMark/>
                </w:tcPr>
                <w:p w14:paraId="42770FE7" w14:textId="77777777" w:rsidR="00C45D5B" w:rsidRPr="006401D1" w:rsidRDefault="00C45D5B" w:rsidP="00CF774B">
                  <w:pPr>
                    <w:rPr>
                      <w:rFonts w:cs="Times New Roman"/>
                      <w:i/>
                      <w:color w:val="000000"/>
                      <w:sz w:val="16"/>
                      <w:szCs w:val="18"/>
                    </w:rPr>
                  </w:pPr>
                  <w:r w:rsidRPr="006401D1">
                    <w:rPr>
                      <w:rFonts w:cs="Times New Roman"/>
                      <w:i/>
                      <w:color w:val="000000"/>
                      <w:sz w:val="16"/>
                      <w:szCs w:val="18"/>
                    </w:rPr>
                    <w:t>[5] Reálne HDP na odpracovanú hodinu.</w:t>
                  </w:r>
                </w:p>
              </w:tc>
              <w:tc>
                <w:tcPr>
                  <w:tcW w:w="1553" w:type="dxa"/>
                  <w:gridSpan w:val="3"/>
                  <w:tcBorders>
                    <w:top w:val="nil"/>
                    <w:left w:val="nil"/>
                    <w:bottom w:val="nil"/>
                    <w:right w:val="nil"/>
                  </w:tcBorders>
                  <w:shd w:val="clear" w:color="auto" w:fill="auto"/>
                  <w:noWrap/>
                  <w:vAlign w:val="bottom"/>
                  <w:hideMark/>
                </w:tcPr>
                <w:p w14:paraId="6CA9EC41" w14:textId="77777777" w:rsidR="00C45D5B" w:rsidRPr="006401D1" w:rsidRDefault="00C45D5B" w:rsidP="00CF774B">
                  <w:pPr>
                    <w:rPr>
                      <w:rFonts w:cs="Times New Roman"/>
                      <w:i/>
                      <w:color w:val="000000"/>
                      <w:sz w:val="18"/>
                      <w:szCs w:val="18"/>
                    </w:rPr>
                  </w:pPr>
                </w:p>
              </w:tc>
            </w:tr>
          </w:tbl>
          <w:p w14:paraId="27CD5F29" w14:textId="77777777" w:rsidR="00C45D5B" w:rsidRPr="006401D1" w:rsidRDefault="00C45D5B" w:rsidP="00CF774B">
            <w:pPr>
              <w:rPr>
                <w:rFonts w:eastAsiaTheme="minorHAnsi"/>
                <w:b/>
                <w:color w:val="2C9ADC"/>
                <w:sz w:val="18"/>
                <w:szCs w:val="18"/>
                <w:lang w:eastAsia="en-US"/>
              </w:rPr>
            </w:pPr>
          </w:p>
          <w:tbl>
            <w:tblPr>
              <w:tblW w:w="9389" w:type="dxa"/>
              <w:tblLayout w:type="fixed"/>
              <w:tblCellMar>
                <w:left w:w="70" w:type="dxa"/>
                <w:right w:w="70" w:type="dxa"/>
              </w:tblCellMar>
              <w:tblLook w:val="04A0" w:firstRow="1" w:lastRow="0" w:firstColumn="1" w:lastColumn="0" w:noHBand="0" w:noVBand="1"/>
            </w:tblPr>
            <w:tblGrid>
              <w:gridCol w:w="4608"/>
              <w:gridCol w:w="722"/>
              <w:gridCol w:w="722"/>
              <w:gridCol w:w="725"/>
              <w:gridCol w:w="442"/>
              <w:gridCol w:w="283"/>
              <w:gridCol w:w="440"/>
              <w:gridCol w:w="283"/>
              <w:gridCol w:w="441"/>
              <w:gridCol w:w="283"/>
              <w:gridCol w:w="440"/>
            </w:tblGrid>
            <w:tr w:rsidR="00C45D5B" w:rsidRPr="006401D1" w14:paraId="3F829D24" w14:textId="77777777" w:rsidTr="00CF774B">
              <w:trPr>
                <w:trHeight w:val="269"/>
              </w:trPr>
              <w:tc>
                <w:tcPr>
                  <w:tcW w:w="8666" w:type="dxa"/>
                  <w:gridSpan w:val="9"/>
                  <w:tcBorders>
                    <w:top w:val="nil"/>
                    <w:left w:val="nil"/>
                    <w:bottom w:val="single" w:sz="8" w:space="0" w:color="auto"/>
                    <w:right w:val="nil"/>
                  </w:tcBorders>
                  <w:shd w:val="clear" w:color="auto" w:fill="auto"/>
                  <w:noWrap/>
                  <w:vAlign w:val="center"/>
                  <w:hideMark/>
                </w:tcPr>
                <w:p w14:paraId="0CC86530" w14:textId="62897B96" w:rsidR="00C45D5B" w:rsidRPr="006401D1" w:rsidRDefault="00C45D5B" w:rsidP="00CF774B">
                  <w:pPr>
                    <w:rPr>
                      <w:rFonts w:eastAsiaTheme="minorHAnsi"/>
                      <w:b/>
                      <w:color w:val="2C9ADC"/>
                      <w:sz w:val="20"/>
                      <w:szCs w:val="20"/>
                      <w:lang w:eastAsia="en-US"/>
                    </w:rPr>
                  </w:pPr>
                  <w:bookmarkStart w:id="233" w:name="_Toc480905413"/>
                  <w:bookmarkStart w:id="234" w:name="_Toc6314220"/>
                  <w:bookmarkStart w:id="235" w:name="_Toc71622460"/>
                  <w:bookmarkStart w:id="236" w:name="_Toc101880701"/>
                  <w:r w:rsidRPr="006401D1">
                    <w:rPr>
                      <w:rFonts w:eastAsiaTheme="minorHAnsi"/>
                      <w:b/>
                      <w:color w:val="2C9ADC"/>
                      <w:sz w:val="20"/>
                      <w:szCs w:val="20"/>
                      <w:lang w:eastAsia="en-US"/>
                    </w:rPr>
                    <w:t xml:space="preserve">TABUĽKA </w:t>
                  </w:r>
                  <w:r w:rsidRPr="006401D1">
                    <w:rPr>
                      <w:rFonts w:eastAsiaTheme="minorHAnsi"/>
                      <w:b/>
                      <w:color w:val="2C9ADC"/>
                      <w:sz w:val="20"/>
                      <w:szCs w:val="20"/>
                      <w:lang w:eastAsia="en-US"/>
                    </w:rPr>
                    <w:fldChar w:fldCharType="begin"/>
                  </w:r>
                  <w:r w:rsidRPr="006401D1">
                    <w:rPr>
                      <w:rFonts w:eastAsiaTheme="minorHAnsi"/>
                      <w:b/>
                      <w:color w:val="2C9ADC"/>
                      <w:sz w:val="20"/>
                      <w:szCs w:val="20"/>
                      <w:lang w:eastAsia="en-US"/>
                    </w:rPr>
                    <w:instrText xml:space="preserve"> SEQ TABUĽKA \* ARABIC </w:instrText>
                  </w:r>
                  <w:r w:rsidRPr="006401D1">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22</w:t>
                  </w:r>
                  <w:r w:rsidRPr="006401D1">
                    <w:rPr>
                      <w:rFonts w:eastAsiaTheme="minorHAnsi"/>
                      <w:b/>
                      <w:color w:val="2C9ADC"/>
                      <w:sz w:val="20"/>
                      <w:szCs w:val="20"/>
                      <w:lang w:eastAsia="en-US"/>
                    </w:rPr>
                    <w:fldChar w:fldCharType="end"/>
                  </w:r>
                  <w:r w:rsidRPr="006401D1">
                    <w:rPr>
                      <w:rFonts w:eastAsiaTheme="minorHAnsi"/>
                      <w:b/>
                      <w:color w:val="2C9ADC"/>
                      <w:sz w:val="20"/>
                      <w:szCs w:val="20"/>
                      <w:lang w:eastAsia="en-US"/>
                    </w:rPr>
                    <w:t xml:space="preserve"> (Tabuľka 1d) – Sektorová bilancia (ESA 2010, % HDP)</w:t>
                  </w:r>
                  <w:bookmarkEnd w:id="233"/>
                  <w:bookmarkEnd w:id="234"/>
                  <w:bookmarkEnd w:id="235"/>
                  <w:bookmarkEnd w:id="236"/>
                  <w:r w:rsidRPr="006401D1">
                    <w:rPr>
                      <w:rFonts w:eastAsiaTheme="minorHAnsi"/>
                      <w:b/>
                      <w:color w:val="2C9ADC"/>
                      <w:sz w:val="20"/>
                      <w:szCs w:val="20"/>
                      <w:lang w:eastAsia="en-US"/>
                    </w:rPr>
                    <w:t xml:space="preserve"> </w:t>
                  </w:r>
                </w:p>
              </w:tc>
              <w:tc>
                <w:tcPr>
                  <w:tcW w:w="723" w:type="dxa"/>
                  <w:gridSpan w:val="2"/>
                  <w:tcBorders>
                    <w:top w:val="nil"/>
                    <w:left w:val="nil"/>
                    <w:bottom w:val="nil"/>
                    <w:right w:val="nil"/>
                  </w:tcBorders>
                  <w:shd w:val="clear" w:color="auto" w:fill="auto"/>
                  <w:noWrap/>
                  <w:vAlign w:val="center"/>
                  <w:hideMark/>
                </w:tcPr>
                <w:p w14:paraId="7EDEAC3D" w14:textId="77777777" w:rsidR="00C45D5B" w:rsidRPr="006401D1" w:rsidRDefault="00C45D5B" w:rsidP="00CF774B">
                  <w:pPr>
                    <w:rPr>
                      <w:rFonts w:eastAsiaTheme="minorHAnsi"/>
                      <w:b/>
                      <w:color w:val="2C9ADC"/>
                      <w:sz w:val="18"/>
                      <w:szCs w:val="18"/>
                      <w:lang w:eastAsia="en-US"/>
                    </w:rPr>
                  </w:pPr>
                </w:p>
              </w:tc>
            </w:tr>
            <w:tr w:rsidR="00C45D5B" w:rsidRPr="006401D1" w14:paraId="023A7D9C" w14:textId="77777777" w:rsidTr="00CF774B">
              <w:trPr>
                <w:gridAfter w:val="1"/>
                <w:wAfter w:w="440" w:type="dxa"/>
                <w:trHeight w:val="269"/>
              </w:trPr>
              <w:tc>
                <w:tcPr>
                  <w:tcW w:w="4608" w:type="dxa"/>
                  <w:tcBorders>
                    <w:top w:val="nil"/>
                    <w:left w:val="nil"/>
                    <w:bottom w:val="single" w:sz="8" w:space="0" w:color="000000"/>
                    <w:right w:val="nil"/>
                  </w:tcBorders>
                  <w:shd w:val="clear" w:color="auto" w:fill="auto"/>
                  <w:vAlign w:val="bottom"/>
                  <w:hideMark/>
                </w:tcPr>
                <w:p w14:paraId="10D34705" w14:textId="77777777" w:rsidR="00C45D5B" w:rsidRPr="006401D1" w:rsidRDefault="00C45D5B" w:rsidP="00CF774B">
                  <w:pPr>
                    <w:rPr>
                      <w:rFonts w:cs="Times New Roman"/>
                      <w:sz w:val="18"/>
                      <w:szCs w:val="18"/>
                    </w:rPr>
                  </w:pPr>
                </w:p>
              </w:tc>
              <w:tc>
                <w:tcPr>
                  <w:tcW w:w="722" w:type="dxa"/>
                  <w:tcBorders>
                    <w:top w:val="nil"/>
                    <w:left w:val="nil"/>
                    <w:bottom w:val="single" w:sz="8" w:space="0" w:color="000000"/>
                    <w:right w:val="nil"/>
                  </w:tcBorders>
                  <w:shd w:val="clear" w:color="auto" w:fill="auto"/>
                  <w:vAlign w:val="center"/>
                  <w:hideMark/>
                </w:tcPr>
                <w:p w14:paraId="14585599"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ESA kód</w:t>
                  </w:r>
                </w:p>
              </w:tc>
              <w:tc>
                <w:tcPr>
                  <w:tcW w:w="722" w:type="dxa"/>
                  <w:tcBorders>
                    <w:top w:val="nil"/>
                    <w:left w:val="nil"/>
                    <w:bottom w:val="nil"/>
                    <w:right w:val="nil"/>
                  </w:tcBorders>
                  <w:shd w:val="clear" w:color="auto" w:fill="auto"/>
                  <w:vAlign w:val="center"/>
                  <w:hideMark/>
                </w:tcPr>
                <w:p w14:paraId="1BD88CB3"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2021</w:t>
                  </w:r>
                </w:p>
              </w:tc>
              <w:tc>
                <w:tcPr>
                  <w:tcW w:w="725" w:type="dxa"/>
                  <w:tcBorders>
                    <w:top w:val="single" w:sz="8" w:space="0" w:color="auto"/>
                    <w:left w:val="nil"/>
                    <w:bottom w:val="single" w:sz="8" w:space="0" w:color="auto"/>
                    <w:right w:val="nil"/>
                  </w:tcBorders>
                  <w:shd w:val="clear" w:color="auto" w:fill="auto"/>
                  <w:vAlign w:val="center"/>
                  <w:hideMark/>
                </w:tcPr>
                <w:p w14:paraId="5D9A78C1" w14:textId="77777777" w:rsidR="00C45D5B" w:rsidRPr="006401D1" w:rsidRDefault="00C45D5B" w:rsidP="00CF774B">
                  <w:pPr>
                    <w:jc w:val="center"/>
                    <w:rPr>
                      <w:b/>
                      <w:bCs/>
                      <w:color w:val="000000"/>
                      <w:sz w:val="18"/>
                      <w:szCs w:val="18"/>
                    </w:rPr>
                  </w:pPr>
                  <w:r w:rsidRPr="006401D1">
                    <w:rPr>
                      <w:b/>
                      <w:bCs/>
                      <w:color w:val="000000"/>
                      <w:sz w:val="18"/>
                      <w:szCs w:val="18"/>
                    </w:rPr>
                    <w:t>2022</w:t>
                  </w:r>
                </w:p>
              </w:tc>
              <w:tc>
                <w:tcPr>
                  <w:tcW w:w="725" w:type="dxa"/>
                  <w:gridSpan w:val="2"/>
                  <w:tcBorders>
                    <w:top w:val="single" w:sz="8" w:space="0" w:color="auto"/>
                    <w:left w:val="nil"/>
                    <w:bottom w:val="single" w:sz="8" w:space="0" w:color="auto"/>
                    <w:right w:val="nil"/>
                  </w:tcBorders>
                  <w:shd w:val="clear" w:color="auto" w:fill="auto"/>
                  <w:vAlign w:val="center"/>
                  <w:hideMark/>
                </w:tcPr>
                <w:p w14:paraId="0A177A21" w14:textId="77777777" w:rsidR="00C45D5B" w:rsidRPr="006401D1" w:rsidRDefault="00C45D5B" w:rsidP="00CF774B">
                  <w:pPr>
                    <w:jc w:val="center"/>
                    <w:rPr>
                      <w:b/>
                      <w:bCs/>
                      <w:color w:val="000000"/>
                      <w:sz w:val="18"/>
                      <w:szCs w:val="18"/>
                    </w:rPr>
                  </w:pPr>
                  <w:r w:rsidRPr="006401D1">
                    <w:rPr>
                      <w:b/>
                      <w:bCs/>
                      <w:color w:val="000000"/>
                      <w:sz w:val="18"/>
                      <w:szCs w:val="18"/>
                    </w:rPr>
                    <w:t>2023</w:t>
                  </w:r>
                </w:p>
              </w:tc>
              <w:tc>
                <w:tcPr>
                  <w:tcW w:w="723" w:type="dxa"/>
                  <w:gridSpan w:val="2"/>
                  <w:tcBorders>
                    <w:top w:val="single" w:sz="8" w:space="0" w:color="auto"/>
                    <w:left w:val="nil"/>
                    <w:bottom w:val="single" w:sz="8" w:space="0" w:color="auto"/>
                    <w:right w:val="nil"/>
                  </w:tcBorders>
                  <w:shd w:val="clear" w:color="auto" w:fill="auto"/>
                  <w:vAlign w:val="center"/>
                  <w:hideMark/>
                </w:tcPr>
                <w:p w14:paraId="41B4FAB0" w14:textId="77777777" w:rsidR="00C45D5B" w:rsidRPr="006401D1" w:rsidRDefault="00C45D5B" w:rsidP="00CF774B">
                  <w:pPr>
                    <w:jc w:val="center"/>
                    <w:rPr>
                      <w:b/>
                      <w:bCs/>
                      <w:color w:val="000000"/>
                      <w:sz w:val="18"/>
                      <w:szCs w:val="18"/>
                    </w:rPr>
                  </w:pPr>
                  <w:r w:rsidRPr="006401D1">
                    <w:rPr>
                      <w:b/>
                      <w:bCs/>
                      <w:color w:val="000000"/>
                      <w:sz w:val="18"/>
                      <w:szCs w:val="18"/>
                    </w:rPr>
                    <w:t>2024</w:t>
                  </w:r>
                </w:p>
              </w:tc>
              <w:tc>
                <w:tcPr>
                  <w:tcW w:w="724" w:type="dxa"/>
                  <w:gridSpan w:val="2"/>
                  <w:tcBorders>
                    <w:top w:val="single" w:sz="8" w:space="0" w:color="auto"/>
                    <w:left w:val="nil"/>
                    <w:bottom w:val="nil"/>
                    <w:right w:val="nil"/>
                  </w:tcBorders>
                  <w:shd w:val="clear" w:color="auto" w:fill="auto"/>
                  <w:vAlign w:val="center"/>
                  <w:hideMark/>
                </w:tcPr>
                <w:p w14:paraId="5701FC57" w14:textId="77777777" w:rsidR="00C45D5B" w:rsidRPr="006401D1" w:rsidRDefault="00C45D5B" w:rsidP="00CF774B">
                  <w:pPr>
                    <w:jc w:val="center"/>
                    <w:rPr>
                      <w:b/>
                      <w:bCs/>
                      <w:color w:val="000000"/>
                      <w:sz w:val="18"/>
                      <w:szCs w:val="18"/>
                    </w:rPr>
                  </w:pPr>
                  <w:r w:rsidRPr="006401D1">
                    <w:rPr>
                      <w:b/>
                      <w:bCs/>
                      <w:color w:val="000000"/>
                      <w:sz w:val="18"/>
                      <w:szCs w:val="18"/>
                    </w:rPr>
                    <w:t>2025</w:t>
                  </w:r>
                </w:p>
              </w:tc>
            </w:tr>
            <w:tr w:rsidR="00C45D5B" w:rsidRPr="006401D1" w14:paraId="7EACEF2F" w14:textId="77777777" w:rsidTr="00CF774B">
              <w:trPr>
                <w:gridAfter w:val="1"/>
                <w:wAfter w:w="440" w:type="dxa"/>
                <w:trHeight w:val="269"/>
              </w:trPr>
              <w:tc>
                <w:tcPr>
                  <w:tcW w:w="4608" w:type="dxa"/>
                  <w:tcBorders>
                    <w:top w:val="single" w:sz="8" w:space="0" w:color="000000"/>
                    <w:left w:val="nil"/>
                    <w:bottom w:val="nil"/>
                    <w:right w:val="nil"/>
                  </w:tcBorders>
                  <w:shd w:val="clear" w:color="auto" w:fill="auto"/>
                  <w:vAlign w:val="center"/>
                  <w:hideMark/>
                </w:tcPr>
                <w:p w14:paraId="18F181A5" w14:textId="77777777" w:rsidR="00C45D5B" w:rsidRPr="006401D1" w:rsidRDefault="00C45D5B" w:rsidP="00CF774B">
                  <w:pPr>
                    <w:rPr>
                      <w:rFonts w:cs="Times New Roman"/>
                      <w:color w:val="000000"/>
                      <w:sz w:val="18"/>
                      <w:szCs w:val="18"/>
                    </w:rPr>
                  </w:pPr>
                  <w:r w:rsidRPr="006401D1">
                    <w:rPr>
                      <w:rFonts w:cs="Times New Roman"/>
                      <w:color w:val="000000"/>
                      <w:sz w:val="18"/>
                      <w:szCs w:val="18"/>
                    </w:rPr>
                    <w:t>1. Čisté pôžičky poskytnuté / prijaté od zvyšku sveta</w:t>
                  </w:r>
                </w:p>
              </w:tc>
              <w:tc>
                <w:tcPr>
                  <w:tcW w:w="722" w:type="dxa"/>
                  <w:tcBorders>
                    <w:top w:val="single" w:sz="8" w:space="0" w:color="000000"/>
                    <w:left w:val="nil"/>
                    <w:bottom w:val="nil"/>
                    <w:right w:val="nil"/>
                  </w:tcBorders>
                  <w:shd w:val="clear" w:color="auto" w:fill="auto"/>
                  <w:vAlign w:val="center"/>
                  <w:hideMark/>
                </w:tcPr>
                <w:p w14:paraId="040764B9"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B.9</w:t>
                  </w:r>
                </w:p>
              </w:tc>
              <w:tc>
                <w:tcPr>
                  <w:tcW w:w="722" w:type="dxa"/>
                  <w:tcBorders>
                    <w:top w:val="single" w:sz="8" w:space="0" w:color="auto"/>
                    <w:left w:val="nil"/>
                    <w:bottom w:val="nil"/>
                    <w:right w:val="nil"/>
                  </w:tcBorders>
                  <w:shd w:val="clear" w:color="auto" w:fill="auto"/>
                  <w:vAlign w:val="bottom"/>
                  <w:hideMark/>
                </w:tcPr>
                <w:p w14:paraId="2AAFC627" w14:textId="77777777" w:rsidR="00C45D5B" w:rsidRPr="006401D1" w:rsidRDefault="00C45D5B" w:rsidP="00CF774B">
                  <w:pPr>
                    <w:jc w:val="center"/>
                    <w:rPr>
                      <w:color w:val="000000"/>
                      <w:sz w:val="18"/>
                      <w:szCs w:val="18"/>
                    </w:rPr>
                  </w:pPr>
                  <w:r w:rsidRPr="006401D1">
                    <w:rPr>
                      <w:color w:val="000000"/>
                      <w:sz w:val="18"/>
                      <w:szCs w:val="18"/>
                    </w:rPr>
                    <w:t>0,7</w:t>
                  </w:r>
                </w:p>
              </w:tc>
              <w:tc>
                <w:tcPr>
                  <w:tcW w:w="725" w:type="dxa"/>
                  <w:tcBorders>
                    <w:top w:val="nil"/>
                    <w:left w:val="nil"/>
                    <w:bottom w:val="nil"/>
                    <w:right w:val="nil"/>
                  </w:tcBorders>
                  <w:shd w:val="clear" w:color="auto" w:fill="auto"/>
                  <w:vAlign w:val="bottom"/>
                  <w:hideMark/>
                </w:tcPr>
                <w:p w14:paraId="3451A1CE" w14:textId="77777777" w:rsidR="00C45D5B" w:rsidRPr="006401D1" w:rsidRDefault="00C45D5B" w:rsidP="00CF774B">
                  <w:pPr>
                    <w:jc w:val="center"/>
                    <w:rPr>
                      <w:color w:val="000000"/>
                      <w:sz w:val="18"/>
                      <w:szCs w:val="18"/>
                    </w:rPr>
                  </w:pPr>
                  <w:r w:rsidRPr="006401D1">
                    <w:rPr>
                      <w:color w:val="000000"/>
                      <w:sz w:val="18"/>
                      <w:szCs w:val="18"/>
                    </w:rPr>
                    <w:t>0,1</w:t>
                  </w:r>
                </w:p>
              </w:tc>
              <w:tc>
                <w:tcPr>
                  <w:tcW w:w="725" w:type="dxa"/>
                  <w:gridSpan w:val="2"/>
                  <w:tcBorders>
                    <w:top w:val="nil"/>
                    <w:left w:val="nil"/>
                    <w:bottom w:val="nil"/>
                    <w:right w:val="nil"/>
                  </w:tcBorders>
                  <w:shd w:val="clear" w:color="auto" w:fill="auto"/>
                  <w:vAlign w:val="bottom"/>
                  <w:hideMark/>
                </w:tcPr>
                <w:p w14:paraId="3AB93B4C" w14:textId="77777777" w:rsidR="00C45D5B" w:rsidRPr="006401D1" w:rsidRDefault="00C45D5B" w:rsidP="00CF774B">
                  <w:pPr>
                    <w:jc w:val="center"/>
                    <w:rPr>
                      <w:color w:val="000000"/>
                      <w:sz w:val="18"/>
                      <w:szCs w:val="18"/>
                    </w:rPr>
                  </w:pPr>
                  <w:r w:rsidRPr="006401D1">
                    <w:rPr>
                      <w:color w:val="000000"/>
                      <w:sz w:val="18"/>
                      <w:szCs w:val="18"/>
                    </w:rPr>
                    <w:t>0,3</w:t>
                  </w:r>
                </w:p>
              </w:tc>
              <w:tc>
                <w:tcPr>
                  <w:tcW w:w="723" w:type="dxa"/>
                  <w:gridSpan w:val="2"/>
                  <w:tcBorders>
                    <w:top w:val="nil"/>
                    <w:left w:val="nil"/>
                    <w:bottom w:val="nil"/>
                    <w:right w:val="nil"/>
                  </w:tcBorders>
                  <w:shd w:val="clear" w:color="auto" w:fill="auto"/>
                  <w:vAlign w:val="bottom"/>
                  <w:hideMark/>
                </w:tcPr>
                <w:p w14:paraId="6F2495D1" w14:textId="77777777" w:rsidR="00C45D5B" w:rsidRPr="006401D1" w:rsidRDefault="00C45D5B" w:rsidP="00CF774B">
                  <w:pPr>
                    <w:jc w:val="center"/>
                    <w:rPr>
                      <w:color w:val="000000"/>
                      <w:sz w:val="18"/>
                      <w:szCs w:val="18"/>
                    </w:rPr>
                  </w:pPr>
                  <w:r w:rsidRPr="006401D1">
                    <w:rPr>
                      <w:color w:val="000000"/>
                      <w:sz w:val="18"/>
                      <w:szCs w:val="18"/>
                    </w:rPr>
                    <w:t>0,6</w:t>
                  </w:r>
                </w:p>
              </w:tc>
              <w:tc>
                <w:tcPr>
                  <w:tcW w:w="724" w:type="dxa"/>
                  <w:gridSpan w:val="2"/>
                  <w:tcBorders>
                    <w:top w:val="single" w:sz="8" w:space="0" w:color="auto"/>
                    <w:left w:val="nil"/>
                    <w:bottom w:val="nil"/>
                    <w:right w:val="nil"/>
                  </w:tcBorders>
                  <w:shd w:val="clear" w:color="auto" w:fill="auto"/>
                  <w:vAlign w:val="bottom"/>
                  <w:hideMark/>
                </w:tcPr>
                <w:p w14:paraId="69947081" w14:textId="77777777" w:rsidR="00C45D5B" w:rsidRPr="006401D1" w:rsidRDefault="00C45D5B" w:rsidP="00CF774B">
                  <w:pPr>
                    <w:jc w:val="center"/>
                    <w:rPr>
                      <w:color w:val="000000"/>
                      <w:sz w:val="18"/>
                      <w:szCs w:val="18"/>
                    </w:rPr>
                  </w:pPr>
                  <w:r w:rsidRPr="006401D1">
                    <w:rPr>
                      <w:color w:val="000000"/>
                      <w:sz w:val="18"/>
                      <w:szCs w:val="18"/>
                    </w:rPr>
                    <w:t>0,8</w:t>
                  </w:r>
                </w:p>
              </w:tc>
            </w:tr>
            <w:tr w:rsidR="00C45D5B" w:rsidRPr="006401D1" w14:paraId="133DAF9D" w14:textId="77777777" w:rsidTr="00CF774B">
              <w:trPr>
                <w:gridAfter w:val="1"/>
                <w:wAfter w:w="440" w:type="dxa"/>
                <w:trHeight w:val="269"/>
              </w:trPr>
              <w:tc>
                <w:tcPr>
                  <w:tcW w:w="4608" w:type="dxa"/>
                  <w:tcBorders>
                    <w:top w:val="nil"/>
                    <w:left w:val="nil"/>
                    <w:bottom w:val="nil"/>
                    <w:right w:val="nil"/>
                  </w:tcBorders>
                  <w:shd w:val="clear" w:color="auto" w:fill="auto"/>
                  <w:vAlign w:val="center"/>
                  <w:hideMark/>
                </w:tcPr>
                <w:p w14:paraId="4B60D49C"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     z toho:</w:t>
                  </w:r>
                </w:p>
              </w:tc>
              <w:tc>
                <w:tcPr>
                  <w:tcW w:w="722" w:type="dxa"/>
                  <w:tcBorders>
                    <w:top w:val="nil"/>
                    <w:left w:val="nil"/>
                    <w:bottom w:val="nil"/>
                    <w:right w:val="nil"/>
                  </w:tcBorders>
                  <w:shd w:val="clear" w:color="auto" w:fill="auto"/>
                  <w:vAlign w:val="center"/>
                  <w:hideMark/>
                </w:tcPr>
                <w:p w14:paraId="5CC94C4C" w14:textId="77777777" w:rsidR="00C45D5B" w:rsidRPr="006401D1" w:rsidRDefault="00C45D5B" w:rsidP="00CF774B">
                  <w:pPr>
                    <w:jc w:val="center"/>
                    <w:rPr>
                      <w:rFonts w:cs="Times New Roman"/>
                      <w:color w:val="000000"/>
                      <w:sz w:val="18"/>
                      <w:szCs w:val="18"/>
                    </w:rPr>
                  </w:pPr>
                </w:p>
              </w:tc>
              <w:tc>
                <w:tcPr>
                  <w:tcW w:w="722" w:type="dxa"/>
                  <w:tcBorders>
                    <w:top w:val="nil"/>
                    <w:left w:val="nil"/>
                    <w:bottom w:val="nil"/>
                    <w:right w:val="nil"/>
                  </w:tcBorders>
                  <w:shd w:val="clear" w:color="auto" w:fill="auto"/>
                  <w:vAlign w:val="bottom"/>
                  <w:hideMark/>
                </w:tcPr>
                <w:p w14:paraId="3180E178" w14:textId="77777777" w:rsidR="00C45D5B" w:rsidRPr="006401D1" w:rsidRDefault="00C45D5B" w:rsidP="00CF774B">
                  <w:pPr>
                    <w:jc w:val="center"/>
                    <w:rPr>
                      <w:color w:val="000000"/>
                      <w:sz w:val="18"/>
                      <w:szCs w:val="18"/>
                    </w:rPr>
                  </w:pPr>
                </w:p>
              </w:tc>
              <w:tc>
                <w:tcPr>
                  <w:tcW w:w="725" w:type="dxa"/>
                  <w:tcBorders>
                    <w:top w:val="nil"/>
                    <w:left w:val="nil"/>
                    <w:bottom w:val="nil"/>
                    <w:right w:val="nil"/>
                  </w:tcBorders>
                  <w:shd w:val="clear" w:color="auto" w:fill="auto"/>
                  <w:vAlign w:val="bottom"/>
                  <w:hideMark/>
                </w:tcPr>
                <w:p w14:paraId="3856749D" w14:textId="77777777" w:rsidR="00C45D5B" w:rsidRPr="006401D1" w:rsidRDefault="00C45D5B" w:rsidP="00CF774B">
                  <w:pPr>
                    <w:jc w:val="center"/>
                    <w:rPr>
                      <w:sz w:val="18"/>
                      <w:szCs w:val="18"/>
                    </w:rPr>
                  </w:pPr>
                </w:p>
              </w:tc>
              <w:tc>
                <w:tcPr>
                  <w:tcW w:w="725" w:type="dxa"/>
                  <w:gridSpan w:val="2"/>
                  <w:tcBorders>
                    <w:top w:val="nil"/>
                    <w:left w:val="nil"/>
                    <w:bottom w:val="nil"/>
                    <w:right w:val="nil"/>
                  </w:tcBorders>
                  <w:shd w:val="clear" w:color="auto" w:fill="auto"/>
                  <w:vAlign w:val="bottom"/>
                  <w:hideMark/>
                </w:tcPr>
                <w:p w14:paraId="67C47177" w14:textId="77777777" w:rsidR="00C45D5B" w:rsidRPr="006401D1" w:rsidRDefault="00C45D5B" w:rsidP="00CF774B">
                  <w:pPr>
                    <w:jc w:val="center"/>
                    <w:rPr>
                      <w:sz w:val="18"/>
                      <w:szCs w:val="18"/>
                    </w:rPr>
                  </w:pPr>
                </w:p>
              </w:tc>
              <w:tc>
                <w:tcPr>
                  <w:tcW w:w="723" w:type="dxa"/>
                  <w:gridSpan w:val="2"/>
                  <w:tcBorders>
                    <w:top w:val="nil"/>
                    <w:left w:val="nil"/>
                    <w:bottom w:val="nil"/>
                    <w:right w:val="nil"/>
                  </w:tcBorders>
                  <w:shd w:val="clear" w:color="auto" w:fill="auto"/>
                  <w:vAlign w:val="bottom"/>
                  <w:hideMark/>
                </w:tcPr>
                <w:p w14:paraId="7641D88A" w14:textId="77777777" w:rsidR="00C45D5B" w:rsidRPr="006401D1" w:rsidRDefault="00C45D5B" w:rsidP="00CF774B">
                  <w:pPr>
                    <w:jc w:val="center"/>
                    <w:rPr>
                      <w:sz w:val="18"/>
                      <w:szCs w:val="18"/>
                    </w:rPr>
                  </w:pPr>
                </w:p>
              </w:tc>
              <w:tc>
                <w:tcPr>
                  <w:tcW w:w="724" w:type="dxa"/>
                  <w:gridSpan w:val="2"/>
                  <w:tcBorders>
                    <w:top w:val="nil"/>
                    <w:left w:val="nil"/>
                    <w:bottom w:val="nil"/>
                    <w:right w:val="nil"/>
                  </w:tcBorders>
                  <w:shd w:val="clear" w:color="auto" w:fill="auto"/>
                  <w:vAlign w:val="bottom"/>
                  <w:hideMark/>
                </w:tcPr>
                <w:p w14:paraId="571D1F11" w14:textId="77777777" w:rsidR="00C45D5B" w:rsidRPr="006401D1" w:rsidRDefault="00C45D5B" w:rsidP="00CF774B">
                  <w:pPr>
                    <w:jc w:val="center"/>
                    <w:rPr>
                      <w:sz w:val="18"/>
                      <w:szCs w:val="18"/>
                    </w:rPr>
                  </w:pPr>
                </w:p>
              </w:tc>
            </w:tr>
            <w:tr w:rsidR="00C45D5B" w:rsidRPr="006401D1" w14:paraId="5977D479" w14:textId="77777777" w:rsidTr="00CF774B">
              <w:trPr>
                <w:gridAfter w:val="1"/>
                <w:wAfter w:w="440" w:type="dxa"/>
                <w:trHeight w:val="269"/>
              </w:trPr>
              <w:tc>
                <w:tcPr>
                  <w:tcW w:w="4608" w:type="dxa"/>
                  <w:tcBorders>
                    <w:top w:val="nil"/>
                    <w:left w:val="nil"/>
                    <w:bottom w:val="nil"/>
                    <w:right w:val="nil"/>
                  </w:tcBorders>
                  <w:shd w:val="clear" w:color="auto" w:fill="auto"/>
                  <w:vAlign w:val="center"/>
                  <w:hideMark/>
                </w:tcPr>
                <w:p w14:paraId="4086C4BF"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     - Tovary a služby</w:t>
                  </w:r>
                </w:p>
              </w:tc>
              <w:tc>
                <w:tcPr>
                  <w:tcW w:w="722" w:type="dxa"/>
                  <w:tcBorders>
                    <w:top w:val="nil"/>
                    <w:left w:val="nil"/>
                    <w:bottom w:val="nil"/>
                    <w:right w:val="nil"/>
                  </w:tcBorders>
                  <w:shd w:val="clear" w:color="auto" w:fill="auto"/>
                  <w:vAlign w:val="center"/>
                  <w:hideMark/>
                </w:tcPr>
                <w:p w14:paraId="0D369B65" w14:textId="77777777" w:rsidR="00C45D5B" w:rsidRPr="006401D1" w:rsidRDefault="00C45D5B" w:rsidP="00CF774B">
                  <w:pPr>
                    <w:jc w:val="center"/>
                    <w:rPr>
                      <w:rFonts w:cs="Times New Roman"/>
                      <w:color w:val="000000"/>
                      <w:sz w:val="18"/>
                      <w:szCs w:val="18"/>
                    </w:rPr>
                  </w:pPr>
                </w:p>
              </w:tc>
              <w:tc>
                <w:tcPr>
                  <w:tcW w:w="722" w:type="dxa"/>
                  <w:tcBorders>
                    <w:top w:val="nil"/>
                    <w:left w:val="nil"/>
                    <w:bottom w:val="nil"/>
                    <w:right w:val="nil"/>
                  </w:tcBorders>
                  <w:shd w:val="clear" w:color="auto" w:fill="auto"/>
                  <w:vAlign w:val="bottom"/>
                  <w:hideMark/>
                </w:tcPr>
                <w:p w14:paraId="02F43A87" w14:textId="77777777" w:rsidR="00C45D5B" w:rsidRPr="006401D1" w:rsidRDefault="00C45D5B" w:rsidP="00CF774B">
                  <w:pPr>
                    <w:jc w:val="center"/>
                    <w:rPr>
                      <w:color w:val="000000"/>
                      <w:sz w:val="18"/>
                      <w:szCs w:val="18"/>
                    </w:rPr>
                  </w:pPr>
                  <w:r w:rsidRPr="006401D1">
                    <w:rPr>
                      <w:color w:val="000000"/>
                      <w:sz w:val="18"/>
                      <w:szCs w:val="18"/>
                    </w:rPr>
                    <w:t>0,8</w:t>
                  </w:r>
                </w:p>
              </w:tc>
              <w:tc>
                <w:tcPr>
                  <w:tcW w:w="725" w:type="dxa"/>
                  <w:tcBorders>
                    <w:top w:val="nil"/>
                    <w:left w:val="nil"/>
                    <w:bottom w:val="nil"/>
                    <w:right w:val="nil"/>
                  </w:tcBorders>
                  <w:shd w:val="clear" w:color="auto" w:fill="auto"/>
                  <w:vAlign w:val="bottom"/>
                  <w:hideMark/>
                </w:tcPr>
                <w:p w14:paraId="6E75EF6F" w14:textId="77777777" w:rsidR="00C45D5B" w:rsidRPr="006401D1" w:rsidRDefault="00C45D5B" w:rsidP="00CF774B">
                  <w:pPr>
                    <w:jc w:val="center"/>
                    <w:rPr>
                      <w:color w:val="000000"/>
                      <w:sz w:val="18"/>
                      <w:szCs w:val="18"/>
                    </w:rPr>
                  </w:pPr>
                  <w:r w:rsidRPr="006401D1">
                    <w:rPr>
                      <w:color w:val="000000"/>
                      <w:sz w:val="18"/>
                      <w:szCs w:val="18"/>
                    </w:rPr>
                    <w:t>-0,4</w:t>
                  </w:r>
                </w:p>
              </w:tc>
              <w:tc>
                <w:tcPr>
                  <w:tcW w:w="725" w:type="dxa"/>
                  <w:gridSpan w:val="2"/>
                  <w:tcBorders>
                    <w:top w:val="nil"/>
                    <w:left w:val="nil"/>
                    <w:bottom w:val="nil"/>
                    <w:right w:val="nil"/>
                  </w:tcBorders>
                  <w:shd w:val="clear" w:color="auto" w:fill="auto"/>
                  <w:vAlign w:val="bottom"/>
                  <w:hideMark/>
                </w:tcPr>
                <w:p w14:paraId="3D6F5D7A" w14:textId="77777777" w:rsidR="00C45D5B" w:rsidRPr="006401D1" w:rsidRDefault="00C45D5B" w:rsidP="00CF774B">
                  <w:pPr>
                    <w:jc w:val="center"/>
                    <w:rPr>
                      <w:color w:val="000000"/>
                      <w:sz w:val="18"/>
                      <w:szCs w:val="18"/>
                    </w:rPr>
                  </w:pPr>
                  <w:r w:rsidRPr="006401D1">
                    <w:rPr>
                      <w:color w:val="000000"/>
                      <w:sz w:val="18"/>
                      <w:szCs w:val="18"/>
                    </w:rPr>
                    <w:t>0,1</w:t>
                  </w:r>
                </w:p>
              </w:tc>
              <w:tc>
                <w:tcPr>
                  <w:tcW w:w="723" w:type="dxa"/>
                  <w:gridSpan w:val="2"/>
                  <w:tcBorders>
                    <w:top w:val="nil"/>
                    <w:left w:val="nil"/>
                    <w:bottom w:val="nil"/>
                    <w:right w:val="nil"/>
                  </w:tcBorders>
                  <w:shd w:val="clear" w:color="auto" w:fill="auto"/>
                  <w:vAlign w:val="bottom"/>
                  <w:hideMark/>
                </w:tcPr>
                <w:p w14:paraId="7461EE4E" w14:textId="77777777" w:rsidR="00C45D5B" w:rsidRPr="006401D1" w:rsidRDefault="00C45D5B" w:rsidP="00CF774B">
                  <w:pPr>
                    <w:jc w:val="center"/>
                    <w:rPr>
                      <w:color w:val="000000"/>
                      <w:sz w:val="18"/>
                      <w:szCs w:val="18"/>
                    </w:rPr>
                  </w:pPr>
                  <w:r w:rsidRPr="006401D1">
                    <w:rPr>
                      <w:color w:val="000000"/>
                      <w:sz w:val="18"/>
                      <w:szCs w:val="18"/>
                    </w:rPr>
                    <w:t>0,9</w:t>
                  </w:r>
                </w:p>
              </w:tc>
              <w:tc>
                <w:tcPr>
                  <w:tcW w:w="724" w:type="dxa"/>
                  <w:gridSpan w:val="2"/>
                  <w:tcBorders>
                    <w:top w:val="nil"/>
                    <w:left w:val="nil"/>
                    <w:bottom w:val="nil"/>
                    <w:right w:val="nil"/>
                  </w:tcBorders>
                  <w:shd w:val="clear" w:color="auto" w:fill="auto"/>
                  <w:vAlign w:val="bottom"/>
                  <w:hideMark/>
                </w:tcPr>
                <w:p w14:paraId="6C001022" w14:textId="77777777" w:rsidR="00C45D5B" w:rsidRPr="006401D1" w:rsidRDefault="00C45D5B" w:rsidP="00CF774B">
                  <w:pPr>
                    <w:jc w:val="center"/>
                    <w:rPr>
                      <w:color w:val="000000"/>
                      <w:sz w:val="18"/>
                      <w:szCs w:val="18"/>
                    </w:rPr>
                  </w:pPr>
                  <w:r w:rsidRPr="006401D1">
                    <w:rPr>
                      <w:color w:val="000000"/>
                      <w:sz w:val="18"/>
                      <w:szCs w:val="18"/>
                    </w:rPr>
                    <w:t>1,8</w:t>
                  </w:r>
                </w:p>
              </w:tc>
            </w:tr>
            <w:tr w:rsidR="00C45D5B" w:rsidRPr="006401D1" w14:paraId="3A79C834" w14:textId="77777777" w:rsidTr="00CF774B">
              <w:trPr>
                <w:gridAfter w:val="1"/>
                <w:wAfter w:w="440" w:type="dxa"/>
                <w:trHeight w:val="269"/>
              </w:trPr>
              <w:tc>
                <w:tcPr>
                  <w:tcW w:w="4608" w:type="dxa"/>
                  <w:tcBorders>
                    <w:top w:val="nil"/>
                    <w:left w:val="nil"/>
                    <w:bottom w:val="nil"/>
                    <w:right w:val="nil"/>
                  </w:tcBorders>
                  <w:shd w:val="clear" w:color="auto" w:fill="auto"/>
                  <w:noWrap/>
                  <w:vAlign w:val="center"/>
                  <w:hideMark/>
                </w:tcPr>
                <w:p w14:paraId="651F03FD"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     - Primárne príjmy a transfery</w:t>
                  </w:r>
                </w:p>
              </w:tc>
              <w:tc>
                <w:tcPr>
                  <w:tcW w:w="722" w:type="dxa"/>
                  <w:tcBorders>
                    <w:top w:val="nil"/>
                    <w:left w:val="nil"/>
                    <w:bottom w:val="nil"/>
                    <w:right w:val="nil"/>
                  </w:tcBorders>
                  <w:shd w:val="clear" w:color="auto" w:fill="auto"/>
                  <w:vAlign w:val="center"/>
                  <w:hideMark/>
                </w:tcPr>
                <w:p w14:paraId="71E8FF89" w14:textId="77777777" w:rsidR="00C45D5B" w:rsidRPr="006401D1" w:rsidRDefault="00C45D5B" w:rsidP="00CF774B">
                  <w:pPr>
                    <w:jc w:val="center"/>
                    <w:rPr>
                      <w:rFonts w:cs="Times New Roman"/>
                      <w:color w:val="000000"/>
                      <w:sz w:val="18"/>
                      <w:szCs w:val="18"/>
                    </w:rPr>
                  </w:pPr>
                </w:p>
              </w:tc>
              <w:tc>
                <w:tcPr>
                  <w:tcW w:w="722" w:type="dxa"/>
                  <w:tcBorders>
                    <w:top w:val="nil"/>
                    <w:left w:val="nil"/>
                    <w:bottom w:val="nil"/>
                    <w:right w:val="nil"/>
                  </w:tcBorders>
                  <w:shd w:val="clear" w:color="auto" w:fill="auto"/>
                  <w:vAlign w:val="bottom"/>
                  <w:hideMark/>
                </w:tcPr>
                <w:p w14:paraId="12A029ED" w14:textId="77777777" w:rsidR="00C45D5B" w:rsidRPr="006401D1" w:rsidRDefault="00C45D5B" w:rsidP="00CF774B">
                  <w:pPr>
                    <w:jc w:val="center"/>
                    <w:rPr>
                      <w:color w:val="000000"/>
                      <w:sz w:val="18"/>
                      <w:szCs w:val="18"/>
                    </w:rPr>
                  </w:pPr>
                  <w:r w:rsidRPr="006401D1">
                    <w:rPr>
                      <w:color w:val="000000"/>
                      <w:sz w:val="18"/>
                      <w:szCs w:val="18"/>
                    </w:rPr>
                    <w:t>-1,8</w:t>
                  </w:r>
                </w:p>
              </w:tc>
              <w:tc>
                <w:tcPr>
                  <w:tcW w:w="725" w:type="dxa"/>
                  <w:tcBorders>
                    <w:top w:val="nil"/>
                    <w:left w:val="nil"/>
                    <w:bottom w:val="nil"/>
                    <w:right w:val="nil"/>
                  </w:tcBorders>
                  <w:shd w:val="clear" w:color="auto" w:fill="auto"/>
                  <w:vAlign w:val="bottom"/>
                  <w:hideMark/>
                </w:tcPr>
                <w:p w14:paraId="25752604" w14:textId="77777777" w:rsidR="00C45D5B" w:rsidRPr="006401D1" w:rsidRDefault="00C45D5B" w:rsidP="00CF774B">
                  <w:pPr>
                    <w:jc w:val="center"/>
                    <w:rPr>
                      <w:color w:val="000000"/>
                      <w:sz w:val="18"/>
                      <w:szCs w:val="18"/>
                    </w:rPr>
                  </w:pPr>
                  <w:r w:rsidRPr="006401D1">
                    <w:rPr>
                      <w:color w:val="000000"/>
                      <w:sz w:val="18"/>
                      <w:szCs w:val="18"/>
                    </w:rPr>
                    <w:t>-0,8</w:t>
                  </w:r>
                </w:p>
              </w:tc>
              <w:tc>
                <w:tcPr>
                  <w:tcW w:w="725" w:type="dxa"/>
                  <w:gridSpan w:val="2"/>
                  <w:tcBorders>
                    <w:top w:val="nil"/>
                    <w:left w:val="nil"/>
                    <w:bottom w:val="nil"/>
                    <w:right w:val="nil"/>
                  </w:tcBorders>
                  <w:shd w:val="clear" w:color="auto" w:fill="auto"/>
                  <w:vAlign w:val="bottom"/>
                  <w:hideMark/>
                </w:tcPr>
                <w:p w14:paraId="1A4034C8" w14:textId="77777777" w:rsidR="00C45D5B" w:rsidRPr="006401D1" w:rsidRDefault="00C45D5B" w:rsidP="00CF774B">
                  <w:pPr>
                    <w:jc w:val="center"/>
                    <w:rPr>
                      <w:color w:val="000000"/>
                      <w:sz w:val="18"/>
                      <w:szCs w:val="18"/>
                    </w:rPr>
                  </w:pPr>
                  <w:r w:rsidRPr="006401D1">
                    <w:rPr>
                      <w:color w:val="000000"/>
                      <w:sz w:val="18"/>
                      <w:szCs w:val="18"/>
                    </w:rPr>
                    <w:t>-1,1</w:t>
                  </w:r>
                </w:p>
              </w:tc>
              <w:tc>
                <w:tcPr>
                  <w:tcW w:w="723" w:type="dxa"/>
                  <w:gridSpan w:val="2"/>
                  <w:tcBorders>
                    <w:top w:val="nil"/>
                    <w:left w:val="nil"/>
                    <w:bottom w:val="nil"/>
                    <w:right w:val="nil"/>
                  </w:tcBorders>
                  <w:shd w:val="clear" w:color="auto" w:fill="auto"/>
                  <w:vAlign w:val="bottom"/>
                  <w:hideMark/>
                </w:tcPr>
                <w:p w14:paraId="2C35A184" w14:textId="77777777" w:rsidR="00C45D5B" w:rsidRPr="006401D1" w:rsidRDefault="00C45D5B" w:rsidP="00CF774B">
                  <w:pPr>
                    <w:jc w:val="center"/>
                    <w:rPr>
                      <w:color w:val="000000"/>
                      <w:sz w:val="18"/>
                      <w:szCs w:val="18"/>
                    </w:rPr>
                  </w:pPr>
                  <w:r w:rsidRPr="006401D1">
                    <w:rPr>
                      <w:color w:val="000000"/>
                      <w:sz w:val="18"/>
                      <w:szCs w:val="18"/>
                    </w:rPr>
                    <w:t>-1,7</w:t>
                  </w:r>
                </w:p>
              </w:tc>
              <w:tc>
                <w:tcPr>
                  <w:tcW w:w="724" w:type="dxa"/>
                  <w:gridSpan w:val="2"/>
                  <w:tcBorders>
                    <w:top w:val="nil"/>
                    <w:left w:val="nil"/>
                    <w:bottom w:val="nil"/>
                    <w:right w:val="nil"/>
                  </w:tcBorders>
                  <w:shd w:val="clear" w:color="auto" w:fill="auto"/>
                  <w:vAlign w:val="bottom"/>
                  <w:hideMark/>
                </w:tcPr>
                <w:p w14:paraId="20821C06" w14:textId="77777777" w:rsidR="00C45D5B" w:rsidRPr="006401D1" w:rsidRDefault="00C45D5B" w:rsidP="00CF774B">
                  <w:pPr>
                    <w:jc w:val="center"/>
                    <w:rPr>
                      <w:color w:val="000000"/>
                      <w:sz w:val="18"/>
                      <w:szCs w:val="18"/>
                    </w:rPr>
                  </w:pPr>
                  <w:r w:rsidRPr="006401D1">
                    <w:rPr>
                      <w:color w:val="000000"/>
                      <w:sz w:val="18"/>
                      <w:szCs w:val="18"/>
                    </w:rPr>
                    <w:t>-2,3</w:t>
                  </w:r>
                </w:p>
              </w:tc>
            </w:tr>
            <w:tr w:rsidR="00C45D5B" w:rsidRPr="006401D1" w14:paraId="078A9B1E" w14:textId="77777777" w:rsidTr="00CF774B">
              <w:trPr>
                <w:gridAfter w:val="1"/>
                <w:wAfter w:w="440" w:type="dxa"/>
                <w:trHeight w:val="269"/>
              </w:trPr>
              <w:tc>
                <w:tcPr>
                  <w:tcW w:w="4608" w:type="dxa"/>
                  <w:tcBorders>
                    <w:top w:val="nil"/>
                    <w:left w:val="nil"/>
                    <w:bottom w:val="nil"/>
                    <w:right w:val="nil"/>
                  </w:tcBorders>
                  <w:shd w:val="clear" w:color="auto" w:fill="auto"/>
                  <w:vAlign w:val="center"/>
                  <w:hideMark/>
                </w:tcPr>
                <w:p w14:paraId="6D024B4E"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     - Kapitálový účet</w:t>
                  </w:r>
                </w:p>
              </w:tc>
              <w:tc>
                <w:tcPr>
                  <w:tcW w:w="722" w:type="dxa"/>
                  <w:tcBorders>
                    <w:top w:val="nil"/>
                    <w:left w:val="nil"/>
                    <w:bottom w:val="nil"/>
                    <w:right w:val="nil"/>
                  </w:tcBorders>
                  <w:shd w:val="clear" w:color="auto" w:fill="auto"/>
                  <w:vAlign w:val="center"/>
                  <w:hideMark/>
                </w:tcPr>
                <w:p w14:paraId="0C0FD611" w14:textId="77777777" w:rsidR="00C45D5B" w:rsidRPr="006401D1" w:rsidRDefault="00C45D5B" w:rsidP="00CF774B">
                  <w:pPr>
                    <w:jc w:val="center"/>
                    <w:rPr>
                      <w:rFonts w:cs="Times New Roman"/>
                      <w:color w:val="000000"/>
                      <w:sz w:val="18"/>
                      <w:szCs w:val="18"/>
                    </w:rPr>
                  </w:pPr>
                </w:p>
              </w:tc>
              <w:tc>
                <w:tcPr>
                  <w:tcW w:w="722" w:type="dxa"/>
                  <w:tcBorders>
                    <w:top w:val="nil"/>
                    <w:left w:val="nil"/>
                    <w:bottom w:val="nil"/>
                    <w:right w:val="nil"/>
                  </w:tcBorders>
                  <w:shd w:val="clear" w:color="auto" w:fill="auto"/>
                  <w:vAlign w:val="bottom"/>
                  <w:hideMark/>
                </w:tcPr>
                <w:p w14:paraId="5693FED9" w14:textId="77777777" w:rsidR="00C45D5B" w:rsidRPr="006401D1" w:rsidRDefault="00C45D5B" w:rsidP="00CF774B">
                  <w:pPr>
                    <w:jc w:val="center"/>
                    <w:rPr>
                      <w:color w:val="000000"/>
                      <w:sz w:val="18"/>
                      <w:szCs w:val="18"/>
                    </w:rPr>
                  </w:pPr>
                  <w:r w:rsidRPr="006401D1">
                    <w:rPr>
                      <w:color w:val="000000"/>
                      <w:sz w:val="18"/>
                      <w:szCs w:val="18"/>
                    </w:rPr>
                    <w:t>1,7</w:t>
                  </w:r>
                </w:p>
              </w:tc>
              <w:tc>
                <w:tcPr>
                  <w:tcW w:w="725" w:type="dxa"/>
                  <w:tcBorders>
                    <w:top w:val="nil"/>
                    <w:left w:val="nil"/>
                    <w:bottom w:val="nil"/>
                    <w:right w:val="nil"/>
                  </w:tcBorders>
                  <w:shd w:val="clear" w:color="auto" w:fill="auto"/>
                  <w:vAlign w:val="bottom"/>
                  <w:hideMark/>
                </w:tcPr>
                <w:p w14:paraId="06A4BF46" w14:textId="77777777" w:rsidR="00C45D5B" w:rsidRPr="006401D1" w:rsidRDefault="00C45D5B" w:rsidP="00CF774B">
                  <w:pPr>
                    <w:jc w:val="center"/>
                    <w:rPr>
                      <w:color w:val="000000"/>
                      <w:sz w:val="18"/>
                      <w:szCs w:val="18"/>
                    </w:rPr>
                  </w:pPr>
                  <w:r w:rsidRPr="006401D1">
                    <w:rPr>
                      <w:color w:val="000000"/>
                      <w:sz w:val="18"/>
                      <w:szCs w:val="18"/>
                    </w:rPr>
                    <w:t>1,3</w:t>
                  </w:r>
                </w:p>
              </w:tc>
              <w:tc>
                <w:tcPr>
                  <w:tcW w:w="725" w:type="dxa"/>
                  <w:gridSpan w:val="2"/>
                  <w:tcBorders>
                    <w:top w:val="nil"/>
                    <w:left w:val="nil"/>
                    <w:bottom w:val="nil"/>
                    <w:right w:val="nil"/>
                  </w:tcBorders>
                  <w:shd w:val="clear" w:color="auto" w:fill="auto"/>
                  <w:vAlign w:val="bottom"/>
                  <w:hideMark/>
                </w:tcPr>
                <w:p w14:paraId="794A9E3E" w14:textId="77777777" w:rsidR="00C45D5B" w:rsidRPr="006401D1" w:rsidRDefault="00C45D5B" w:rsidP="00CF774B">
                  <w:pPr>
                    <w:jc w:val="center"/>
                    <w:rPr>
                      <w:color w:val="000000"/>
                      <w:sz w:val="18"/>
                      <w:szCs w:val="18"/>
                    </w:rPr>
                  </w:pPr>
                  <w:r w:rsidRPr="006401D1">
                    <w:rPr>
                      <w:color w:val="000000"/>
                      <w:sz w:val="18"/>
                      <w:szCs w:val="18"/>
                    </w:rPr>
                    <w:t>1,3</w:t>
                  </w:r>
                </w:p>
              </w:tc>
              <w:tc>
                <w:tcPr>
                  <w:tcW w:w="723" w:type="dxa"/>
                  <w:gridSpan w:val="2"/>
                  <w:tcBorders>
                    <w:top w:val="nil"/>
                    <w:left w:val="nil"/>
                    <w:bottom w:val="nil"/>
                    <w:right w:val="nil"/>
                  </w:tcBorders>
                  <w:shd w:val="clear" w:color="auto" w:fill="auto"/>
                  <w:vAlign w:val="bottom"/>
                  <w:hideMark/>
                </w:tcPr>
                <w:p w14:paraId="3EA5AB1B" w14:textId="77777777" w:rsidR="00C45D5B" w:rsidRPr="006401D1" w:rsidRDefault="00C45D5B" w:rsidP="00CF774B">
                  <w:pPr>
                    <w:jc w:val="center"/>
                    <w:rPr>
                      <w:color w:val="000000"/>
                      <w:sz w:val="18"/>
                      <w:szCs w:val="18"/>
                    </w:rPr>
                  </w:pPr>
                  <w:r w:rsidRPr="006401D1">
                    <w:rPr>
                      <w:color w:val="000000"/>
                      <w:sz w:val="18"/>
                      <w:szCs w:val="18"/>
                    </w:rPr>
                    <w:t>1,3</w:t>
                  </w:r>
                </w:p>
              </w:tc>
              <w:tc>
                <w:tcPr>
                  <w:tcW w:w="724" w:type="dxa"/>
                  <w:gridSpan w:val="2"/>
                  <w:tcBorders>
                    <w:top w:val="nil"/>
                    <w:left w:val="nil"/>
                    <w:bottom w:val="nil"/>
                    <w:right w:val="nil"/>
                  </w:tcBorders>
                  <w:shd w:val="clear" w:color="auto" w:fill="auto"/>
                  <w:vAlign w:val="bottom"/>
                  <w:hideMark/>
                </w:tcPr>
                <w:p w14:paraId="74A20AF0" w14:textId="77777777" w:rsidR="00C45D5B" w:rsidRPr="006401D1" w:rsidRDefault="00C45D5B" w:rsidP="00CF774B">
                  <w:pPr>
                    <w:jc w:val="center"/>
                    <w:rPr>
                      <w:color w:val="000000"/>
                      <w:sz w:val="18"/>
                      <w:szCs w:val="18"/>
                    </w:rPr>
                  </w:pPr>
                  <w:r w:rsidRPr="006401D1">
                    <w:rPr>
                      <w:color w:val="000000"/>
                      <w:sz w:val="18"/>
                      <w:szCs w:val="18"/>
                    </w:rPr>
                    <w:t>1,3</w:t>
                  </w:r>
                </w:p>
              </w:tc>
            </w:tr>
            <w:tr w:rsidR="00C45D5B" w:rsidRPr="006401D1" w14:paraId="64AA2152" w14:textId="77777777" w:rsidTr="00CF774B">
              <w:trPr>
                <w:gridAfter w:val="1"/>
                <w:wAfter w:w="440" w:type="dxa"/>
                <w:trHeight w:val="269"/>
              </w:trPr>
              <w:tc>
                <w:tcPr>
                  <w:tcW w:w="4608" w:type="dxa"/>
                  <w:tcBorders>
                    <w:top w:val="nil"/>
                    <w:left w:val="nil"/>
                    <w:bottom w:val="nil"/>
                    <w:right w:val="nil"/>
                  </w:tcBorders>
                  <w:shd w:val="clear" w:color="auto" w:fill="auto"/>
                  <w:noWrap/>
                  <w:vAlign w:val="center"/>
                  <w:hideMark/>
                </w:tcPr>
                <w:p w14:paraId="6B6D802C" w14:textId="77777777" w:rsidR="00C45D5B" w:rsidRPr="006401D1" w:rsidRDefault="00C45D5B" w:rsidP="00CF774B">
                  <w:pPr>
                    <w:rPr>
                      <w:rFonts w:cs="Times New Roman"/>
                      <w:color w:val="000000"/>
                      <w:sz w:val="18"/>
                      <w:szCs w:val="18"/>
                    </w:rPr>
                  </w:pPr>
                  <w:r w:rsidRPr="006401D1">
                    <w:rPr>
                      <w:rFonts w:cs="Times New Roman"/>
                      <w:color w:val="000000"/>
                      <w:sz w:val="18"/>
                      <w:szCs w:val="18"/>
                    </w:rPr>
                    <w:t>2. Čisté pôžičky poskytnuté / prijaté ostatných sektorov</w:t>
                  </w:r>
                </w:p>
              </w:tc>
              <w:tc>
                <w:tcPr>
                  <w:tcW w:w="722" w:type="dxa"/>
                  <w:tcBorders>
                    <w:top w:val="nil"/>
                    <w:left w:val="nil"/>
                    <w:bottom w:val="nil"/>
                    <w:right w:val="nil"/>
                  </w:tcBorders>
                  <w:shd w:val="clear" w:color="auto" w:fill="auto"/>
                  <w:vAlign w:val="center"/>
                  <w:hideMark/>
                </w:tcPr>
                <w:p w14:paraId="62DB139D"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B.9</w:t>
                  </w:r>
                </w:p>
              </w:tc>
              <w:tc>
                <w:tcPr>
                  <w:tcW w:w="722" w:type="dxa"/>
                  <w:tcBorders>
                    <w:top w:val="nil"/>
                    <w:left w:val="nil"/>
                    <w:bottom w:val="nil"/>
                    <w:right w:val="nil"/>
                  </w:tcBorders>
                  <w:shd w:val="clear" w:color="auto" w:fill="auto"/>
                  <w:vAlign w:val="bottom"/>
                </w:tcPr>
                <w:p w14:paraId="098C6327" w14:textId="77777777" w:rsidR="00C45D5B" w:rsidRPr="006401D1" w:rsidRDefault="00C45D5B" w:rsidP="00CF774B">
                  <w:pPr>
                    <w:jc w:val="center"/>
                    <w:rPr>
                      <w:color w:val="000000"/>
                      <w:sz w:val="18"/>
                      <w:szCs w:val="18"/>
                    </w:rPr>
                  </w:pPr>
                </w:p>
              </w:tc>
              <w:tc>
                <w:tcPr>
                  <w:tcW w:w="725" w:type="dxa"/>
                  <w:tcBorders>
                    <w:top w:val="nil"/>
                    <w:left w:val="nil"/>
                    <w:bottom w:val="nil"/>
                    <w:right w:val="nil"/>
                  </w:tcBorders>
                  <w:shd w:val="clear" w:color="auto" w:fill="auto"/>
                  <w:vAlign w:val="bottom"/>
                </w:tcPr>
                <w:p w14:paraId="69C47EF8" w14:textId="77777777" w:rsidR="00C45D5B" w:rsidRPr="006401D1" w:rsidRDefault="00C45D5B" w:rsidP="00CF774B">
                  <w:pPr>
                    <w:jc w:val="center"/>
                    <w:rPr>
                      <w:color w:val="000000"/>
                      <w:sz w:val="18"/>
                      <w:szCs w:val="18"/>
                    </w:rPr>
                  </w:pPr>
                </w:p>
              </w:tc>
              <w:tc>
                <w:tcPr>
                  <w:tcW w:w="725" w:type="dxa"/>
                  <w:gridSpan w:val="2"/>
                  <w:tcBorders>
                    <w:top w:val="nil"/>
                    <w:left w:val="nil"/>
                    <w:bottom w:val="nil"/>
                    <w:right w:val="nil"/>
                  </w:tcBorders>
                  <w:shd w:val="clear" w:color="auto" w:fill="auto"/>
                  <w:vAlign w:val="bottom"/>
                </w:tcPr>
                <w:p w14:paraId="3247EBF4" w14:textId="77777777" w:rsidR="00C45D5B" w:rsidRPr="006401D1" w:rsidRDefault="00C45D5B" w:rsidP="00CF774B">
                  <w:pPr>
                    <w:jc w:val="center"/>
                    <w:rPr>
                      <w:color w:val="000000"/>
                      <w:sz w:val="18"/>
                      <w:szCs w:val="18"/>
                    </w:rPr>
                  </w:pPr>
                </w:p>
              </w:tc>
              <w:tc>
                <w:tcPr>
                  <w:tcW w:w="723" w:type="dxa"/>
                  <w:gridSpan w:val="2"/>
                  <w:tcBorders>
                    <w:top w:val="nil"/>
                    <w:left w:val="nil"/>
                    <w:bottom w:val="nil"/>
                    <w:right w:val="nil"/>
                  </w:tcBorders>
                  <w:shd w:val="clear" w:color="auto" w:fill="auto"/>
                  <w:vAlign w:val="bottom"/>
                </w:tcPr>
                <w:p w14:paraId="0C33ACC9" w14:textId="77777777" w:rsidR="00C45D5B" w:rsidRPr="006401D1" w:rsidRDefault="00C45D5B" w:rsidP="00CF774B">
                  <w:pPr>
                    <w:jc w:val="center"/>
                    <w:rPr>
                      <w:color w:val="000000"/>
                      <w:sz w:val="18"/>
                      <w:szCs w:val="18"/>
                    </w:rPr>
                  </w:pPr>
                </w:p>
              </w:tc>
              <w:tc>
                <w:tcPr>
                  <w:tcW w:w="724" w:type="dxa"/>
                  <w:gridSpan w:val="2"/>
                  <w:tcBorders>
                    <w:top w:val="nil"/>
                    <w:left w:val="nil"/>
                    <w:bottom w:val="nil"/>
                    <w:right w:val="nil"/>
                  </w:tcBorders>
                  <w:shd w:val="clear" w:color="auto" w:fill="auto"/>
                  <w:vAlign w:val="bottom"/>
                </w:tcPr>
                <w:p w14:paraId="357856E3" w14:textId="77777777" w:rsidR="00C45D5B" w:rsidRPr="006401D1" w:rsidRDefault="00C45D5B" w:rsidP="00CF774B">
                  <w:pPr>
                    <w:jc w:val="center"/>
                    <w:rPr>
                      <w:color w:val="000000"/>
                      <w:sz w:val="18"/>
                      <w:szCs w:val="18"/>
                    </w:rPr>
                  </w:pPr>
                </w:p>
              </w:tc>
            </w:tr>
            <w:tr w:rsidR="00C45D5B" w:rsidRPr="006401D1" w14:paraId="518710F4" w14:textId="77777777" w:rsidTr="00CF774B">
              <w:trPr>
                <w:gridAfter w:val="1"/>
                <w:wAfter w:w="440" w:type="dxa"/>
                <w:trHeight w:val="269"/>
              </w:trPr>
              <w:tc>
                <w:tcPr>
                  <w:tcW w:w="4608" w:type="dxa"/>
                  <w:tcBorders>
                    <w:top w:val="nil"/>
                    <w:left w:val="nil"/>
                    <w:bottom w:val="nil"/>
                    <w:right w:val="nil"/>
                  </w:tcBorders>
                  <w:shd w:val="clear" w:color="auto" w:fill="auto"/>
                  <w:vAlign w:val="center"/>
                  <w:hideMark/>
                </w:tcPr>
                <w:p w14:paraId="6DCD4557" w14:textId="77777777" w:rsidR="00C45D5B" w:rsidRPr="006401D1" w:rsidRDefault="00C45D5B" w:rsidP="00CF774B">
                  <w:pPr>
                    <w:rPr>
                      <w:rFonts w:cs="Times New Roman"/>
                      <w:color w:val="000000"/>
                      <w:sz w:val="18"/>
                      <w:szCs w:val="18"/>
                    </w:rPr>
                  </w:pPr>
                  <w:r w:rsidRPr="006401D1">
                    <w:rPr>
                      <w:rFonts w:cs="Times New Roman"/>
                      <w:color w:val="000000"/>
                      <w:sz w:val="18"/>
                      <w:szCs w:val="18"/>
                    </w:rPr>
                    <w:t>3. Čisté pôžičky poskytnuté / prijaté verejnej správy (ciele vlády)</w:t>
                  </w:r>
                </w:p>
              </w:tc>
              <w:tc>
                <w:tcPr>
                  <w:tcW w:w="722" w:type="dxa"/>
                  <w:tcBorders>
                    <w:top w:val="nil"/>
                    <w:left w:val="nil"/>
                    <w:bottom w:val="nil"/>
                    <w:right w:val="nil"/>
                  </w:tcBorders>
                  <w:shd w:val="clear" w:color="auto" w:fill="auto"/>
                  <w:vAlign w:val="center"/>
                  <w:hideMark/>
                </w:tcPr>
                <w:p w14:paraId="76EA12CA"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B.9</w:t>
                  </w:r>
                </w:p>
              </w:tc>
              <w:tc>
                <w:tcPr>
                  <w:tcW w:w="722" w:type="dxa"/>
                  <w:tcBorders>
                    <w:top w:val="nil"/>
                    <w:left w:val="nil"/>
                    <w:bottom w:val="nil"/>
                    <w:right w:val="nil"/>
                  </w:tcBorders>
                  <w:shd w:val="clear" w:color="auto" w:fill="auto"/>
                  <w:vAlign w:val="bottom"/>
                  <w:hideMark/>
                </w:tcPr>
                <w:p w14:paraId="0CDFB6B6" w14:textId="77777777" w:rsidR="00C45D5B" w:rsidRPr="006401D1" w:rsidRDefault="00C45D5B" w:rsidP="00CF774B">
                  <w:pPr>
                    <w:jc w:val="center"/>
                    <w:rPr>
                      <w:rFonts w:cs="Times New Roman"/>
                      <w:color w:val="000000"/>
                      <w:sz w:val="18"/>
                      <w:szCs w:val="18"/>
                    </w:rPr>
                  </w:pPr>
                  <w:r>
                    <w:rPr>
                      <w:color w:val="000000"/>
                      <w:sz w:val="18"/>
                      <w:szCs w:val="18"/>
                    </w:rPr>
                    <w:t>-6,2</w:t>
                  </w:r>
                </w:p>
              </w:tc>
              <w:tc>
                <w:tcPr>
                  <w:tcW w:w="725" w:type="dxa"/>
                  <w:tcBorders>
                    <w:top w:val="nil"/>
                    <w:left w:val="nil"/>
                    <w:bottom w:val="nil"/>
                    <w:right w:val="nil"/>
                  </w:tcBorders>
                  <w:shd w:val="clear" w:color="auto" w:fill="auto"/>
                  <w:vAlign w:val="bottom"/>
                  <w:hideMark/>
                </w:tcPr>
                <w:p w14:paraId="7D712A2C" w14:textId="77777777" w:rsidR="00C45D5B" w:rsidRPr="006401D1" w:rsidRDefault="00C45D5B" w:rsidP="00CF774B">
                  <w:pPr>
                    <w:jc w:val="center"/>
                    <w:rPr>
                      <w:rFonts w:cs="Times New Roman"/>
                      <w:color w:val="000000"/>
                      <w:sz w:val="18"/>
                      <w:szCs w:val="18"/>
                    </w:rPr>
                  </w:pPr>
                  <w:r>
                    <w:rPr>
                      <w:color w:val="000000"/>
                      <w:sz w:val="18"/>
                      <w:szCs w:val="18"/>
                    </w:rPr>
                    <w:t>-5,1</w:t>
                  </w:r>
                </w:p>
              </w:tc>
              <w:tc>
                <w:tcPr>
                  <w:tcW w:w="725" w:type="dxa"/>
                  <w:gridSpan w:val="2"/>
                  <w:tcBorders>
                    <w:top w:val="nil"/>
                    <w:left w:val="nil"/>
                    <w:bottom w:val="nil"/>
                    <w:right w:val="nil"/>
                  </w:tcBorders>
                  <w:shd w:val="clear" w:color="auto" w:fill="auto"/>
                  <w:vAlign w:val="bottom"/>
                  <w:hideMark/>
                </w:tcPr>
                <w:p w14:paraId="796BD3D1" w14:textId="77777777" w:rsidR="00C45D5B" w:rsidRPr="006401D1" w:rsidRDefault="00C45D5B" w:rsidP="00CF774B">
                  <w:pPr>
                    <w:jc w:val="center"/>
                    <w:rPr>
                      <w:rFonts w:cs="Times New Roman"/>
                      <w:color w:val="000000"/>
                      <w:sz w:val="18"/>
                      <w:szCs w:val="18"/>
                    </w:rPr>
                  </w:pPr>
                  <w:r>
                    <w:rPr>
                      <w:color w:val="000000"/>
                      <w:sz w:val="18"/>
                      <w:szCs w:val="18"/>
                    </w:rPr>
                    <w:t>-2,4</w:t>
                  </w:r>
                </w:p>
              </w:tc>
              <w:tc>
                <w:tcPr>
                  <w:tcW w:w="723" w:type="dxa"/>
                  <w:gridSpan w:val="2"/>
                  <w:tcBorders>
                    <w:top w:val="nil"/>
                    <w:left w:val="nil"/>
                    <w:bottom w:val="nil"/>
                    <w:right w:val="nil"/>
                  </w:tcBorders>
                  <w:shd w:val="clear" w:color="auto" w:fill="auto"/>
                  <w:vAlign w:val="bottom"/>
                  <w:hideMark/>
                </w:tcPr>
                <w:p w14:paraId="38A9E041" w14:textId="77777777" w:rsidR="00C45D5B" w:rsidRPr="006401D1" w:rsidRDefault="00C45D5B" w:rsidP="00CF774B">
                  <w:pPr>
                    <w:jc w:val="center"/>
                    <w:rPr>
                      <w:rFonts w:cs="Times New Roman"/>
                      <w:color w:val="000000"/>
                      <w:sz w:val="18"/>
                      <w:szCs w:val="18"/>
                    </w:rPr>
                  </w:pPr>
                  <w:r>
                    <w:rPr>
                      <w:color w:val="000000"/>
                      <w:sz w:val="18"/>
                      <w:szCs w:val="18"/>
                    </w:rPr>
                    <w:t>-2,3</w:t>
                  </w:r>
                </w:p>
              </w:tc>
              <w:tc>
                <w:tcPr>
                  <w:tcW w:w="724" w:type="dxa"/>
                  <w:gridSpan w:val="2"/>
                  <w:tcBorders>
                    <w:top w:val="nil"/>
                    <w:left w:val="nil"/>
                    <w:bottom w:val="nil"/>
                    <w:right w:val="nil"/>
                  </w:tcBorders>
                  <w:shd w:val="clear" w:color="auto" w:fill="auto"/>
                  <w:vAlign w:val="bottom"/>
                  <w:hideMark/>
                </w:tcPr>
                <w:p w14:paraId="680CE3AB" w14:textId="77777777" w:rsidR="00C45D5B" w:rsidRPr="006401D1" w:rsidRDefault="00C45D5B" w:rsidP="00CF774B">
                  <w:pPr>
                    <w:jc w:val="center"/>
                    <w:rPr>
                      <w:rFonts w:cs="Times New Roman"/>
                      <w:color w:val="000000"/>
                      <w:sz w:val="18"/>
                      <w:szCs w:val="18"/>
                    </w:rPr>
                  </w:pPr>
                  <w:r>
                    <w:rPr>
                      <w:color w:val="000000"/>
                      <w:sz w:val="18"/>
                      <w:szCs w:val="18"/>
                    </w:rPr>
                    <w:t>-2,0</w:t>
                  </w:r>
                </w:p>
              </w:tc>
            </w:tr>
            <w:tr w:rsidR="00C45D5B" w:rsidRPr="006401D1" w14:paraId="4BA4121F" w14:textId="77777777" w:rsidTr="00CF774B">
              <w:trPr>
                <w:gridAfter w:val="1"/>
                <w:wAfter w:w="440" w:type="dxa"/>
                <w:trHeight w:val="269"/>
              </w:trPr>
              <w:tc>
                <w:tcPr>
                  <w:tcW w:w="4608" w:type="dxa"/>
                  <w:tcBorders>
                    <w:top w:val="nil"/>
                    <w:left w:val="nil"/>
                    <w:bottom w:val="single" w:sz="8" w:space="0" w:color="auto"/>
                    <w:right w:val="nil"/>
                  </w:tcBorders>
                  <w:shd w:val="clear" w:color="auto" w:fill="auto"/>
                  <w:vAlign w:val="center"/>
                  <w:hideMark/>
                </w:tcPr>
                <w:p w14:paraId="45A247D1" w14:textId="77777777" w:rsidR="00C45D5B" w:rsidRPr="006401D1" w:rsidRDefault="00C45D5B" w:rsidP="00CF774B">
                  <w:pPr>
                    <w:rPr>
                      <w:rFonts w:cs="Times New Roman"/>
                      <w:color w:val="000000"/>
                      <w:sz w:val="18"/>
                      <w:szCs w:val="18"/>
                    </w:rPr>
                  </w:pPr>
                  <w:r w:rsidRPr="006401D1">
                    <w:rPr>
                      <w:rFonts w:cs="Times New Roman"/>
                      <w:color w:val="000000"/>
                      <w:sz w:val="18"/>
                      <w:szCs w:val="18"/>
                    </w:rPr>
                    <w:t>4. Štatistický rozdiel</w:t>
                  </w:r>
                </w:p>
              </w:tc>
              <w:tc>
                <w:tcPr>
                  <w:tcW w:w="722" w:type="dxa"/>
                  <w:tcBorders>
                    <w:top w:val="nil"/>
                    <w:left w:val="nil"/>
                    <w:bottom w:val="single" w:sz="8" w:space="0" w:color="auto"/>
                    <w:right w:val="nil"/>
                  </w:tcBorders>
                  <w:shd w:val="clear" w:color="auto" w:fill="auto"/>
                  <w:vAlign w:val="center"/>
                  <w:hideMark/>
                </w:tcPr>
                <w:p w14:paraId="7DA9FB55" w14:textId="77777777" w:rsidR="00C45D5B" w:rsidRPr="006401D1" w:rsidRDefault="00C45D5B" w:rsidP="00CF774B">
                  <w:pPr>
                    <w:jc w:val="center"/>
                    <w:rPr>
                      <w:rFonts w:cs="Times New Roman"/>
                      <w:color w:val="000000"/>
                      <w:sz w:val="18"/>
                      <w:szCs w:val="18"/>
                    </w:rPr>
                  </w:pPr>
                </w:p>
              </w:tc>
              <w:tc>
                <w:tcPr>
                  <w:tcW w:w="722" w:type="dxa"/>
                  <w:tcBorders>
                    <w:top w:val="nil"/>
                    <w:left w:val="nil"/>
                    <w:bottom w:val="single" w:sz="8" w:space="0" w:color="auto"/>
                    <w:right w:val="nil"/>
                  </w:tcBorders>
                  <w:shd w:val="clear" w:color="auto" w:fill="auto"/>
                  <w:hideMark/>
                </w:tcPr>
                <w:p w14:paraId="7D1BE6FC" w14:textId="77777777" w:rsidR="00C45D5B" w:rsidRPr="006401D1" w:rsidRDefault="00C45D5B" w:rsidP="00CF774B">
                  <w:pPr>
                    <w:jc w:val="center"/>
                    <w:rPr>
                      <w:rFonts w:cs="Times New Roman"/>
                      <w:color w:val="000000"/>
                      <w:sz w:val="18"/>
                      <w:szCs w:val="18"/>
                    </w:rPr>
                  </w:pPr>
                  <w:r w:rsidRPr="006401D1">
                    <w:rPr>
                      <w:sz w:val="18"/>
                      <w:szCs w:val="18"/>
                    </w:rPr>
                    <w:t xml:space="preserve"> -     </w:t>
                  </w:r>
                </w:p>
              </w:tc>
              <w:tc>
                <w:tcPr>
                  <w:tcW w:w="725" w:type="dxa"/>
                  <w:tcBorders>
                    <w:top w:val="nil"/>
                    <w:left w:val="nil"/>
                    <w:bottom w:val="single" w:sz="8" w:space="0" w:color="auto"/>
                    <w:right w:val="nil"/>
                  </w:tcBorders>
                  <w:shd w:val="clear" w:color="auto" w:fill="auto"/>
                  <w:hideMark/>
                </w:tcPr>
                <w:p w14:paraId="32793C2C" w14:textId="77777777" w:rsidR="00C45D5B" w:rsidRPr="006401D1" w:rsidRDefault="00C45D5B" w:rsidP="00CF774B">
                  <w:pPr>
                    <w:jc w:val="center"/>
                    <w:rPr>
                      <w:rFonts w:cs="Times New Roman"/>
                      <w:color w:val="000000"/>
                      <w:sz w:val="18"/>
                      <w:szCs w:val="18"/>
                    </w:rPr>
                  </w:pPr>
                  <w:r w:rsidRPr="006401D1">
                    <w:rPr>
                      <w:sz w:val="18"/>
                      <w:szCs w:val="18"/>
                    </w:rPr>
                    <w:t xml:space="preserve"> -     </w:t>
                  </w:r>
                </w:p>
              </w:tc>
              <w:tc>
                <w:tcPr>
                  <w:tcW w:w="725" w:type="dxa"/>
                  <w:gridSpan w:val="2"/>
                  <w:tcBorders>
                    <w:top w:val="nil"/>
                    <w:left w:val="nil"/>
                    <w:bottom w:val="single" w:sz="8" w:space="0" w:color="auto"/>
                    <w:right w:val="nil"/>
                  </w:tcBorders>
                  <w:shd w:val="clear" w:color="auto" w:fill="auto"/>
                  <w:hideMark/>
                </w:tcPr>
                <w:p w14:paraId="700629BD" w14:textId="77777777" w:rsidR="00C45D5B" w:rsidRPr="006401D1" w:rsidRDefault="00C45D5B" w:rsidP="00CF774B">
                  <w:pPr>
                    <w:jc w:val="center"/>
                    <w:rPr>
                      <w:rFonts w:cs="Times New Roman"/>
                      <w:color w:val="000000"/>
                      <w:sz w:val="18"/>
                      <w:szCs w:val="18"/>
                    </w:rPr>
                  </w:pPr>
                  <w:r w:rsidRPr="006401D1">
                    <w:rPr>
                      <w:sz w:val="18"/>
                      <w:szCs w:val="18"/>
                    </w:rPr>
                    <w:t xml:space="preserve"> -     </w:t>
                  </w:r>
                </w:p>
              </w:tc>
              <w:tc>
                <w:tcPr>
                  <w:tcW w:w="723" w:type="dxa"/>
                  <w:gridSpan w:val="2"/>
                  <w:tcBorders>
                    <w:top w:val="nil"/>
                    <w:left w:val="nil"/>
                    <w:bottom w:val="single" w:sz="8" w:space="0" w:color="auto"/>
                    <w:right w:val="nil"/>
                  </w:tcBorders>
                  <w:shd w:val="clear" w:color="auto" w:fill="auto"/>
                  <w:hideMark/>
                </w:tcPr>
                <w:p w14:paraId="377C3BFC" w14:textId="77777777" w:rsidR="00C45D5B" w:rsidRPr="006401D1" w:rsidRDefault="00C45D5B" w:rsidP="00CF774B">
                  <w:pPr>
                    <w:jc w:val="center"/>
                    <w:rPr>
                      <w:rFonts w:cs="Times New Roman"/>
                      <w:color w:val="000000"/>
                      <w:sz w:val="18"/>
                      <w:szCs w:val="18"/>
                    </w:rPr>
                  </w:pPr>
                  <w:r w:rsidRPr="006401D1">
                    <w:rPr>
                      <w:sz w:val="18"/>
                      <w:szCs w:val="18"/>
                    </w:rPr>
                    <w:t xml:space="preserve"> -     </w:t>
                  </w:r>
                </w:p>
              </w:tc>
              <w:tc>
                <w:tcPr>
                  <w:tcW w:w="724" w:type="dxa"/>
                  <w:gridSpan w:val="2"/>
                  <w:tcBorders>
                    <w:top w:val="nil"/>
                    <w:left w:val="nil"/>
                    <w:bottom w:val="single" w:sz="8" w:space="0" w:color="auto"/>
                    <w:right w:val="nil"/>
                  </w:tcBorders>
                  <w:shd w:val="clear" w:color="auto" w:fill="auto"/>
                  <w:hideMark/>
                </w:tcPr>
                <w:p w14:paraId="341603FF" w14:textId="77777777" w:rsidR="00C45D5B" w:rsidRPr="006401D1" w:rsidRDefault="00C45D5B" w:rsidP="00CF774B">
                  <w:pPr>
                    <w:jc w:val="center"/>
                    <w:rPr>
                      <w:rFonts w:cs="Times New Roman"/>
                      <w:color w:val="000000"/>
                      <w:sz w:val="18"/>
                      <w:szCs w:val="18"/>
                    </w:rPr>
                  </w:pPr>
                  <w:r w:rsidRPr="006401D1">
                    <w:rPr>
                      <w:sz w:val="18"/>
                      <w:szCs w:val="18"/>
                    </w:rPr>
                    <w:t xml:space="preserve"> -     </w:t>
                  </w:r>
                </w:p>
              </w:tc>
            </w:tr>
            <w:tr w:rsidR="00C45D5B" w:rsidRPr="006401D1" w14:paraId="286ADB36" w14:textId="77777777" w:rsidTr="00CF774B">
              <w:trPr>
                <w:trHeight w:val="269"/>
              </w:trPr>
              <w:tc>
                <w:tcPr>
                  <w:tcW w:w="7219" w:type="dxa"/>
                  <w:gridSpan w:val="5"/>
                  <w:tcBorders>
                    <w:top w:val="single" w:sz="8" w:space="0" w:color="auto"/>
                    <w:left w:val="nil"/>
                    <w:bottom w:val="nil"/>
                    <w:right w:val="nil"/>
                  </w:tcBorders>
                  <w:shd w:val="clear" w:color="auto" w:fill="auto"/>
                  <w:noWrap/>
                  <w:vAlign w:val="center"/>
                  <w:hideMark/>
                </w:tcPr>
                <w:p w14:paraId="705809D9" w14:textId="77777777" w:rsidR="00C45D5B" w:rsidRPr="006401D1" w:rsidRDefault="00C45D5B" w:rsidP="00CF774B">
                  <w:pPr>
                    <w:rPr>
                      <w:rFonts w:cs="Times New Roman"/>
                      <w:color w:val="000000"/>
                      <w:sz w:val="18"/>
                      <w:szCs w:val="18"/>
                    </w:rPr>
                  </w:pPr>
                </w:p>
              </w:tc>
              <w:tc>
                <w:tcPr>
                  <w:tcW w:w="723" w:type="dxa"/>
                  <w:gridSpan w:val="2"/>
                  <w:tcBorders>
                    <w:top w:val="nil"/>
                    <w:left w:val="nil"/>
                    <w:bottom w:val="nil"/>
                    <w:right w:val="nil"/>
                  </w:tcBorders>
                  <w:shd w:val="clear" w:color="auto" w:fill="auto"/>
                  <w:noWrap/>
                  <w:vAlign w:val="center"/>
                  <w:hideMark/>
                </w:tcPr>
                <w:p w14:paraId="7C7EBAD2" w14:textId="77777777" w:rsidR="00C45D5B" w:rsidRPr="006401D1" w:rsidRDefault="00C45D5B" w:rsidP="00CF774B">
                  <w:pPr>
                    <w:jc w:val="right"/>
                    <w:rPr>
                      <w:rFonts w:cs="Times New Roman"/>
                      <w:color w:val="000000"/>
                      <w:sz w:val="18"/>
                      <w:szCs w:val="18"/>
                    </w:rPr>
                  </w:pPr>
                </w:p>
              </w:tc>
              <w:tc>
                <w:tcPr>
                  <w:tcW w:w="1447" w:type="dxa"/>
                  <w:gridSpan w:val="4"/>
                  <w:tcBorders>
                    <w:top w:val="nil"/>
                    <w:left w:val="nil"/>
                    <w:bottom w:val="nil"/>
                    <w:right w:val="nil"/>
                  </w:tcBorders>
                  <w:shd w:val="clear" w:color="auto" w:fill="auto"/>
                  <w:noWrap/>
                  <w:vAlign w:val="center"/>
                  <w:hideMark/>
                </w:tcPr>
                <w:p w14:paraId="24D20732" w14:textId="77777777" w:rsidR="00C45D5B" w:rsidRPr="006401D1" w:rsidRDefault="00C45D5B" w:rsidP="00CF774B">
                  <w:pPr>
                    <w:rPr>
                      <w:rFonts w:cs="Times New Roman"/>
                      <w:i/>
                      <w:iCs/>
                      <w:color w:val="000000"/>
                      <w:sz w:val="18"/>
                      <w:szCs w:val="18"/>
                    </w:rPr>
                  </w:pPr>
                  <w:r w:rsidRPr="006401D1">
                    <w:rPr>
                      <w:rFonts w:cs="Times New Roman"/>
                      <w:i/>
                      <w:iCs/>
                      <w:color w:val="000000"/>
                      <w:sz w:val="16"/>
                      <w:szCs w:val="18"/>
                    </w:rPr>
                    <w:t>Zdroj: MF SR</w:t>
                  </w:r>
                </w:p>
              </w:tc>
            </w:tr>
          </w:tbl>
          <w:p w14:paraId="26687C7D" w14:textId="77777777" w:rsidR="00C45D5B" w:rsidRPr="006401D1" w:rsidRDefault="00C45D5B" w:rsidP="00CF774B">
            <w:pPr>
              <w:rPr>
                <w:rFonts w:eastAsiaTheme="minorHAnsi"/>
                <w:b/>
                <w:color w:val="2C9ADC"/>
                <w:sz w:val="18"/>
                <w:szCs w:val="18"/>
                <w:lang w:eastAsia="en-US"/>
              </w:rPr>
            </w:pPr>
          </w:p>
          <w:p w14:paraId="117C8108" w14:textId="664590A5" w:rsidR="00C45D5B" w:rsidRPr="006401D1" w:rsidRDefault="00C45D5B" w:rsidP="00CF774B">
            <w:pPr>
              <w:rPr>
                <w:rFonts w:eastAsiaTheme="minorHAnsi"/>
                <w:b/>
                <w:color w:val="2C9ADC"/>
                <w:sz w:val="20"/>
                <w:szCs w:val="20"/>
                <w:lang w:eastAsia="en-US"/>
              </w:rPr>
            </w:pPr>
            <w:bookmarkStart w:id="237" w:name="_Toc71622461"/>
            <w:bookmarkStart w:id="238" w:name="_Toc101880702"/>
            <w:r w:rsidRPr="006401D1">
              <w:rPr>
                <w:rFonts w:eastAsiaTheme="minorHAnsi"/>
                <w:b/>
                <w:color w:val="2C9ADC"/>
                <w:sz w:val="20"/>
                <w:szCs w:val="20"/>
                <w:lang w:eastAsia="en-US"/>
              </w:rPr>
              <w:t xml:space="preserve">TABUĽKA </w:t>
            </w:r>
            <w:r w:rsidRPr="006401D1">
              <w:rPr>
                <w:rFonts w:eastAsiaTheme="minorHAnsi"/>
                <w:b/>
                <w:color w:val="2C9ADC"/>
                <w:sz w:val="20"/>
                <w:szCs w:val="20"/>
                <w:lang w:eastAsia="en-US"/>
              </w:rPr>
              <w:fldChar w:fldCharType="begin"/>
            </w:r>
            <w:r w:rsidRPr="006401D1">
              <w:rPr>
                <w:rFonts w:eastAsiaTheme="minorHAnsi"/>
                <w:b/>
                <w:color w:val="2C9ADC"/>
                <w:sz w:val="20"/>
                <w:szCs w:val="20"/>
                <w:lang w:eastAsia="en-US"/>
              </w:rPr>
              <w:instrText xml:space="preserve"> SEQ TABUĽKA \* ARABIC </w:instrText>
            </w:r>
            <w:r w:rsidRPr="006401D1">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23</w:t>
            </w:r>
            <w:r w:rsidRPr="006401D1">
              <w:rPr>
                <w:rFonts w:eastAsiaTheme="minorHAnsi"/>
                <w:b/>
                <w:color w:val="2C9ADC"/>
                <w:sz w:val="20"/>
                <w:szCs w:val="20"/>
                <w:lang w:eastAsia="en-US"/>
              </w:rPr>
              <w:fldChar w:fldCharType="end"/>
            </w:r>
            <w:r w:rsidRPr="006401D1">
              <w:rPr>
                <w:rFonts w:eastAsiaTheme="minorHAnsi"/>
                <w:b/>
                <w:color w:val="2C9ADC"/>
                <w:sz w:val="20"/>
                <w:szCs w:val="20"/>
                <w:lang w:eastAsia="en-US"/>
              </w:rPr>
              <w:t xml:space="preserve"> (Tabuľka 2a) – Vývoj rozpočtov verejnej správy</w:t>
            </w:r>
            <w:bookmarkEnd w:id="227"/>
            <w:bookmarkEnd w:id="228"/>
            <w:bookmarkEnd w:id="237"/>
            <w:bookmarkEnd w:id="238"/>
          </w:p>
        </w:tc>
      </w:tr>
      <w:tr w:rsidR="00C45D5B" w:rsidRPr="006401D1" w14:paraId="46A15A5E" w14:textId="77777777" w:rsidTr="00CF774B">
        <w:trPr>
          <w:gridAfter w:val="3"/>
          <w:wAfter w:w="524" w:type="dxa"/>
          <w:trHeight w:val="279"/>
        </w:trPr>
        <w:tc>
          <w:tcPr>
            <w:tcW w:w="3540" w:type="dxa"/>
            <w:gridSpan w:val="3"/>
            <w:tcBorders>
              <w:top w:val="single" w:sz="8" w:space="0" w:color="auto"/>
              <w:left w:val="nil"/>
              <w:bottom w:val="nil"/>
              <w:right w:val="nil"/>
            </w:tcBorders>
            <w:shd w:val="clear" w:color="auto" w:fill="auto"/>
            <w:hideMark/>
          </w:tcPr>
          <w:p w14:paraId="68358B23" w14:textId="77777777" w:rsidR="00C45D5B" w:rsidRPr="006401D1" w:rsidRDefault="00C45D5B" w:rsidP="00CF774B">
            <w:pPr>
              <w:rPr>
                <w:rFonts w:cs="Times New Roman"/>
                <w:sz w:val="18"/>
                <w:szCs w:val="18"/>
              </w:rPr>
            </w:pPr>
            <w:r w:rsidRPr="006401D1">
              <w:rPr>
                <w:rFonts w:cs="Times New Roman"/>
                <w:sz w:val="18"/>
                <w:szCs w:val="18"/>
              </w:rPr>
              <w:t> </w:t>
            </w:r>
          </w:p>
        </w:tc>
        <w:tc>
          <w:tcPr>
            <w:tcW w:w="933" w:type="dxa"/>
            <w:gridSpan w:val="2"/>
            <w:vMerge w:val="restart"/>
            <w:tcBorders>
              <w:top w:val="single" w:sz="8" w:space="0" w:color="auto"/>
              <w:left w:val="nil"/>
              <w:right w:val="nil"/>
            </w:tcBorders>
            <w:shd w:val="clear" w:color="auto" w:fill="auto"/>
            <w:vAlign w:val="center"/>
            <w:hideMark/>
          </w:tcPr>
          <w:p w14:paraId="6927AABC" w14:textId="77777777" w:rsidR="00C45D5B" w:rsidRPr="006401D1" w:rsidRDefault="00C45D5B" w:rsidP="00CF774B">
            <w:pPr>
              <w:jc w:val="center"/>
              <w:rPr>
                <w:rFonts w:cs="Times New Roman"/>
                <w:sz w:val="18"/>
                <w:szCs w:val="18"/>
              </w:rPr>
            </w:pPr>
            <w:r w:rsidRPr="006401D1">
              <w:rPr>
                <w:rFonts w:cs="Times New Roman"/>
                <w:sz w:val="18"/>
                <w:szCs w:val="18"/>
              </w:rPr>
              <w:t>ESA kód</w:t>
            </w:r>
          </w:p>
        </w:tc>
        <w:tc>
          <w:tcPr>
            <w:tcW w:w="845" w:type="dxa"/>
            <w:gridSpan w:val="2"/>
            <w:tcBorders>
              <w:top w:val="single" w:sz="8" w:space="0" w:color="auto"/>
              <w:left w:val="nil"/>
              <w:bottom w:val="nil"/>
              <w:right w:val="nil"/>
            </w:tcBorders>
            <w:shd w:val="clear" w:color="auto" w:fill="auto"/>
            <w:hideMark/>
          </w:tcPr>
          <w:p w14:paraId="31CDD327" w14:textId="77777777" w:rsidR="00C45D5B" w:rsidRPr="006401D1" w:rsidRDefault="00C45D5B" w:rsidP="00CF774B">
            <w:pPr>
              <w:jc w:val="center"/>
              <w:rPr>
                <w:rFonts w:cs="Times New Roman"/>
                <w:b/>
                <w:bCs/>
                <w:sz w:val="18"/>
                <w:szCs w:val="18"/>
              </w:rPr>
            </w:pPr>
            <w:r w:rsidRPr="006401D1">
              <w:rPr>
                <w:b/>
                <w:bCs/>
                <w:sz w:val="18"/>
                <w:szCs w:val="18"/>
              </w:rPr>
              <w:t>2021</w:t>
            </w:r>
          </w:p>
        </w:tc>
        <w:tc>
          <w:tcPr>
            <w:tcW w:w="795" w:type="dxa"/>
            <w:gridSpan w:val="3"/>
            <w:tcBorders>
              <w:top w:val="single" w:sz="8" w:space="0" w:color="auto"/>
              <w:left w:val="nil"/>
              <w:bottom w:val="nil"/>
              <w:right w:val="nil"/>
            </w:tcBorders>
            <w:shd w:val="clear" w:color="auto" w:fill="auto"/>
            <w:hideMark/>
          </w:tcPr>
          <w:p w14:paraId="402A4560" w14:textId="77777777" w:rsidR="00C45D5B" w:rsidRPr="006401D1" w:rsidRDefault="00C45D5B" w:rsidP="00CF774B">
            <w:pPr>
              <w:jc w:val="center"/>
              <w:rPr>
                <w:rFonts w:cs="Times New Roman"/>
                <w:b/>
                <w:bCs/>
                <w:sz w:val="18"/>
                <w:szCs w:val="18"/>
              </w:rPr>
            </w:pPr>
            <w:r w:rsidRPr="006401D1">
              <w:rPr>
                <w:b/>
                <w:bCs/>
                <w:sz w:val="18"/>
                <w:szCs w:val="18"/>
              </w:rPr>
              <w:t>2021</w:t>
            </w:r>
          </w:p>
        </w:tc>
        <w:tc>
          <w:tcPr>
            <w:tcW w:w="872" w:type="dxa"/>
            <w:gridSpan w:val="2"/>
            <w:tcBorders>
              <w:top w:val="single" w:sz="8" w:space="0" w:color="auto"/>
              <w:left w:val="nil"/>
              <w:bottom w:val="nil"/>
              <w:right w:val="nil"/>
            </w:tcBorders>
            <w:shd w:val="clear" w:color="auto" w:fill="auto"/>
            <w:hideMark/>
          </w:tcPr>
          <w:p w14:paraId="30B45548" w14:textId="77777777" w:rsidR="00C45D5B" w:rsidRPr="006401D1" w:rsidRDefault="00C45D5B" w:rsidP="00CF774B">
            <w:pPr>
              <w:jc w:val="center"/>
              <w:rPr>
                <w:rFonts w:cs="Times New Roman"/>
                <w:b/>
                <w:bCs/>
                <w:sz w:val="18"/>
                <w:szCs w:val="18"/>
              </w:rPr>
            </w:pPr>
            <w:r w:rsidRPr="006401D1">
              <w:rPr>
                <w:b/>
                <w:bCs/>
                <w:sz w:val="18"/>
                <w:szCs w:val="18"/>
              </w:rPr>
              <w:t>2022</w:t>
            </w:r>
          </w:p>
        </w:tc>
        <w:tc>
          <w:tcPr>
            <w:tcW w:w="728" w:type="dxa"/>
            <w:gridSpan w:val="3"/>
            <w:tcBorders>
              <w:top w:val="single" w:sz="8" w:space="0" w:color="auto"/>
              <w:left w:val="nil"/>
              <w:bottom w:val="nil"/>
              <w:right w:val="nil"/>
            </w:tcBorders>
            <w:shd w:val="clear" w:color="auto" w:fill="auto"/>
            <w:hideMark/>
          </w:tcPr>
          <w:p w14:paraId="11388A18" w14:textId="77777777" w:rsidR="00C45D5B" w:rsidRPr="006401D1" w:rsidRDefault="00C45D5B" w:rsidP="00CF774B">
            <w:pPr>
              <w:jc w:val="center"/>
              <w:rPr>
                <w:rFonts w:cs="Times New Roman"/>
                <w:b/>
                <w:bCs/>
                <w:sz w:val="18"/>
                <w:szCs w:val="18"/>
              </w:rPr>
            </w:pPr>
            <w:r w:rsidRPr="006401D1">
              <w:rPr>
                <w:b/>
                <w:bCs/>
                <w:sz w:val="18"/>
                <w:szCs w:val="18"/>
              </w:rPr>
              <w:t>2023</w:t>
            </w:r>
          </w:p>
        </w:tc>
        <w:tc>
          <w:tcPr>
            <w:tcW w:w="703" w:type="dxa"/>
            <w:gridSpan w:val="2"/>
            <w:tcBorders>
              <w:top w:val="single" w:sz="8" w:space="0" w:color="auto"/>
              <w:left w:val="nil"/>
              <w:bottom w:val="nil"/>
              <w:right w:val="nil"/>
            </w:tcBorders>
            <w:shd w:val="clear" w:color="auto" w:fill="auto"/>
            <w:hideMark/>
          </w:tcPr>
          <w:p w14:paraId="41167384" w14:textId="77777777" w:rsidR="00C45D5B" w:rsidRPr="006401D1" w:rsidRDefault="00C45D5B" w:rsidP="00CF774B">
            <w:pPr>
              <w:jc w:val="center"/>
              <w:rPr>
                <w:rFonts w:cs="Times New Roman"/>
                <w:b/>
                <w:bCs/>
                <w:sz w:val="18"/>
                <w:szCs w:val="18"/>
              </w:rPr>
            </w:pPr>
            <w:r w:rsidRPr="006401D1">
              <w:rPr>
                <w:b/>
                <w:bCs/>
                <w:sz w:val="18"/>
                <w:szCs w:val="18"/>
              </w:rPr>
              <w:t>2024</w:t>
            </w:r>
          </w:p>
        </w:tc>
        <w:tc>
          <w:tcPr>
            <w:tcW w:w="589" w:type="dxa"/>
            <w:tcBorders>
              <w:top w:val="single" w:sz="8" w:space="0" w:color="auto"/>
              <w:left w:val="nil"/>
              <w:bottom w:val="nil"/>
              <w:right w:val="nil"/>
            </w:tcBorders>
            <w:shd w:val="clear" w:color="auto" w:fill="auto"/>
            <w:hideMark/>
          </w:tcPr>
          <w:p w14:paraId="155A5CA8" w14:textId="77777777" w:rsidR="00C45D5B" w:rsidRPr="006401D1" w:rsidRDefault="00C45D5B" w:rsidP="00CF774B">
            <w:pPr>
              <w:jc w:val="center"/>
              <w:rPr>
                <w:rFonts w:cs="Times New Roman"/>
                <w:b/>
                <w:bCs/>
                <w:sz w:val="18"/>
                <w:szCs w:val="18"/>
              </w:rPr>
            </w:pPr>
            <w:r w:rsidRPr="006401D1">
              <w:rPr>
                <w:b/>
                <w:bCs/>
                <w:sz w:val="18"/>
                <w:szCs w:val="18"/>
              </w:rPr>
              <w:t>2025</w:t>
            </w:r>
          </w:p>
        </w:tc>
      </w:tr>
      <w:tr w:rsidR="00C45D5B" w:rsidRPr="006401D1" w14:paraId="7A86F44E" w14:textId="77777777" w:rsidTr="00CF774B">
        <w:trPr>
          <w:gridAfter w:val="3"/>
          <w:wAfter w:w="524" w:type="dxa"/>
          <w:trHeight w:val="279"/>
        </w:trPr>
        <w:tc>
          <w:tcPr>
            <w:tcW w:w="3540" w:type="dxa"/>
            <w:gridSpan w:val="3"/>
            <w:tcBorders>
              <w:top w:val="nil"/>
              <w:left w:val="nil"/>
              <w:bottom w:val="single" w:sz="4" w:space="0" w:color="auto"/>
              <w:right w:val="nil"/>
            </w:tcBorders>
            <w:shd w:val="clear" w:color="auto" w:fill="auto"/>
            <w:hideMark/>
          </w:tcPr>
          <w:p w14:paraId="3714B0F9" w14:textId="77777777" w:rsidR="00C45D5B" w:rsidRPr="006401D1" w:rsidRDefault="00C45D5B" w:rsidP="00CF774B">
            <w:pPr>
              <w:tabs>
                <w:tab w:val="left" w:pos="2500"/>
              </w:tabs>
              <w:rPr>
                <w:rFonts w:cs="Times New Roman"/>
                <w:sz w:val="18"/>
                <w:szCs w:val="18"/>
              </w:rPr>
            </w:pPr>
            <w:r w:rsidRPr="006401D1">
              <w:rPr>
                <w:rFonts w:cs="Times New Roman"/>
                <w:sz w:val="18"/>
                <w:szCs w:val="18"/>
              </w:rPr>
              <w:t> </w:t>
            </w:r>
            <w:r w:rsidRPr="006401D1">
              <w:rPr>
                <w:rFonts w:cs="Times New Roman"/>
                <w:sz w:val="18"/>
                <w:szCs w:val="18"/>
              </w:rPr>
              <w:tab/>
            </w:r>
          </w:p>
        </w:tc>
        <w:tc>
          <w:tcPr>
            <w:tcW w:w="933" w:type="dxa"/>
            <w:gridSpan w:val="2"/>
            <w:vMerge/>
            <w:tcBorders>
              <w:left w:val="nil"/>
              <w:bottom w:val="single" w:sz="4" w:space="0" w:color="auto"/>
              <w:right w:val="nil"/>
            </w:tcBorders>
            <w:shd w:val="clear" w:color="auto" w:fill="auto"/>
            <w:vAlign w:val="center"/>
            <w:hideMark/>
          </w:tcPr>
          <w:p w14:paraId="2FD61EB8" w14:textId="77777777" w:rsidR="00C45D5B" w:rsidRPr="006401D1" w:rsidRDefault="00C45D5B" w:rsidP="00CF774B">
            <w:pPr>
              <w:rPr>
                <w:rFonts w:cs="Times New Roman"/>
                <w:sz w:val="18"/>
                <w:szCs w:val="18"/>
              </w:rPr>
            </w:pPr>
          </w:p>
        </w:tc>
        <w:tc>
          <w:tcPr>
            <w:tcW w:w="845" w:type="dxa"/>
            <w:gridSpan w:val="2"/>
            <w:tcBorders>
              <w:top w:val="nil"/>
              <w:left w:val="nil"/>
              <w:bottom w:val="single" w:sz="4" w:space="0" w:color="auto"/>
              <w:right w:val="nil"/>
            </w:tcBorders>
            <w:shd w:val="clear" w:color="auto" w:fill="auto"/>
            <w:hideMark/>
          </w:tcPr>
          <w:p w14:paraId="44653FA7" w14:textId="77777777" w:rsidR="00C45D5B" w:rsidRPr="006401D1" w:rsidRDefault="00C45D5B" w:rsidP="00CF774B">
            <w:pPr>
              <w:jc w:val="center"/>
              <w:rPr>
                <w:rFonts w:cs="Times New Roman"/>
                <w:sz w:val="18"/>
                <w:szCs w:val="18"/>
              </w:rPr>
            </w:pPr>
            <w:r w:rsidRPr="006401D1">
              <w:rPr>
                <w:sz w:val="18"/>
                <w:szCs w:val="18"/>
              </w:rPr>
              <w:t>level</w:t>
            </w:r>
          </w:p>
        </w:tc>
        <w:tc>
          <w:tcPr>
            <w:tcW w:w="795" w:type="dxa"/>
            <w:gridSpan w:val="3"/>
            <w:tcBorders>
              <w:top w:val="nil"/>
              <w:left w:val="nil"/>
              <w:bottom w:val="single" w:sz="4" w:space="0" w:color="auto"/>
              <w:right w:val="nil"/>
            </w:tcBorders>
            <w:shd w:val="clear" w:color="auto" w:fill="auto"/>
            <w:hideMark/>
          </w:tcPr>
          <w:p w14:paraId="7B47B617" w14:textId="77777777" w:rsidR="00C45D5B" w:rsidRPr="006401D1" w:rsidRDefault="00C45D5B" w:rsidP="00CF774B">
            <w:pPr>
              <w:jc w:val="center"/>
              <w:rPr>
                <w:rFonts w:cs="Times New Roman"/>
                <w:sz w:val="18"/>
                <w:szCs w:val="18"/>
              </w:rPr>
            </w:pPr>
            <w:r w:rsidRPr="006401D1">
              <w:rPr>
                <w:sz w:val="18"/>
                <w:szCs w:val="18"/>
              </w:rPr>
              <w:t>% HDP</w:t>
            </w:r>
          </w:p>
        </w:tc>
        <w:tc>
          <w:tcPr>
            <w:tcW w:w="872" w:type="dxa"/>
            <w:gridSpan w:val="2"/>
            <w:tcBorders>
              <w:top w:val="nil"/>
              <w:left w:val="nil"/>
              <w:bottom w:val="single" w:sz="4" w:space="0" w:color="auto"/>
              <w:right w:val="nil"/>
            </w:tcBorders>
            <w:shd w:val="clear" w:color="auto" w:fill="auto"/>
            <w:hideMark/>
          </w:tcPr>
          <w:p w14:paraId="09219B0D" w14:textId="77777777" w:rsidR="00C45D5B" w:rsidRPr="006401D1" w:rsidRDefault="00C45D5B" w:rsidP="00CF774B">
            <w:pPr>
              <w:jc w:val="center"/>
              <w:rPr>
                <w:rFonts w:cs="Times New Roman"/>
                <w:sz w:val="18"/>
                <w:szCs w:val="18"/>
              </w:rPr>
            </w:pPr>
            <w:r w:rsidRPr="006401D1">
              <w:rPr>
                <w:sz w:val="18"/>
                <w:szCs w:val="18"/>
              </w:rPr>
              <w:t>% HDP</w:t>
            </w:r>
          </w:p>
        </w:tc>
        <w:tc>
          <w:tcPr>
            <w:tcW w:w="728" w:type="dxa"/>
            <w:gridSpan w:val="3"/>
            <w:tcBorders>
              <w:top w:val="nil"/>
              <w:left w:val="nil"/>
              <w:bottom w:val="single" w:sz="4" w:space="0" w:color="auto"/>
              <w:right w:val="nil"/>
            </w:tcBorders>
            <w:shd w:val="clear" w:color="auto" w:fill="auto"/>
            <w:hideMark/>
          </w:tcPr>
          <w:p w14:paraId="6945FD97" w14:textId="77777777" w:rsidR="00C45D5B" w:rsidRPr="006401D1" w:rsidRDefault="00C45D5B" w:rsidP="00CF774B">
            <w:pPr>
              <w:jc w:val="center"/>
              <w:rPr>
                <w:rFonts w:cs="Times New Roman"/>
                <w:sz w:val="18"/>
                <w:szCs w:val="18"/>
              </w:rPr>
            </w:pPr>
            <w:r w:rsidRPr="006401D1">
              <w:rPr>
                <w:sz w:val="18"/>
                <w:szCs w:val="18"/>
              </w:rPr>
              <w:t>% HDP</w:t>
            </w:r>
          </w:p>
        </w:tc>
        <w:tc>
          <w:tcPr>
            <w:tcW w:w="703" w:type="dxa"/>
            <w:gridSpan w:val="2"/>
            <w:tcBorders>
              <w:top w:val="nil"/>
              <w:left w:val="nil"/>
              <w:bottom w:val="single" w:sz="4" w:space="0" w:color="auto"/>
              <w:right w:val="nil"/>
            </w:tcBorders>
            <w:shd w:val="clear" w:color="auto" w:fill="auto"/>
            <w:hideMark/>
          </w:tcPr>
          <w:p w14:paraId="3D1E68B7" w14:textId="77777777" w:rsidR="00C45D5B" w:rsidRPr="006401D1" w:rsidRDefault="00C45D5B" w:rsidP="00CF774B">
            <w:pPr>
              <w:jc w:val="center"/>
              <w:rPr>
                <w:rFonts w:cs="Times New Roman"/>
                <w:sz w:val="18"/>
                <w:szCs w:val="18"/>
              </w:rPr>
            </w:pPr>
            <w:r w:rsidRPr="006401D1">
              <w:rPr>
                <w:sz w:val="18"/>
                <w:szCs w:val="18"/>
              </w:rPr>
              <w:t>% HDP</w:t>
            </w:r>
          </w:p>
        </w:tc>
        <w:tc>
          <w:tcPr>
            <w:tcW w:w="589" w:type="dxa"/>
            <w:tcBorders>
              <w:top w:val="nil"/>
              <w:left w:val="nil"/>
              <w:bottom w:val="single" w:sz="4" w:space="0" w:color="auto"/>
              <w:right w:val="nil"/>
            </w:tcBorders>
            <w:shd w:val="clear" w:color="auto" w:fill="auto"/>
            <w:hideMark/>
          </w:tcPr>
          <w:p w14:paraId="52A40CAC" w14:textId="77777777" w:rsidR="00C45D5B" w:rsidRPr="006401D1" w:rsidRDefault="00C45D5B" w:rsidP="00CF774B">
            <w:pPr>
              <w:jc w:val="center"/>
              <w:rPr>
                <w:rFonts w:cs="Times New Roman"/>
                <w:sz w:val="18"/>
                <w:szCs w:val="18"/>
              </w:rPr>
            </w:pPr>
            <w:r w:rsidRPr="006401D1">
              <w:rPr>
                <w:sz w:val="18"/>
                <w:szCs w:val="18"/>
              </w:rPr>
              <w:t>% HDP</w:t>
            </w:r>
          </w:p>
        </w:tc>
      </w:tr>
      <w:tr w:rsidR="00C45D5B" w:rsidRPr="006401D1" w14:paraId="7B98AED0" w14:textId="77777777" w:rsidTr="00CF774B">
        <w:trPr>
          <w:gridAfter w:val="3"/>
          <w:wAfter w:w="524" w:type="dxa"/>
          <w:trHeight w:val="279"/>
        </w:trPr>
        <w:tc>
          <w:tcPr>
            <w:tcW w:w="9005" w:type="dxa"/>
            <w:gridSpan w:val="18"/>
            <w:tcBorders>
              <w:top w:val="single" w:sz="4" w:space="0" w:color="auto"/>
              <w:left w:val="nil"/>
              <w:bottom w:val="single" w:sz="6" w:space="0" w:color="auto"/>
              <w:right w:val="nil"/>
            </w:tcBorders>
            <w:shd w:val="clear" w:color="auto" w:fill="auto"/>
            <w:vAlign w:val="center"/>
            <w:hideMark/>
          </w:tcPr>
          <w:p w14:paraId="26573BAA" w14:textId="77777777" w:rsidR="00C45D5B" w:rsidRPr="006401D1" w:rsidRDefault="00C45D5B" w:rsidP="00CF774B">
            <w:pPr>
              <w:jc w:val="center"/>
              <w:rPr>
                <w:rFonts w:cs="Times New Roman"/>
                <w:b/>
                <w:bCs/>
                <w:sz w:val="18"/>
                <w:szCs w:val="18"/>
              </w:rPr>
            </w:pPr>
            <w:r w:rsidRPr="006401D1">
              <w:rPr>
                <w:rFonts w:cs="Times New Roman"/>
                <w:b/>
                <w:bCs/>
                <w:sz w:val="18"/>
                <w:szCs w:val="18"/>
              </w:rPr>
              <w:t>Čisté pôžičky (B.9) podsektorov verejnej správy</w:t>
            </w:r>
          </w:p>
        </w:tc>
      </w:tr>
      <w:tr w:rsidR="00C45D5B" w:rsidRPr="006401D1" w14:paraId="254E231D" w14:textId="77777777" w:rsidTr="00CF774B">
        <w:trPr>
          <w:gridAfter w:val="3"/>
          <w:wAfter w:w="524" w:type="dxa"/>
          <w:trHeight w:val="279"/>
        </w:trPr>
        <w:tc>
          <w:tcPr>
            <w:tcW w:w="3540" w:type="dxa"/>
            <w:gridSpan w:val="3"/>
            <w:tcBorders>
              <w:top w:val="single" w:sz="6" w:space="0" w:color="auto"/>
              <w:left w:val="nil"/>
              <w:bottom w:val="nil"/>
              <w:right w:val="nil"/>
            </w:tcBorders>
            <w:shd w:val="clear" w:color="auto" w:fill="auto"/>
            <w:vAlign w:val="center"/>
            <w:hideMark/>
          </w:tcPr>
          <w:p w14:paraId="2B775B66" w14:textId="77777777" w:rsidR="00C45D5B" w:rsidRPr="006401D1" w:rsidRDefault="00C45D5B" w:rsidP="00CF774B">
            <w:pPr>
              <w:rPr>
                <w:rFonts w:cs="Times New Roman"/>
                <w:sz w:val="18"/>
                <w:szCs w:val="18"/>
              </w:rPr>
            </w:pPr>
            <w:r w:rsidRPr="006401D1">
              <w:rPr>
                <w:rFonts w:cs="Times New Roman"/>
                <w:sz w:val="18"/>
                <w:szCs w:val="18"/>
              </w:rPr>
              <w:t>1. Verejná správa</w:t>
            </w:r>
          </w:p>
        </w:tc>
        <w:tc>
          <w:tcPr>
            <w:tcW w:w="933" w:type="dxa"/>
            <w:gridSpan w:val="2"/>
            <w:tcBorders>
              <w:top w:val="single" w:sz="6" w:space="0" w:color="auto"/>
              <w:left w:val="nil"/>
              <w:bottom w:val="nil"/>
              <w:right w:val="nil"/>
            </w:tcBorders>
            <w:shd w:val="clear" w:color="auto" w:fill="auto"/>
            <w:vAlign w:val="center"/>
            <w:hideMark/>
          </w:tcPr>
          <w:p w14:paraId="1CFA1905" w14:textId="77777777" w:rsidR="00C45D5B" w:rsidRPr="006401D1" w:rsidRDefault="00C45D5B" w:rsidP="00CF774B">
            <w:pPr>
              <w:jc w:val="center"/>
              <w:rPr>
                <w:rFonts w:cs="Times New Roman"/>
                <w:sz w:val="18"/>
                <w:szCs w:val="18"/>
              </w:rPr>
            </w:pPr>
            <w:r w:rsidRPr="006401D1">
              <w:rPr>
                <w:rFonts w:cs="Times New Roman"/>
                <w:sz w:val="18"/>
                <w:szCs w:val="18"/>
              </w:rPr>
              <w:t>S.13</w:t>
            </w:r>
          </w:p>
        </w:tc>
        <w:tc>
          <w:tcPr>
            <w:tcW w:w="845" w:type="dxa"/>
            <w:gridSpan w:val="2"/>
            <w:tcBorders>
              <w:top w:val="nil"/>
              <w:left w:val="nil"/>
              <w:bottom w:val="nil"/>
              <w:right w:val="nil"/>
            </w:tcBorders>
            <w:shd w:val="clear" w:color="auto" w:fill="auto"/>
          </w:tcPr>
          <w:p w14:paraId="419E9ACD" w14:textId="77777777" w:rsidR="00C45D5B" w:rsidRPr="006401D1" w:rsidRDefault="00C45D5B" w:rsidP="00CF774B">
            <w:pPr>
              <w:jc w:val="center"/>
              <w:rPr>
                <w:rFonts w:cs="Times New Roman"/>
                <w:sz w:val="18"/>
                <w:szCs w:val="18"/>
              </w:rPr>
            </w:pPr>
            <w:r w:rsidRPr="006401D1">
              <w:rPr>
                <w:sz w:val="18"/>
                <w:szCs w:val="18"/>
              </w:rPr>
              <w:t>-5 973</w:t>
            </w:r>
          </w:p>
        </w:tc>
        <w:tc>
          <w:tcPr>
            <w:tcW w:w="795" w:type="dxa"/>
            <w:gridSpan w:val="3"/>
            <w:tcBorders>
              <w:top w:val="nil"/>
              <w:left w:val="nil"/>
              <w:bottom w:val="nil"/>
              <w:right w:val="nil"/>
            </w:tcBorders>
            <w:shd w:val="clear" w:color="auto" w:fill="auto"/>
          </w:tcPr>
          <w:p w14:paraId="7CA576F9" w14:textId="77777777" w:rsidR="00C45D5B" w:rsidRPr="006401D1" w:rsidRDefault="00C45D5B" w:rsidP="00CF774B">
            <w:pPr>
              <w:jc w:val="center"/>
              <w:rPr>
                <w:rFonts w:cs="Times New Roman"/>
                <w:sz w:val="18"/>
                <w:szCs w:val="18"/>
              </w:rPr>
            </w:pPr>
            <w:r w:rsidRPr="006401D1">
              <w:rPr>
                <w:sz w:val="18"/>
                <w:szCs w:val="18"/>
              </w:rPr>
              <w:t>-6,2</w:t>
            </w:r>
          </w:p>
        </w:tc>
        <w:tc>
          <w:tcPr>
            <w:tcW w:w="872" w:type="dxa"/>
            <w:gridSpan w:val="2"/>
            <w:tcBorders>
              <w:top w:val="nil"/>
              <w:left w:val="nil"/>
              <w:bottom w:val="nil"/>
              <w:right w:val="nil"/>
            </w:tcBorders>
            <w:shd w:val="clear" w:color="auto" w:fill="auto"/>
          </w:tcPr>
          <w:p w14:paraId="72D219C0" w14:textId="77777777" w:rsidR="00C45D5B" w:rsidRPr="006401D1" w:rsidRDefault="00C45D5B" w:rsidP="00CF774B">
            <w:pPr>
              <w:jc w:val="center"/>
              <w:rPr>
                <w:rFonts w:cs="Times New Roman"/>
                <w:sz w:val="18"/>
                <w:szCs w:val="18"/>
              </w:rPr>
            </w:pPr>
            <w:r w:rsidRPr="006401D1">
              <w:rPr>
                <w:sz w:val="18"/>
                <w:szCs w:val="18"/>
              </w:rPr>
              <w:t>-5,1</w:t>
            </w:r>
          </w:p>
        </w:tc>
        <w:tc>
          <w:tcPr>
            <w:tcW w:w="728" w:type="dxa"/>
            <w:gridSpan w:val="3"/>
            <w:tcBorders>
              <w:top w:val="nil"/>
              <w:left w:val="nil"/>
              <w:bottom w:val="nil"/>
              <w:right w:val="nil"/>
            </w:tcBorders>
            <w:shd w:val="clear" w:color="auto" w:fill="auto"/>
          </w:tcPr>
          <w:p w14:paraId="0132DF27" w14:textId="77777777" w:rsidR="00C45D5B" w:rsidRPr="006401D1" w:rsidRDefault="00C45D5B" w:rsidP="00CF774B">
            <w:pPr>
              <w:jc w:val="center"/>
              <w:rPr>
                <w:rFonts w:cs="Times New Roman"/>
                <w:sz w:val="18"/>
                <w:szCs w:val="18"/>
              </w:rPr>
            </w:pPr>
            <w:r w:rsidRPr="006401D1">
              <w:rPr>
                <w:sz w:val="18"/>
                <w:szCs w:val="18"/>
              </w:rPr>
              <w:t>-2,4</w:t>
            </w:r>
          </w:p>
        </w:tc>
        <w:tc>
          <w:tcPr>
            <w:tcW w:w="703" w:type="dxa"/>
            <w:gridSpan w:val="2"/>
            <w:tcBorders>
              <w:top w:val="nil"/>
              <w:left w:val="nil"/>
              <w:bottom w:val="nil"/>
              <w:right w:val="nil"/>
            </w:tcBorders>
            <w:shd w:val="clear" w:color="auto" w:fill="auto"/>
          </w:tcPr>
          <w:p w14:paraId="17A78D26" w14:textId="77777777" w:rsidR="00C45D5B" w:rsidRPr="006401D1" w:rsidRDefault="00C45D5B" w:rsidP="00CF774B">
            <w:pPr>
              <w:jc w:val="center"/>
              <w:rPr>
                <w:rFonts w:cs="Times New Roman"/>
                <w:sz w:val="18"/>
                <w:szCs w:val="18"/>
              </w:rPr>
            </w:pPr>
            <w:r w:rsidRPr="006401D1">
              <w:rPr>
                <w:sz w:val="18"/>
                <w:szCs w:val="18"/>
              </w:rPr>
              <w:t>-2,3</w:t>
            </w:r>
          </w:p>
        </w:tc>
        <w:tc>
          <w:tcPr>
            <w:tcW w:w="589" w:type="dxa"/>
            <w:tcBorders>
              <w:top w:val="nil"/>
              <w:left w:val="nil"/>
              <w:bottom w:val="nil"/>
              <w:right w:val="nil"/>
            </w:tcBorders>
            <w:shd w:val="clear" w:color="auto" w:fill="auto"/>
          </w:tcPr>
          <w:p w14:paraId="11DEA434" w14:textId="77777777" w:rsidR="00C45D5B" w:rsidRPr="006401D1" w:rsidRDefault="00C45D5B" w:rsidP="00CF774B">
            <w:pPr>
              <w:jc w:val="center"/>
              <w:rPr>
                <w:rFonts w:cs="Times New Roman"/>
                <w:sz w:val="18"/>
                <w:szCs w:val="18"/>
              </w:rPr>
            </w:pPr>
            <w:r w:rsidRPr="006401D1">
              <w:rPr>
                <w:sz w:val="18"/>
                <w:szCs w:val="18"/>
              </w:rPr>
              <w:t>-2,0</w:t>
            </w:r>
          </w:p>
        </w:tc>
      </w:tr>
      <w:tr w:rsidR="00C45D5B" w:rsidRPr="006401D1" w14:paraId="0E10F935"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41A5E4EB" w14:textId="77777777" w:rsidR="00C45D5B" w:rsidRPr="006401D1" w:rsidRDefault="00C45D5B" w:rsidP="00CF774B">
            <w:pPr>
              <w:rPr>
                <w:rFonts w:cs="Times New Roman"/>
                <w:sz w:val="18"/>
                <w:szCs w:val="18"/>
              </w:rPr>
            </w:pPr>
            <w:r w:rsidRPr="006401D1">
              <w:rPr>
                <w:rFonts w:cs="Times New Roman"/>
                <w:sz w:val="18"/>
                <w:szCs w:val="18"/>
              </w:rPr>
              <w:t>2. Ústredná štátna správa</w:t>
            </w:r>
          </w:p>
        </w:tc>
        <w:tc>
          <w:tcPr>
            <w:tcW w:w="933" w:type="dxa"/>
            <w:gridSpan w:val="2"/>
            <w:tcBorders>
              <w:top w:val="nil"/>
              <w:left w:val="nil"/>
              <w:bottom w:val="nil"/>
              <w:right w:val="nil"/>
            </w:tcBorders>
            <w:shd w:val="clear" w:color="auto" w:fill="auto"/>
            <w:hideMark/>
          </w:tcPr>
          <w:p w14:paraId="144BD13F" w14:textId="77777777" w:rsidR="00C45D5B" w:rsidRPr="006401D1" w:rsidRDefault="00C45D5B" w:rsidP="00CF774B">
            <w:pPr>
              <w:jc w:val="center"/>
              <w:rPr>
                <w:rFonts w:cs="Times New Roman"/>
                <w:sz w:val="18"/>
                <w:szCs w:val="18"/>
              </w:rPr>
            </w:pPr>
            <w:r w:rsidRPr="006401D1">
              <w:rPr>
                <w:rFonts w:cs="Times New Roman"/>
                <w:sz w:val="18"/>
                <w:szCs w:val="18"/>
              </w:rPr>
              <w:t>S.1311</w:t>
            </w:r>
          </w:p>
        </w:tc>
        <w:tc>
          <w:tcPr>
            <w:tcW w:w="845" w:type="dxa"/>
            <w:gridSpan w:val="2"/>
            <w:tcBorders>
              <w:top w:val="nil"/>
              <w:left w:val="nil"/>
              <w:bottom w:val="nil"/>
              <w:right w:val="nil"/>
            </w:tcBorders>
            <w:shd w:val="clear" w:color="auto" w:fill="auto"/>
          </w:tcPr>
          <w:p w14:paraId="3BA70CCB" w14:textId="77777777" w:rsidR="00C45D5B" w:rsidRPr="006401D1" w:rsidRDefault="00C45D5B" w:rsidP="00CF774B">
            <w:pPr>
              <w:jc w:val="center"/>
              <w:rPr>
                <w:rFonts w:cs="Times New Roman"/>
                <w:sz w:val="18"/>
                <w:szCs w:val="18"/>
              </w:rPr>
            </w:pPr>
            <w:r w:rsidRPr="006401D1">
              <w:rPr>
                <w:sz w:val="18"/>
                <w:szCs w:val="18"/>
              </w:rPr>
              <w:t>-6 219</w:t>
            </w:r>
          </w:p>
        </w:tc>
        <w:tc>
          <w:tcPr>
            <w:tcW w:w="795" w:type="dxa"/>
            <w:gridSpan w:val="3"/>
            <w:tcBorders>
              <w:top w:val="nil"/>
              <w:left w:val="nil"/>
              <w:bottom w:val="nil"/>
              <w:right w:val="nil"/>
            </w:tcBorders>
            <w:shd w:val="clear" w:color="auto" w:fill="auto"/>
          </w:tcPr>
          <w:p w14:paraId="12A29659" w14:textId="77777777" w:rsidR="00C45D5B" w:rsidRPr="006401D1" w:rsidRDefault="00C45D5B" w:rsidP="00CF774B">
            <w:pPr>
              <w:jc w:val="center"/>
              <w:rPr>
                <w:rFonts w:cs="Times New Roman"/>
                <w:sz w:val="18"/>
                <w:szCs w:val="18"/>
              </w:rPr>
            </w:pPr>
            <w:r w:rsidRPr="006401D1">
              <w:rPr>
                <w:sz w:val="18"/>
                <w:szCs w:val="18"/>
              </w:rPr>
              <w:t>-6,4</w:t>
            </w:r>
          </w:p>
        </w:tc>
        <w:tc>
          <w:tcPr>
            <w:tcW w:w="872" w:type="dxa"/>
            <w:gridSpan w:val="2"/>
            <w:tcBorders>
              <w:top w:val="nil"/>
              <w:left w:val="nil"/>
              <w:bottom w:val="nil"/>
              <w:right w:val="nil"/>
            </w:tcBorders>
            <w:shd w:val="clear" w:color="auto" w:fill="auto"/>
          </w:tcPr>
          <w:p w14:paraId="026E9C91" w14:textId="77777777" w:rsidR="00C45D5B" w:rsidRPr="006401D1" w:rsidRDefault="00C45D5B" w:rsidP="00CF774B">
            <w:pPr>
              <w:jc w:val="center"/>
              <w:rPr>
                <w:rFonts w:cs="Times New Roman"/>
                <w:sz w:val="18"/>
                <w:szCs w:val="18"/>
              </w:rPr>
            </w:pPr>
            <w:r w:rsidRPr="006401D1">
              <w:rPr>
                <w:sz w:val="18"/>
                <w:szCs w:val="18"/>
              </w:rPr>
              <w:t>-5,0</w:t>
            </w:r>
          </w:p>
        </w:tc>
        <w:tc>
          <w:tcPr>
            <w:tcW w:w="728" w:type="dxa"/>
            <w:gridSpan w:val="3"/>
            <w:tcBorders>
              <w:top w:val="nil"/>
              <w:left w:val="nil"/>
              <w:bottom w:val="nil"/>
              <w:right w:val="nil"/>
            </w:tcBorders>
            <w:shd w:val="clear" w:color="auto" w:fill="auto"/>
          </w:tcPr>
          <w:p w14:paraId="68791E0C" w14:textId="77777777" w:rsidR="00C45D5B" w:rsidRPr="006401D1" w:rsidRDefault="00C45D5B" w:rsidP="00CF774B">
            <w:pPr>
              <w:jc w:val="center"/>
              <w:rPr>
                <w:rFonts w:cs="Times New Roman"/>
                <w:sz w:val="18"/>
                <w:szCs w:val="18"/>
              </w:rPr>
            </w:pPr>
            <w:r w:rsidRPr="006401D1">
              <w:rPr>
                <w:sz w:val="18"/>
                <w:szCs w:val="18"/>
              </w:rPr>
              <w:t>-2,6</w:t>
            </w:r>
          </w:p>
        </w:tc>
        <w:tc>
          <w:tcPr>
            <w:tcW w:w="703" w:type="dxa"/>
            <w:gridSpan w:val="2"/>
            <w:tcBorders>
              <w:top w:val="nil"/>
              <w:left w:val="nil"/>
              <w:bottom w:val="nil"/>
              <w:right w:val="nil"/>
            </w:tcBorders>
            <w:shd w:val="clear" w:color="auto" w:fill="auto"/>
          </w:tcPr>
          <w:p w14:paraId="0982951F" w14:textId="77777777" w:rsidR="00C45D5B" w:rsidRPr="006401D1" w:rsidRDefault="00C45D5B" w:rsidP="00CF774B">
            <w:pPr>
              <w:jc w:val="center"/>
              <w:rPr>
                <w:rFonts w:cs="Times New Roman"/>
                <w:sz w:val="18"/>
                <w:szCs w:val="18"/>
              </w:rPr>
            </w:pPr>
            <w:r w:rsidRPr="006401D1">
              <w:rPr>
                <w:sz w:val="18"/>
                <w:szCs w:val="18"/>
              </w:rPr>
              <w:t>-2,5</w:t>
            </w:r>
          </w:p>
        </w:tc>
        <w:tc>
          <w:tcPr>
            <w:tcW w:w="589" w:type="dxa"/>
            <w:tcBorders>
              <w:top w:val="nil"/>
              <w:left w:val="nil"/>
              <w:bottom w:val="nil"/>
              <w:right w:val="nil"/>
            </w:tcBorders>
            <w:shd w:val="clear" w:color="auto" w:fill="auto"/>
          </w:tcPr>
          <w:p w14:paraId="719F79CF" w14:textId="77777777" w:rsidR="00C45D5B" w:rsidRPr="006401D1" w:rsidRDefault="00C45D5B" w:rsidP="00CF774B">
            <w:pPr>
              <w:jc w:val="center"/>
              <w:rPr>
                <w:rFonts w:cs="Times New Roman"/>
                <w:sz w:val="18"/>
                <w:szCs w:val="18"/>
              </w:rPr>
            </w:pPr>
            <w:r w:rsidRPr="006401D1">
              <w:rPr>
                <w:sz w:val="18"/>
                <w:szCs w:val="18"/>
              </w:rPr>
              <w:t>-2,3</w:t>
            </w:r>
          </w:p>
        </w:tc>
      </w:tr>
      <w:tr w:rsidR="00C45D5B" w:rsidRPr="006401D1" w14:paraId="7A62DF28"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3C35153C" w14:textId="77777777" w:rsidR="00C45D5B" w:rsidRPr="006401D1" w:rsidRDefault="00C45D5B" w:rsidP="00CF774B">
            <w:pPr>
              <w:rPr>
                <w:rFonts w:cs="Times New Roman"/>
                <w:sz w:val="18"/>
                <w:szCs w:val="18"/>
              </w:rPr>
            </w:pPr>
            <w:r w:rsidRPr="006401D1">
              <w:rPr>
                <w:rFonts w:cs="Times New Roman"/>
                <w:sz w:val="18"/>
                <w:szCs w:val="18"/>
              </w:rPr>
              <w:t>3. Regionálna štátna správa</w:t>
            </w:r>
          </w:p>
        </w:tc>
        <w:tc>
          <w:tcPr>
            <w:tcW w:w="933" w:type="dxa"/>
            <w:gridSpan w:val="2"/>
            <w:tcBorders>
              <w:top w:val="nil"/>
              <w:left w:val="nil"/>
              <w:bottom w:val="nil"/>
              <w:right w:val="nil"/>
            </w:tcBorders>
            <w:shd w:val="clear" w:color="auto" w:fill="auto"/>
            <w:hideMark/>
          </w:tcPr>
          <w:p w14:paraId="5B7C745D" w14:textId="77777777" w:rsidR="00C45D5B" w:rsidRPr="006401D1" w:rsidRDefault="00C45D5B" w:rsidP="00CF774B">
            <w:pPr>
              <w:jc w:val="center"/>
              <w:rPr>
                <w:rFonts w:cs="Times New Roman"/>
                <w:sz w:val="18"/>
                <w:szCs w:val="18"/>
              </w:rPr>
            </w:pPr>
            <w:r w:rsidRPr="006401D1">
              <w:rPr>
                <w:rFonts w:cs="Times New Roman"/>
                <w:sz w:val="18"/>
                <w:szCs w:val="18"/>
              </w:rPr>
              <w:t>S.1312</w:t>
            </w:r>
          </w:p>
        </w:tc>
        <w:tc>
          <w:tcPr>
            <w:tcW w:w="845" w:type="dxa"/>
            <w:gridSpan w:val="2"/>
            <w:tcBorders>
              <w:top w:val="nil"/>
              <w:left w:val="nil"/>
              <w:bottom w:val="nil"/>
              <w:right w:val="nil"/>
            </w:tcBorders>
            <w:shd w:val="clear" w:color="auto" w:fill="auto"/>
          </w:tcPr>
          <w:p w14:paraId="5088FE42" w14:textId="77777777" w:rsidR="00C45D5B" w:rsidRPr="006401D1" w:rsidRDefault="00C45D5B" w:rsidP="00CF774B">
            <w:pPr>
              <w:jc w:val="center"/>
              <w:rPr>
                <w:rFonts w:cs="Times New Roman"/>
                <w:sz w:val="18"/>
                <w:szCs w:val="18"/>
              </w:rPr>
            </w:pPr>
          </w:p>
        </w:tc>
        <w:tc>
          <w:tcPr>
            <w:tcW w:w="795" w:type="dxa"/>
            <w:gridSpan w:val="3"/>
            <w:tcBorders>
              <w:top w:val="nil"/>
              <w:left w:val="nil"/>
              <w:bottom w:val="nil"/>
              <w:right w:val="nil"/>
            </w:tcBorders>
            <w:shd w:val="clear" w:color="auto" w:fill="auto"/>
          </w:tcPr>
          <w:p w14:paraId="328F0816" w14:textId="77777777" w:rsidR="00C45D5B" w:rsidRPr="006401D1" w:rsidRDefault="00C45D5B" w:rsidP="00CF774B">
            <w:pPr>
              <w:jc w:val="center"/>
              <w:rPr>
                <w:rFonts w:cs="Times New Roman"/>
                <w:sz w:val="18"/>
                <w:szCs w:val="18"/>
              </w:rPr>
            </w:pPr>
          </w:p>
        </w:tc>
        <w:tc>
          <w:tcPr>
            <w:tcW w:w="872" w:type="dxa"/>
            <w:gridSpan w:val="2"/>
            <w:tcBorders>
              <w:top w:val="nil"/>
              <w:left w:val="nil"/>
              <w:bottom w:val="nil"/>
              <w:right w:val="nil"/>
            </w:tcBorders>
            <w:shd w:val="clear" w:color="auto" w:fill="auto"/>
          </w:tcPr>
          <w:p w14:paraId="3436133A" w14:textId="77777777" w:rsidR="00C45D5B" w:rsidRPr="006401D1" w:rsidRDefault="00C45D5B" w:rsidP="00CF774B">
            <w:pPr>
              <w:jc w:val="center"/>
              <w:rPr>
                <w:rFonts w:cs="Times New Roman"/>
                <w:sz w:val="18"/>
                <w:szCs w:val="18"/>
              </w:rPr>
            </w:pPr>
          </w:p>
        </w:tc>
        <w:tc>
          <w:tcPr>
            <w:tcW w:w="728" w:type="dxa"/>
            <w:gridSpan w:val="3"/>
            <w:tcBorders>
              <w:top w:val="nil"/>
              <w:left w:val="nil"/>
              <w:bottom w:val="nil"/>
              <w:right w:val="nil"/>
            </w:tcBorders>
            <w:shd w:val="clear" w:color="auto" w:fill="auto"/>
          </w:tcPr>
          <w:p w14:paraId="198C6CBE" w14:textId="77777777" w:rsidR="00C45D5B" w:rsidRPr="006401D1" w:rsidRDefault="00C45D5B" w:rsidP="00CF774B">
            <w:pPr>
              <w:jc w:val="center"/>
              <w:rPr>
                <w:rFonts w:cs="Times New Roman"/>
                <w:sz w:val="18"/>
                <w:szCs w:val="18"/>
              </w:rPr>
            </w:pPr>
          </w:p>
        </w:tc>
        <w:tc>
          <w:tcPr>
            <w:tcW w:w="703" w:type="dxa"/>
            <w:gridSpan w:val="2"/>
            <w:tcBorders>
              <w:top w:val="nil"/>
              <w:left w:val="nil"/>
              <w:bottom w:val="nil"/>
              <w:right w:val="nil"/>
            </w:tcBorders>
            <w:shd w:val="clear" w:color="auto" w:fill="auto"/>
          </w:tcPr>
          <w:p w14:paraId="3B34723E" w14:textId="77777777" w:rsidR="00C45D5B" w:rsidRPr="006401D1" w:rsidRDefault="00C45D5B" w:rsidP="00CF774B">
            <w:pPr>
              <w:jc w:val="center"/>
              <w:rPr>
                <w:rFonts w:cs="Times New Roman"/>
                <w:sz w:val="18"/>
                <w:szCs w:val="18"/>
              </w:rPr>
            </w:pPr>
          </w:p>
        </w:tc>
        <w:tc>
          <w:tcPr>
            <w:tcW w:w="589" w:type="dxa"/>
            <w:tcBorders>
              <w:top w:val="nil"/>
              <w:left w:val="nil"/>
              <w:bottom w:val="nil"/>
              <w:right w:val="nil"/>
            </w:tcBorders>
            <w:shd w:val="clear" w:color="auto" w:fill="auto"/>
          </w:tcPr>
          <w:p w14:paraId="660F775C" w14:textId="77777777" w:rsidR="00C45D5B" w:rsidRPr="006401D1" w:rsidRDefault="00C45D5B" w:rsidP="00CF774B">
            <w:pPr>
              <w:jc w:val="center"/>
              <w:rPr>
                <w:rFonts w:cs="Times New Roman"/>
                <w:sz w:val="18"/>
                <w:szCs w:val="18"/>
              </w:rPr>
            </w:pPr>
          </w:p>
        </w:tc>
      </w:tr>
      <w:tr w:rsidR="00C45D5B" w:rsidRPr="006401D1" w14:paraId="198B6A50"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3E180076" w14:textId="77777777" w:rsidR="00C45D5B" w:rsidRPr="006401D1" w:rsidRDefault="00C45D5B" w:rsidP="00CF774B">
            <w:pPr>
              <w:rPr>
                <w:rFonts w:cs="Times New Roman"/>
                <w:sz w:val="18"/>
                <w:szCs w:val="18"/>
              </w:rPr>
            </w:pPr>
            <w:r w:rsidRPr="006401D1">
              <w:rPr>
                <w:rFonts w:cs="Times New Roman"/>
                <w:sz w:val="18"/>
                <w:szCs w:val="18"/>
              </w:rPr>
              <w:t>4. Miestna štátna správa</w:t>
            </w:r>
          </w:p>
        </w:tc>
        <w:tc>
          <w:tcPr>
            <w:tcW w:w="933" w:type="dxa"/>
            <w:gridSpan w:val="2"/>
            <w:tcBorders>
              <w:top w:val="nil"/>
              <w:left w:val="nil"/>
              <w:bottom w:val="nil"/>
              <w:right w:val="nil"/>
            </w:tcBorders>
            <w:shd w:val="clear" w:color="auto" w:fill="auto"/>
            <w:hideMark/>
          </w:tcPr>
          <w:p w14:paraId="39D67D51" w14:textId="77777777" w:rsidR="00C45D5B" w:rsidRPr="006401D1" w:rsidRDefault="00C45D5B" w:rsidP="00CF774B">
            <w:pPr>
              <w:jc w:val="center"/>
              <w:rPr>
                <w:rFonts w:cs="Times New Roman"/>
                <w:sz w:val="18"/>
                <w:szCs w:val="18"/>
              </w:rPr>
            </w:pPr>
            <w:r w:rsidRPr="006401D1">
              <w:rPr>
                <w:rFonts w:cs="Times New Roman"/>
                <w:sz w:val="18"/>
                <w:szCs w:val="18"/>
              </w:rPr>
              <w:t>S.1313</w:t>
            </w:r>
          </w:p>
        </w:tc>
        <w:tc>
          <w:tcPr>
            <w:tcW w:w="845" w:type="dxa"/>
            <w:gridSpan w:val="2"/>
            <w:tcBorders>
              <w:top w:val="nil"/>
              <w:left w:val="nil"/>
              <w:bottom w:val="nil"/>
              <w:right w:val="nil"/>
            </w:tcBorders>
            <w:shd w:val="clear" w:color="auto" w:fill="auto"/>
          </w:tcPr>
          <w:p w14:paraId="74926D15" w14:textId="77777777" w:rsidR="00C45D5B" w:rsidRPr="006401D1" w:rsidRDefault="00C45D5B" w:rsidP="00CF774B">
            <w:pPr>
              <w:jc w:val="center"/>
              <w:rPr>
                <w:rFonts w:cs="Times New Roman"/>
                <w:sz w:val="18"/>
                <w:szCs w:val="18"/>
              </w:rPr>
            </w:pPr>
            <w:r w:rsidRPr="006401D1">
              <w:rPr>
                <w:sz w:val="18"/>
                <w:szCs w:val="18"/>
              </w:rPr>
              <w:t>-24</w:t>
            </w:r>
          </w:p>
        </w:tc>
        <w:tc>
          <w:tcPr>
            <w:tcW w:w="795" w:type="dxa"/>
            <w:gridSpan w:val="3"/>
            <w:tcBorders>
              <w:top w:val="nil"/>
              <w:left w:val="nil"/>
              <w:bottom w:val="nil"/>
              <w:right w:val="nil"/>
            </w:tcBorders>
            <w:shd w:val="clear" w:color="auto" w:fill="auto"/>
          </w:tcPr>
          <w:p w14:paraId="306FA49C" w14:textId="77777777" w:rsidR="00C45D5B" w:rsidRPr="006401D1" w:rsidRDefault="00C45D5B" w:rsidP="00CF774B">
            <w:pPr>
              <w:jc w:val="center"/>
              <w:rPr>
                <w:rFonts w:cs="Times New Roman"/>
                <w:sz w:val="18"/>
                <w:szCs w:val="18"/>
              </w:rPr>
            </w:pPr>
            <w:r w:rsidRPr="006401D1">
              <w:rPr>
                <w:sz w:val="18"/>
                <w:szCs w:val="18"/>
              </w:rPr>
              <w:t>0,0</w:t>
            </w:r>
          </w:p>
        </w:tc>
        <w:tc>
          <w:tcPr>
            <w:tcW w:w="872" w:type="dxa"/>
            <w:gridSpan w:val="2"/>
            <w:tcBorders>
              <w:top w:val="nil"/>
              <w:left w:val="nil"/>
              <w:bottom w:val="nil"/>
              <w:right w:val="nil"/>
            </w:tcBorders>
            <w:shd w:val="clear" w:color="auto" w:fill="auto"/>
          </w:tcPr>
          <w:p w14:paraId="460AB064" w14:textId="77777777" w:rsidR="00C45D5B" w:rsidRPr="006401D1" w:rsidRDefault="00C45D5B" w:rsidP="00CF774B">
            <w:pPr>
              <w:jc w:val="center"/>
              <w:rPr>
                <w:rFonts w:cs="Times New Roman"/>
                <w:sz w:val="18"/>
                <w:szCs w:val="18"/>
              </w:rPr>
            </w:pPr>
            <w:r w:rsidRPr="006401D1">
              <w:rPr>
                <w:sz w:val="18"/>
                <w:szCs w:val="18"/>
              </w:rPr>
              <w:t>-0,1</w:t>
            </w:r>
          </w:p>
        </w:tc>
        <w:tc>
          <w:tcPr>
            <w:tcW w:w="728" w:type="dxa"/>
            <w:gridSpan w:val="3"/>
            <w:tcBorders>
              <w:top w:val="nil"/>
              <w:left w:val="nil"/>
              <w:bottom w:val="nil"/>
              <w:right w:val="nil"/>
            </w:tcBorders>
            <w:shd w:val="clear" w:color="auto" w:fill="auto"/>
          </w:tcPr>
          <w:p w14:paraId="231DBD41" w14:textId="77777777" w:rsidR="00C45D5B" w:rsidRPr="006401D1" w:rsidRDefault="00C45D5B" w:rsidP="00CF774B">
            <w:pPr>
              <w:jc w:val="center"/>
              <w:rPr>
                <w:rFonts w:cs="Times New Roman"/>
                <w:sz w:val="18"/>
                <w:szCs w:val="18"/>
              </w:rPr>
            </w:pPr>
            <w:r w:rsidRPr="006401D1">
              <w:rPr>
                <w:sz w:val="18"/>
                <w:szCs w:val="18"/>
              </w:rPr>
              <w:t>0,2</w:t>
            </w:r>
          </w:p>
        </w:tc>
        <w:tc>
          <w:tcPr>
            <w:tcW w:w="703" w:type="dxa"/>
            <w:gridSpan w:val="2"/>
            <w:tcBorders>
              <w:top w:val="nil"/>
              <w:left w:val="nil"/>
              <w:bottom w:val="nil"/>
              <w:right w:val="nil"/>
            </w:tcBorders>
            <w:shd w:val="clear" w:color="auto" w:fill="auto"/>
          </w:tcPr>
          <w:p w14:paraId="46F220AF" w14:textId="77777777" w:rsidR="00C45D5B" w:rsidRPr="006401D1" w:rsidRDefault="00C45D5B" w:rsidP="00CF774B">
            <w:pPr>
              <w:jc w:val="center"/>
              <w:rPr>
                <w:rFonts w:cs="Times New Roman"/>
                <w:sz w:val="18"/>
                <w:szCs w:val="18"/>
              </w:rPr>
            </w:pPr>
            <w:r w:rsidRPr="006401D1">
              <w:rPr>
                <w:sz w:val="18"/>
                <w:szCs w:val="18"/>
              </w:rPr>
              <w:t>0,1</w:t>
            </w:r>
          </w:p>
        </w:tc>
        <w:tc>
          <w:tcPr>
            <w:tcW w:w="589" w:type="dxa"/>
            <w:tcBorders>
              <w:top w:val="nil"/>
              <w:left w:val="nil"/>
              <w:bottom w:val="nil"/>
              <w:right w:val="nil"/>
            </w:tcBorders>
            <w:shd w:val="clear" w:color="auto" w:fill="auto"/>
          </w:tcPr>
          <w:p w14:paraId="51DCAAA5" w14:textId="77777777" w:rsidR="00C45D5B" w:rsidRPr="006401D1" w:rsidRDefault="00C45D5B" w:rsidP="00CF774B">
            <w:pPr>
              <w:jc w:val="center"/>
              <w:rPr>
                <w:rFonts w:cs="Times New Roman"/>
                <w:sz w:val="18"/>
                <w:szCs w:val="18"/>
              </w:rPr>
            </w:pPr>
            <w:r w:rsidRPr="006401D1">
              <w:rPr>
                <w:sz w:val="18"/>
                <w:szCs w:val="18"/>
              </w:rPr>
              <w:t>0,2</w:t>
            </w:r>
          </w:p>
        </w:tc>
      </w:tr>
      <w:tr w:rsidR="00C45D5B" w:rsidRPr="006401D1" w14:paraId="50EED198" w14:textId="77777777" w:rsidTr="00CF774B">
        <w:trPr>
          <w:gridAfter w:val="3"/>
          <w:wAfter w:w="524" w:type="dxa"/>
          <w:trHeight w:val="279"/>
        </w:trPr>
        <w:tc>
          <w:tcPr>
            <w:tcW w:w="3540" w:type="dxa"/>
            <w:gridSpan w:val="3"/>
            <w:tcBorders>
              <w:top w:val="nil"/>
              <w:left w:val="nil"/>
              <w:bottom w:val="single" w:sz="4" w:space="0" w:color="auto"/>
              <w:right w:val="nil"/>
            </w:tcBorders>
            <w:shd w:val="clear" w:color="auto" w:fill="auto"/>
            <w:vAlign w:val="center"/>
            <w:hideMark/>
          </w:tcPr>
          <w:p w14:paraId="147A47E5" w14:textId="77777777" w:rsidR="00C45D5B" w:rsidRPr="006401D1" w:rsidRDefault="00C45D5B" w:rsidP="00CF774B">
            <w:pPr>
              <w:rPr>
                <w:rFonts w:cs="Times New Roman"/>
                <w:sz w:val="18"/>
                <w:szCs w:val="18"/>
              </w:rPr>
            </w:pPr>
            <w:r w:rsidRPr="006401D1">
              <w:rPr>
                <w:rFonts w:cs="Times New Roman"/>
                <w:sz w:val="18"/>
                <w:szCs w:val="18"/>
              </w:rPr>
              <w:t>5. Fondy sociálneho zabezpečenia</w:t>
            </w:r>
          </w:p>
        </w:tc>
        <w:tc>
          <w:tcPr>
            <w:tcW w:w="933" w:type="dxa"/>
            <w:gridSpan w:val="2"/>
            <w:tcBorders>
              <w:top w:val="nil"/>
              <w:left w:val="nil"/>
              <w:bottom w:val="single" w:sz="4" w:space="0" w:color="auto"/>
              <w:right w:val="nil"/>
            </w:tcBorders>
            <w:shd w:val="clear" w:color="auto" w:fill="auto"/>
            <w:hideMark/>
          </w:tcPr>
          <w:p w14:paraId="3224E4F3" w14:textId="77777777" w:rsidR="00C45D5B" w:rsidRPr="006401D1" w:rsidRDefault="00C45D5B" w:rsidP="00CF774B">
            <w:pPr>
              <w:jc w:val="center"/>
              <w:rPr>
                <w:rFonts w:cs="Times New Roman"/>
                <w:sz w:val="18"/>
                <w:szCs w:val="18"/>
              </w:rPr>
            </w:pPr>
            <w:r w:rsidRPr="006401D1">
              <w:rPr>
                <w:rFonts w:cs="Times New Roman"/>
                <w:sz w:val="18"/>
                <w:szCs w:val="18"/>
              </w:rPr>
              <w:t>S.1314</w:t>
            </w:r>
          </w:p>
        </w:tc>
        <w:tc>
          <w:tcPr>
            <w:tcW w:w="845" w:type="dxa"/>
            <w:gridSpan w:val="2"/>
            <w:tcBorders>
              <w:top w:val="nil"/>
              <w:left w:val="nil"/>
              <w:bottom w:val="nil"/>
              <w:right w:val="nil"/>
            </w:tcBorders>
            <w:shd w:val="clear" w:color="auto" w:fill="auto"/>
          </w:tcPr>
          <w:p w14:paraId="4C700010" w14:textId="77777777" w:rsidR="00C45D5B" w:rsidRPr="006401D1" w:rsidRDefault="00C45D5B" w:rsidP="00CF774B">
            <w:pPr>
              <w:jc w:val="center"/>
              <w:rPr>
                <w:rFonts w:cs="Times New Roman"/>
                <w:sz w:val="18"/>
                <w:szCs w:val="18"/>
              </w:rPr>
            </w:pPr>
            <w:r w:rsidRPr="006401D1">
              <w:rPr>
                <w:sz w:val="18"/>
                <w:szCs w:val="18"/>
              </w:rPr>
              <w:t>270</w:t>
            </w:r>
          </w:p>
        </w:tc>
        <w:tc>
          <w:tcPr>
            <w:tcW w:w="795" w:type="dxa"/>
            <w:gridSpan w:val="3"/>
            <w:tcBorders>
              <w:top w:val="nil"/>
              <w:left w:val="nil"/>
              <w:bottom w:val="nil"/>
              <w:right w:val="nil"/>
            </w:tcBorders>
            <w:shd w:val="clear" w:color="auto" w:fill="auto"/>
          </w:tcPr>
          <w:p w14:paraId="7FBF5215" w14:textId="77777777" w:rsidR="00C45D5B" w:rsidRPr="006401D1" w:rsidRDefault="00C45D5B" w:rsidP="00CF774B">
            <w:pPr>
              <w:jc w:val="center"/>
              <w:rPr>
                <w:rFonts w:cs="Times New Roman"/>
                <w:sz w:val="18"/>
                <w:szCs w:val="18"/>
              </w:rPr>
            </w:pPr>
            <w:r w:rsidRPr="006401D1">
              <w:rPr>
                <w:sz w:val="18"/>
                <w:szCs w:val="18"/>
              </w:rPr>
              <w:t>0,3</w:t>
            </w:r>
          </w:p>
        </w:tc>
        <w:tc>
          <w:tcPr>
            <w:tcW w:w="872" w:type="dxa"/>
            <w:gridSpan w:val="2"/>
            <w:tcBorders>
              <w:top w:val="nil"/>
              <w:left w:val="nil"/>
              <w:bottom w:val="nil"/>
              <w:right w:val="nil"/>
            </w:tcBorders>
            <w:shd w:val="clear" w:color="auto" w:fill="auto"/>
          </w:tcPr>
          <w:p w14:paraId="69BCDB86" w14:textId="77777777" w:rsidR="00C45D5B" w:rsidRPr="006401D1" w:rsidRDefault="00C45D5B" w:rsidP="00CF774B">
            <w:pPr>
              <w:jc w:val="center"/>
              <w:rPr>
                <w:rFonts w:cs="Times New Roman"/>
                <w:sz w:val="18"/>
                <w:szCs w:val="18"/>
              </w:rPr>
            </w:pPr>
            <w:r w:rsidRPr="006401D1">
              <w:rPr>
                <w:sz w:val="18"/>
                <w:szCs w:val="18"/>
              </w:rPr>
              <w:t>0,0</w:t>
            </w:r>
          </w:p>
        </w:tc>
        <w:tc>
          <w:tcPr>
            <w:tcW w:w="728" w:type="dxa"/>
            <w:gridSpan w:val="3"/>
            <w:tcBorders>
              <w:top w:val="nil"/>
              <w:left w:val="nil"/>
              <w:bottom w:val="nil"/>
              <w:right w:val="nil"/>
            </w:tcBorders>
            <w:shd w:val="clear" w:color="auto" w:fill="auto"/>
          </w:tcPr>
          <w:p w14:paraId="0D3E931A" w14:textId="77777777" w:rsidR="00C45D5B" w:rsidRPr="006401D1" w:rsidRDefault="00C45D5B" w:rsidP="00CF774B">
            <w:pPr>
              <w:jc w:val="center"/>
              <w:rPr>
                <w:rFonts w:cs="Times New Roman"/>
                <w:sz w:val="18"/>
                <w:szCs w:val="18"/>
              </w:rPr>
            </w:pPr>
            <w:r w:rsidRPr="006401D1">
              <w:rPr>
                <w:sz w:val="18"/>
                <w:szCs w:val="18"/>
              </w:rPr>
              <w:t>0,1</w:t>
            </w:r>
          </w:p>
        </w:tc>
        <w:tc>
          <w:tcPr>
            <w:tcW w:w="703" w:type="dxa"/>
            <w:gridSpan w:val="2"/>
            <w:tcBorders>
              <w:top w:val="nil"/>
              <w:left w:val="nil"/>
              <w:bottom w:val="nil"/>
              <w:right w:val="nil"/>
            </w:tcBorders>
            <w:shd w:val="clear" w:color="auto" w:fill="auto"/>
          </w:tcPr>
          <w:p w14:paraId="349E03BE" w14:textId="77777777" w:rsidR="00C45D5B" w:rsidRPr="006401D1" w:rsidRDefault="00C45D5B" w:rsidP="00CF774B">
            <w:pPr>
              <w:jc w:val="center"/>
              <w:rPr>
                <w:rFonts w:cs="Times New Roman"/>
                <w:sz w:val="18"/>
                <w:szCs w:val="18"/>
              </w:rPr>
            </w:pPr>
            <w:r w:rsidRPr="006401D1">
              <w:rPr>
                <w:sz w:val="18"/>
                <w:szCs w:val="18"/>
              </w:rPr>
              <w:t>0,1</w:t>
            </w:r>
          </w:p>
        </w:tc>
        <w:tc>
          <w:tcPr>
            <w:tcW w:w="589" w:type="dxa"/>
            <w:tcBorders>
              <w:top w:val="nil"/>
              <w:left w:val="nil"/>
              <w:bottom w:val="single" w:sz="4" w:space="0" w:color="auto"/>
              <w:right w:val="nil"/>
            </w:tcBorders>
            <w:shd w:val="clear" w:color="auto" w:fill="auto"/>
          </w:tcPr>
          <w:p w14:paraId="2D026BD0" w14:textId="77777777" w:rsidR="00C45D5B" w:rsidRPr="006401D1" w:rsidRDefault="00C45D5B" w:rsidP="00CF774B">
            <w:pPr>
              <w:jc w:val="center"/>
              <w:rPr>
                <w:rFonts w:cs="Times New Roman"/>
                <w:sz w:val="18"/>
                <w:szCs w:val="18"/>
              </w:rPr>
            </w:pPr>
            <w:r w:rsidRPr="006401D1">
              <w:rPr>
                <w:sz w:val="18"/>
                <w:szCs w:val="18"/>
              </w:rPr>
              <w:t>0,1</w:t>
            </w:r>
          </w:p>
        </w:tc>
      </w:tr>
      <w:tr w:rsidR="00C45D5B" w:rsidRPr="006401D1" w14:paraId="0CD51A31" w14:textId="77777777" w:rsidTr="00CF774B">
        <w:trPr>
          <w:gridAfter w:val="3"/>
          <w:wAfter w:w="524" w:type="dxa"/>
          <w:trHeight w:val="279"/>
        </w:trPr>
        <w:tc>
          <w:tcPr>
            <w:tcW w:w="9005" w:type="dxa"/>
            <w:gridSpan w:val="18"/>
            <w:tcBorders>
              <w:top w:val="single" w:sz="4" w:space="0" w:color="auto"/>
              <w:left w:val="nil"/>
              <w:bottom w:val="single" w:sz="6" w:space="0" w:color="auto"/>
              <w:right w:val="nil"/>
            </w:tcBorders>
            <w:shd w:val="clear" w:color="auto" w:fill="auto"/>
            <w:vAlign w:val="center"/>
            <w:hideMark/>
          </w:tcPr>
          <w:p w14:paraId="74EB958C" w14:textId="77777777" w:rsidR="00C45D5B" w:rsidRPr="006401D1" w:rsidRDefault="00C45D5B" w:rsidP="00CF774B">
            <w:pPr>
              <w:jc w:val="center"/>
              <w:rPr>
                <w:rFonts w:cs="Times New Roman"/>
                <w:b/>
                <w:bCs/>
                <w:sz w:val="18"/>
                <w:szCs w:val="18"/>
              </w:rPr>
            </w:pPr>
            <w:r w:rsidRPr="006401D1">
              <w:rPr>
                <w:rFonts w:cs="Times New Roman"/>
                <w:b/>
                <w:bCs/>
                <w:sz w:val="18"/>
                <w:szCs w:val="18"/>
              </w:rPr>
              <w:t>Verejná správa (S13)</w:t>
            </w:r>
          </w:p>
        </w:tc>
      </w:tr>
      <w:tr w:rsidR="00C45D5B" w:rsidRPr="006401D1" w14:paraId="7BCC3C11" w14:textId="77777777" w:rsidTr="00CF774B">
        <w:trPr>
          <w:gridAfter w:val="3"/>
          <w:wAfter w:w="524" w:type="dxa"/>
          <w:trHeight w:val="279"/>
        </w:trPr>
        <w:tc>
          <w:tcPr>
            <w:tcW w:w="3540" w:type="dxa"/>
            <w:gridSpan w:val="3"/>
            <w:tcBorders>
              <w:top w:val="single" w:sz="6" w:space="0" w:color="auto"/>
              <w:left w:val="nil"/>
              <w:bottom w:val="nil"/>
              <w:right w:val="nil"/>
            </w:tcBorders>
            <w:shd w:val="clear" w:color="auto" w:fill="auto"/>
            <w:vAlign w:val="center"/>
            <w:hideMark/>
          </w:tcPr>
          <w:p w14:paraId="665A86DE" w14:textId="77777777" w:rsidR="00C45D5B" w:rsidRPr="006401D1" w:rsidRDefault="00C45D5B" w:rsidP="00CF774B">
            <w:pPr>
              <w:rPr>
                <w:rFonts w:cs="Times New Roman"/>
                <w:sz w:val="18"/>
                <w:szCs w:val="18"/>
              </w:rPr>
            </w:pPr>
            <w:r w:rsidRPr="006401D1">
              <w:rPr>
                <w:rFonts w:cs="Times New Roman"/>
                <w:sz w:val="18"/>
                <w:szCs w:val="18"/>
              </w:rPr>
              <w:t>6. Celkové príjmy</w:t>
            </w:r>
          </w:p>
        </w:tc>
        <w:tc>
          <w:tcPr>
            <w:tcW w:w="933" w:type="dxa"/>
            <w:gridSpan w:val="2"/>
            <w:tcBorders>
              <w:top w:val="single" w:sz="6" w:space="0" w:color="auto"/>
              <w:left w:val="nil"/>
              <w:bottom w:val="nil"/>
              <w:right w:val="nil"/>
            </w:tcBorders>
            <w:shd w:val="clear" w:color="auto" w:fill="auto"/>
            <w:vAlign w:val="center"/>
            <w:hideMark/>
          </w:tcPr>
          <w:p w14:paraId="39F4CDE9" w14:textId="77777777" w:rsidR="00C45D5B" w:rsidRPr="006401D1" w:rsidRDefault="00C45D5B" w:rsidP="00CF774B">
            <w:pPr>
              <w:jc w:val="center"/>
              <w:rPr>
                <w:rFonts w:cs="Times New Roman"/>
                <w:sz w:val="18"/>
                <w:szCs w:val="18"/>
              </w:rPr>
            </w:pPr>
            <w:r w:rsidRPr="006401D1">
              <w:rPr>
                <w:rFonts w:cs="Times New Roman"/>
                <w:sz w:val="18"/>
                <w:szCs w:val="18"/>
              </w:rPr>
              <w:t>TR</w:t>
            </w:r>
          </w:p>
        </w:tc>
        <w:tc>
          <w:tcPr>
            <w:tcW w:w="845" w:type="dxa"/>
            <w:gridSpan w:val="2"/>
            <w:tcBorders>
              <w:top w:val="nil"/>
              <w:left w:val="nil"/>
              <w:bottom w:val="nil"/>
              <w:right w:val="nil"/>
            </w:tcBorders>
            <w:shd w:val="clear" w:color="auto" w:fill="auto"/>
          </w:tcPr>
          <w:p w14:paraId="7F8C469F" w14:textId="77777777" w:rsidR="00C45D5B" w:rsidRPr="006401D1" w:rsidRDefault="00C45D5B" w:rsidP="00CF774B">
            <w:pPr>
              <w:jc w:val="center"/>
              <w:rPr>
                <w:rFonts w:cs="Times New Roman"/>
                <w:sz w:val="18"/>
                <w:szCs w:val="18"/>
              </w:rPr>
            </w:pPr>
            <w:r w:rsidRPr="006401D1">
              <w:rPr>
                <w:sz w:val="18"/>
                <w:szCs w:val="18"/>
              </w:rPr>
              <w:t>39 512</w:t>
            </w:r>
          </w:p>
        </w:tc>
        <w:tc>
          <w:tcPr>
            <w:tcW w:w="795" w:type="dxa"/>
            <w:gridSpan w:val="3"/>
            <w:tcBorders>
              <w:top w:val="nil"/>
              <w:left w:val="nil"/>
              <w:bottom w:val="nil"/>
              <w:right w:val="nil"/>
            </w:tcBorders>
            <w:shd w:val="clear" w:color="auto" w:fill="auto"/>
          </w:tcPr>
          <w:p w14:paraId="437E3FF1" w14:textId="77777777" w:rsidR="00C45D5B" w:rsidRPr="006401D1" w:rsidRDefault="00C45D5B" w:rsidP="00CF774B">
            <w:pPr>
              <w:jc w:val="center"/>
              <w:rPr>
                <w:rFonts w:cs="Times New Roman"/>
                <w:sz w:val="18"/>
                <w:szCs w:val="18"/>
              </w:rPr>
            </w:pPr>
            <w:r w:rsidRPr="006401D1">
              <w:rPr>
                <w:sz w:val="18"/>
                <w:szCs w:val="18"/>
              </w:rPr>
              <w:t>40,7</w:t>
            </w:r>
          </w:p>
        </w:tc>
        <w:tc>
          <w:tcPr>
            <w:tcW w:w="872" w:type="dxa"/>
            <w:gridSpan w:val="2"/>
            <w:tcBorders>
              <w:top w:val="nil"/>
              <w:left w:val="nil"/>
              <w:bottom w:val="nil"/>
              <w:right w:val="nil"/>
            </w:tcBorders>
            <w:shd w:val="clear" w:color="auto" w:fill="auto"/>
          </w:tcPr>
          <w:p w14:paraId="5D67D5E5" w14:textId="77777777" w:rsidR="00C45D5B" w:rsidRPr="006401D1" w:rsidRDefault="00C45D5B" w:rsidP="00CF774B">
            <w:pPr>
              <w:jc w:val="center"/>
              <w:rPr>
                <w:rFonts w:cs="Times New Roman"/>
                <w:sz w:val="18"/>
                <w:szCs w:val="18"/>
              </w:rPr>
            </w:pPr>
            <w:r w:rsidRPr="006401D1">
              <w:rPr>
                <w:sz w:val="18"/>
                <w:szCs w:val="18"/>
              </w:rPr>
              <w:t>40,2</w:t>
            </w:r>
          </w:p>
        </w:tc>
        <w:tc>
          <w:tcPr>
            <w:tcW w:w="728" w:type="dxa"/>
            <w:gridSpan w:val="3"/>
            <w:tcBorders>
              <w:top w:val="nil"/>
              <w:left w:val="nil"/>
              <w:bottom w:val="nil"/>
              <w:right w:val="nil"/>
            </w:tcBorders>
            <w:shd w:val="clear" w:color="auto" w:fill="auto"/>
          </w:tcPr>
          <w:p w14:paraId="738587C2" w14:textId="77777777" w:rsidR="00C45D5B" w:rsidRPr="006401D1" w:rsidRDefault="00C45D5B" w:rsidP="00CF774B">
            <w:pPr>
              <w:jc w:val="center"/>
              <w:rPr>
                <w:rFonts w:cs="Times New Roman"/>
                <w:sz w:val="18"/>
                <w:szCs w:val="18"/>
              </w:rPr>
            </w:pPr>
            <w:r w:rsidRPr="006401D1">
              <w:rPr>
                <w:sz w:val="18"/>
                <w:szCs w:val="18"/>
              </w:rPr>
              <w:t>41,2</w:t>
            </w:r>
          </w:p>
        </w:tc>
        <w:tc>
          <w:tcPr>
            <w:tcW w:w="703" w:type="dxa"/>
            <w:gridSpan w:val="2"/>
            <w:tcBorders>
              <w:top w:val="nil"/>
              <w:left w:val="nil"/>
              <w:bottom w:val="nil"/>
              <w:right w:val="nil"/>
            </w:tcBorders>
            <w:shd w:val="clear" w:color="auto" w:fill="auto"/>
          </w:tcPr>
          <w:p w14:paraId="64B607F3" w14:textId="77777777" w:rsidR="00C45D5B" w:rsidRPr="006401D1" w:rsidRDefault="00C45D5B" w:rsidP="00CF774B">
            <w:pPr>
              <w:jc w:val="center"/>
              <w:rPr>
                <w:rFonts w:cs="Times New Roman"/>
                <w:sz w:val="18"/>
                <w:szCs w:val="18"/>
              </w:rPr>
            </w:pPr>
            <w:r w:rsidRPr="006401D1">
              <w:rPr>
                <w:sz w:val="18"/>
                <w:szCs w:val="18"/>
              </w:rPr>
              <w:t>39,1</w:t>
            </w:r>
          </w:p>
        </w:tc>
        <w:tc>
          <w:tcPr>
            <w:tcW w:w="589" w:type="dxa"/>
            <w:tcBorders>
              <w:top w:val="nil"/>
              <w:left w:val="nil"/>
              <w:bottom w:val="nil"/>
              <w:right w:val="nil"/>
            </w:tcBorders>
            <w:shd w:val="clear" w:color="auto" w:fill="auto"/>
          </w:tcPr>
          <w:p w14:paraId="365BD377" w14:textId="77777777" w:rsidR="00C45D5B" w:rsidRPr="006401D1" w:rsidRDefault="00C45D5B" w:rsidP="00CF774B">
            <w:pPr>
              <w:jc w:val="center"/>
              <w:rPr>
                <w:rFonts w:cs="Times New Roman"/>
                <w:sz w:val="18"/>
                <w:szCs w:val="18"/>
              </w:rPr>
            </w:pPr>
            <w:r w:rsidRPr="006401D1">
              <w:rPr>
                <w:sz w:val="18"/>
                <w:szCs w:val="18"/>
              </w:rPr>
              <w:t>39,0</w:t>
            </w:r>
          </w:p>
        </w:tc>
      </w:tr>
      <w:tr w:rsidR="00C45D5B" w:rsidRPr="006401D1" w14:paraId="65797F1F"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65294F16" w14:textId="77777777" w:rsidR="00C45D5B" w:rsidRPr="006401D1" w:rsidRDefault="00C45D5B" w:rsidP="00CF774B">
            <w:pPr>
              <w:rPr>
                <w:rFonts w:cs="Times New Roman"/>
                <w:sz w:val="18"/>
                <w:szCs w:val="18"/>
              </w:rPr>
            </w:pPr>
            <w:r w:rsidRPr="006401D1">
              <w:rPr>
                <w:rFonts w:cs="Times New Roman"/>
                <w:sz w:val="18"/>
                <w:szCs w:val="18"/>
              </w:rPr>
              <w:t>7. Celkové výdavky</w:t>
            </w:r>
          </w:p>
        </w:tc>
        <w:tc>
          <w:tcPr>
            <w:tcW w:w="933" w:type="dxa"/>
            <w:gridSpan w:val="2"/>
            <w:tcBorders>
              <w:top w:val="nil"/>
              <w:left w:val="nil"/>
              <w:bottom w:val="nil"/>
              <w:right w:val="nil"/>
            </w:tcBorders>
            <w:shd w:val="clear" w:color="auto" w:fill="auto"/>
            <w:vAlign w:val="center"/>
            <w:hideMark/>
          </w:tcPr>
          <w:p w14:paraId="7CCBE305" w14:textId="77777777" w:rsidR="00C45D5B" w:rsidRPr="006401D1" w:rsidRDefault="00C45D5B" w:rsidP="00CF774B">
            <w:pPr>
              <w:jc w:val="center"/>
              <w:rPr>
                <w:rFonts w:cs="Times New Roman"/>
                <w:sz w:val="18"/>
                <w:szCs w:val="18"/>
              </w:rPr>
            </w:pPr>
            <w:r w:rsidRPr="006401D1">
              <w:rPr>
                <w:rFonts w:cs="Times New Roman"/>
                <w:sz w:val="18"/>
                <w:szCs w:val="18"/>
              </w:rPr>
              <w:t xml:space="preserve">TE </w:t>
            </w:r>
            <w:r w:rsidRPr="006401D1">
              <w:rPr>
                <w:rFonts w:cs="Times New Roman"/>
                <w:sz w:val="18"/>
                <w:szCs w:val="18"/>
                <w:vertAlign w:val="superscript"/>
              </w:rPr>
              <w:t>[1]</w:t>
            </w:r>
          </w:p>
        </w:tc>
        <w:tc>
          <w:tcPr>
            <w:tcW w:w="845" w:type="dxa"/>
            <w:gridSpan w:val="2"/>
            <w:tcBorders>
              <w:top w:val="nil"/>
              <w:left w:val="nil"/>
              <w:bottom w:val="nil"/>
              <w:right w:val="nil"/>
            </w:tcBorders>
            <w:shd w:val="clear" w:color="auto" w:fill="auto"/>
          </w:tcPr>
          <w:p w14:paraId="34D12377" w14:textId="77777777" w:rsidR="00C45D5B" w:rsidRPr="006401D1" w:rsidRDefault="00C45D5B" w:rsidP="00CF774B">
            <w:pPr>
              <w:jc w:val="center"/>
              <w:rPr>
                <w:rFonts w:cs="Times New Roman"/>
                <w:sz w:val="18"/>
                <w:szCs w:val="18"/>
              </w:rPr>
            </w:pPr>
            <w:r w:rsidRPr="006401D1">
              <w:rPr>
                <w:sz w:val="18"/>
                <w:szCs w:val="18"/>
              </w:rPr>
              <w:t>45 485</w:t>
            </w:r>
          </w:p>
        </w:tc>
        <w:tc>
          <w:tcPr>
            <w:tcW w:w="795" w:type="dxa"/>
            <w:gridSpan w:val="3"/>
            <w:tcBorders>
              <w:top w:val="nil"/>
              <w:left w:val="nil"/>
              <w:bottom w:val="nil"/>
              <w:right w:val="nil"/>
            </w:tcBorders>
            <w:shd w:val="clear" w:color="auto" w:fill="auto"/>
          </w:tcPr>
          <w:p w14:paraId="564A4E64" w14:textId="77777777" w:rsidR="00C45D5B" w:rsidRPr="006401D1" w:rsidRDefault="00C45D5B" w:rsidP="00CF774B">
            <w:pPr>
              <w:jc w:val="center"/>
              <w:rPr>
                <w:rFonts w:cs="Times New Roman"/>
                <w:sz w:val="18"/>
                <w:szCs w:val="18"/>
              </w:rPr>
            </w:pPr>
            <w:r w:rsidRPr="006401D1">
              <w:rPr>
                <w:sz w:val="18"/>
                <w:szCs w:val="18"/>
              </w:rPr>
              <w:t>46,8</w:t>
            </w:r>
          </w:p>
        </w:tc>
        <w:tc>
          <w:tcPr>
            <w:tcW w:w="872" w:type="dxa"/>
            <w:gridSpan w:val="2"/>
            <w:tcBorders>
              <w:top w:val="nil"/>
              <w:left w:val="nil"/>
              <w:bottom w:val="nil"/>
              <w:right w:val="nil"/>
            </w:tcBorders>
            <w:shd w:val="clear" w:color="auto" w:fill="auto"/>
          </w:tcPr>
          <w:p w14:paraId="7BAE3B13" w14:textId="77777777" w:rsidR="00C45D5B" w:rsidRPr="006401D1" w:rsidRDefault="00C45D5B" w:rsidP="00CF774B">
            <w:pPr>
              <w:jc w:val="center"/>
              <w:rPr>
                <w:rFonts w:cs="Times New Roman"/>
                <w:sz w:val="18"/>
                <w:szCs w:val="18"/>
              </w:rPr>
            </w:pPr>
            <w:r w:rsidRPr="006401D1">
              <w:rPr>
                <w:sz w:val="18"/>
                <w:szCs w:val="18"/>
              </w:rPr>
              <w:t>45,3</w:t>
            </w:r>
          </w:p>
        </w:tc>
        <w:tc>
          <w:tcPr>
            <w:tcW w:w="728" w:type="dxa"/>
            <w:gridSpan w:val="3"/>
            <w:tcBorders>
              <w:top w:val="nil"/>
              <w:left w:val="nil"/>
              <w:bottom w:val="nil"/>
              <w:right w:val="nil"/>
            </w:tcBorders>
            <w:shd w:val="clear" w:color="auto" w:fill="auto"/>
          </w:tcPr>
          <w:p w14:paraId="661D458E" w14:textId="77777777" w:rsidR="00C45D5B" w:rsidRPr="006401D1" w:rsidRDefault="00C45D5B" w:rsidP="00CF774B">
            <w:pPr>
              <w:jc w:val="center"/>
              <w:rPr>
                <w:rFonts w:cs="Times New Roman"/>
                <w:sz w:val="18"/>
                <w:szCs w:val="18"/>
              </w:rPr>
            </w:pPr>
            <w:r w:rsidRPr="006401D1">
              <w:rPr>
                <w:sz w:val="18"/>
                <w:szCs w:val="18"/>
              </w:rPr>
              <w:t>43,6</w:t>
            </w:r>
          </w:p>
        </w:tc>
        <w:tc>
          <w:tcPr>
            <w:tcW w:w="703" w:type="dxa"/>
            <w:gridSpan w:val="2"/>
            <w:tcBorders>
              <w:top w:val="nil"/>
              <w:left w:val="nil"/>
              <w:bottom w:val="nil"/>
              <w:right w:val="nil"/>
            </w:tcBorders>
            <w:shd w:val="clear" w:color="auto" w:fill="auto"/>
          </w:tcPr>
          <w:p w14:paraId="0C0249F5" w14:textId="77777777" w:rsidR="00C45D5B" w:rsidRPr="006401D1" w:rsidRDefault="00C45D5B" w:rsidP="00CF774B">
            <w:pPr>
              <w:jc w:val="center"/>
              <w:rPr>
                <w:rFonts w:cs="Times New Roman"/>
                <w:sz w:val="18"/>
                <w:szCs w:val="18"/>
              </w:rPr>
            </w:pPr>
            <w:r w:rsidRPr="006401D1">
              <w:rPr>
                <w:sz w:val="18"/>
                <w:szCs w:val="18"/>
              </w:rPr>
              <w:t>41,4</w:t>
            </w:r>
          </w:p>
        </w:tc>
        <w:tc>
          <w:tcPr>
            <w:tcW w:w="589" w:type="dxa"/>
            <w:tcBorders>
              <w:top w:val="nil"/>
              <w:left w:val="nil"/>
              <w:bottom w:val="nil"/>
              <w:right w:val="nil"/>
            </w:tcBorders>
            <w:shd w:val="clear" w:color="auto" w:fill="auto"/>
          </w:tcPr>
          <w:p w14:paraId="4EDBE8A9" w14:textId="77777777" w:rsidR="00C45D5B" w:rsidRPr="006401D1" w:rsidRDefault="00C45D5B" w:rsidP="00CF774B">
            <w:pPr>
              <w:jc w:val="center"/>
              <w:rPr>
                <w:rFonts w:cs="Times New Roman"/>
                <w:sz w:val="18"/>
                <w:szCs w:val="18"/>
              </w:rPr>
            </w:pPr>
            <w:r w:rsidRPr="006401D1">
              <w:rPr>
                <w:sz w:val="18"/>
                <w:szCs w:val="18"/>
              </w:rPr>
              <w:t>41,0</w:t>
            </w:r>
          </w:p>
        </w:tc>
      </w:tr>
      <w:tr w:rsidR="00C45D5B" w:rsidRPr="006401D1" w14:paraId="14932B8E"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010EBF67" w14:textId="77777777" w:rsidR="00C45D5B" w:rsidRPr="006401D1" w:rsidRDefault="00C45D5B" w:rsidP="00CF774B">
            <w:pPr>
              <w:rPr>
                <w:rFonts w:cs="Times New Roman"/>
                <w:sz w:val="18"/>
                <w:szCs w:val="18"/>
              </w:rPr>
            </w:pPr>
            <w:r w:rsidRPr="006401D1">
              <w:rPr>
                <w:rFonts w:cs="Times New Roman"/>
                <w:sz w:val="18"/>
                <w:szCs w:val="18"/>
              </w:rPr>
              <w:t>8. Čisté pôžičky poskytnuté / prijaté</w:t>
            </w:r>
          </w:p>
        </w:tc>
        <w:tc>
          <w:tcPr>
            <w:tcW w:w="933" w:type="dxa"/>
            <w:gridSpan w:val="2"/>
            <w:tcBorders>
              <w:top w:val="nil"/>
              <w:left w:val="nil"/>
              <w:bottom w:val="nil"/>
              <w:right w:val="nil"/>
            </w:tcBorders>
            <w:shd w:val="clear" w:color="auto" w:fill="auto"/>
            <w:vAlign w:val="center"/>
            <w:hideMark/>
          </w:tcPr>
          <w:p w14:paraId="2DD17E8D" w14:textId="77777777" w:rsidR="00C45D5B" w:rsidRPr="006401D1" w:rsidRDefault="00C45D5B" w:rsidP="00CF774B">
            <w:pPr>
              <w:jc w:val="center"/>
              <w:rPr>
                <w:rFonts w:cs="Times New Roman"/>
                <w:sz w:val="18"/>
                <w:szCs w:val="18"/>
              </w:rPr>
            </w:pPr>
            <w:r w:rsidRPr="006401D1">
              <w:rPr>
                <w:rFonts w:cs="Times New Roman"/>
                <w:sz w:val="18"/>
                <w:szCs w:val="18"/>
              </w:rPr>
              <w:t>B.9</w:t>
            </w:r>
          </w:p>
        </w:tc>
        <w:tc>
          <w:tcPr>
            <w:tcW w:w="845" w:type="dxa"/>
            <w:gridSpan w:val="2"/>
            <w:tcBorders>
              <w:top w:val="nil"/>
              <w:left w:val="nil"/>
              <w:bottom w:val="nil"/>
              <w:right w:val="nil"/>
            </w:tcBorders>
            <w:shd w:val="clear" w:color="auto" w:fill="auto"/>
          </w:tcPr>
          <w:p w14:paraId="58F0C08A" w14:textId="77777777" w:rsidR="00C45D5B" w:rsidRPr="006401D1" w:rsidRDefault="00C45D5B" w:rsidP="00CF774B">
            <w:pPr>
              <w:jc w:val="center"/>
              <w:rPr>
                <w:rFonts w:cs="Times New Roman"/>
                <w:sz w:val="18"/>
                <w:szCs w:val="18"/>
              </w:rPr>
            </w:pPr>
            <w:r w:rsidRPr="006401D1">
              <w:rPr>
                <w:sz w:val="18"/>
                <w:szCs w:val="18"/>
              </w:rPr>
              <w:t>-5 973</w:t>
            </w:r>
          </w:p>
        </w:tc>
        <w:tc>
          <w:tcPr>
            <w:tcW w:w="795" w:type="dxa"/>
            <w:gridSpan w:val="3"/>
            <w:tcBorders>
              <w:top w:val="nil"/>
              <w:left w:val="nil"/>
              <w:bottom w:val="nil"/>
              <w:right w:val="nil"/>
            </w:tcBorders>
            <w:shd w:val="clear" w:color="auto" w:fill="auto"/>
          </w:tcPr>
          <w:p w14:paraId="271740E5" w14:textId="77777777" w:rsidR="00C45D5B" w:rsidRPr="006401D1" w:rsidRDefault="00C45D5B" w:rsidP="00CF774B">
            <w:pPr>
              <w:jc w:val="center"/>
              <w:rPr>
                <w:rFonts w:cs="Times New Roman"/>
                <w:sz w:val="18"/>
                <w:szCs w:val="18"/>
              </w:rPr>
            </w:pPr>
            <w:r w:rsidRPr="006401D1">
              <w:rPr>
                <w:sz w:val="18"/>
                <w:szCs w:val="18"/>
              </w:rPr>
              <w:t>-6,2</w:t>
            </w:r>
          </w:p>
        </w:tc>
        <w:tc>
          <w:tcPr>
            <w:tcW w:w="872" w:type="dxa"/>
            <w:gridSpan w:val="2"/>
            <w:tcBorders>
              <w:top w:val="nil"/>
              <w:left w:val="nil"/>
              <w:bottom w:val="nil"/>
              <w:right w:val="nil"/>
            </w:tcBorders>
            <w:shd w:val="clear" w:color="auto" w:fill="auto"/>
          </w:tcPr>
          <w:p w14:paraId="42214963" w14:textId="77777777" w:rsidR="00C45D5B" w:rsidRPr="006401D1" w:rsidRDefault="00C45D5B" w:rsidP="00CF774B">
            <w:pPr>
              <w:jc w:val="center"/>
              <w:rPr>
                <w:rFonts w:cs="Times New Roman"/>
                <w:sz w:val="18"/>
                <w:szCs w:val="18"/>
              </w:rPr>
            </w:pPr>
            <w:r w:rsidRPr="006401D1">
              <w:rPr>
                <w:sz w:val="18"/>
                <w:szCs w:val="18"/>
              </w:rPr>
              <w:t>-5,1</w:t>
            </w:r>
          </w:p>
        </w:tc>
        <w:tc>
          <w:tcPr>
            <w:tcW w:w="728" w:type="dxa"/>
            <w:gridSpan w:val="3"/>
            <w:tcBorders>
              <w:top w:val="nil"/>
              <w:left w:val="nil"/>
              <w:bottom w:val="nil"/>
              <w:right w:val="nil"/>
            </w:tcBorders>
            <w:shd w:val="clear" w:color="auto" w:fill="auto"/>
          </w:tcPr>
          <w:p w14:paraId="12093DA6" w14:textId="77777777" w:rsidR="00C45D5B" w:rsidRPr="006401D1" w:rsidRDefault="00C45D5B" w:rsidP="00CF774B">
            <w:pPr>
              <w:jc w:val="center"/>
              <w:rPr>
                <w:rFonts w:cs="Times New Roman"/>
                <w:sz w:val="18"/>
                <w:szCs w:val="18"/>
              </w:rPr>
            </w:pPr>
            <w:r w:rsidRPr="006401D1">
              <w:rPr>
                <w:sz w:val="18"/>
                <w:szCs w:val="18"/>
              </w:rPr>
              <w:t>-2,4</w:t>
            </w:r>
          </w:p>
        </w:tc>
        <w:tc>
          <w:tcPr>
            <w:tcW w:w="703" w:type="dxa"/>
            <w:gridSpan w:val="2"/>
            <w:tcBorders>
              <w:top w:val="nil"/>
              <w:left w:val="nil"/>
              <w:bottom w:val="nil"/>
              <w:right w:val="nil"/>
            </w:tcBorders>
            <w:shd w:val="clear" w:color="auto" w:fill="auto"/>
          </w:tcPr>
          <w:p w14:paraId="078EC540" w14:textId="77777777" w:rsidR="00C45D5B" w:rsidRPr="006401D1" w:rsidRDefault="00C45D5B" w:rsidP="00CF774B">
            <w:pPr>
              <w:jc w:val="center"/>
              <w:rPr>
                <w:rFonts w:cs="Times New Roman"/>
                <w:sz w:val="18"/>
                <w:szCs w:val="18"/>
              </w:rPr>
            </w:pPr>
            <w:r w:rsidRPr="006401D1">
              <w:rPr>
                <w:sz w:val="18"/>
                <w:szCs w:val="18"/>
              </w:rPr>
              <w:t>-2,3</w:t>
            </w:r>
          </w:p>
        </w:tc>
        <w:tc>
          <w:tcPr>
            <w:tcW w:w="589" w:type="dxa"/>
            <w:tcBorders>
              <w:top w:val="nil"/>
              <w:left w:val="nil"/>
              <w:bottom w:val="nil"/>
              <w:right w:val="nil"/>
            </w:tcBorders>
            <w:shd w:val="clear" w:color="auto" w:fill="auto"/>
          </w:tcPr>
          <w:p w14:paraId="0B31E7B8" w14:textId="77777777" w:rsidR="00C45D5B" w:rsidRPr="006401D1" w:rsidRDefault="00C45D5B" w:rsidP="00CF774B">
            <w:pPr>
              <w:jc w:val="center"/>
              <w:rPr>
                <w:rFonts w:cs="Times New Roman"/>
                <w:sz w:val="18"/>
                <w:szCs w:val="18"/>
              </w:rPr>
            </w:pPr>
            <w:r w:rsidRPr="006401D1">
              <w:rPr>
                <w:sz w:val="18"/>
                <w:szCs w:val="18"/>
              </w:rPr>
              <w:t>-2,0</w:t>
            </w:r>
          </w:p>
        </w:tc>
      </w:tr>
      <w:tr w:rsidR="00C45D5B" w:rsidRPr="006401D1" w14:paraId="342F991C"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6CFA926B" w14:textId="77777777" w:rsidR="00C45D5B" w:rsidRPr="006401D1" w:rsidRDefault="00C45D5B" w:rsidP="00CF774B">
            <w:pPr>
              <w:rPr>
                <w:rFonts w:cs="Times New Roman"/>
                <w:sz w:val="18"/>
                <w:szCs w:val="18"/>
              </w:rPr>
            </w:pPr>
            <w:r w:rsidRPr="006401D1">
              <w:rPr>
                <w:rFonts w:cs="Times New Roman"/>
                <w:sz w:val="18"/>
                <w:szCs w:val="18"/>
              </w:rPr>
              <w:t>9. Úrokové náklady</w:t>
            </w:r>
          </w:p>
        </w:tc>
        <w:tc>
          <w:tcPr>
            <w:tcW w:w="933" w:type="dxa"/>
            <w:gridSpan w:val="2"/>
            <w:tcBorders>
              <w:top w:val="nil"/>
              <w:left w:val="nil"/>
              <w:bottom w:val="nil"/>
              <w:right w:val="nil"/>
            </w:tcBorders>
            <w:shd w:val="clear" w:color="auto" w:fill="auto"/>
            <w:vAlign w:val="center"/>
            <w:hideMark/>
          </w:tcPr>
          <w:p w14:paraId="63CFF6AC" w14:textId="77777777" w:rsidR="00C45D5B" w:rsidRPr="006401D1" w:rsidRDefault="00C45D5B" w:rsidP="00CF774B">
            <w:pPr>
              <w:jc w:val="center"/>
              <w:rPr>
                <w:rFonts w:cs="Times New Roman"/>
                <w:sz w:val="18"/>
                <w:szCs w:val="18"/>
              </w:rPr>
            </w:pPr>
            <w:r w:rsidRPr="006401D1">
              <w:rPr>
                <w:rFonts w:cs="Times New Roman"/>
                <w:sz w:val="18"/>
                <w:szCs w:val="18"/>
              </w:rPr>
              <w:t>D.41</w:t>
            </w:r>
          </w:p>
        </w:tc>
        <w:tc>
          <w:tcPr>
            <w:tcW w:w="845" w:type="dxa"/>
            <w:gridSpan w:val="2"/>
            <w:tcBorders>
              <w:top w:val="nil"/>
              <w:left w:val="nil"/>
              <w:bottom w:val="nil"/>
              <w:right w:val="nil"/>
            </w:tcBorders>
            <w:shd w:val="clear" w:color="auto" w:fill="auto"/>
          </w:tcPr>
          <w:p w14:paraId="3C372297" w14:textId="77777777" w:rsidR="00C45D5B" w:rsidRPr="006401D1" w:rsidRDefault="00C45D5B" w:rsidP="00CF774B">
            <w:pPr>
              <w:jc w:val="center"/>
              <w:rPr>
                <w:rFonts w:cs="Times New Roman"/>
                <w:sz w:val="18"/>
                <w:szCs w:val="18"/>
              </w:rPr>
            </w:pPr>
            <w:r w:rsidRPr="006401D1">
              <w:rPr>
                <w:sz w:val="18"/>
                <w:szCs w:val="18"/>
              </w:rPr>
              <w:t>1 083</w:t>
            </w:r>
          </w:p>
        </w:tc>
        <w:tc>
          <w:tcPr>
            <w:tcW w:w="795" w:type="dxa"/>
            <w:gridSpan w:val="3"/>
            <w:tcBorders>
              <w:top w:val="nil"/>
              <w:left w:val="nil"/>
              <w:bottom w:val="nil"/>
              <w:right w:val="nil"/>
            </w:tcBorders>
            <w:shd w:val="clear" w:color="auto" w:fill="auto"/>
          </w:tcPr>
          <w:p w14:paraId="2A36C93B" w14:textId="77777777" w:rsidR="00C45D5B" w:rsidRPr="006401D1" w:rsidRDefault="00C45D5B" w:rsidP="00CF774B">
            <w:pPr>
              <w:jc w:val="center"/>
              <w:rPr>
                <w:rFonts w:cs="Times New Roman"/>
                <w:sz w:val="18"/>
                <w:szCs w:val="18"/>
              </w:rPr>
            </w:pPr>
            <w:r w:rsidRPr="006401D1">
              <w:rPr>
                <w:sz w:val="18"/>
                <w:szCs w:val="18"/>
              </w:rPr>
              <w:t>1,2</w:t>
            </w:r>
          </w:p>
        </w:tc>
        <w:tc>
          <w:tcPr>
            <w:tcW w:w="872" w:type="dxa"/>
            <w:gridSpan w:val="2"/>
            <w:tcBorders>
              <w:top w:val="nil"/>
              <w:left w:val="nil"/>
              <w:bottom w:val="nil"/>
              <w:right w:val="nil"/>
            </w:tcBorders>
            <w:shd w:val="clear" w:color="auto" w:fill="auto"/>
          </w:tcPr>
          <w:p w14:paraId="12D2B620" w14:textId="77777777" w:rsidR="00C45D5B" w:rsidRPr="006401D1" w:rsidRDefault="00C45D5B" w:rsidP="00CF774B">
            <w:pPr>
              <w:jc w:val="center"/>
              <w:rPr>
                <w:rFonts w:cs="Times New Roman"/>
                <w:sz w:val="18"/>
                <w:szCs w:val="18"/>
              </w:rPr>
            </w:pPr>
            <w:r w:rsidRPr="006401D1">
              <w:rPr>
                <w:sz w:val="18"/>
                <w:szCs w:val="18"/>
              </w:rPr>
              <w:t>1,0</w:t>
            </w:r>
          </w:p>
        </w:tc>
        <w:tc>
          <w:tcPr>
            <w:tcW w:w="728" w:type="dxa"/>
            <w:gridSpan w:val="3"/>
            <w:tcBorders>
              <w:top w:val="nil"/>
              <w:left w:val="nil"/>
              <w:bottom w:val="nil"/>
              <w:right w:val="nil"/>
            </w:tcBorders>
            <w:shd w:val="clear" w:color="auto" w:fill="auto"/>
          </w:tcPr>
          <w:p w14:paraId="38A1AD5C" w14:textId="77777777" w:rsidR="00C45D5B" w:rsidRPr="006401D1" w:rsidRDefault="00C45D5B" w:rsidP="00CF774B">
            <w:pPr>
              <w:jc w:val="center"/>
              <w:rPr>
                <w:rFonts w:cs="Times New Roman"/>
                <w:sz w:val="18"/>
                <w:szCs w:val="18"/>
              </w:rPr>
            </w:pPr>
            <w:r w:rsidRPr="006401D1">
              <w:rPr>
                <w:sz w:val="18"/>
                <w:szCs w:val="18"/>
              </w:rPr>
              <w:t>0,9</w:t>
            </w:r>
          </w:p>
        </w:tc>
        <w:tc>
          <w:tcPr>
            <w:tcW w:w="703" w:type="dxa"/>
            <w:gridSpan w:val="2"/>
            <w:tcBorders>
              <w:top w:val="nil"/>
              <w:left w:val="nil"/>
              <w:bottom w:val="nil"/>
              <w:right w:val="nil"/>
            </w:tcBorders>
            <w:shd w:val="clear" w:color="auto" w:fill="auto"/>
          </w:tcPr>
          <w:p w14:paraId="2D84840E" w14:textId="77777777" w:rsidR="00C45D5B" w:rsidRPr="006401D1" w:rsidRDefault="00C45D5B" w:rsidP="00CF774B">
            <w:pPr>
              <w:jc w:val="center"/>
              <w:rPr>
                <w:rFonts w:cs="Times New Roman"/>
                <w:sz w:val="18"/>
                <w:szCs w:val="18"/>
              </w:rPr>
            </w:pPr>
            <w:r w:rsidRPr="006401D1">
              <w:rPr>
                <w:sz w:val="18"/>
                <w:szCs w:val="18"/>
              </w:rPr>
              <w:t>0,9</w:t>
            </w:r>
          </w:p>
        </w:tc>
        <w:tc>
          <w:tcPr>
            <w:tcW w:w="589" w:type="dxa"/>
            <w:tcBorders>
              <w:top w:val="nil"/>
              <w:left w:val="nil"/>
              <w:bottom w:val="nil"/>
              <w:right w:val="nil"/>
            </w:tcBorders>
            <w:shd w:val="clear" w:color="auto" w:fill="auto"/>
          </w:tcPr>
          <w:p w14:paraId="4FCADA90" w14:textId="77777777" w:rsidR="00C45D5B" w:rsidRPr="006401D1" w:rsidRDefault="00C45D5B" w:rsidP="00CF774B">
            <w:pPr>
              <w:jc w:val="center"/>
              <w:rPr>
                <w:rFonts w:cs="Times New Roman"/>
                <w:sz w:val="18"/>
                <w:szCs w:val="18"/>
              </w:rPr>
            </w:pPr>
            <w:r w:rsidRPr="006401D1">
              <w:rPr>
                <w:sz w:val="18"/>
                <w:szCs w:val="18"/>
              </w:rPr>
              <w:t>1,1</w:t>
            </w:r>
          </w:p>
        </w:tc>
      </w:tr>
      <w:tr w:rsidR="00206E5B" w:rsidRPr="006401D1" w14:paraId="73AE9B07"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21119600" w14:textId="77777777" w:rsidR="00206E5B" w:rsidRPr="006401D1" w:rsidRDefault="00206E5B" w:rsidP="00206E5B">
            <w:pPr>
              <w:rPr>
                <w:rFonts w:cs="Times New Roman"/>
                <w:sz w:val="18"/>
                <w:szCs w:val="18"/>
              </w:rPr>
            </w:pPr>
            <w:r w:rsidRPr="006401D1">
              <w:rPr>
                <w:rFonts w:cs="Times New Roman"/>
                <w:sz w:val="18"/>
                <w:szCs w:val="18"/>
              </w:rPr>
              <w:t>10. Primárne saldo</w:t>
            </w:r>
          </w:p>
        </w:tc>
        <w:tc>
          <w:tcPr>
            <w:tcW w:w="933" w:type="dxa"/>
            <w:gridSpan w:val="2"/>
            <w:tcBorders>
              <w:top w:val="nil"/>
              <w:left w:val="nil"/>
              <w:bottom w:val="nil"/>
              <w:right w:val="nil"/>
            </w:tcBorders>
            <w:shd w:val="clear" w:color="auto" w:fill="auto"/>
            <w:vAlign w:val="center"/>
            <w:hideMark/>
          </w:tcPr>
          <w:p w14:paraId="3AB434C6" w14:textId="77777777" w:rsidR="00206E5B" w:rsidRPr="006401D1" w:rsidRDefault="00206E5B" w:rsidP="00206E5B">
            <w:pPr>
              <w:jc w:val="center"/>
              <w:rPr>
                <w:rFonts w:cs="Times New Roman"/>
                <w:sz w:val="18"/>
                <w:szCs w:val="18"/>
              </w:rPr>
            </w:pPr>
            <w:r w:rsidRPr="006401D1">
              <w:rPr>
                <w:rFonts w:cs="Times New Roman"/>
                <w:sz w:val="18"/>
                <w:szCs w:val="18"/>
                <w:vertAlign w:val="superscript"/>
              </w:rPr>
              <w:t>[2]</w:t>
            </w:r>
          </w:p>
        </w:tc>
        <w:tc>
          <w:tcPr>
            <w:tcW w:w="845" w:type="dxa"/>
            <w:gridSpan w:val="2"/>
            <w:tcBorders>
              <w:top w:val="nil"/>
              <w:left w:val="nil"/>
              <w:bottom w:val="nil"/>
              <w:right w:val="nil"/>
            </w:tcBorders>
            <w:shd w:val="clear" w:color="auto" w:fill="auto"/>
          </w:tcPr>
          <w:p w14:paraId="2E59614E" w14:textId="2B65C673" w:rsidR="00206E5B" w:rsidRPr="006401D1" w:rsidRDefault="00206E5B" w:rsidP="00206E5B">
            <w:pPr>
              <w:jc w:val="center"/>
              <w:rPr>
                <w:rFonts w:cs="Times New Roman"/>
                <w:sz w:val="18"/>
                <w:szCs w:val="18"/>
              </w:rPr>
            </w:pPr>
            <w:r>
              <w:rPr>
                <w:sz w:val="18"/>
                <w:szCs w:val="18"/>
              </w:rPr>
              <w:t>-4 891</w:t>
            </w:r>
          </w:p>
        </w:tc>
        <w:tc>
          <w:tcPr>
            <w:tcW w:w="795" w:type="dxa"/>
            <w:gridSpan w:val="3"/>
            <w:tcBorders>
              <w:top w:val="nil"/>
              <w:left w:val="nil"/>
              <w:bottom w:val="nil"/>
              <w:right w:val="nil"/>
            </w:tcBorders>
            <w:shd w:val="clear" w:color="auto" w:fill="auto"/>
          </w:tcPr>
          <w:p w14:paraId="35F6AADA" w14:textId="5C971273" w:rsidR="00206E5B" w:rsidRPr="006401D1" w:rsidRDefault="00206E5B" w:rsidP="00206E5B">
            <w:pPr>
              <w:jc w:val="center"/>
              <w:rPr>
                <w:rFonts w:cs="Times New Roman"/>
                <w:sz w:val="18"/>
                <w:szCs w:val="18"/>
              </w:rPr>
            </w:pPr>
            <w:r>
              <w:rPr>
                <w:sz w:val="18"/>
                <w:szCs w:val="18"/>
              </w:rPr>
              <w:t>-4,9</w:t>
            </w:r>
          </w:p>
        </w:tc>
        <w:tc>
          <w:tcPr>
            <w:tcW w:w="872" w:type="dxa"/>
            <w:gridSpan w:val="2"/>
            <w:tcBorders>
              <w:top w:val="nil"/>
              <w:left w:val="nil"/>
              <w:bottom w:val="nil"/>
              <w:right w:val="nil"/>
            </w:tcBorders>
            <w:shd w:val="clear" w:color="auto" w:fill="auto"/>
          </w:tcPr>
          <w:p w14:paraId="53054BE7" w14:textId="1500431C" w:rsidR="00206E5B" w:rsidRPr="006401D1" w:rsidRDefault="00206E5B" w:rsidP="00206E5B">
            <w:pPr>
              <w:jc w:val="center"/>
              <w:rPr>
                <w:rFonts w:cs="Times New Roman"/>
                <w:sz w:val="18"/>
                <w:szCs w:val="18"/>
              </w:rPr>
            </w:pPr>
            <w:r>
              <w:rPr>
                <w:sz w:val="18"/>
                <w:szCs w:val="18"/>
              </w:rPr>
              <w:t>-4,1</w:t>
            </w:r>
          </w:p>
        </w:tc>
        <w:tc>
          <w:tcPr>
            <w:tcW w:w="728" w:type="dxa"/>
            <w:gridSpan w:val="3"/>
            <w:tcBorders>
              <w:top w:val="nil"/>
              <w:left w:val="nil"/>
              <w:bottom w:val="nil"/>
              <w:right w:val="nil"/>
            </w:tcBorders>
            <w:shd w:val="clear" w:color="auto" w:fill="auto"/>
          </w:tcPr>
          <w:p w14:paraId="0D3DCD8A" w14:textId="1D124811" w:rsidR="00206E5B" w:rsidRPr="006401D1" w:rsidRDefault="00206E5B" w:rsidP="00206E5B">
            <w:pPr>
              <w:jc w:val="center"/>
              <w:rPr>
                <w:rFonts w:cs="Times New Roman"/>
                <w:sz w:val="18"/>
                <w:szCs w:val="18"/>
              </w:rPr>
            </w:pPr>
            <w:r>
              <w:rPr>
                <w:sz w:val="18"/>
                <w:szCs w:val="18"/>
              </w:rPr>
              <w:t>-1,5</w:t>
            </w:r>
          </w:p>
        </w:tc>
        <w:tc>
          <w:tcPr>
            <w:tcW w:w="703" w:type="dxa"/>
            <w:gridSpan w:val="2"/>
            <w:tcBorders>
              <w:top w:val="nil"/>
              <w:left w:val="nil"/>
              <w:bottom w:val="nil"/>
              <w:right w:val="nil"/>
            </w:tcBorders>
            <w:shd w:val="clear" w:color="auto" w:fill="auto"/>
          </w:tcPr>
          <w:p w14:paraId="1702DAD6" w14:textId="3FA8AB07" w:rsidR="00206E5B" w:rsidRPr="006401D1" w:rsidRDefault="00206E5B" w:rsidP="00206E5B">
            <w:pPr>
              <w:jc w:val="center"/>
              <w:rPr>
                <w:rFonts w:cs="Times New Roman"/>
                <w:sz w:val="18"/>
                <w:szCs w:val="18"/>
              </w:rPr>
            </w:pPr>
            <w:r>
              <w:rPr>
                <w:sz w:val="18"/>
                <w:szCs w:val="18"/>
              </w:rPr>
              <w:t>-1,4</w:t>
            </w:r>
          </w:p>
        </w:tc>
        <w:tc>
          <w:tcPr>
            <w:tcW w:w="589" w:type="dxa"/>
            <w:tcBorders>
              <w:top w:val="nil"/>
              <w:left w:val="nil"/>
              <w:bottom w:val="nil"/>
              <w:right w:val="nil"/>
            </w:tcBorders>
            <w:shd w:val="clear" w:color="auto" w:fill="auto"/>
          </w:tcPr>
          <w:p w14:paraId="639203F4" w14:textId="14C89FFC" w:rsidR="00206E5B" w:rsidRPr="006401D1" w:rsidRDefault="00206E5B" w:rsidP="00206E5B">
            <w:pPr>
              <w:jc w:val="center"/>
              <w:rPr>
                <w:rFonts w:cs="Times New Roman"/>
                <w:sz w:val="18"/>
                <w:szCs w:val="18"/>
              </w:rPr>
            </w:pPr>
            <w:r>
              <w:rPr>
                <w:sz w:val="18"/>
                <w:szCs w:val="18"/>
              </w:rPr>
              <w:t>-1,0</w:t>
            </w:r>
          </w:p>
        </w:tc>
      </w:tr>
      <w:tr w:rsidR="00C45D5B" w:rsidRPr="006401D1" w14:paraId="6594B7C6" w14:textId="77777777" w:rsidTr="00CF774B">
        <w:trPr>
          <w:gridAfter w:val="3"/>
          <w:wAfter w:w="524" w:type="dxa"/>
          <w:trHeight w:val="279"/>
        </w:trPr>
        <w:tc>
          <w:tcPr>
            <w:tcW w:w="3540" w:type="dxa"/>
            <w:gridSpan w:val="3"/>
            <w:tcBorders>
              <w:top w:val="nil"/>
              <w:left w:val="nil"/>
              <w:bottom w:val="single" w:sz="4" w:space="0" w:color="auto"/>
              <w:right w:val="nil"/>
            </w:tcBorders>
            <w:shd w:val="clear" w:color="auto" w:fill="auto"/>
            <w:vAlign w:val="center"/>
            <w:hideMark/>
          </w:tcPr>
          <w:p w14:paraId="0C7E5142" w14:textId="77777777" w:rsidR="00C45D5B" w:rsidRPr="006401D1" w:rsidRDefault="00C45D5B" w:rsidP="00CF774B">
            <w:pPr>
              <w:rPr>
                <w:rFonts w:cs="Times New Roman"/>
                <w:sz w:val="18"/>
                <w:szCs w:val="18"/>
              </w:rPr>
            </w:pPr>
            <w:r w:rsidRPr="006401D1">
              <w:rPr>
                <w:rFonts w:cs="Times New Roman"/>
                <w:sz w:val="18"/>
                <w:szCs w:val="18"/>
              </w:rPr>
              <w:t>11. Jednorazové a dočasné efekty</w:t>
            </w:r>
          </w:p>
        </w:tc>
        <w:tc>
          <w:tcPr>
            <w:tcW w:w="933" w:type="dxa"/>
            <w:gridSpan w:val="2"/>
            <w:tcBorders>
              <w:top w:val="nil"/>
              <w:left w:val="nil"/>
              <w:bottom w:val="single" w:sz="4" w:space="0" w:color="auto"/>
              <w:right w:val="nil"/>
            </w:tcBorders>
            <w:shd w:val="clear" w:color="auto" w:fill="auto"/>
            <w:vAlign w:val="center"/>
            <w:hideMark/>
          </w:tcPr>
          <w:p w14:paraId="6500123D" w14:textId="77777777" w:rsidR="00C45D5B" w:rsidRPr="006401D1" w:rsidRDefault="00C45D5B" w:rsidP="00CF774B">
            <w:pPr>
              <w:jc w:val="center"/>
              <w:rPr>
                <w:rFonts w:cs="Times New Roman"/>
                <w:sz w:val="18"/>
                <w:szCs w:val="18"/>
              </w:rPr>
            </w:pPr>
            <w:r w:rsidRPr="006401D1">
              <w:rPr>
                <w:rFonts w:cs="Times New Roman"/>
                <w:sz w:val="18"/>
                <w:szCs w:val="18"/>
                <w:vertAlign w:val="superscript"/>
              </w:rPr>
              <w:t>[3]</w:t>
            </w:r>
          </w:p>
        </w:tc>
        <w:tc>
          <w:tcPr>
            <w:tcW w:w="845" w:type="dxa"/>
            <w:gridSpan w:val="2"/>
            <w:tcBorders>
              <w:top w:val="nil"/>
              <w:left w:val="nil"/>
              <w:bottom w:val="nil"/>
              <w:right w:val="nil"/>
            </w:tcBorders>
            <w:shd w:val="clear" w:color="auto" w:fill="auto"/>
          </w:tcPr>
          <w:p w14:paraId="4EC89004" w14:textId="77777777" w:rsidR="00C45D5B" w:rsidRPr="006401D1" w:rsidRDefault="00C45D5B" w:rsidP="00CF774B">
            <w:pPr>
              <w:jc w:val="center"/>
              <w:rPr>
                <w:rFonts w:cs="Times New Roman"/>
                <w:sz w:val="18"/>
                <w:szCs w:val="18"/>
              </w:rPr>
            </w:pPr>
            <w:r w:rsidRPr="006401D1">
              <w:rPr>
                <w:sz w:val="18"/>
                <w:szCs w:val="18"/>
              </w:rPr>
              <w:t>-3 394</w:t>
            </w:r>
          </w:p>
        </w:tc>
        <w:tc>
          <w:tcPr>
            <w:tcW w:w="795" w:type="dxa"/>
            <w:gridSpan w:val="3"/>
            <w:tcBorders>
              <w:top w:val="nil"/>
              <w:left w:val="nil"/>
              <w:bottom w:val="nil"/>
              <w:right w:val="nil"/>
            </w:tcBorders>
            <w:shd w:val="clear" w:color="auto" w:fill="auto"/>
          </w:tcPr>
          <w:p w14:paraId="7F49CBD5" w14:textId="77777777" w:rsidR="00C45D5B" w:rsidRPr="006401D1" w:rsidRDefault="00C45D5B" w:rsidP="00CF774B">
            <w:pPr>
              <w:jc w:val="center"/>
              <w:rPr>
                <w:rFonts w:cs="Times New Roman"/>
                <w:sz w:val="18"/>
                <w:szCs w:val="18"/>
              </w:rPr>
            </w:pPr>
            <w:r w:rsidRPr="006401D1">
              <w:rPr>
                <w:sz w:val="18"/>
                <w:szCs w:val="18"/>
              </w:rPr>
              <w:t>-3,5</w:t>
            </w:r>
          </w:p>
        </w:tc>
        <w:tc>
          <w:tcPr>
            <w:tcW w:w="872" w:type="dxa"/>
            <w:gridSpan w:val="2"/>
            <w:tcBorders>
              <w:top w:val="nil"/>
              <w:left w:val="nil"/>
              <w:bottom w:val="nil"/>
              <w:right w:val="nil"/>
            </w:tcBorders>
            <w:shd w:val="clear" w:color="auto" w:fill="auto"/>
          </w:tcPr>
          <w:p w14:paraId="4D1D972D" w14:textId="77777777" w:rsidR="00C45D5B" w:rsidRPr="006401D1" w:rsidRDefault="00C45D5B" w:rsidP="00CF774B">
            <w:pPr>
              <w:jc w:val="center"/>
              <w:rPr>
                <w:rFonts w:cs="Times New Roman"/>
                <w:sz w:val="18"/>
                <w:szCs w:val="18"/>
              </w:rPr>
            </w:pPr>
            <w:r w:rsidRPr="006401D1">
              <w:rPr>
                <w:sz w:val="18"/>
                <w:szCs w:val="18"/>
              </w:rPr>
              <w:t>-1,0</w:t>
            </w:r>
          </w:p>
        </w:tc>
        <w:tc>
          <w:tcPr>
            <w:tcW w:w="728" w:type="dxa"/>
            <w:gridSpan w:val="3"/>
            <w:tcBorders>
              <w:top w:val="nil"/>
              <w:left w:val="nil"/>
              <w:bottom w:val="nil"/>
              <w:right w:val="nil"/>
            </w:tcBorders>
            <w:shd w:val="clear" w:color="auto" w:fill="auto"/>
          </w:tcPr>
          <w:p w14:paraId="033D694D" w14:textId="77777777" w:rsidR="00C45D5B" w:rsidRPr="006401D1" w:rsidRDefault="00C45D5B" w:rsidP="00CF774B">
            <w:pPr>
              <w:jc w:val="center"/>
              <w:rPr>
                <w:rFonts w:cs="Times New Roman"/>
                <w:sz w:val="18"/>
                <w:szCs w:val="18"/>
              </w:rPr>
            </w:pPr>
            <w:r w:rsidRPr="006401D1">
              <w:rPr>
                <w:sz w:val="18"/>
                <w:szCs w:val="18"/>
              </w:rPr>
              <w:t>0,0</w:t>
            </w:r>
          </w:p>
        </w:tc>
        <w:tc>
          <w:tcPr>
            <w:tcW w:w="703" w:type="dxa"/>
            <w:gridSpan w:val="2"/>
            <w:tcBorders>
              <w:top w:val="nil"/>
              <w:left w:val="nil"/>
              <w:bottom w:val="nil"/>
              <w:right w:val="nil"/>
            </w:tcBorders>
            <w:shd w:val="clear" w:color="auto" w:fill="auto"/>
          </w:tcPr>
          <w:p w14:paraId="65FD5B2E" w14:textId="77777777" w:rsidR="00C45D5B" w:rsidRPr="006401D1" w:rsidRDefault="00C45D5B" w:rsidP="00CF774B">
            <w:pPr>
              <w:jc w:val="center"/>
              <w:rPr>
                <w:rFonts w:cs="Times New Roman"/>
                <w:sz w:val="18"/>
                <w:szCs w:val="18"/>
              </w:rPr>
            </w:pPr>
            <w:r w:rsidRPr="006401D1">
              <w:rPr>
                <w:sz w:val="18"/>
                <w:szCs w:val="18"/>
              </w:rPr>
              <w:t>0,0</w:t>
            </w:r>
          </w:p>
        </w:tc>
        <w:tc>
          <w:tcPr>
            <w:tcW w:w="589" w:type="dxa"/>
            <w:tcBorders>
              <w:top w:val="nil"/>
              <w:left w:val="nil"/>
              <w:bottom w:val="nil"/>
              <w:right w:val="nil"/>
            </w:tcBorders>
            <w:shd w:val="clear" w:color="auto" w:fill="auto"/>
          </w:tcPr>
          <w:p w14:paraId="439FD3FF" w14:textId="77777777" w:rsidR="00C45D5B" w:rsidRPr="006401D1" w:rsidRDefault="00C45D5B" w:rsidP="00CF774B">
            <w:pPr>
              <w:jc w:val="center"/>
              <w:rPr>
                <w:rFonts w:cs="Times New Roman"/>
                <w:sz w:val="18"/>
                <w:szCs w:val="18"/>
              </w:rPr>
            </w:pPr>
            <w:r w:rsidRPr="006401D1">
              <w:rPr>
                <w:sz w:val="18"/>
                <w:szCs w:val="18"/>
              </w:rPr>
              <w:t>0,0</w:t>
            </w:r>
          </w:p>
        </w:tc>
      </w:tr>
      <w:tr w:rsidR="00C45D5B" w:rsidRPr="006401D1" w14:paraId="622D5539" w14:textId="77777777" w:rsidTr="00CF774B">
        <w:trPr>
          <w:gridAfter w:val="3"/>
          <w:wAfter w:w="524" w:type="dxa"/>
          <w:trHeight w:val="279"/>
        </w:trPr>
        <w:tc>
          <w:tcPr>
            <w:tcW w:w="9005" w:type="dxa"/>
            <w:gridSpan w:val="18"/>
            <w:tcBorders>
              <w:top w:val="single" w:sz="4" w:space="0" w:color="auto"/>
              <w:left w:val="nil"/>
              <w:bottom w:val="single" w:sz="6" w:space="0" w:color="auto"/>
              <w:right w:val="nil"/>
            </w:tcBorders>
            <w:shd w:val="clear" w:color="auto" w:fill="auto"/>
            <w:vAlign w:val="center"/>
            <w:hideMark/>
          </w:tcPr>
          <w:p w14:paraId="155B147A" w14:textId="77777777" w:rsidR="00C45D5B" w:rsidRPr="006401D1" w:rsidRDefault="00C45D5B" w:rsidP="00CF774B">
            <w:pPr>
              <w:jc w:val="center"/>
              <w:rPr>
                <w:rFonts w:cs="Times New Roman"/>
                <w:b/>
                <w:bCs/>
                <w:sz w:val="18"/>
                <w:szCs w:val="18"/>
              </w:rPr>
            </w:pPr>
            <w:r w:rsidRPr="006401D1">
              <w:rPr>
                <w:rFonts w:cs="Times New Roman"/>
                <w:b/>
                <w:bCs/>
                <w:sz w:val="18"/>
                <w:szCs w:val="18"/>
              </w:rPr>
              <w:t>Vybrané zložky príjmov</w:t>
            </w:r>
          </w:p>
        </w:tc>
      </w:tr>
      <w:tr w:rsidR="00C45D5B" w:rsidRPr="006401D1" w14:paraId="61BFF087" w14:textId="77777777" w:rsidTr="00CF774B">
        <w:trPr>
          <w:gridAfter w:val="3"/>
          <w:wAfter w:w="524" w:type="dxa"/>
          <w:trHeight w:val="279"/>
        </w:trPr>
        <w:tc>
          <w:tcPr>
            <w:tcW w:w="3540" w:type="dxa"/>
            <w:gridSpan w:val="3"/>
            <w:tcBorders>
              <w:top w:val="single" w:sz="6" w:space="0" w:color="auto"/>
              <w:left w:val="nil"/>
              <w:bottom w:val="nil"/>
              <w:right w:val="nil"/>
            </w:tcBorders>
            <w:shd w:val="clear" w:color="auto" w:fill="auto"/>
            <w:vAlign w:val="center"/>
            <w:hideMark/>
          </w:tcPr>
          <w:p w14:paraId="002B61CC" w14:textId="77777777" w:rsidR="00C45D5B" w:rsidRPr="006401D1" w:rsidRDefault="00C45D5B" w:rsidP="00CF774B">
            <w:pPr>
              <w:rPr>
                <w:rFonts w:cs="Times New Roman"/>
                <w:sz w:val="18"/>
                <w:szCs w:val="18"/>
              </w:rPr>
            </w:pPr>
            <w:r w:rsidRPr="006401D1">
              <w:rPr>
                <w:rFonts w:cs="Times New Roman"/>
                <w:sz w:val="18"/>
                <w:szCs w:val="18"/>
              </w:rPr>
              <w:t>O 712. Celkové dane (12=12a+12b+12c)</w:t>
            </w:r>
          </w:p>
        </w:tc>
        <w:tc>
          <w:tcPr>
            <w:tcW w:w="933" w:type="dxa"/>
            <w:gridSpan w:val="2"/>
            <w:tcBorders>
              <w:top w:val="single" w:sz="6" w:space="0" w:color="auto"/>
              <w:left w:val="nil"/>
              <w:bottom w:val="nil"/>
              <w:right w:val="nil"/>
            </w:tcBorders>
            <w:shd w:val="clear" w:color="auto" w:fill="auto"/>
            <w:hideMark/>
          </w:tcPr>
          <w:p w14:paraId="1B538CC7" w14:textId="77777777" w:rsidR="00C45D5B" w:rsidRPr="006401D1" w:rsidRDefault="00C45D5B" w:rsidP="00CF774B">
            <w:pPr>
              <w:rPr>
                <w:rFonts w:cs="Times New Roman"/>
                <w:sz w:val="18"/>
                <w:szCs w:val="18"/>
              </w:rPr>
            </w:pPr>
          </w:p>
        </w:tc>
        <w:tc>
          <w:tcPr>
            <w:tcW w:w="845" w:type="dxa"/>
            <w:gridSpan w:val="2"/>
            <w:tcBorders>
              <w:top w:val="nil"/>
              <w:left w:val="nil"/>
              <w:bottom w:val="nil"/>
              <w:right w:val="nil"/>
            </w:tcBorders>
            <w:shd w:val="clear" w:color="auto" w:fill="auto"/>
          </w:tcPr>
          <w:p w14:paraId="6F4C7493" w14:textId="77777777" w:rsidR="00C45D5B" w:rsidRPr="006401D1" w:rsidRDefault="00C45D5B" w:rsidP="00CF774B">
            <w:pPr>
              <w:jc w:val="center"/>
              <w:rPr>
                <w:rFonts w:cs="Times New Roman"/>
                <w:sz w:val="18"/>
                <w:szCs w:val="18"/>
              </w:rPr>
            </w:pPr>
            <w:r w:rsidRPr="006401D1">
              <w:rPr>
                <w:sz w:val="18"/>
                <w:szCs w:val="18"/>
              </w:rPr>
              <w:t xml:space="preserve">    19 173   </w:t>
            </w:r>
          </w:p>
        </w:tc>
        <w:tc>
          <w:tcPr>
            <w:tcW w:w="795" w:type="dxa"/>
            <w:gridSpan w:val="3"/>
            <w:tcBorders>
              <w:top w:val="nil"/>
              <w:left w:val="nil"/>
              <w:bottom w:val="nil"/>
              <w:right w:val="nil"/>
            </w:tcBorders>
            <w:shd w:val="clear" w:color="auto" w:fill="auto"/>
          </w:tcPr>
          <w:p w14:paraId="63212229" w14:textId="77777777" w:rsidR="00C45D5B" w:rsidRPr="006401D1" w:rsidRDefault="00C45D5B" w:rsidP="00CF774B">
            <w:pPr>
              <w:jc w:val="center"/>
              <w:rPr>
                <w:rFonts w:cs="Times New Roman"/>
                <w:sz w:val="18"/>
                <w:szCs w:val="18"/>
              </w:rPr>
            </w:pPr>
            <w:r w:rsidRPr="006401D1">
              <w:rPr>
                <w:sz w:val="18"/>
                <w:szCs w:val="18"/>
              </w:rPr>
              <w:t>19,7</w:t>
            </w:r>
          </w:p>
        </w:tc>
        <w:tc>
          <w:tcPr>
            <w:tcW w:w="872" w:type="dxa"/>
            <w:gridSpan w:val="2"/>
            <w:tcBorders>
              <w:top w:val="nil"/>
              <w:left w:val="nil"/>
              <w:bottom w:val="nil"/>
              <w:right w:val="nil"/>
            </w:tcBorders>
            <w:shd w:val="clear" w:color="auto" w:fill="auto"/>
          </w:tcPr>
          <w:p w14:paraId="09287B5B" w14:textId="77777777" w:rsidR="00C45D5B" w:rsidRPr="006401D1" w:rsidRDefault="00C45D5B" w:rsidP="00CF774B">
            <w:pPr>
              <w:jc w:val="center"/>
              <w:rPr>
                <w:rFonts w:cs="Times New Roman"/>
                <w:sz w:val="18"/>
                <w:szCs w:val="18"/>
              </w:rPr>
            </w:pPr>
            <w:r w:rsidRPr="006401D1">
              <w:rPr>
                <w:sz w:val="18"/>
                <w:szCs w:val="18"/>
              </w:rPr>
              <w:t>19,4</w:t>
            </w:r>
          </w:p>
        </w:tc>
        <w:tc>
          <w:tcPr>
            <w:tcW w:w="728" w:type="dxa"/>
            <w:gridSpan w:val="3"/>
            <w:tcBorders>
              <w:top w:val="nil"/>
              <w:left w:val="nil"/>
              <w:bottom w:val="nil"/>
              <w:right w:val="nil"/>
            </w:tcBorders>
            <w:shd w:val="clear" w:color="auto" w:fill="auto"/>
          </w:tcPr>
          <w:p w14:paraId="7110FA38" w14:textId="77777777" w:rsidR="00C45D5B" w:rsidRPr="006401D1" w:rsidRDefault="00C45D5B" w:rsidP="00CF774B">
            <w:pPr>
              <w:jc w:val="center"/>
              <w:rPr>
                <w:rFonts w:cs="Times New Roman"/>
                <w:sz w:val="18"/>
                <w:szCs w:val="18"/>
              </w:rPr>
            </w:pPr>
            <w:r w:rsidRPr="006401D1">
              <w:rPr>
                <w:sz w:val="18"/>
                <w:szCs w:val="18"/>
              </w:rPr>
              <w:t>19,6</w:t>
            </w:r>
          </w:p>
        </w:tc>
        <w:tc>
          <w:tcPr>
            <w:tcW w:w="703" w:type="dxa"/>
            <w:gridSpan w:val="2"/>
            <w:tcBorders>
              <w:top w:val="nil"/>
              <w:left w:val="nil"/>
              <w:bottom w:val="nil"/>
              <w:right w:val="nil"/>
            </w:tcBorders>
            <w:shd w:val="clear" w:color="auto" w:fill="auto"/>
          </w:tcPr>
          <w:p w14:paraId="335C1DF8" w14:textId="77777777" w:rsidR="00C45D5B" w:rsidRPr="006401D1" w:rsidRDefault="00C45D5B" w:rsidP="00CF774B">
            <w:pPr>
              <w:jc w:val="center"/>
              <w:rPr>
                <w:rFonts w:cs="Times New Roman"/>
                <w:sz w:val="18"/>
                <w:szCs w:val="18"/>
              </w:rPr>
            </w:pPr>
            <w:r w:rsidRPr="006401D1">
              <w:rPr>
                <w:sz w:val="18"/>
                <w:szCs w:val="18"/>
              </w:rPr>
              <w:t>19,2</w:t>
            </w:r>
          </w:p>
        </w:tc>
        <w:tc>
          <w:tcPr>
            <w:tcW w:w="589" w:type="dxa"/>
            <w:tcBorders>
              <w:top w:val="nil"/>
              <w:left w:val="nil"/>
              <w:bottom w:val="nil"/>
              <w:right w:val="nil"/>
            </w:tcBorders>
            <w:shd w:val="clear" w:color="auto" w:fill="auto"/>
          </w:tcPr>
          <w:p w14:paraId="6FF69506" w14:textId="77777777" w:rsidR="00C45D5B" w:rsidRPr="006401D1" w:rsidRDefault="00C45D5B" w:rsidP="00CF774B">
            <w:pPr>
              <w:jc w:val="center"/>
              <w:rPr>
                <w:rFonts w:cs="Times New Roman"/>
                <w:sz w:val="18"/>
                <w:szCs w:val="18"/>
              </w:rPr>
            </w:pPr>
            <w:r w:rsidRPr="006401D1">
              <w:rPr>
                <w:sz w:val="18"/>
                <w:szCs w:val="18"/>
              </w:rPr>
              <w:t>19,3</w:t>
            </w:r>
          </w:p>
        </w:tc>
      </w:tr>
      <w:tr w:rsidR="00C45D5B" w:rsidRPr="006401D1" w14:paraId="11D54E20"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1B7B53DF" w14:textId="77777777" w:rsidR="00C45D5B" w:rsidRPr="006401D1" w:rsidRDefault="00C45D5B" w:rsidP="00CF774B">
            <w:pPr>
              <w:rPr>
                <w:rFonts w:cs="Times New Roman"/>
                <w:sz w:val="18"/>
                <w:szCs w:val="18"/>
              </w:rPr>
            </w:pPr>
            <w:r w:rsidRPr="006401D1">
              <w:rPr>
                <w:rFonts w:cs="Times New Roman"/>
                <w:sz w:val="18"/>
                <w:szCs w:val="18"/>
              </w:rPr>
              <w:t>12a. Dane z produkcie a dovozu</w:t>
            </w:r>
          </w:p>
        </w:tc>
        <w:tc>
          <w:tcPr>
            <w:tcW w:w="933" w:type="dxa"/>
            <w:gridSpan w:val="2"/>
            <w:tcBorders>
              <w:top w:val="nil"/>
              <w:left w:val="nil"/>
              <w:bottom w:val="nil"/>
              <w:right w:val="nil"/>
            </w:tcBorders>
            <w:shd w:val="clear" w:color="auto" w:fill="auto"/>
            <w:vAlign w:val="center"/>
            <w:hideMark/>
          </w:tcPr>
          <w:p w14:paraId="654D49E8" w14:textId="77777777" w:rsidR="00C45D5B" w:rsidRPr="006401D1" w:rsidRDefault="00C45D5B" w:rsidP="00CF774B">
            <w:pPr>
              <w:jc w:val="center"/>
              <w:rPr>
                <w:rFonts w:cs="Times New Roman"/>
                <w:sz w:val="18"/>
                <w:szCs w:val="18"/>
              </w:rPr>
            </w:pPr>
            <w:r w:rsidRPr="006401D1">
              <w:rPr>
                <w:rFonts w:cs="Times New Roman"/>
                <w:sz w:val="18"/>
                <w:szCs w:val="18"/>
              </w:rPr>
              <w:t>D.2</w:t>
            </w:r>
          </w:p>
        </w:tc>
        <w:tc>
          <w:tcPr>
            <w:tcW w:w="845" w:type="dxa"/>
            <w:gridSpan w:val="2"/>
            <w:tcBorders>
              <w:top w:val="nil"/>
              <w:left w:val="nil"/>
              <w:bottom w:val="nil"/>
              <w:right w:val="nil"/>
            </w:tcBorders>
            <w:shd w:val="clear" w:color="auto" w:fill="auto"/>
          </w:tcPr>
          <w:p w14:paraId="61193673" w14:textId="77777777" w:rsidR="00C45D5B" w:rsidRPr="006401D1" w:rsidRDefault="00C45D5B" w:rsidP="00CF774B">
            <w:pPr>
              <w:jc w:val="center"/>
              <w:rPr>
                <w:rFonts w:cs="Times New Roman"/>
                <w:sz w:val="18"/>
                <w:szCs w:val="18"/>
              </w:rPr>
            </w:pPr>
            <w:r w:rsidRPr="006401D1">
              <w:rPr>
                <w:sz w:val="18"/>
                <w:szCs w:val="18"/>
              </w:rPr>
              <w:t xml:space="preserve">    12 000   </w:t>
            </w:r>
          </w:p>
        </w:tc>
        <w:tc>
          <w:tcPr>
            <w:tcW w:w="795" w:type="dxa"/>
            <w:gridSpan w:val="3"/>
            <w:tcBorders>
              <w:top w:val="nil"/>
              <w:left w:val="nil"/>
              <w:bottom w:val="nil"/>
              <w:right w:val="nil"/>
            </w:tcBorders>
            <w:shd w:val="clear" w:color="auto" w:fill="auto"/>
          </w:tcPr>
          <w:p w14:paraId="1F4ACC92" w14:textId="77777777" w:rsidR="00C45D5B" w:rsidRPr="006401D1" w:rsidRDefault="00C45D5B" w:rsidP="00CF774B">
            <w:pPr>
              <w:jc w:val="center"/>
              <w:rPr>
                <w:rFonts w:cs="Times New Roman"/>
                <w:sz w:val="18"/>
                <w:szCs w:val="18"/>
              </w:rPr>
            </w:pPr>
            <w:r w:rsidRPr="006401D1">
              <w:rPr>
                <w:sz w:val="18"/>
                <w:szCs w:val="18"/>
              </w:rPr>
              <w:t>12,4</w:t>
            </w:r>
          </w:p>
        </w:tc>
        <w:tc>
          <w:tcPr>
            <w:tcW w:w="872" w:type="dxa"/>
            <w:gridSpan w:val="2"/>
            <w:tcBorders>
              <w:top w:val="nil"/>
              <w:left w:val="nil"/>
              <w:bottom w:val="nil"/>
              <w:right w:val="nil"/>
            </w:tcBorders>
            <w:shd w:val="clear" w:color="auto" w:fill="auto"/>
          </w:tcPr>
          <w:p w14:paraId="1396BB02" w14:textId="77777777" w:rsidR="00C45D5B" w:rsidRPr="006401D1" w:rsidRDefault="00C45D5B" w:rsidP="00CF774B">
            <w:pPr>
              <w:jc w:val="center"/>
              <w:rPr>
                <w:rFonts w:cs="Times New Roman"/>
                <w:sz w:val="18"/>
                <w:szCs w:val="18"/>
              </w:rPr>
            </w:pPr>
            <w:r w:rsidRPr="006401D1">
              <w:rPr>
                <w:sz w:val="18"/>
                <w:szCs w:val="18"/>
              </w:rPr>
              <w:t>11,9</w:t>
            </w:r>
          </w:p>
        </w:tc>
        <w:tc>
          <w:tcPr>
            <w:tcW w:w="728" w:type="dxa"/>
            <w:gridSpan w:val="3"/>
            <w:tcBorders>
              <w:top w:val="nil"/>
              <w:left w:val="nil"/>
              <w:bottom w:val="nil"/>
              <w:right w:val="nil"/>
            </w:tcBorders>
            <w:shd w:val="clear" w:color="auto" w:fill="auto"/>
          </w:tcPr>
          <w:p w14:paraId="1890F786" w14:textId="77777777" w:rsidR="00C45D5B" w:rsidRPr="006401D1" w:rsidRDefault="00C45D5B" w:rsidP="00CF774B">
            <w:pPr>
              <w:jc w:val="center"/>
              <w:rPr>
                <w:rFonts w:cs="Times New Roman"/>
                <w:sz w:val="18"/>
                <w:szCs w:val="18"/>
              </w:rPr>
            </w:pPr>
            <w:r w:rsidRPr="006401D1">
              <w:rPr>
                <w:sz w:val="18"/>
                <w:szCs w:val="18"/>
              </w:rPr>
              <w:t>12,0</w:t>
            </w:r>
          </w:p>
        </w:tc>
        <w:tc>
          <w:tcPr>
            <w:tcW w:w="703" w:type="dxa"/>
            <w:gridSpan w:val="2"/>
            <w:tcBorders>
              <w:top w:val="nil"/>
              <w:left w:val="nil"/>
              <w:bottom w:val="nil"/>
              <w:right w:val="nil"/>
            </w:tcBorders>
            <w:shd w:val="clear" w:color="auto" w:fill="auto"/>
          </w:tcPr>
          <w:p w14:paraId="0C748136" w14:textId="77777777" w:rsidR="00C45D5B" w:rsidRPr="006401D1" w:rsidRDefault="00C45D5B" w:rsidP="00CF774B">
            <w:pPr>
              <w:jc w:val="center"/>
              <w:rPr>
                <w:rFonts w:cs="Times New Roman"/>
                <w:sz w:val="18"/>
                <w:szCs w:val="18"/>
              </w:rPr>
            </w:pPr>
            <w:r w:rsidRPr="006401D1">
              <w:rPr>
                <w:sz w:val="18"/>
                <w:szCs w:val="18"/>
              </w:rPr>
              <w:t>11,8</w:t>
            </w:r>
          </w:p>
        </w:tc>
        <w:tc>
          <w:tcPr>
            <w:tcW w:w="589" w:type="dxa"/>
            <w:tcBorders>
              <w:top w:val="nil"/>
              <w:left w:val="nil"/>
              <w:bottom w:val="nil"/>
              <w:right w:val="nil"/>
            </w:tcBorders>
            <w:shd w:val="clear" w:color="auto" w:fill="auto"/>
          </w:tcPr>
          <w:p w14:paraId="6C8DAA90" w14:textId="77777777" w:rsidR="00C45D5B" w:rsidRPr="006401D1" w:rsidRDefault="00C45D5B" w:rsidP="00CF774B">
            <w:pPr>
              <w:jc w:val="center"/>
              <w:rPr>
                <w:rFonts w:cs="Times New Roman"/>
                <w:sz w:val="18"/>
                <w:szCs w:val="18"/>
              </w:rPr>
            </w:pPr>
            <w:r w:rsidRPr="006401D1">
              <w:rPr>
                <w:sz w:val="18"/>
                <w:szCs w:val="18"/>
              </w:rPr>
              <w:t>11,9</w:t>
            </w:r>
          </w:p>
        </w:tc>
      </w:tr>
      <w:tr w:rsidR="00C45D5B" w:rsidRPr="006401D1" w14:paraId="758763AE"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3F22E62F" w14:textId="77777777" w:rsidR="00C45D5B" w:rsidRPr="006401D1" w:rsidRDefault="00C45D5B" w:rsidP="00CF774B">
            <w:pPr>
              <w:rPr>
                <w:rFonts w:cs="Times New Roman"/>
                <w:sz w:val="18"/>
                <w:szCs w:val="18"/>
              </w:rPr>
            </w:pPr>
            <w:r w:rsidRPr="006401D1">
              <w:rPr>
                <w:rFonts w:cs="Times New Roman"/>
                <w:sz w:val="18"/>
                <w:szCs w:val="18"/>
              </w:rPr>
              <w:t>12b. Bežné dane z dôchodkov, majetku atď.</w:t>
            </w:r>
          </w:p>
        </w:tc>
        <w:tc>
          <w:tcPr>
            <w:tcW w:w="933" w:type="dxa"/>
            <w:gridSpan w:val="2"/>
            <w:tcBorders>
              <w:top w:val="nil"/>
              <w:left w:val="nil"/>
              <w:bottom w:val="nil"/>
              <w:right w:val="nil"/>
            </w:tcBorders>
            <w:shd w:val="clear" w:color="auto" w:fill="auto"/>
            <w:vAlign w:val="center"/>
            <w:hideMark/>
          </w:tcPr>
          <w:p w14:paraId="38E57AA2" w14:textId="77777777" w:rsidR="00C45D5B" w:rsidRPr="006401D1" w:rsidRDefault="00C45D5B" w:rsidP="00CF774B">
            <w:pPr>
              <w:jc w:val="center"/>
              <w:rPr>
                <w:rFonts w:cs="Times New Roman"/>
                <w:sz w:val="18"/>
                <w:szCs w:val="18"/>
              </w:rPr>
            </w:pPr>
            <w:r w:rsidRPr="006401D1">
              <w:rPr>
                <w:rFonts w:cs="Times New Roman"/>
                <w:sz w:val="18"/>
                <w:szCs w:val="18"/>
              </w:rPr>
              <w:t>D.5</w:t>
            </w:r>
          </w:p>
        </w:tc>
        <w:tc>
          <w:tcPr>
            <w:tcW w:w="845" w:type="dxa"/>
            <w:gridSpan w:val="2"/>
            <w:tcBorders>
              <w:top w:val="nil"/>
              <w:left w:val="nil"/>
              <w:bottom w:val="nil"/>
              <w:right w:val="nil"/>
            </w:tcBorders>
            <w:shd w:val="clear" w:color="auto" w:fill="auto"/>
          </w:tcPr>
          <w:p w14:paraId="569E5F5C" w14:textId="77777777" w:rsidR="00C45D5B" w:rsidRPr="006401D1" w:rsidRDefault="00C45D5B" w:rsidP="00CF774B">
            <w:pPr>
              <w:jc w:val="center"/>
              <w:rPr>
                <w:rFonts w:cs="Times New Roman"/>
                <w:sz w:val="18"/>
                <w:szCs w:val="18"/>
              </w:rPr>
            </w:pPr>
            <w:r w:rsidRPr="006401D1">
              <w:rPr>
                <w:sz w:val="18"/>
                <w:szCs w:val="18"/>
              </w:rPr>
              <w:t xml:space="preserve">     7 172   </w:t>
            </w:r>
          </w:p>
        </w:tc>
        <w:tc>
          <w:tcPr>
            <w:tcW w:w="795" w:type="dxa"/>
            <w:gridSpan w:val="3"/>
            <w:tcBorders>
              <w:top w:val="nil"/>
              <w:left w:val="nil"/>
              <w:bottom w:val="nil"/>
              <w:right w:val="nil"/>
            </w:tcBorders>
            <w:shd w:val="clear" w:color="auto" w:fill="auto"/>
          </w:tcPr>
          <w:p w14:paraId="14BD2357" w14:textId="77777777" w:rsidR="00C45D5B" w:rsidRPr="006401D1" w:rsidRDefault="00C45D5B" w:rsidP="00CF774B">
            <w:pPr>
              <w:jc w:val="center"/>
              <w:rPr>
                <w:rFonts w:cs="Times New Roman"/>
                <w:sz w:val="18"/>
                <w:szCs w:val="18"/>
              </w:rPr>
            </w:pPr>
            <w:r w:rsidRPr="006401D1">
              <w:rPr>
                <w:sz w:val="18"/>
                <w:szCs w:val="18"/>
              </w:rPr>
              <w:t>7,4</w:t>
            </w:r>
          </w:p>
        </w:tc>
        <w:tc>
          <w:tcPr>
            <w:tcW w:w="872" w:type="dxa"/>
            <w:gridSpan w:val="2"/>
            <w:tcBorders>
              <w:top w:val="nil"/>
              <w:left w:val="nil"/>
              <w:bottom w:val="nil"/>
              <w:right w:val="nil"/>
            </w:tcBorders>
            <w:shd w:val="clear" w:color="auto" w:fill="auto"/>
          </w:tcPr>
          <w:p w14:paraId="37018F0E" w14:textId="77777777" w:rsidR="00C45D5B" w:rsidRPr="006401D1" w:rsidRDefault="00C45D5B" w:rsidP="00CF774B">
            <w:pPr>
              <w:jc w:val="center"/>
              <w:rPr>
                <w:rFonts w:cs="Times New Roman"/>
                <w:sz w:val="18"/>
                <w:szCs w:val="18"/>
              </w:rPr>
            </w:pPr>
            <w:r w:rsidRPr="006401D1">
              <w:rPr>
                <w:sz w:val="18"/>
                <w:szCs w:val="18"/>
              </w:rPr>
              <w:t>7,5</w:t>
            </w:r>
          </w:p>
        </w:tc>
        <w:tc>
          <w:tcPr>
            <w:tcW w:w="728" w:type="dxa"/>
            <w:gridSpan w:val="3"/>
            <w:tcBorders>
              <w:top w:val="nil"/>
              <w:left w:val="nil"/>
              <w:bottom w:val="nil"/>
              <w:right w:val="nil"/>
            </w:tcBorders>
            <w:shd w:val="clear" w:color="auto" w:fill="auto"/>
          </w:tcPr>
          <w:p w14:paraId="51D9ECBE" w14:textId="77777777" w:rsidR="00C45D5B" w:rsidRPr="006401D1" w:rsidRDefault="00C45D5B" w:rsidP="00CF774B">
            <w:pPr>
              <w:jc w:val="center"/>
              <w:rPr>
                <w:rFonts w:cs="Times New Roman"/>
                <w:sz w:val="18"/>
                <w:szCs w:val="18"/>
              </w:rPr>
            </w:pPr>
            <w:r w:rsidRPr="006401D1">
              <w:rPr>
                <w:sz w:val="18"/>
                <w:szCs w:val="18"/>
              </w:rPr>
              <w:t>7,5</w:t>
            </w:r>
          </w:p>
        </w:tc>
        <w:tc>
          <w:tcPr>
            <w:tcW w:w="703" w:type="dxa"/>
            <w:gridSpan w:val="2"/>
            <w:tcBorders>
              <w:top w:val="nil"/>
              <w:left w:val="nil"/>
              <w:bottom w:val="nil"/>
              <w:right w:val="nil"/>
            </w:tcBorders>
            <w:shd w:val="clear" w:color="auto" w:fill="auto"/>
          </w:tcPr>
          <w:p w14:paraId="305C1B01" w14:textId="77777777" w:rsidR="00C45D5B" w:rsidRPr="006401D1" w:rsidRDefault="00C45D5B" w:rsidP="00CF774B">
            <w:pPr>
              <w:jc w:val="center"/>
              <w:rPr>
                <w:rFonts w:cs="Times New Roman"/>
                <w:sz w:val="18"/>
                <w:szCs w:val="18"/>
              </w:rPr>
            </w:pPr>
            <w:r w:rsidRPr="006401D1">
              <w:rPr>
                <w:sz w:val="18"/>
                <w:szCs w:val="18"/>
              </w:rPr>
              <w:t>7,4</w:t>
            </w:r>
          </w:p>
        </w:tc>
        <w:tc>
          <w:tcPr>
            <w:tcW w:w="589" w:type="dxa"/>
            <w:tcBorders>
              <w:top w:val="nil"/>
              <w:left w:val="nil"/>
              <w:bottom w:val="nil"/>
              <w:right w:val="nil"/>
            </w:tcBorders>
            <w:shd w:val="clear" w:color="auto" w:fill="auto"/>
          </w:tcPr>
          <w:p w14:paraId="5884B101" w14:textId="77777777" w:rsidR="00C45D5B" w:rsidRPr="006401D1" w:rsidRDefault="00C45D5B" w:rsidP="00CF774B">
            <w:pPr>
              <w:jc w:val="center"/>
              <w:rPr>
                <w:rFonts w:cs="Times New Roman"/>
                <w:sz w:val="18"/>
                <w:szCs w:val="18"/>
              </w:rPr>
            </w:pPr>
            <w:r w:rsidRPr="006401D1">
              <w:rPr>
                <w:sz w:val="18"/>
                <w:szCs w:val="18"/>
              </w:rPr>
              <w:t>7,4</w:t>
            </w:r>
          </w:p>
        </w:tc>
      </w:tr>
      <w:tr w:rsidR="00C45D5B" w:rsidRPr="006401D1" w14:paraId="4EF4DF89"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6607EEC3" w14:textId="77777777" w:rsidR="00C45D5B" w:rsidRPr="006401D1" w:rsidRDefault="00C45D5B" w:rsidP="00CF774B">
            <w:pPr>
              <w:rPr>
                <w:rFonts w:cs="Times New Roman"/>
                <w:sz w:val="18"/>
                <w:szCs w:val="18"/>
              </w:rPr>
            </w:pPr>
            <w:r w:rsidRPr="006401D1">
              <w:rPr>
                <w:rFonts w:cs="Times New Roman"/>
                <w:sz w:val="18"/>
                <w:szCs w:val="18"/>
              </w:rPr>
              <w:t>12c. Dane z kapitálu</w:t>
            </w:r>
          </w:p>
        </w:tc>
        <w:tc>
          <w:tcPr>
            <w:tcW w:w="933" w:type="dxa"/>
            <w:gridSpan w:val="2"/>
            <w:tcBorders>
              <w:top w:val="nil"/>
              <w:left w:val="nil"/>
              <w:bottom w:val="nil"/>
              <w:right w:val="nil"/>
            </w:tcBorders>
            <w:shd w:val="clear" w:color="auto" w:fill="auto"/>
            <w:vAlign w:val="center"/>
            <w:hideMark/>
          </w:tcPr>
          <w:p w14:paraId="595FA60D" w14:textId="77777777" w:rsidR="00C45D5B" w:rsidRPr="006401D1" w:rsidRDefault="00C45D5B" w:rsidP="00CF774B">
            <w:pPr>
              <w:jc w:val="center"/>
              <w:rPr>
                <w:rFonts w:cs="Times New Roman"/>
                <w:sz w:val="18"/>
                <w:szCs w:val="18"/>
              </w:rPr>
            </w:pPr>
            <w:r w:rsidRPr="006401D1">
              <w:rPr>
                <w:rFonts w:cs="Times New Roman"/>
                <w:sz w:val="18"/>
                <w:szCs w:val="18"/>
              </w:rPr>
              <w:t>D.91</w:t>
            </w:r>
          </w:p>
        </w:tc>
        <w:tc>
          <w:tcPr>
            <w:tcW w:w="845" w:type="dxa"/>
            <w:gridSpan w:val="2"/>
            <w:tcBorders>
              <w:top w:val="nil"/>
              <w:left w:val="nil"/>
              <w:bottom w:val="nil"/>
              <w:right w:val="nil"/>
            </w:tcBorders>
            <w:shd w:val="clear" w:color="auto" w:fill="auto"/>
          </w:tcPr>
          <w:p w14:paraId="45721A30" w14:textId="77777777" w:rsidR="00C45D5B" w:rsidRPr="006401D1" w:rsidRDefault="00C45D5B" w:rsidP="00CF774B">
            <w:pPr>
              <w:jc w:val="center"/>
              <w:rPr>
                <w:rFonts w:cs="Times New Roman"/>
                <w:sz w:val="18"/>
                <w:szCs w:val="18"/>
              </w:rPr>
            </w:pPr>
            <w:r w:rsidRPr="006401D1">
              <w:rPr>
                <w:sz w:val="18"/>
                <w:szCs w:val="18"/>
              </w:rPr>
              <w:t xml:space="preserve">          -     </w:t>
            </w:r>
          </w:p>
        </w:tc>
        <w:tc>
          <w:tcPr>
            <w:tcW w:w="795" w:type="dxa"/>
            <w:gridSpan w:val="3"/>
            <w:tcBorders>
              <w:top w:val="nil"/>
              <w:left w:val="nil"/>
              <w:bottom w:val="nil"/>
              <w:right w:val="nil"/>
            </w:tcBorders>
            <w:shd w:val="clear" w:color="auto" w:fill="auto"/>
          </w:tcPr>
          <w:p w14:paraId="456378A2" w14:textId="77777777" w:rsidR="00C45D5B" w:rsidRPr="006401D1" w:rsidRDefault="00C45D5B" w:rsidP="00CF774B">
            <w:pPr>
              <w:jc w:val="center"/>
              <w:rPr>
                <w:rFonts w:cs="Times New Roman"/>
                <w:sz w:val="18"/>
                <w:szCs w:val="18"/>
              </w:rPr>
            </w:pPr>
            <w:r w:rsidRPr="006401D1">
              <w:rPr>
                <w:sz w:val="18"/>
                <w:szCs w:val="18"/>
              </w:rPr>
              <w:t>0,0</w:t>
            </w:r>
          </w:p>
        </w:tc>
        <w:tc>
          <w:tcPr>
            <w:tcW w:w="872" w:type="dxa"/>
            <w:gridSpan w:val="2"/>
            <w:tcBorders>
              <w:top w:val="nil"/>
              <w:left w:val="nil"/>
              <w:bottom w:val="nil"/>
              <w:right w:val="nil"/>
            </w:tcBorders>
            <w:shd w:val="clear" w:color="auto" w:fill="auto"/>
          </w:tcPr>
          <w:p w14:paraId="1417A67C" w14:textId="77777777" w:rsidR="00C45D5B" w:rsidRPr="006401D1" w:rsidRDefault="00C45D5B" w:rsidP="00CF774B">
            <w:pPr>
              <w:jc w:val="center"/>
              <w:rPr>
                <w:rFonts w:cs="Times New Roman"/>
                <w:sz w:val="18"/>
                <w:szCs w:val="18"/>
              </w:rPr>
            </w:pPr>
            <w:r w:rsidRPr="006401D1">
              <w:rPr>
                <w:sz w:val="18"/>
                <w:szCs w:val="18"/>
              </w:rPr>
              <w:t>0,0</w:t>
            </w:r>
          </w:p>
        </w:tc>
        <w:tc>
          <w:tcPr>
            <w:tcW w:w="728" w:type="dxa"/>
            <w:gridSpan w:val="3"/>
            <w:tcBorders>
              <w:top w:val="nil"/>
              <w:left w:val="nil"/>
              <w:bottom w:val="nil"/>
              <w:right w:val="nil"/>
            </w:tcBorders>
            <w:shd w:val="clear" w:color="auto" w:fill="auto"/>
          </w:tcPr>
          <w:p w14:paraId="6A5AAF66" w14:textId="77777777" w:rsidR="00C45D5B" w:rsidRPr="006401D1" w:rsidRDefault="00C45D5B" w:rsidP="00CF774B">
            <w:pPr>
              <w:jc w:val="center"/>
              <w:rPr>
                <w:rFonts w:cs="Times New Roman"/>
                <w:sz w:val="18"/>
                <w:szCs w:val="18"/>
              </w:rPr>
            </w:pPr>
            <w:r w:rsidRPr="006401D1">
              <w:rPr>
                <w:sz w:val="18"/>
                <w:szCs w:val="18"/>
              </w:rPr>
              <w:t>0,0</w:t>
            </w:r>
          </w:p>
        </w:tc>
        <w:tc>
          <w:tcPr>
            <w:tcW w:w="703" w:type="dxa"/>
            <w:gridSpan w:val="2"/>
            <w:tcBorders>
              <w:top w:val="nil"/>
              <w:left w:val="nil"/>
              <w:bottom w:val="nil"/>
              <w:right w:val="nil"/>
            </w:tcBorders>
            <w:shd w:val="clear" w:color="auto" w:fill="auto"/>
          </w:tcPr>
          <w:p w14:paraId="3407B96B" w14:textId="77777777" w:rsidR="00C45D5B" w:rsidRPr="006401D1" w:rsidRDefault="00C45D5B" w:rsidP="00CF774B">
            <w:pPr>
              <w:jc w:val="center"/>
              <w:rPr>
                <w:rFonts w:cs="Times New Roman"/>
                <w:sz w:val="18"/>
                <w:szCs w:val="18"/>
              </w:rPr>
            </w:pPr>
            <w:r w:rsidRPr="006401D1">
              <w:rPr>
                <w:sz w:val="18"/>
                <w:szCs w:val="18"/>
              </w:rPr>
              <w:t>0,0</w:t>
            </w:r>
          </w:p>
        </w:tc>
        <w:tc>
          <w:tcPr>
            <w:tcW w:w="589" w:type="dxa"/>
            <w:tcBorders>
              <w:top w:val="nil"/>
              <w:left w:val="nil"/>
              <w:bottom w:val="nil"/>
              <w:right w:val="nil"/>
            </w:tcBorders>
            <w:shd w:val="clear" w:color="auto" w:fill="auto"/>
          </w:tcPr>
          <w:p w14:paraId="2760FDC9" w14:textId="77777777" w:rsidR="00C45D5B" w:rsidRPr="006401D1" w:rsidRDefault="00C45D5B" w:rsidP="00CF774B">
            <w:pPr>
              <w:jc w:val="center"/>
              <w:rPr>
                <w:rFonts w:cs="Times New Roman"/>
                <w:sz w:val="18"/>
                <w:szCs w:val="18"/>
              </w:rPr>
            </w:pPr>
            <w:r w:rsidRPr="006401D1">
              <w:rPr>
                <w:sz w:val="18"/>
                <w:szCs w:val="18"/>
              </w:rPr>
              <w:t>0,0</w:t>
            </w:r>
          </w:p>
        </w:tc>
      </w:tr>
      <w:tr w:rsidR="00C45D5B" w:rsidRPr="006401D1" w14:paraId="5FA17A5C"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23306A9B" w14:textId="77777777" w:rsidR="00C45D5B" w:rsidRPr="006401D1" w:rsidRDefault="00C45D5B" w:rsidP="00CF774B">
            <w:pPr>
              <w:rPr>
                <w:rFonts w:cs="Times New Roman"/>
                <w:sz w:val="18"/>
                <w:szCs w:val="18"/>
              </w:rPr>
            </w:pPr>
            <w:r w:rsidRPr="006401D1">
              <w:rPr>
                <w:rFonts w:cs="Times New Roman"/>
                <w:sz w:val="18"/>
                <w:szCs w:val="18"/>
              </w:rPr>
              <w:t xml:space="preserve">13. Príspevky na sociálne zabezpečenie </w:t>
            </w:r>
          </w:p>
        </w:tc>
        <w:tc>
          <w:tcPr>
            <w:tcW w:w="933" w:type="dxa"/>
            <w:gridSpan w:val="2"/>
            <w:tcBorders>
              <w:top w:val="nil"/>
              <w:left w:val="nil"/>
              <w:bottom w:val="nil"/>
              <w:right w:val="nil"/>
            </w:tcBorders>
            <w:shd w:val="clear" w:color="auto" w:fill="auto"/>
            <w:vAlign w:val="center"/>
            <w:hideMark/>
          </w:tcPr>
          <w:p w14:paraId="13767C00" w14:textId="77777777" w:rsidR="00C45D5B" w:rsidRPr="006401D1" w:rsidRDefault="00C45D5B" w:rsidP="00CF774B">
            <w:pPr>
              <w:jc w:val="center"/>
              <w:rPr>
                <w:rFonts w:cs="Times New Roman"/>
                <w:sz w:val="18"/>
                <w:szCs w:val="18"/>
              </w:rPr>
            </w:pPr>
            <w:r w:rsidRPr="006401D1">
              <w:rPr>
                <w:rFonts w:cs="Times New Roman"/>
                <w:sz w:val="18"/>
                <w:szCs w:val="18"/>
              </w:rPr>
              <w:t>D.61</w:t>
            </w:r>
          </w:p>
        </w:tc>
        <w:tc>
          <w:tcPr>
            <w:tcW w:w="845" w:type="dxa"/>
            <w:gridSpan w:val="2"/>
            <w:tcBorders>
              <w:top w:val="nil"/>
              <w:left w:val="nil"/>
              <w:bottom w:val="nil"/>
              <w:right w:val="nil"/>
            </w:tcBorders>
            <w:shd w:val="clear" w:color="auto" w:fill="auto"/>
          </w:tcPr>
          <w:p w14:paraId="437FCE9D" w14:textId="77777777" w:rsidR="00C45D5B" w:rsidRPr="006401D1" w:rsidRDefault="00C45D5B" w:rsidP="00CF774B">
            <w:pPr>
              <w:jc w:val="center"/>
              <w:rPr>
                <w:rFonts w:cs="Times New Roman"/>
                <w:sz w:val="18"/>
                <w:szCs w:val="18"/>
              </w:rPr>
            </w:pPr>
            <w:r w:rsidRPr="006401D1">
              <w:rPr>
                <w:sz w:val="18"/>
                <w:szCs w:val="18"/>
              </w:rPr>
              <w:t xml:space="preserve">    15 620   </w:t>
            </w:r>
          </w:p>
        </w:tc>
        <w:tc>
          <w:tcPr>
            <w:tcW w:w="795" w:type="dxa"/>
            <w:gridSpan w:val="3"/>
            <w:tcBorders>
              <w:top w:val="nil"/>
              <w:left w:val="nil"/>
              <w:bottom w:val="nil"/>
              <w:right w:val="nil"/>
            </w:tcBorders>
            <w:shd w:val="clear" w:color="auto" w:fill="auto"/>
          </w:tcPr>
          <w:p w14:paraId="192622DF" w14:textId="77777777" w:rsidR="00C45D5B" w:rsidRPr="006401D1" w:rsidRDefault="00C45D5B" w:rsidP="00CF774B">
            <w:pPr>
              <w:jc w:val="center"/>
              <w:rPr>
                <w:rFonts w:cs="Times New Roman"/>
                <w:sz w:val="18"/>
                <w:szCs w:val="18"/>
              </w:rPr>
            </w:pPr>
            <w:r w:rsidRPr="006401D1">
              <w:rPr>
                <w:sz w:val="18"/>
                <w:szCs w:val="18"/>
              </w:rPr>
              <w:t>16,1</w:t>
            </w:r>
          </w:p>
        </w:tc>
        <w:tc>
          <w:tcPr>
            <w:tcW w:w="872" w:type="dxa"/>
            <w:gridSpan w:val="2"/>
            <w:tcBorders>
              <w:top w:val="nil"/>
              <w:left w:val="nil"/>
              <w:bottom w:val="nil"/>
              <w:right w:val="nil"/>
            </w:tcBorders>
            <w:shd w:val="clear" w:color="auto" w:fill="auto"/>
          </w:tcPr>
          <w:p w14:paraId="67148393" w14:textId="77777777" w:rsidR="00C45D5B" w:rsidRPr="006401D1" w:rsidRDefault="00C45D5B" w:rsidP="00CF774B">
            <w:pPr>
              <w:jc w:val="center"/>
              <w:rPr>
                <w:rFonts w:cs="Times New Roman"/>
                <w:sz w:val="18"/>
                <w:szCs w:val="18"/>
              </w:rPr>
            </w:pPr>
            <w:r w:rsidRPr="006401D1">
              <w:rPr>
                <w:sz w:val="18"/>
                <w:szCs w:val="18"/>
              </w:rPr>
              <w:t>15,3</w:t>
            </w:r>
          </w:p>
        </w:tc>
        <w:tc>
          <w:tcPr>
            <w:tcW w:w="728" w:type="dxa"/>
            <w:gridSpan w:val="3"/>
            <w:tcBorders>
              <w:top w:val="nil"/>
              <w:left w:val="nil"/>
              <w:bottom w:val="nil"/>
              <w:right w:val="nil"/>
            </w:tcBorders>
            <w:shd w:val="clear" w:color="auto" w:fill="auto"/>
          </w:tcPr>
          <w:p w14:paraId="190891F2" w14:textId="77777777" w:rsidR="00C45D5B" w:rsidRPr="006401D1" w:rsidRDefault="00C45D5B" w:rsidP="00CF774B">
            <w:pPr>
              <w:jc w:val="center"/>
              <w:rPr>
                <w:rFonts w:cs="Times New Roman"/>
                <w:sz w:val="18"/>
                <w:szCs w:val="18"/>
              </w:rPr>
            </w:pPr>
            <w:r w:rsidRPr="006401D1">
              <w:rPr>
                <w:sz w:val="18"/>
                <w:szCs w:val="18"/>
              </w:rPr>
              <w:t>14,9</w:t>
            </w:r>
          </w:p>
        </w:tc>
        <w:tc>
          <w:tcPr>
            <w:tcW w:w="703" w:type="dxa"/>
            <w:gridSpan w:val="2"/>
            <w:tcBorders>
              <w:top w:val="nil"/>
              <w:left w:val="nil"/>
              <w:bottom w:val="nil"/>
              <w:right w:val="nil"/>
            </w:tcBorders>
            <w:shd w:val="clear" w:color="auto" w:fill="auto"/>
          </w:tcPr>
          <w:p w14:paraId="78D3A7D5" w14:textId="77777777" w:rsidR="00C45D5B" w:rsidRPr="006401D1" w:rsidRDefault="00C45D5B" w:rsidP="00CF774B">
            <w:pPr>
              <w:jc w:val="center"/>
              <w:rPr>
                <w:rFonts w:cs="Times New Roman"/>
                <w:sz w:val="18"/>
                <w:szCs w:val="18"/>
              </w:rPr>
            </w:pPr>
            <w:r w:rsidRPr="006401D1">
              <w:rPr>
                <w:sz w:val="18"/>
                <w:szCs w:val="18"/>
              </w:rPr>
              <w:t>14,9</w:t>
            </w:r>
          </w:p>
        </w:tc>
        <w:tc>
          <w:tcPr>
            <w:tcW w:w="589" w:type="dxa"/>
            <w:tcBorders>
              <w:top w:val="nil"/>
              <w:left w:val="nil"/>
              <w:bottom w:val="nil"/>
              <w:right w:val="nil"/>
            </w:tcBorders>
            <w:shd w:val="clear" w:color="auto" w:fill="auto"/>
          </w:tcPr>
          <w:p w14:paraId="6ADA9C0C" w14:textId="77777777" w:rsidR="00C45D5B" w:rsidRPr="006401D1" w:rsidRDefault="00C45D5B" w:rsidP="00CF774B">
            <w:pPr>
              <w:jc w:val="center"/>
              <w:rPr>
                <w:rFonts w:cs="Times New Roman"/>
                <w:sz w:val="18"/>
                <w:szCs w:val="18"/>
              </w:rPr>
            </w:pPr>
            <w:r w:rsidRPr="006401D1">
              <w:rPr>
                <w:sz w:val="18"/>
                <w:szCs w:val="18"/>
              </w:rPr>
              <w:t>14,9</w:t>
            </w:r>
          </w:p>
        </w:tc>
      </w:tr>
      <w:tr w:rsidR="00C45D5B" w:rsidRPr="006401D1" w14:paraId="5EB3C432"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50DFFAF4" w14:textId="77777777" w:rsidR="00C45D5B" w:rsidRPr="006401D1" w:rsidRDefault="00C45D5B" w:rsidP="00CF774B">
            <w:pPr>
              <w:rPr>
                <w:rFonts w:cs="Times New Roman"/>
                <w:sz w:val="18"/>
                <w:szCs w:val="18"/>
              </w:rPr>
            </w:pPr>
            <w:r w:rsidRPr="006401D1">
              <w:rPr>
                <w:rFonts w:cs="Times New Roman"/>
                <w:sz w:val="18"/>
                <w:szCs w:val="18"/>
              </w:rPr>
              <w:t>14.Dôchodky z majetku</w:t>
            </w:r>
          </w:p>
        </w:tc>
        <w:tc>
          <w:tcPr>
            <w:tcW w:w="933" w:type="dxa"/>
            <w:gridSpan w:val="2"/>
            <w:tcBorders>
              <w:top w:val="nil"/>
              <w:left w:val="nil"/>
              <w:bottom w:val="nil"/>
              <w:right w:val="nil"/>
            </w:tcBorders>
            <w:shd w:val="clear" w:color="auto" w:fill="auto"/>
            <w:vAlign w:val="center"/>
            <w:hideMark/>
          </w:tcPr>
          <w:p w14:paraId="3BAB532F" w14:textId="77777777" w:rsidR="00C45D5B" w:rsidRPr="006401D1" w:rsidRDefault="00C45D5B" w:rsidP="00CF774B">
            <w:pPr>
              <w:jc w:val="center"/>
              <w:rPr>
                <w:rFonts w:cs="Times New Roman"/>
                <w:sz w:val="18"/>
                <w:szCs w:val="18"/>
              </w:rPr>
            </w:pPr>
            <w:r w:rsidRPr="006401D1">
              <w:rPr>
                <w:rFonts w:cs="Times New Roman"/>
                <w:sz w:val="18"/>
                <w:szCs w:val="18"/>
              </w:rPr>
              <w:t>D.4</w:t>
            </w:r>
          </w:p>
        </w:tc>
        <w:tc>
          <w:tcPr>
            <w:tcW w:w="845" w:type="dxa"/>
            <w:gridSpan w:val="2"/>
            <w:tcBorders>
              <w:top w:val="nil"/>
              <w:left w:val="nil"/>
              <w:bottom w:val="nil"/>
              <w:right w:val="nil"/>
            </w:tcBorders>
            <w:shd w:val="clear" w:color="auto" w:fill="auto"/>
          </w:tcPr>
          <w:p w14:paraId="36A3052C" w14:textId="77777777" w:rsidR="00C45D5B" w:rsidRPr="006401D1" w:rsidRDefault="00C45D5B" w:rsidP="00CF774B">
            <w:pPr>
              <w:jc w:val="center"/>
              <w:rPr>
                <w:rFonts w:cs="Times New Roman"/>
                <w:sz w:val="18"/>
                <w:szCs w:val="18"/>
              </w:rPr>
            </w:pPr>
            <w:r w:rsidRPr="006401D1">
              <w:rPr>
                <w:sz w:val="18"/>
                <w:szCs w:val="18"/>
              </w:rPr>
              <w:t xml:space="preserve">        703   </w:t>
            </w:r>
          </w:p>
        </w:tc>
        <w:tc>
          <w:tcPr>
            <w:tcW w:w="795" w:type="dxa"/>
            <w:gridSpan w:val="3"/>
            <w:tcBorders>
              <w:top w:val="nil"/>
              <w:left w:val="nil"/>
              <w:bottom w:val="nil"/>
              <w:right w:val="nil"/>
            </w:tcBorders>
            <w:shd w:val="clear" w:color="auto" w:fill="auto"/>
          </w:tcPr>
          <w:p w14:paraId="270A2D52" w14:textId="77777777" w:rsidR="00C45D5B" w:rsidRPr="006401D1" w:rsidRDefault="00C45D5B" w:rsidP="00CF774B">
            <w:pPr>
              <w:jc w:val="center"/>
              <w:rPr>
                <w:rFonts w:cs="Times New Roman"/>
                <w:sz w:val="18"/>
                <w:szCs w:val="18"/>
              </w:rPr>
            </w:pPr>
            <w:r w:rsidRPr="006401D1">
              <w:rPr>
                <w:sz w:val="18"/>
                <w:szCs w:val="18"/>
              </w:rPr>
              <w:t>0,7</w:t>
            </w:r>
          </w:p>
        </w:tc>
        <w:tc>
          <w:tcPr>
            <w:tcW w:w="872" w:type="dxa"/>
            <w:gridSpan w:val="2"/>
            <w:tcBorders>
              <w:top w:val="nil"/>
              <w:left w:val="nil"/>
              <w:bottom w:val="nil"/>
              <w:right w:val="nil"/>
            </w:tcBorders>
            <w:shd w:val="clear" w:color="auto" w:fill="auto"/>
          </w:tcPr>
          <w:p w14:paraId="4C796F71" w14:textId="77777777" w:rsidR="00C45D5B" w:rsidRPr="006401D1" w:rsidRDefault="00C45D5B" w:rsidP="00CF774B">
            <w:pPr>
              <w:jc w:val="center"/>
              <w:rPr>
                <w:rFonts w:cs="Times New Roman"/>
                <w:sz w:val="18"/>
                <w:szCs w:val="18"/>
              </w:rPr>
            </w:pPr>
            <w:r w:rsidRPr="006401D1">
              <w:rPr>
                <w:sz w:val="18"/>
                <w:szCs w:val="18"/>
              </w:rPr>
              <w:t>0,4</w:t>
            </w:r>
          </w:p>
        </w:tc>
        <w:tc>
          <w:tcPr>
            <w:tcW w:w="728" w:type="dxa"/>
            <w:gridSpan w:val="3"/>
            <w:tcBorders>
              <w:top w:val="nil"/>
              <w:left w:val="nil"/>
              <w:bottom w:val="nil"/>
              <w:right w:val="nil"/>
            </w:tcBorders>
            <w:shd w:val="clear" w:color="auto" w:fill="auto"/>
          </w:tcPr>
          <w:p w14:paraId="69B514EB" w14:textId="77777777" w:rsidR="00C45D5B" w:rsidRPr="006401D1" w:rsidRDefault="00C45D5B" w:rsidP="00CF774B">
            <w:pPr>
              <w:jc w:val="center"/>
              <w:rPr>
                <w:rFonts w:cs="Times New Roman"/>
                <w:sz w:val="18"/>
                <w:szCs w:val="18"/>
              </w:rPr>
            </w:pPr>
            <w:r w:rsidRPr="006401D1">
              <w:rPr>
                <w:sz w:val="18"/>
                <w:szCs w:val="18"/>
              </w:rPr>
              <w:t>0,4</w:t>
            </w:r>
          </w:p>
        </w:tc>
        <w:tc>
          <w:tcPr>
            <w:tcW w:w="703" w:type="dxa"/>
            <w:gridSpan w:val="2"/>
            <w:tcBorders>
              <w:top w:val="nil"/>
              <w:left w:val="nil"/>
              <w:bottom w:val="nil"/>
              <w:right w:val="nil"/>
            </w:tcBorders>
            <w:shd w:val="clear" w:color="auto" w:fill="auto"/>
          </w:tcPr>
          <w:p w14:paraId="62F07787" w14:textId="77777777" w:rsidR="00C45D5B" w:rsidRPr="006401D1" w:rsidRDefault="00C45D5B" w:rsidP="00CF774B">
            <w:pPr>
              <w:jc w:val="center"/>
              <w:rPr>
                <w:rFonts w:cs="Times New Roman"/>
                <w:sz w:val="18"/>
                <w:szCs w:val="18"/>
              </w:rPr>
            </w:pPr>
            <w:r w:rsidRPr="006401D1">
              <w:rPr>
                <w:sz w:val="18"/>
                <w:szCs w:val="18"/>
              </w:rPr>
              <w:t>0,4</w:t>
            </w:r>
          </w:p>
        </w:tc>
        <w:tc>
          <w:tcPr>
            <w:tcW w:w="589" w:type="dxa"/>
            <w:tcBorders>
              <w:top w:val="nil"/>
              <w:left w:val="nil"/>
              <w:bottom w:val="nil"/>
              <w:right w:val="nil"/>
            </w:tcBorders>
            <w:shd w:val="clear" w:color="auto" w:fill="auto"/>
          </w:tcPr>
          <w:p w14:paraId="3E264F0F" w14:textId="77777777" w:rsidR="00C45D5B" w:rsidRPr="006401D1" w:rsidRDefault="00C45D5B" w:rsidP="00CF774B">
            <w:pPr>
              <w:jc w:val="center"/>
              <w:rPr>
                <w:rFonts w:cs="Times New Roman"/>
                <w:sz w:val="18"/>
                <w:szCs w:val="18"/>
              </w:rPr>
            </w:pPr>
            <w:r w:rsidRPr="006401D1">
              <w:rPr>
                <w:sz w:val="18"/>
                <w:szCs w:val="18"/>
              </w:rPr>
              <w:t>0,4</w:t>
            </w:r>
          </w:p>
        </w:tc>
      </w:tr>
      <w:tr w:rsidR="00C45D5B" w:rsidRPr="006401D1" w14:paraId="0528C18B"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317A9286" w14:textId="77777777" w:rsidR="00C45D5B" w:rsidRPr="006401D1" w:rsidRDefault="00C45D5B" w:rsidP="00CF774B">
            <w:pPr>
              <w:rPr>
                <w:rFonts w:cs="Times New Roman"/>
                <w:sz w:val="18"/>
                <w:szCs w:val="18"/>
              </w:rPr>
            </w:pPr>
            <w:r w:rsidRPr="006401D1">
              <w:rPr>
                <w:rFonts w:cs="Times New Roman"/>
                <w:sz w:val="18"/>
                <w:szCs w:val="18"/>
              </w:rPr>
              <w:t>15. Ostatné</w:t>
            </w:r>
          </w:p>
        </w:tc>
        <w:tc>
          <w:tcPr>
            <w:tcW w:w="933" w:type="dxa"/>
            <w:gridSpan w:val="2"/>
            <w:tcBorders>
              <w:top w:val="nil"/>
              <w:left w:val="nil"/>
              <w:bottom w:val="nil"/>
              <w:right w:val="nil"/>
            </w:tcBorders>
            <w:shd w:val="clear" w:color="auto" w:fill="auto"/>
            <w:vAlign w:val="center"/>
            <w:hideMark/>
          </w:tcPr>
          <w:p w14:paraId="4653E8C9" w14:textId="77777777" w:rsidR="00C45D5B" w:rsidRPr="006401D1" w:rsidRDefault="00C45D5B" w:rsidP="00CF774B">
            <w:pPr>
              <w:jc w:val="center"/>
              <w:rPr>
                <w:rFonts w:cs="Times New Roman"/>
                <w:sz w:val="18"/>
                <w:szCs w:val="18"/>
              </w:rPr>
            </w:pPr>
            <w:r w:rsidRPr="006401D1">
              <w:rPr>
                <w:rFonts w:cs="Times New Roman"/>
                <w:sz w:val="18"/>
                <w:szCs w:val="18"/>
                <w:vertAlign w:val="superscript"/>
              </w:rPr>
              <w:t>[4]</w:t>
            </w:r>
          </w:p>
        </w:tc>
        <w:tc>
          <w:tcPr>
            <w:tcW w:w="845" w:type="dxa"/>
            <w:gridSpan w:val="2"/>
            <w:tcBorders>
              <w:top w:val="nil"/>
              <w:left w:val="nil"/>
              <w:bottom w:val="nil"/>
              <w:right w:val="nil"/>
            </w:tcBorders>
            <w:shd w:val="clear" w:color="auto" w:fill="auto"/>
          </w:tcPr>
          <w:p w14:paraId="1C163326" w14:textId="77777777" w:rsidR="00C45D5B" w:rsidRPr="006401D1" w:rsidRDefault="00C45D5B" w:rsidP="00CF774B">
            <w:pPr>
              <w:jc w:val="center"/>
              <w:rPr>
                <w:rFonts w:cs="Times New Roman"/>
                <w:sz w:val="18"/>
                <w:szCs w:val="18"/>
              </w:rPr>
            </w:pPr>
            <w:r w:rsidRPr="006401D1">
              <w:rPr>
                <w:sz w:val="18"/>
                <w:szCs w:val="18"/>
              </w:rPr>
              <w:t xml:space="preserve">     4 719   </w:t>
            </w:r>
          </w:p>
        </w:tc>
        <w:tc>
          <w:tcPr>
            <w:tcW w:w="795" w:type="dxa"/>
            <w:gridSpan w:val="3"/>
            <w:tcBorders>
              <w:top w:val="nil"/>
              <w:left w:val="nil"/>
              <w:bottom w:val="nil"/>
              <w:right w:val="nil"/>
            </w:tcBorders>
            <w:shd w:val="clear" w:color="auto" w:fill="auto"/>
          </w:tcPr>
          <w:p w14:paraId="1AB50143" w14:textId="77777777" w:rsidR="00C45D5B" w:rsidRPr="006401D1" w:rsidRDefault="00C45D5B" w:rsidP="00CF774B">
            <w:pPr>
              <w:jc w:val="center"/>
              <w:rPr>
                <w:rFonts w:cs="Times New Roman"/>
                <w:sz w:val="18"/>
                <w:szCs w:val="18"/>
              </w:rPr>
            </w:pPr>
            <w:r w:rsidRPr="006401D1">
              <w:rPr>
                <w:sz w:val="18"/>
                <w:szCs w:val="18"/>
              </w:rPr>
              <w:t>4,9</w:t>
            </w:r>
          </w:p>
        </w:tc>
        <w:tc>
          <w:tcPr>
            <w:tcW w:w="872" w:type="dxa"/>
            <w:gridSpan w:val="2"/>
            <w:tcBorders>
              <w:top w:val="nil"/>
              <w:left w:val="nil"/>
              <w:bottom w:val="nil"/>
              <w:right w:val="nil"/>
            </w:tcBorders>
            <w:shd w:val="clear" w:color="auto" w:fill="auto"/>
          </w:tcPr>
          <w:p w14:paraId="2CFE339E" w14:textId="77777777" w:rsidR="00C45D5B" w:rsidRPr="006401D1" w:rsidRDefault="00C45D5B" w:rsidP="00CF774B">
            <w:pPr>
              <w:jc w:val="center"/>
              <w:rPr>
                <w:rFonts w:cs="Times New Roman"/>
                <w:sz w:val="18"/>
                <w:szCs w:val="18"/>
              </w:rPr>
            </w:pPr>
            <w:r w:rsidRPr="006401D1">
              <w:rPr>
                <w:sz w:val="18"/>
                <w:szCs w:val="18"/>
              </w:rPr>
              <w:t>5,5</w:t>
            </w:r>
          </w:p>
        </w:tc>
        <w:tc>
          <w:tcPr>
            <w:tcW w:w="728" w:type="dxa"/>
            <w:gridSpan w:val="3"/>
            <w:tcBorders>
              <w:top w:val="nil"/>
              <w:left w:val="nil"/>
              <w:bottom w:val="nil"/>
              <w:right w:val="nil"/>
            </w:tcBorders>
            <w:shd w:val="clear" w:color="auto" w:fill="auto"/>
          </w:tcPr>
          <w:p w14:paraId="2F0F0ACB" w14:textId="77777777" w:rsidR="00C45D5B" w:rsidRPr="006401D1" w:rsidRDefault="00C45D5B" w:rsidP="00CF774B">
            <w:pPr>
              <w:jc w:val="center"/>
              <w:rPr>
                <w:rFonts w:cs="Times New Roman"/>
                <w:sz w:val="18"/>
                <w:szCs w:val="18"/>
              </w:rPr>
            </w:pPr>
            <w:r w:rsidRPr="006401D1">
              <w:rPr>
                <w:sz w:val="18"/>
                <w:szCs w:val="18"/>
              </w:rPr>
              <w:t>6,8</w:t>
            </w:r>
          </w:p>
        </w:tc>
        <w:tc>
          <w:tcPr>
            <w:tcW w:w="703" w:type="dxa"/>
            <w:gridSpan w:val="2"/>
            <w:tcBorders>
              <w:top w:val="nil"/>
              <w:left w:val="nil"/>
              <w:bottom w:val="nil"/>
              <w:right w:val="nil"/>
            </w:tcBorders>
            <w:shd w:val="clear" w:color="auto" w:fill="auto"/>
          </w:tcPr>
          <w:p w14:paraId="6F1DD1C7" w14:textId="77777777" w:rsidR="00C45D5B" w:rsidRPr="006401D1" w:rsidRDefault="00C45D5B" w:rsidP="00CF774B">
            <w:pPr>
              <w:jc w:val="center"/>
              <w:rPr>
                <w:rFonts w:cs="Times New Roman"/>
                <w:sz w:val="18"/>
                <w:szCs w:val="18"/>
              </w:rPr>
            </w:pPr>
            <w:r w:rsidRPr="006401D1">
              <w:rPr>
                <w:sz w:val="18"/>
                <w:szCs w:val="18"/>
              </w:rPr>
              <w:t>5,0</w:t>
            </w:r>
          </w:p>
        </w:tc>
        <w:tc>
          <w:tcPr>
            <w:tcW w:w="589" w:type="dxa"/>
            <w:tcBorders>
              <w:top w:val="nil"/>
              <w:left w:val="nil"/>
              <w:bottom w:val="nil"/>
              <w:right w:val="nil"/>
            </w:tcBorders>
            <w:shd w:val="clear" w:color="auto" w:fill="auto"/>
          </w:tcPr>
          <w:p w14:paraId="6605BCCC" w14:textId="77777777" w:rsidR="00C45D5B" w:rsidRPr="006401D1" w:rsidRDefault="00C45D5B" w:rsidP="00CF774B">
            <w:pPr>
              <w:jc w:val="center"/>
              <w:rPr>
                <w:rFonts w:cs="Times New Roman"/>
                <w:sz w:val="18"/>
                <w:szCs w:val="18"/>
              </w:rPr>
            </w:pPr>
            <w:r w:rsidRPr="006401D1">
              <w:rPr>
                <w:sz w:val="18"/>
                <w:szCs w:val="18"/>
              </w:rPr>
              <w:t>4,8</w:t>
            </w:r>
          </w:p>
        </w:tc>
      </w:tr>
      <w:tr w:rsidR="00C45D5B" w:rsidRPr="006401D1" w14:paraId="35162C13" w14:textId="77777777" w:rsidTr="00CF774B">
        <w:trPr>
          <w:gridAfter w:val="3"/>
          <w:wAfter w:w="524" w:type="dxa"/>
          <w:trHeight w:val="279"/>
        </w:trPr>
        <w:tc>
          <w:tcPr>
            <w:tcW w:w="3540" w:type="dxa"/>
            <w:gridSpan w:val="3"/>
            <w:tcBorders>
              <w:top w:val="nil"/>
              <w:left w:val="nil"/>
              <w:bottom w:val="nil"/>
              <w:right w:val="nil"/>
            </w:tcBorders>
            <w:shd w:val="clear" w:color="auto" w:fill="auto"/>
            <w:vAlign w:val="center"/>
            <w:hideMark/>
          </w:tcPr>
          <w:p w14:paraId="0795A666" w14:textId="77777777" w:rsidR="00C45D5B" w:rsidRPr="006401D1" w:rsidRDefault="00C45D5B" w:rsidP="00CF774B">
            <w:pPr>
              <w:rPr>
                <w:rFonts w:cs="Times New Roman"/>
                <w:sz w:val="18"/>
                <w:szCs w:val="18"/>
              </w:rPr>
            </w:pPr>
            <w:r w:rsidRPr="006401D1">
              <w:rPr>
                <w:rFonts w:cs="Times New Roman"/>
                <w:sz w:val="18"/>
                <w:szCs w:val="18"/>
              </w:rPr>
              <w:t>16=6. Celkové príjmy</w:t>
            </w:r>
          </w:p>
        </w:tc>
        <w:tc>
          <w:tcPr>
            <w:tcW w:w="933" w:type="dxa"/>
            <w:gridSpan w:val="2"/>
            <w:tcBorders>
              <w:top w:val="nil"/>
              <w:left w:val="nil"/>
              <w:bottom w:val="nil"/>
              <w:right w:val="nil"/>
            </w:tcBorders>
            <w:shd w:val="clear" w:color="auto" w:fill="auto"/>
            <w:vAlign w:val="center"/>
            <w:hideMark/>
          </w:tcPr>
          <w:p w14:paraId="131D53AD" w14:textId="77777777" w:rsidR="00C45D5B" w:rsidRPr="006401D1" w:rsidRDefault="00C45D5B" w:rsidP="00CF774B">
            <w:pPr>
              <w:jc w:val="center"/>
              <w:rPr>
                <w:rFonts w:cs="Times New Roman"/>
                <w:sz w:val="18"/>
                <w:szCs w:val="18"/>
              </w:rPr>
            </w:pPr>
            <w:r w:rsidRPr="006401D1">
              <w:rPr>
                <w:rFonts w:cs="Times New Roman"/>
                <w:sz w:val="18"/>
                <w:szCs w:val="18"/>
              </w:rPr>
              <w:t>TR</w:t>
            </w:r>
          </w:p>
        </w:tc>
        <w:tc>
          <w:tcPr>
            <w:tcW w:w="845" w:type="dxa"/>
            <w:gridSpan w:val="2"/>
            <w:tcBorders>
              <w:top w:val="nil"/>
              <w:left w:val="nil"/>
              <w:bottom w:val="nil"/>
              <w:right w:val="nil"/>
            </w:tcBorders>
            <w:shd w:val="clear" w:color="auto" w:fill="auto"/>
          </w:tcPr>
          <w:p w14:paraId="671FC54C" w14:textId="77777777" w:rsidR="00C45D5B" w:rsidRPr="006401D1" w:rsidRDefault="00C45D5B" w:rsidP="00CF774B">
            <w:pPr>
              <w:jc w:val="center"/>
              <w:rPr>
                <w:rFonts w:cs="Times New Roman"/>
                <w:sz w:val="18"/>
                <w:szCs w:val="18"/>
              </w:rPr>
            </w:pPr>
            <w:r w:rsidRPr="006401D1">
              <w:rPr>
                <w:sz w:val="18"/>
                <w:szCs w:val="18"/>
              </w:rPr>
              <w:t xml:space="preserve">    39 512   </w:t>
            </w:r>
          </w:p>
        </w:tc>
        <w:tc>
          <w:tcPr>
            <w:tcW w:w="795" w:type="dxa"/>
            <w:gridSpan w:val="3"/>
            <w:tcBorders>
              <w:top w:val="nil"/>
              <w:left w:val="nil"/>
              <w:bottom w:val="nil"/>
              <w:right w:val="nil"/>
            </w:tcBorders>
            <w:shd w:val="clear" w:color="auto" w:fill="auto"/>
          </w:tcPr>
          <w:p w14:paraId="48E0F051" w14:textId="77777777" w:rsidR="00C45D5B" w:rsidRPr="006401D1" w:rsidRDefault="00C45D5B" w:rsidP="00CF774B">
            <w:pPr>
              <w:jc w:val="center"/>
              <w:rPr>
                <w:rFonts w:cs="Times New Roman"/>
                <w:sz w:val="18"/>
                <w:szCs w:val="18"/>
              </w:rPr>
            </w:pPr>
            <w:r w:rsidRPr="006401D1">
              <w:rPr>
                <w:sz w:val="18"/>
                <w:szCs w:val="18"/>
              </w:rPr>
              <w:t>40,7</w:t>
            </w:r>
          </w:p>
        </w:tc>
        <w:tc>
          <w:tcPr>
            <w:tcW w:w="872" w:type="dxa"/>
            <w:gridSpan w:val="2"/>
            <w:tcBorders>
              <w:top w:val="nil"/>
              <w:left w:val="nil"/>
              <w:bottom w:val="nil"/>
              <w:right w:val="nil"/>
            </w:tcBorders>
            <w:shd w:val="clear" w:color="auto" w:fill="auto"/>
          </w:tcPr>
          <w:p w14:paraId="787028FE" w14:textId="77777777" w:rsidR="00C45D5B" w:rsidRPr="006401D1" w:rsidRDefault="00C45D5B" w:rsidP="00CF774B">
            <w:pPr>
              <w:jc w:val="center"/>
              <w:rPr>
                <w:rFonts w:cs="Times New Roman"/>
                <w:sz w:val="18"/>
                <w:szCs w:val="18"/>
              </w:rPr>
            </w:pPr>
            <w:r w:rsidRPr="006401D1">
              <w:rPr>
                <w:sz w:val="18"/>
                <w:szCs w:val="18"/>
              </w:rPr>
              <w:t>40,2</w:t>
            </w:r>
          </w:p>
        </w:tc>
        <w:tc>
          <w:tcPr>
            <w:tcW w:w="728" w:type="dxa"/>
            <w:gridSpan w:val="3"/>
            <w:tcBorders>
              <w:top w:val="nil"/>
              <w:left w:val="nil"/>
              <w:bottom w:val="nil"/>
              <w:right w:val="nil"/>
            </w:tcBorders>
            <w:shd w:val="clear" w:color="auto" w:fill="auto"/>
          </w:tcPr>
          <w:p w14:paraId="01E182C0" w14:textId="77777777" w:rsidR="00C45D5B" w:rsidRPr="006401D1" w:rsidRDefault="00C45D5B" w:rsidP="00CF774B">
            <w:pPr>
              <w:jc w:val="center"/>
              <w:rPr>
                <w:rFonts w:cs="Times New Roman"/>
                <w:sz w:val="18"/>
                <w:szCs w:val="18"/>
              </w:rPr>
            </w:pPr>
            <w:r w:rsidRPr="006401D1">
              <w:rPr>
                <w:sz w:val="18"/>
                <w:szCs w:val="18"/>
              </w:rPr>
              <w:t>41,2</w:t>
            </w:r>
          </w:p>
        </w:tc>
        <w:tc>
          <w:tcPr>
            <w:tcW w:w="703" w:type="dxa"/>
            <w:gridSpan w:val="2"/>
            <w:tcBorders>
              <w:top w:val="nil"/>
              <w:left w:val="nil"/>
              <w:bottom w:val="nil"/>
              <w:right w:val="nil"/>
            </w:tcBorders>
            <w:shd w:val="clear" w:color="auto" w:fill="auto"/>
          </w:tcPr>
          <w:p w14:paraId="4361B792" w14:textId="77777777" w:rsidR="00C45D5B" w:rsidRPr="006401D1" w:rsidRDefault="00C45D5B" w:rsidP="00CF774B">
            <w:pPr>
              <w:jc w:val="center"/>
              <w:rPr>
                <w:rFonts w:cs="Times New Roman"/>
                <w:sz w:val="18"/>
                <w:szCs w:val="18"/>
              </w:rPr>
            </w:pPr>
            <w:r w:rsidRPr="006401D1">
              <w:rPr>
                <w:sz w:val="18"/>
                <w:szCs w:val="18"/>
              </w:rPr>
              <w:t>39,1</w:t>
            </w:r>
          </w:p>
        </w:tc>
        <w:tc>
          <w:tcPr>
            <w:tcW w:w="589" w:type="dxa"/>
            <w:tcBorders>
              <w:top w:val="nil"/>
              <w:left w:val="nil"/>
              <w:bottom w:val="nil"/>
              <w:right w:val="nil"/>
            </w:tcBorders>
            <w:shd w:val="clear" w:color="auto" w:fill="auto"/>
          </w:tcPr>
          <w:p w14:paraId="16CC423F" w14:textId="77777777" w:rsidR="00C45D5B" w:rsidRPr="006401D1" w:rsidRDefault="00C45D5B" w:rsidP="00CF774B">
            <w:pPr>
              <w:jc w:val="center"/>
              <w:rPr>
                <w:rFonts w:cs="Times New Roman"/>
                <w:sz w:val="18"/>
                <w:szCs w:val="18"/>
              </w:rPr>
            </w:pPr>
            <w:r w:rsidRPr="006401D1">
              <w:rPr>
                <w:sz w:val="18"/>
                <w:szCs w:val="18"/>
              </w:rPr>
              <w:t>39,0</w:t>
            </w:r>
          </w:p>
        </w:tc>
      </w:tr>
      <w:tr w:rsidR="00C45D5B" w:rsidRPr="006401D1" w14:paraId="26D08B17" w14:textId="77777777" w:rsidTr="00CF774B">
        <w:trPr>
          <w:gridAfter w:val="3"/>
          <w:wAfter w:w="524" w:type="dxa"/>
          <w:trHeight w:val="279"/>
        </w:trPr>
        <w:tc>
          <w:tcPr>
            <w:tcW w:w="3540" w:type="dxa"/>
            <w:gridSpan w:val="3"/>
            <w:tcBorders>
              <w:top w:val="nil"/>
              <w:left w:val="nil"/>
              <w:bottom w:val="single" w:sz="4" w:space="0" w:color="auto"/>
              <w:right w:val="nil"/>
            </w:tcBorders>
            <w:shd w:val="clear" w:color="auto" w:fill="auto"/>
            <w:noWrap/>
            <w:vAlign w:val="center"/>
            <w:hideMark/>
          </w:tcPr>
          <w:p w14:paraId="2EA5AFCB" w14:textId="77777777" w:rsidR="00C45D5B" w:rsidRPr="006401D1" w:rsidRDefault="00C45D5B" w:rsidP="00CF774B">
            <w:pPr>
              <w:rPr>
                <w:rFonts w:cs="Times New Roman"/>
                <w:sz w:val="18"/>
                <w:szCs w:val="18"/>
              </w:rPr>
            </w:pPr>
            <w:r w:rsidRPr="006401D1">
              <w:rPr>
                <w:rFonts w:cs="Times New Roman"/>
                <w:sz w:val="18"/>
                <w:szCs w:val="18"/>
              </w:rPr>
              <w:t>p. m.: Daňové zaťaženie (D.2+D.5+D.61+D.91-D.995)</w:t>
            </w:r>
          </w:p>
        </w:tc>
        <w:tc>
          <w:tcPr>
            <w:tcW w:w="933" w:type="dxa"/>
            <w:gridSpan w:val="2"/>
            <w:tcBorders>
              <w:top w:val="nil"/>
              <w:left w:val="nil"/>
              <w:bottom w:val="single" w:sz="4" w:space="0" w:color="auto"/>
              <w:right w:val="nil"/>
            </w:tcBorders>
            <w:shd w:val="clear" w:color="auto" w:fill="auto"/>
            <w:vAlign w:val="center"/>
            <w:hideMark/>
          </w:tcPr>
          <w:p w14:paraId="2555BEE3" w14:textId="77777777" w:rsidR="00C45D5B" w:rsidRPr="006401D1" w:rsidRDefault="00C45D5B" w:rsidP="00CF774B">
            <w:pPr>
              <w:jc w:val="center"/>
              <w:rPr>
                <w:rFonts w:cs="Times New Roman"/>
                <w:sz w:val="18"/>
                <w:szCs w:val="18"/>
              </w:rPr>
            </w:pPr>
            <w:r w:rsidRPr="006401D1">
              <w:rPr>
                <w:rFonts w:cs="Times New Roman"/>
                <w:sz w:val="18"/>
                <w:szCs w:val="18"/>
                <w:vertAlign w:val="superscript"/>
              </w:rPr>
              <w:t>[5]</w:t>
            </w:r>
          </w:p>
        </w:tc>
        <w:tc>
          <w:tcPr>
            <w:tcW w:w="845" w:type="dxa"/>
            <w:gridSpan w:val="2"/>
            <w:tcBorders>
              <w:top w:val="nil"/>
              <w:left w:val="nil"/>
              <w:bottom w:val="nil"/>
              <w:right w:val="nil"/>
            </w:tcBorders>
            <w:shd w:val="clear" w:color="auto" w:fill="auto"/>
          </w:tcPr>
          <w:p w14:paraId="6588D085" w14:textId="77777777" w:rsidR="00C45D5B" w:rsidRPr="006401D1" w:rsidRDefault="00C45D5B" w:rsidP="00CF774B">
            <w:pPr>
              <w:jc w:val="center"/>
              <w:rPr>
                <w:rFonts w:cs="Times New Roman"/>
                <w:sz w:val="18"/>
                <w:szCs w:val="18"/>
              </w:rPr>
            </w:pPr>
            <w:r w:rsidRPr="006401D1">
              <w:rPr>
                <w:sz w:val="18"/>
                <w:szCs w:val="18"/>
              </w:rPr>
              <w:t xml:space="preserve">    34 793   </w:t>
            </w:r>
          </w:p>
        </w:tc>
        <w:tc>
          <w:tcPr>
            <w:tcW w:w="795" w:type="dxa"/>
            <w:gridSpan w:val="3"/>
            <w:tcBorders>
              <w:top w:val="nil"/>
              <w:left w:val="nil"/>
              <w:bottom w:val="nil"/>
              <w:right w:val="nil"/>
            </w:tcBorders>
            <w:shd w:val="clear" w:color="auto" w:fill="auto"/>
          </w:tcPr>
          <w:p w14:paraId="4CB47826" w14:textId="77777777" w:rsidR="00C45D5B" w:rsidRPr="006401D1" w:rsidRDefault="00C45D5B" w:rsidP="00CF774B">
            <w:pPr>
              <w:jc w:val="center"/>
              <w:rPr>
                <w:rFonts w:cs="Times New Roman"/>
                <w:sz w:val="18"/>
                <w:szCs w:val="18"/>
              </w:rPr>
            </w:pPr>
            <w:r w:rsidRPr="006401D1">
              <w:rPr>
                <w:sz w:val="18"/>
                <w:szCs w:val="18"/>
              </w:rPr>
              <w:t xml:space="preserve">       35,8   </w:t>
            </w:r>
          </w:p>
        </w:tc>
        <w:tc>
          <w:tcPr>
            <w:tcW w:w="872" w:type="dxa"/>
            <w:gridSpan w:val="2"/>
            <w:tcBorders>
              <w:top w:val="nil"/>
              <w:left w:val="nil"/>
              <w:bottom w:val="nil"/>
              <w:right w:val="nil"/>
            </w:tcBorders>
            <w:shd w:val="clear" w:color="auto" w:fill="auto"/>
          </w:tcPr>
          <w:p w14:paraId="427230FB" w14:textId="77777777" w:rsidR="00C45D5B" w:rsidRPr="006401D1" w:rsidRDefault="00C45D5B" w:rsidP="00CF774B">
            <w:pPr>
              <w:jc w:val="center"/>
              <w:rPr>
                <w:rFonts w:cs="Times New Roman"/>
                <w:sz w:val="18"/>
                <w:szCs w:val="18"/>
              </w:rPr>
            </w:pPr>
            <w:r w:rsidRPr="006401D1">
              <w:rPr>
                <w:sz w:val="18"/>
                <w:szCs w:val="18"/>
              </w:rPr>
              <w:t xml:space="preserve">       34,7   </w:t>
            </w:r>
          </w:p>
        </w:tc>
        <w:tc>
          <w:tcPr>
            <w:tcW w:w="728" w:type="dxa"/>
            <w:gridSpan w:val="3"/>
            <w:tcBorders>
              <w:top w:val="nil"/>
              <w:left w:val="nil"/>
              <w:bottom w:val="nil"/>
              <w:right w:val="nil"/>
            </w:tcBorders>
            <w:shd w:val="clear" w:color="auto" w:fill="auto"/>
          </w:tcPr>
          <w:p w14:paraId="31CDEB98" w14:textId="77777777" w:rsidR="00C45D5B" w:rsidRPr="006401D1" w:rsidRDefault="00C45D5B" w:rsidP="00CF774B">
            <w:pPr>
              <w:jc w:val="center"/>
              <w:rPr>
                <w:rFonts w:cs="Times New Roman"/>
                <w:sz w:val="18"/>
                <w:szCs w:val="18"/>
              </w:rPr>
            </w:pPr>
            <w:r w:rsidRPr="006401D1">
              <w:rPr>
                <w:sz w:val="18"/>
                <w:szCs w:val="18"/>
              </w:rPr>
              <w:t xml:space="preserve">       34,5   </w:t>
            </w:r>
          </w:p>
        </w:tc>
        <w:tc>
          <w:tcPr>
            <w:tcW w:w="703" w:type="dxa"/>
            <w:gridSpan w:val="2"/>
            <w:tcBorders>
              <w:top w:val="nil"/>
              <w:left w:val="nil"/>
              <w:bottom w:val="nil"/>
              <w:right w:val="nil"/>
            </w:tcBorders>
            <w:shd w:val="clear" w:color="auto" w:fill="auto"/>
          </w:tcPr>
          <w:p w14:paraId="43D3FAF6" w14:textId="77777777" w:rsidR="00C45D5B" w:rsidRPr="006401D1" w:rsidRDefault="00C45D5B" w:rsidP="00CF774B">
            <w:pPr>
              <w:jc w:val="center"/>
              <w:rPr>
                <w:rFonts w:cs="Times New Roman"/>
                <w:sz w:val="18"/>
                <w:szCs w:val="18"/>
              </w:rPr>
            </w:pPr>
            <w:r w:rsidRPr="006401D1">
              <w:rPr>
                <w:sz w:val="18"/>
                <w:szCs w:val="18"/>
              </w:rPr>
              <w:t xml:space="preserve">34,2          </w:t>
            </w:r>
          </w:p>
        </w:tc>
        <w:tc>
          <w:tcPr>
            <w:tcW w:w="589" w:type="dxa"/>
            <w:tcBorders>
              <w:top w:val="nil"/>
              <w:left w:val="nil"/>
              <w:bottom w:val="single" w:sz="4" w:space="0" w:color="auto"/>
              <w:right w:val="nil"/>
            </w:tcBorders>
            <w:shd w:val="clear" w:color="auto" w:fill="auto"/>
          </w:tcPr>
          <w:p w14:paraId="364F99EB" w14:textId="77777777" w:rsidR="00C45D5B" w:rsidRPr="006401D1" w:rsidRDefault="00C45D5B" w:rsidP="00CF774B">
            <w:pPr>
              <w:jc w:val="center"/>
              <w:rPr>
                <w:rFonts w:cs="Times New Roman"/>
                <w:sz w:val="18"/>
                <w:szCs w:val="18"/>
              </w:rPr>
            </w:pPr>
            <w:r w:rsidRPr="006401D1">
              <w:rPr>
                <w:sz w:val="18"/>
                <w:szCs w:val="18"/>
              </w:rPr>
              <w:t xml:space="preserve">34,2          </w:t>
            </w:r>
          </w:p>
        </w:tc>
      </w:tr>
      <w:tr w:rsidR="00C45D5B" w:rsidRPr="006401D1" w14:paraId="7B152ED9" w14:textId="77777777" w:rsidTr="00CF774B">
        <w:trPr>
          <w:gridAfter w:val="3"/>
          <w:wAfter w:w="524" w:type="dxa"/>
          <w:trHeight w:val="279"/>
        </w:trPr>
        <w:tc>
          <w:tcPr>
            <w:tcW w:w="9005" w:type="dxa"/>
            <w:gridSpan w:val="18"/>
            <w:tcBorders>
              <w:top w:val="single" w:sz="4" w:space="0" w:color="auto"/>
              <w:left w:val="nil"/>
              <w:bottom w:val="single" w:sz="6" w:space="0" w:color="auto"/>
              <w:right w:val="nil"/>
            </w:tcBorders>
            <w:shd w:val="clear" w:color="auto" w:fill="auto"/>
            <w:vAlign w:val="center"/>
            <w:hideMark/>
          </w:tcPr>
          <w:p w14:paraId="2974A61B" w14:textId="77777777" w:rsidR="00C45D5B" w:rsidRPr="006401D1" w:rsidRDefault="00C45D5B" w:rsidP="00CF774B">
            <w:pPr>
              <w:jc w:val="center"/>
              <w:rPr>
                <w:rFonts w:cs="Times New Roman"/>
                <w:b/>
                <w:bCs/>
                <w:sz w:val="18"/>
                <w:szCs w:val="18"/>
              </w:rPr>
            </w:pPr>
            <w:r w:rsidRPr="006401D1">
              <w:rPr>
                <w:rFonts w:cs="Times New Roman"/>
                <w:b/>
                <w:bCs/>
                <w:sz w:val="18"/>
                <w:szCs w:val="18"/>
              </w:rPr>
              <w:t>Vybrané zložky výdavkov</w:t>
            </w:r>
          </w:p>
        </w:tc>
      </w:tr>
      <w:tr w:rsidR="00C45D5B" w:rsidRPr="006401D1" w14:paraId="6306184E" w14:textId="77777777" w:rsidTr="00CF774B">
        <w:trPr>
          <w:gridAfter w:val="3"/>
          <w:wAfter w:w="524" w:type="dxa"/>
          <w:trHeight w:val="279"/>
        </w:trPr>
        <w:tc>
          <w:tcPr>
            <w:tcW w:w="3540" w:type="dxa"/>
            <w:gridSpan w:val="3"/>
            <w:tcBorders>
              <w:top w:val="single" w:sz="6" w:space="0" w:color="auto"/>
              <w:left w:val="nil"/>
              <w:bottom w:val="nil"/>
              <w:right w:val="nil"/>
            </w:tcBorders>
            <w:shd w:val="clear" w:color="auto" w:fill="auto"/>
            <w:hideMark/>
          </w:tcPr>
          <w:p w14:paraId="76B34140" w14:textId="77777777" w:rsidR="00C45D5B" w:rsidRPr="006401D1" w:rsidRDefault="00C45D5B" w:rsidP="00CF774B">
            <w:pPr>
              <w:rPr>
                <w:rFonts w:cs="Times New Roman"/>
                <w:sz w:val="18"/>
                <w:szCs w:val="18"/>
              </w:rPr>
            </w:pPr>
            <w:r w:rsidRPr="006401D1">
              <w:rPr>
                <w:rFonts w:cs="Times New Roman"/>
                <w:sz w:val="18"/>
                <w:szCs w:val="18"/>
              </w:rPr>
              <w:t>17. Odmeny zamestnancov + Medzispotreba</w:t>
            </w:r>
          </w:p>
        </w:tc>
        <w:tc>
          <w:tcPr>
            <w:tcW w:w="933" w:type="dxa"/>
            <w:gridSpan w:val="2"/>
            <w:tcBorders>
              <w:top w:val="single" w:sz="6" w:space="0" w:color="auto"/>
              <w:left w:val="nil"/>
              <w:bottom w:val="nil"/>
              <w:right w:val="nil"/>
            </w:tcBorders>
            <w:shd w:val="clear" w:color="auto" w:fill="auto"/>
            <w:hideMark/>
          </w:tcPr>
          <w:p w14:paraId="55DB2F5B" w14:textId="77777777" w:rsidR="00C45D5B" w:rsidRPr="006401D1" w:rsidRDefault="00C45D5B" w:rsidP="00CF774B">
            <w:pPr>
              <w:jc w:val="center"/>
              <w:rPr>
                <w:rFonts w:cs="Times New Roman"/>
                <w:sz w:val="18"/>
                <w:szCs w:val="18"/>
              </w:rPr>
            </w:pPr>
            <w:r w:rsidRPr="006401D1">
              <w:rPr>
                <w:rFonts w:cs="Times New Roman"/>
                <w:sz w:val="18"/>
                <w:szCs w:val="18"/>
              </w:rPr>
              <w:t>D.1+P.2</w:t>
            </w:r>
          </w:p>
        </w:tc>
        <w:tc>
          <w:tcPr>
            <w:tcW w:w="845" w:type="dxa"/>
            <w:gridSpan w:val="2"/>
            <w:tcBorders>
              <w:top w:val="nil"/>
              <w:left w:val="nil"/>
              <w:bottom w:val="nil"/>
              <w:right w:val="nil"/>
            </w:tcBorders>
            <w:shd w:val="clear" w:color="auto" w:fill="auto"/>
            <w:vAlign w:val="center"/>
          </w:tcPr>
          <w:p w14:paraId="54B4A0AE" w14:textId="77777777" w:rsidR="00C45D5B" w:rsidRPr="006401D1" w:rsidRDefault="00C45D5B" w:rsidP="00CF774B">
            <w:pPr>
              <w:jc w:val="center"/>
              <w:rPr>
                <w:rFonts w:cs="Times New Roman"/>
                <w:sz w:val="18"/>
                <w:szCs w:val="18"/>
              </w:rPr>
            </w:pPr>
            <w:r w:rsidRPr="006401D1">
              <w:rPr>
                <w:sz w:val="18"/>
                <w:szCs w:val="18"/>
              </w:rPr>
              <w:t>17 057</w:t>
            </w:r>
          </w:p>
        </w:tc>
        <w:tc>
          <w:tcPr>
            <w:tcW w:w="795" w:type="dxa"/>
            <w:gridSpan w:val="3"/>
            <w:tcBorders>
              <w:top w:val="nil"/>
              <w:left w:val="nil"/>
              <w:bottom w:val="nil"/>
              <w:right w:val="nil"/>
            </w:tcBorders>
            <w:shd w:val="clear" w:color="auto" w:fill="auto"/>
            <w:vAlign w:val="center"/>
          </w:tcPr>
          <w:p w14:paraId="30851F42" w14:textId="77777777" w:rsidR="00C45D5B" w:rsidRPr="006401D1" w:rsidRDefault="00C45D5B" w:rsidP="00CF774B">
            <w:pPr>
              <w:jc w:val="center"/>
              <w:rPr>
                <w:rFonts w:cs="Times New Roman"/>
                <w:sz w:val="18"/>
                <w:szCs w:val="18"/>
              </w:rPr>
            </w:pPr>
            <w:r w:rsidRPr="006401D1">
              <w:rPr>
                <w:sz w:val="18"/>
                <w:szCs w:val="18"/>
              </w:rPr>
              <w:t>17,6</w:t>
            </w:r>
          </w:p>
        </w:tc>
        <w:tc>
          <w:tcPr>
            <w:tcW w:w="872" w:type="dxa"/>
            <w:gridSpan w:val="2"/>
            <w:tcBorders>
              <w:top w:val="nil"/>
              <w:left w:val="nil"/>
              <w:bottom w:val="nil"/>
              <w:right w:val="nil"/>
            </w:tcBorders>
            <w:shd w:val="clear" w:color="auto" w:fill="auto"/>
            <w:vAlign w:val="center"/>
          </w:tcPr>
          <w:p w14:paraId="7E0CFDF7" w14:textId="77777777" w:rsidR="00C45D5B" w:rsidRPr="006401D1" w:rsidRDefault="00C45D5B" w:rsidP="00CF774B">
            <w:pPr>
              <w:jc w:val="center"/>
              <w:rPr>
                <w:rFonts w:cs="Times New Roman"/>
                <w:sz w:val="18"/>
                <w:szCs w:val="18"/>
              </w:rPr>
            </w:pPr>
            <w:r w:rsidRPr="006401D1">
              <w:rPr>
                <w:sz w:val="18"/>
                <w:szCs w:val="18"/>
              </w:rPr>
              <w:t>17,4</w:t>
            </w:r>
          </w:p>
        </w:tc>
        <w:tc>
          <w:tcPr>
            <w:tcW w:w="728" w:type="dxa"/>
            <w:gridSpan w:val="3"/>
            <w:tcBorders>
              <w:top w:val="nil"/>
              <w:left w:val="nil"/>
              <w:bottom w:val="nil"/>
              <w:right w:val="nil"/>
            </w:tcBorders>
            <w:shd w:val="clear" w:color="auto" w:fill="auto"/>
            <w:vAlign w:val="center"/>
          </w:tcPr>
          <w:p w14:paraId="5377E883" w14:textId="77777777" w:rsidR="00C45D5B" w:rsidRPr="006401D1" w:rsidRDefault="00C45D5B" w:rsidP="00CF774B">
            <w:pPr>
              <w:jc w:val="center"/>
              <w:rPr>
                <w:rFonts w:cs="Times New Roman"/>
                <w:sz w:val="18"/>
                <w:szCs w:val="18"/>
              </w:rPr>
            </w:pPr>
            <w:r w:rsidRPr="006401D1">
              <w:rPr>
                <w:sz w:val="18"/>
                <w:szCs w:val="18"/>
              </w:rPr>
              <w:t>17,1</w:t>
            </w:r>
          </w:p>
        </w:tc>
        <w:tc>
          <w:tcPr>
            <w:tcW w:w="703" w:type="dxa"/>
            <w:gridSpan w:val="2"/>
            <w:tcBorders>
              <w:top w:val="nil"/>
              <w:left w:val="nil"/>
              <w:bottom w:val="nil"/>
              <w:right w:val="nil"/>
            </w:tcBorders>
            <w:shd w:val="clear" w:color="auto" w:fill="auto"/>
            <w:vAlign w:val="center"/>
          </w:tcPr>
          <w:p w14:paraId="3A1FC621" w14:textId="77777777" w:rsidR="00C45D5B" w:rsidRPr="006401D1" w:rsidRDefault="00C45D5B" w:rsidP="00CF774B">
            <w:pPr>
              <w:jc w:val="center"/>
              <w:rPr>
                <w:rFonts w:cs="Times New Roman"/>
                <w:sz w:val="18"/>
                <w:szCs w:val="18"/>
              </w:rPr>
            </w:pPr>
            <w:r w:rsidRPr="006401D1">
              <w:rPr>
                <w:sz w:val="18"/>
                <w:szCs w:val="18"/>
              </w:rPr>
              <w:t>15,5</w:t>
            </w:r>
          </w:p>
        </w:tc>
        <w:tc>
          <w:tcPr>
            <w:tcW w:w="589" w:type="dxa"/>
            <w:tcBorders>
              <w:top w:val="nil"/>
              <w:left w:val="nil"/>
              <w:bottom w:val="nil"/>
              <w:right w:val="nil"/>
            </w:tcBorders>
            <w:shd w:val="clear" w:color="auto" w:fill="auto"/>
            <w:vAlign w:val="center"/>
          </w:tcPr>
          <w:p w14:paraId="70009FF9" w14:textId="77777777" w:rsidR="00C45D5B" w:rsidRPr="006401D1" w:rsidRDefault="00C45D5B" w:rsidP="00CF774B">
            <w:pPr>
              <w:jc w:val="center"/>
              <w:rPr>
                <w:rFonts w:cs="Times New Roman"/>
                <w:sz w:val="18"/>
                <w:szCs w:val="18"/>
              </w:rPr>
            </w:pPr>
            <w:r w:rsidRPr="006401D1">
              <w:rPr>
                <w:sz w:val="18"/>
                <w:szCs w:val="18"/>
              </w:rPr>
              <w:t>15,1</w:t>
            </w:r>
          </w:p>
        </w:tc>
      </w:tr>
      <w:tr w:rsidR="00C45D5B" w:rsidRPr="006401D1" w14:paraId="235DB178"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7BDF441F" w14:textId="77777777" w:rsidR="00C45D5B" w:rsidRPr="006401D1" w:rsidRDefault="00C45D5B" w:rsidP="00CF774B">
            <w:pPr>
              <w:rPr>
                <w:rFonts w:cs="Times New Roman"/>
                <w:sz w:val="18"/>
                <w:szCs w:val="18"/>
              </w:rPr>
            </w:pPr>
            <w:r w:rsidRPr="006401D1">
              <w:rPr>
                <w:rFonts w:cs="Times New Roman"/>
                <w:sz w:val="18"/>
                <w:szCs w:val="18"/>
              </w:rPr>
              <w:t>17a. Odmeny zamestnancov</w:t>
            </w:r>
          </w:p>
        </w:tc>
        <w:tc>
          <w:tcPr>
            <w:tcW w:w="933" w:type="dxa"/>
            <w:gridSpan w:val="2"/>
            <w:tcBorders>
              <w:top w:val="nil"/>
              <w:left w:val="nil"/>
              <w:bottom w:val="nil"/>
              <w:right w:val="nil"/>
            </w:tcBorders>
            <w:shd w:val="clear" w:color="auto" w:fill="auto"/>
            <w:hideMark/>
          </w:tcPr>
          <w:p w14:paraId="3F4546A8" w14:textId="77777777" w:rsidR="00C45D5B" w:rsidRPr="006401D1" w:rsidRDefault="00C45D5B" w:rsidP="00CF774B">
            <w:pPr>
              <w:jc w:val="center"/>
              <w:rPr>
                <w:rFonts w:cs="Times New Roman"/>
                <w:sz w:val="18"/>
                <w:szCs w:val="18"/>
              </w:rPr>
            </w:pPr>
            <w:r w:rsidRPr="006401D1">
              <w:rPr>
                <w:rFonts w:cs="Times New Roman"/>
                <w:sz w:val="18"/>
                <w:szCs w:val="18"/>
              </w:rPr>
              <w:t>D.1</w:t>
            </w:r>
          </w:p>
        </w:tc>
        <w:tc>
          <w:tcPr>
            <w:tcW w:w="845" w:type="dxa"/>
            <w:gridSpan w:val="2"/>
            <w:tcBorders>
              <w:top w:val="nil"/>
              <w:left w:val="nil"/>
              <w:bottom w:val="nil"/>
              <w:right w:val="nil"/>
            </w:tcBorders>
            <w:shd w:val="clear" w:color="auto" w:fill="auto"/>
            <w:vAlign w:val="center"/>
          </w:tcPr>
          <w:p w14:paraId="5FB47C5D" w14:textId="77777777" w:rsidR="00C45D5B" w:rsidRPr="006401D1" w:rsidRDefault="00C45D5B" w:rsidP="00CF774B">
            <w:pPr>
              <w:jc w:val="center"/>
              <w:rPr>
                <w:rFonts w:cs="Times New Roman"/>
                <w:sz w:val="18"/>
                <w:szCs w:val="18"/>
              </w:rPr>
            </w:pPr>
            <w:r w:rsidRPr="006401D1">
              <w:rPr>
                <w:sz w:val="18"/>
                <w:szCs w:val="18"/>
              </w:rPr>
              <w:t>11 243</w:t>
            </w:r>
          </w:p>
        </w:tc>
        <w:tc>
          <w:tcPr>
            <w:tcW w:w="795" w:type="dxa"/>
            <w:gridSpan w:val="3"/>
            <w:tcBorders>
              <w:top w:val="nil"/>
              <w:left w:val="nil"/>
              <w:bottom w:val="nil"/>
              <w:right w:val="nil"/>
            </w:tcBorders>
            <w:shd w:val="clear" w:color="auto" w:fill="auto"/>
            <w:vAlign w:val="center"/>
          </w:tcPr>
          <w:p w14:paraId="2A13D3C1" w14:textId="77777777" w:rsidR="00C45D5B" w:rsidRPr="006401D1" w:rsidRDefault="00C45D5B" w:rsidP="00CF774B">
            <w:pPr>
              <w:jc w:val="center"/>
              <w:rPr>
                <w:rFonts w:cs="Times New Roman"/>
                <w:sz w:val="18"/>
                <w:szCs w:val="18"/>
              </w:rPr>
            </w:pPr>
            <w:r w:rsidRPr="006401D1">
              <w:rPr>
                <w:sz w:val="18"/>
                <w:szCs w:val="18"/>
              </w:rPr>
              <w:t>11,6</w:t>
            </w:r>
          </w:p>
        </w:tc>
        <w:tc>
          <w:tcPr>
            <w:tcW w:w="872" w:type="dxa"/>
            <w:gridSpan w:val="2"/>
            <w:tcBorders>
              <w:top w:val="nil"/>
              <w:left w:val="nil"/>
              <w:bottom w:val="nil"/>
              <w:right w:val="nil"/>
            </w:tcBorders>
            <w:shd w:val="clear" w:color="auto" w:fill="auto"/>
            <w:vAlign w:val="center"/>
          </w:tcPr>
          <w:p w14:paraId="55AF5007" w14:textId="77777777" w:rsidR="00C45D5B" w:rsidRPr="006401D1" w:rsidRDefault="00C45D5B" w:rsidP="00CF774B">
            <w:pPr>
              <w:jc w:val="center"/>
              <w:rPr>
                <w:rFonts w:cs="Times New Roman"/>
                <w:sz w:val="18"/>
                <w:szCs w:val="18"/>
              </w:rPr>
            </w:pPr>
            <w:r w:rsidRPr="006401D1">
              <w:rPr>
                <w:sz w:val="18"/>
                <w:szCs w:val="18"/>
              </w:rPr>
              <w:t>10,4</w:t>
            </w:r>
          </w:p>
        </w:tc>
        <w:tc>
          <w:tcPr>
            <w:tcW w:w="728" w:type="dxa"/>
            <w:gridSpan w:val="3"/>
            <w:tcBorders>
              <w:top w:val="nil"/>
              <w:left w:val="nil"/>
              <w:bottom w:val="nil"/>
              <w:right w:val="nil"/>
            </w:tcBorders>
            <w:shd w:val="clear" w:color="auto" w:fill="auto"/>
            <w:vAlign w:val="center"/>
          </w:tcPr>
          <w:p w14:paraId="419E103C" w14:textId="77777777" w:rsidR="00C45D5B" w:rsidRPr="006401D1" w:rsidRDefault="00C45D5B" w:rsidP="00CF774B">
            <w:pPr>
              <w:jc w:val="center"/>
              <w:rPr>
                <w:rFonts w:cs="Times New Roman"/>
                <w:sz w:val="18"/>
                <w:szCs w:val="18"/>
              </w:rPr>
            </w:pPr>
            <w:r w:rsidRPr="006401D1">
              <w:rPr>
                <w:sz w:val="18"/>
                <w:szCs w:val="18"/>
              </w:rPr>
              <w:t>9,5</w:t>
            </w:r>
          </w:p>
        </w:tc>
        <w:tc>
          <w:tcPr>
            <w:tcW w:w="703" w:type="dxa"/>
            <w:gridSpan w:val="2"/>
            <w:tcBorders>
              <w:top w:val="nil"/>
              <w:left w:val="nil"/>
              <w:bottom w:val="nil"/>
              <w:right w:val="nil"/>
            </w:tcBorders>
            <w:shd w:val="clear" w:color="auto" w:fill="auto"/>
            <w:vAlign w:val="center"/>
          </w:tcPr>
          <w:p w14:paraId="67E192A7" w14:textId="77777777" w:rsidR="00C45D5B" w:rsidRPr="006401D1" w:rsidRDefault="00C45D5B" w:rsidP="00CF774B">
            <w:pPr>
              <w:jc w:val="center"/>
              <w:rPr>
                <w:rFonts w:cs="Times New Roman"/>
                <w:sz w:val="18"/>
                <w:szCs w:val="18"/>
              </w:rPr>
            </w:pPr>
            <w:r w:rsidRPr="006401D1">
              <w:rPr>
                <w:sz w:val="18"/>
                <w:szCs w:val="18"/>
              </w:rPr>
              <w:t>9,4</w:t>
            </w:r>
          </w:p>
        </w:tc>
        <w:tc>
          <w:tcPr>
            <w:tcW w:w="589" w:type="dxa"/>
            <w:tcBorders>
              <w:top w:val="nil"/>
              <w:left w:val="nil"/>
              <w:bottom w:val="nil"/>
              <w:right w:val="nil"/>
            </w:tcBorders>
            <w:shd w:val="clear" w:color="auto" w:fill="auto"/>
            <w:vAlign w:val="center"/>
          </w:tcPr>
          <w:p w14:paraId="53C40E19" w14:textId="77777777" w:rsidR="00C45D5B" w:rsidRPr="006401D1" w:rsidRDefault="00C45D5B" w:rsidP="00CF774B">
            <w:pPr>
              <w:jc w:val="center"/>
              <w:rPr>
                <w:rFonts w:cs="Times New Roman"/>
                <w:sz w:val="18"/>
                <w:szCs w:val="18"/>
              </w:rPr>
            </w:pPr>
            <w:r w:rsidRPr="006401D1">
              <w:rPr>
                <w:sz w:val="18"/>
                <w:szCs w:val="18"/>
              </w:rPr>
              <w:t>9,0</w:t>
            </w:r>
          </w:p>
        </w:tc>
      </w:tr>
      <w:tr w:rsidR="00C45D5B" w:rsidRPr="006401D1" w14:paraId="170E0614"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5C6E2102" w14:textId="77777777" w:rsidR="00C45D5B" w:rsidRPr="006401D1" w:rsidRDefault="00C45D5B" w:rsidP="00CF774B">
            <w:pPr>
              <w:rPr>
                <w:rFonts w:cs="Times New Roman"/>
                <w:sz w:val="18"/>
                <w:szCs w:val="18"/>
              </w:rPr>
            </w:pPr>
            <w:r w:rsidRPr="006401D1">
              <w:rPr>
                <w:rFonts w:cs="Times New Roman"/>
                <w:sz w:val="18"/>
                <w:szCs w:val="18"/>
              </w:rPr>
              <w:t>17b. Medzispotreba</w:t>
            </w:r>
          </w:p>
        </w:tc>
        <w:tc>
          <w:tcPr>
            <w:tcW w:w="933" w:type="dxa"/>
            <w:gridSpan w:val="2"/>
            <w:tcBorders>
              <w:top w:val="nil"/>
              <w:left w:val="nil"/>
              <w:bottom w:val="nil"/>
              <w:right w:val="nil"/>
            </w:tcBorders>
            <w:shd w:val="clear" w:color="auto" w:fill="auto"/>
            <w:hideMark/>
          </w:tcPr>
          <w:p w14:paraId="07F53075" w14:textId="77777777" w:rsidR="00C45D5B" w:rsidRPr="006401D1" w:rsidRDefault="00C45D5B" w:rsidP="00CF774B">
            <w:pPr>
              <w:jc w:val="center"/>
              <w:rPr>
                <w:rFonts w:cs="Times New Roman"/>
                <w:sz w:val="18"/>
                <w:szCs w:val="18"/>
              </w:rPr>
            </w:pPr>
            <w:r w:rsidRPr="006401D1">
              <w:rPr>
                <w:rFonts w:cs="Times New Roman"/>
                <w:sz w:val="18"/>
                <w:szCs w:val="18"/>
              </w:rPr>
              <w:t>P.2</w:t>
            </w:r>
          </w:p>
        </w:tc>
        <w:tc>
          <w:tcPr>
            <w:tcW w:w="845" w:type="dxa"/>
            <w:gridSpan w:val="2"/>
            <w:tcBorders>
              <w:top w:val="nil"/>
              <w:left w:val="nil"/>
              <w:bottom w:val="nil"/>
              <w:right w:val="nil"/>
            </w:tcBorders>
            <w:shd w:val="clear" w:color="auto" w:fill="auto"/>
            <w:vAlign w:val="center"/>
          </w:tcPr>
          <w:p w14:paraId="6450AD1A" w14:textId="77777777" w:rsidR="00C45D5B" w:rsidRPr="006401D1" w:rsidRDefault="00C45D5B" w:rsidP="00CF774B">
            <w:pPr>
              <w:jc w:val="center"/>
              <w:rPr>
                <w:rFonts w:cs="Times New Roman"/>
                <w:sz w:val="18"/>
                <w:szCs w:val="18"/>
              </w:rPr>
            </w:pPr>
            <w:r w:rsidRPr="006401D1">
              <w:rPr>
                <w:sz w:val="18"/>
                <w:szCs w:val="18"/>
              </w:rPr>
              <w:t>5 814</w:t>
            </w:r>
          </w:p>
        </w:tc>
        <w:tc>
          <w:tcPr>
            <w:tcW w:w="795" w:type="dxa"/>
            <w:gridSpan w:val="3"/>
            <w:tcBorders>
              <w:top w:val="nil"/>
              <w:left w:val="nil"/>
              <w:bottom w:val="nil"/>
              <w:right w:val="nil"/>
            </w:tcBorders>
            <w:shd w:val="clear" w:color="auto" w:fill="auto"/>
            <w:vAlign w:val="center"/>
          </w:tcPr>
          <w:p w14:paraId="060DABEB" w14:textId="77777777" w:rsidR="00C45D5B" w:rsidRPr="006401D1" w:rsidRDefault="00C45D5B" w:rsidP="00CF774B">
            <w:pPr>
              <w:jc w:val="center"/>
              <w:rPr>
                <w:rFonts w:cs="Times New Roman"/>
                <w:sz w:val="18"/>
                <w:szCs w:val="18"/>
              </w:rPr>
            </w:pPr>
            <w:r w:rsidRPr="006401D1">
              <w:rPr>
                <w:sz w:val="18"/>
                <w:szCs w:val="18"/>
              </w:rPr>
              <w:t>6,0</w:t>
            </w:r>
          </w:p>
        </w:tc>
        <w:tc>
          <w:tcPr>
            <w:tcW w:w="872" w:type="dxa"/>
            <w:gridSpan w:val="2"/>
            <w:tcBorders>
              <w:top w:val="nil"/>
              <w:left w:val="nil"/>
              <w:bottom w:val="nil"/>
              <w:right w:val="nil"/>
            </w:tcBorders>
            <w:shd w:val="clear" w:color="auto" w:fill="auto"/>
            <w:vAlign w:val="center"/>
          </w:tcPr>
          <w:p w14:paraId="5589184F" w14:textId="77777777" w:rsidR="00C45D5B" w:rsidRPr="006401D1" w:rsidRDefault="00C45D5B" w:rsidP="00CF774B">
            <w:pPr>
              <w:jc w:val="center"/>
              <w:rPr>
                <w:rFonts w:cs="Times New Roman"/>
                <w:sz w:val="18"/>
                <w:szCs w:val="18"/>
              </w:rPr>
            </w:pPr>
            <w:r w:rsidRPr="006401D1">
              <w:rPr>
                <w:sz w:val="18"/>
                <w:szCs w:val="18"/>
              </w:rPr>
              <w:t>7,0</w:t>
            </w:r>
          </w:p>
        </w:tc>
        <w:tc>
          <w:tcPr>
            <w:tcW w:w="728" w:type="dxa"/>
            <w:gridSpan w:val="3"/>
            <w:tcBorders>
              <w:top w:val="nil"/>
              <w:left w:val="nil"/>
              <w:bottom w:val="nil"/>
              <w:right w:val="nil"/>
            </w:tcBorders>
            <w:shd w:val="clear" w:color="auto" w:fill="auto"/>
            <w:vAlign w:val="center"/>
          </w:tcPr>
          <w:p w14:paraId="0776628C" w14:textId="77777777" w:rsidR="00C45D5B" w:rsidRPr="006401D1" w:rsidRDefault="00C45D5B" w:rsidP="00CF774B">
            <w:pPr>
              <w:jc w:val="center"/>
              <w:rPr>
                <w:rFonts w:cs="Times New Roman"/>
                <w:sz w:val="18"/>
                <w:szCs w:val="18"/>
              </w:rPr>
            </w:pPr>
            <w:r w:rsidRPr="006401D1">
              <w:rPr>
                <w:sz w:val="18"/>
                <w:szCs w:val="18"/>
              </w:rPr>
              <w:t>7,6</w:t>
            </w:r>
          </w:p>
        </w:tc>
        <w:tc>
          <w:tcPr>
            <w:tcW w:w="703" w:type="dxa"/>
            <w:gridSpan w:val="2"/>
            <w:tcBorders>
              <w:top w:val="nil"/>
              <w:left w:val="nil"/>
              <w:bottom w:val="nil"/>
              <w:right w:val="nil"/>
            </w:tcBorders>
            <w:shd w:val="clear" w:color="auto" w:fill="auto"/>
            <w:vAlign w:val="center"/>
          </w:tcPr>
          <w:p w14:paraId="63AF5226" w14:textId="77777777" w:rsidR="00C45D5B" w:rsidRPr="006401D1" w:rsidRDefault="00C45D5B" w:rsidP="00CF774B">
            <w:pPr>
              <w:jc w:val="center"/>
              <w:rPr>
                <w:rFonts w:cs="Times New Roman"/>
                <w:sz w:val="18"/>
                <w:szCs w:val="18"/>
              </w:rPr>
            </w:pPr>
            <w:r w:rsidRPr="006401D1">
              <w:rPr>
                <w:sz w:val="18"/>
                <w:szCs w:val="18"/>
              </w:rPr>
              <w:t>6,2</w:t>
            </w:r>
          </w:p>
        </w:tc>
        <w:tc>
          <w:tcPr>
            <w:tcW w:w="589" w:type="dxa"/>
            <w:tcBorders>
              <w:top w:val="nil"/>
              <w:left w:val="nil"/>
              <w:bottom w:val="nil"/>
              <w:right w:val="nil"/>
            </w:tcBorders>
            <w:shd w:val="clear" w:color="auto" w:fill="auto"/>
            <w:vAlign w:val="center"/>
          </w:tcPr>
          <w:p w14:paraId="57EF6BF9" w14:textId="77777777" w:rsidR="00C45D5B" w:rsidRPr="006401D1" w:rsidRDefault="00C45D5B" w:rsidP="00CF774B">
            <w:pPr>
              <w:jc w:val="center"/>
              <w:rPr>
                <w:rFonts w:cs="Times New Roman"/>
                <w:sz w:val="18"/>
                <w:szCs w:val="18"/>
              </w:rPr>
            </w:pPr>
            <w:r w:rsidRPr="006401D1">
              <w:rPr>
                <w:sz w:val="18"/>
                <w:szCs w:val="18"/>
              </w:rPr>
              <w:t>6,1</w:t>
            </w:r>
          </w:p>
        </w:tc>
      </w:tr>
      <w:tr w:rsidR="00C45D5B" w:rsidRPr="006401D1" w14:paraId="7C69606F"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100BDFD8" w14:textId="77777777" w:rsidR="00C45D5B" w:rsidRPr="006401D1" w:rsidRDefault="00C45D5B" w:rsidP="00CF774B">
            <w:pPr>
              <w:rPr>
                <w:rFonts w:cs="Times New Roman"/>
                <w:sz w:val="18"/>
                <w:szCs w:val="18"/>
              </w:rPr>
            </w:pPr>
            <w:r w:rsidRPr="006401D1">
              <w:rPr>
                <w:rFonts w:cs="Times New Roman"/>
                <w:sz w:val="18"/>
                <w:szCs w:val="18"/>
              </w:rPr>
              <w:t>18. Celkové sociálne transfery</w:t>
            </w:r>
          </w:p>
        </w:tc>
        <w:tc>
          <w:tcPr>
            <w:tcW w:w="933" w:type="dxa"/>
            <w:gridSpan w:val="2"/>
            <w:tcBorders>
              <w:top w:val="nil"/>
              <w:left w:val="nil"/>
              <w:bottom w:val="nil"/>
              <w:right w:val="nil"/>
            </w:tcBorders>
            <w:shd w:val="clear" w:color="auto" w:fill="auto"/>
            <w:hideMark/>
          </w:tcPr>
          <w:p w14:paraId="32972C40" w14:textId="77777777" w:rsidR="00C45D5B" w:rsidRPr="006401D1" w:rsidRDefault="00C45D5B" w:rsidP="00CF774B">
            <w:pPr>
              <w:jc w:val="center"/>
              <w:rPr>
                <w:rFonts w:cs="Times New Roman"/>
                <w:sz w:val="18"/>
                <w:szCs w:val="18"/>
              </w:rPr>
            </w:pPr>
            <w:r w:rsidRPr="006401D1">
              <w:rPr>
                <w:rFonts w:cs="Times New Roman"/>
                <w:sz w:val="18"/>
                <w:szCs w:val="18"/>
              </w:rPr>
              <w:t>D6</w:t>
            </w:r>
          </w:p>
        </w:tc>
        <w:tc>
          <w:tcPr>
            <w:tcW w:w="845" w:type="dxa"/>
            <w:gridSpan w:val="2"/>
            <w:tcBorders>
              <w:top w:val="nil"/>
              <w:left w:val="nil"/>
              <w:bottom w:val="nil"/>
              <w:right w:val="nil"/>
            </w:tcBorders>
            <w:shd w:val="clear" w:color="auto" w:fill="auto"/>
            <w:vAlign w:val="center"/>
          </w:tcPr>
          <w:p w14:paraId="6C89515D" w14:textId="77777777" w:rsidR="00C45D5B" w:rsidRPr="006401D1" w:rsidRDefault="00C45D5B" w:rsidP="00CF774B">
            <w:pPr>
              <w:jc w:val="center"/>
              <w:rPr>
                <w:rFonts w:cs="Times New Roman"/>
                <w:sz w:val="18"/>
                <w:szCs w:val="18"/>
              </w:rPr>
            </w:pPr>
            <w:r w:rsidRPr="006401D1">
              <w:rPr>
                <w:sz w:val="18"/>
                <w:szCs w:val="18"/>
              </w:rPr>
              <w:t>18 376</w:t>
            </w:r>
          </w:p>
        </w:tc>
        <w:tc>
          <w:tcPr>
            <w:tcW w:w="795" w:type="dxa"/>
            <w:gridSpan w:val="3"/>
            <w:tcBorders>
              <w:top w:val="nil"/>
              <w:left w:val="nil"/>
              <w:bottom w:val="nil"/>
              <w:right w:val="nil"/>
            </w:tcBorders>
            <w:shd w:val="clear" w:color="auto" w:fill="auto"/>
            <w:vAlign w:val="center"/>
          </w:tcPr>
          <w:p w14:paraId="6B034CE0" w14:textId="77777777" w:rsidR="00C45D5B" w:rsidRPr="006401D1" w:rsidRDefault="00C45D5B" w:rsidP="00CF774B">
            <w:pPr>
              <w:jc w:val="center"/>
              <w:rPr>
                <w:rFonts w:cs="Times New Roman"/>
                <w:sz w:val="18"/>
                <w:szCs w:val="18"/>
              </w:rPr>
            </w:pPr>
            <w:r w:rsidRPr="006401D1">
              <w:rPr>
                <w:sz w:val="18"/>
                <w:szCs w:val="18"/>
              </w:rPr>
              <w:t>18,9</w:t>
            </w:r>
          </w:p>
        </w:tc>
        <w:tc>
          <w:tcPr>
            <w:tcW w:w="872" w:type="dxa"/>
            <w:gridSpan w:val="2"/>
            <w:tcBorders>
              <w:top w:val="nil"/>
              <w:left w:val="nil"/>
              <w:bottom w:val="nil"/>
              <w:right w:val="nil"/>
            </w:tcBorders>
            <w:shd w:val="clear" w:color="auto" w:fill="auto"/>
            <w:vAlign w:val="center"/>
          </w:tcPr>
          <w:p w14:paraId="78A92362" w14:textId="77777777" w:rsidR="00C45D5B" w:rsidRPr="006401D1" w:rsidRDefault="00C45D5B" w:rsidP="00CF774B">
            <w:pPr>
              <w:jc w:val="center"/>
              <w:rPr>
                <w:rFonts w:cs="Times New Roman"/>
                <w:sz w:val="18"/>
                <w:szCs w:val="18"/>
              </w:rPr>
            </w:pPr>
            <w:r w:rsidRPr="006401D1">
              <w:rPr>
                <w:sz w:val="18"/>
                <w:szCs w:val="18"/>
              </w:rPr>
              <w:t>17,9</w:t>
            </w:r>
          </w:p>
        </w:tc>
        <w:tc>
          <w:tcPr>
            <w:tcW w:w="728" w:type="dxa"/>
            <w:gridSpan w:val="3"/>
            <w:tcBorders>
              <w:top w:val="nil"/>
              <w:left w:val="nil"/>
              <w:bottom w:val="nil"/>
              <w:right w:val="nil"/>
            </w:tcBorders>
            <w:shd w:val="clear" w:color="auto" w:fill="auto"/>
            <w:vAlign w:val="center"/>
          </w:tcPr>
          <w:p w14:paraId="0BBF6A1B" w14:textId="77777777" w:rsidR="00C45D5B" w:rsidRPr="006401D1" w:rsidRDefault="00C45D5B" w:rsidP="00CF774B">
            <w:pPr>
              <w:jc w:val="center"/>
              <w:rPr>
                <w:rFonts w:cs="Times New Roman"/>
                <w:sz w:val="18"/>
                <w:szCs w:val="18"/>
              </w:rPr>
            </w:pPr>
            <w:r w:rsidRPr="006401D1">
              <w:rPr>
                <w:sz w:val="18"/>
                <w:szCs w:val="18"/>
              </w:rPr>
              <w:t>17,0</w:t>
            </w:r>
          </w:p>
        </w:tc>
        <w:tc>
          <w:tcPr>
            <w:tcW w:w="703" w:type="dxa"/>
            <w:gridSpan w:val="2"/>
            <w:tcBorders>
              <w:top w:val="nil"/>
              <w:left w:val="nil"/>
              <w:bottom w:val="nil"/>
              <w:right w:val="nil"/>
            </w:tcBorders>
            <w:shd w:val="clear" w:color="auto" w:fill="auto"/>
            <w:vAlign w:val="center"/>
          </w:tcPr>
          <w:p w14:paraId="495638E4" w14:textId="77777777" w:rsidR="00C45D5B" w:rsidRPr="006401D1" w:rsidRDefault="00C45D5B" w:rsidP="00CF774B">
            <w:pPr>
              <w:jc w:val="center"/>
              <w:rPr>
                <w:rFonts w:cs="Times New Roman"/>
                <w:sz w:val="18"/>
                <w:szCs w:val="18"/>
              </w:rPr>
            </w:pPr>
            <w:r w:rsidRPr="006401D1">
              <w:rPr>
                <w:sz w:val="18"/>
                <w:szCs w:val="18"/>
              </w:rPr>
              <w:t>17,4</w:t>
            </w:r>
          </w:p>
        </w:tc>
        <w:tc>
          <w:tcPr>
            <w:tcW w:w="589" w:type="dxa"/>
            <w:tcBorders>
              <w:top w:val="nil"/>
              <w:left w:val="nil"/>
              <w:bottom w:val="nil"/>
              <w:right w:val="nil"/>
            </w:tcBorders>
            <w:shd w:val="clear" w:color="auto" w:fill="auto"/>
            <w:vAlign w:val="center"/>
          </w:tcPr>
          <w:p w14:paraId="0BD16DAE" w14:textId="77777777" w:rsidR="00C45D5B" w:rsidRPr="006401D1" w:rsidRDefault="00C45D5B" w:rsidP="00CF774B">
            <w:pPr>
              <w:jc w:val="center"/>
              <w:rPr>
                <w:rFonts w:cs="Times New Roman"/>
                <w:sz w:val="18"/>
                <w:szCs w:val="18"/>
              </w:rPr>
            </w:pPr>
            <w:r w:rsidRPr="006401D1">
              <w:rPr>
                <w:sz w:val="18"/>
                <w:szCs w:val="18"/>
              </w:rPr>
              <w:t>17,3</w:t>
            </w:r>
          </w:p>
        </w:tc>
      </w:tr>
      <w:tr w:rsidR="00C45D5B" w:rsidRPr="006401D1" w14:paraId="39038D6E"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71A57350" w14:textId="77777777" w:rsidR="00C45D5B" w:rsidRPr="006401D1" w:rsidRDefault="00C45D5B" w:rsidP="00CF774B">
            <w:pPr>
              <w:rPr>
                <w:rFonts w:cs="Times New Roman"/>
                <w:sz w:val="18"/>
                <w:szCs w:val="18"/>
              </w:rPr>
            </w:pPr>
            <w:r w:rsidRPr="006401D1">
              <w:rPr>
                <w:rFonts w:cs="Times New Roman"/>
                <w:sz w:val="18"/>
                <w:szCs w:val="18"/>
              </w:rPr>
              <w:t xml:space="preserve"> z toho: dávky v nezamestnanosti</w:t>
            </w:r>
          </w:p>
        </w:tc>
        <w:tc>
          <w:tcPr>
            <w:tcW w:w="933" w:type="dxa"/>
            <w:gridSpan w:val="2"/>
            <w:tcBorders>
              <w:top w:val="nil"/>
              <w:left w:val="nil"/>
              <w:bottom w:val="nil"/>
              <w:right w:val="nil"/>
            </w:tcBorders>
            <w:shd w:val="clear" w:color="auto" w:fill="auto"/>
            <w:hideMark/>
          </w:tcPr>
          <w:p w14:paraId="7345C0F7" w14:textId="77777777" w:rsidR="00C45D5B" w:rsidRPr="006401D1" w:rsidRDefault="00C45D5B" w:rsidP="00CF774B">
            <w:pPr>
              <w:jc w:val="center"/>
              <w:rPr>
                <w:rFonts w:cs="Times New Roman"/>
                <w:sz w:val="18"/>
                <w:szCs w:val="18"/>
              </w:rPr>
            </w:pPr>
            <w:r w:rsidRPr="006401D1">
              <w:rPr>
                <w:rFonts w:cs="Times New Roman"/>
                <w:sz w:val="18"/>
                <w:szCs w:val="18"/>
                <w:vertAlign w:val="superscript"/>
              </w:rPr>
              <w:t>[6]</w:t>
            </w:r>
          </w:p>
        </w:tc>
        <w:tc>
          <w:tcPr>
            <w:tcW w:w="845" w:type="dxa"/>
            <w:gridSpan w:val="2"/>
            <w:tcBorders>
              <w:top w:val="nil"/>
              <w:left w:val="nil"/>
              <w:bottom w:val="nil"/>
              <w:right w:val="nil"/>
            </w:tcBorders>
            <w:shd w:val="clear" w:color="auto" w:fill="auto"/>
            <w:vAlign w:val="center"/>
          </w:tcPr>
          <w:p w14:paraId="5608BC24" w14:textId="77777777" w:rsidR="00C45D5B" w:rsidRPr="006401D1" w:rsidRDefault="00C45D5B" w:rsidP="00CF774B">
            <w:pPr>
              <w:jc w:val="center"/>
              <w:rPr>
                <w:rFonts w:cs="Times New Roman"/>
                <w:sz w:val="18"/>
                <w:szCs w:val="18"/>
              </w:rPr>
            </w:pPr>
            <w:r w:rsidRPr="006401D1">
              <w:rPr>
                <w:sz w:val="18"/>
                <w:szCs w:val="18"/>
              </w:rPr>
              <w:t>290</w:t>
            </w:r>
          </w:p>
        </w:tc>
        <w:tc>
          <w:tcPr>
            <w:tcW w:w="795" w:type="dxa"/>
            <w:gridSpan w:val="3"/>
            <w:tcBorders>
              <w:top w:val="nil"/>
              <w:left w:val="nil"/>
              <w:bottom w:val="nil"/>
              <w:right w:val="nil"/>
            </w:tcBorders>
            <w:shd w:val="clear" w:color="auto" w:fill="auto"/>
            <w:vAlign w:val="center"/>
          </w:tcPr>
          <w:p w14:paraId="28268706" w14:textId="77777777" w:rsidR="00C45D5B" w:rsidRPr="006401D1" w:rsidRDefault="00C45D5B" w:rsidP="00CF774B">
            <w:pPr>
              <w:jc w:val="center"/>
              <w:rPr>
                <w:rFonts w:cs="Times New Roman"/>
                <w:sz w:val="18"/>
                <w:szCs w:val="18"/>
              </w:rPr>
            </w:pPr>
            <w:r w:rsidRPr="006401D1">
              <w:rPr>
                <w:sz w:val="18"/>
                <w:szCs w:val="18"/>
              </w:rPr>
              <w:t>0,3</w:t>
            </w:r>
          </w:p>
        </w:tc>
        <w:tc>
          <w:tcPr>
            <w:tcW w:w="872" w:type="dxa"/>
            <w:gridSpan w:val="2"/>
            <w:tcBorders>
              <w:top w:val="nil"/>
              <w:left w:val="nil"/>
              <w:bottom w:val="nil"/>
              <w:right w:val="nil"/>
            </w:tcBorders>
            <w:shd w:val="clear" w:color="auto" w:fill="auto"/>
            <w:vAlign w:val="center"/>
          </w:tcPr>
          <w:p w14:paraId="6916B1C4" w14:textId="77777777" w:rsidR="00C45D5B" w:rsidRPr="006401D1" w:rsidRDefault="00C45D5B" w:rsidP="00CF774B">
            <w:pPr>
              <w:jc w:val="center"/>
              <w:rPr>
                <w:rFonts w:cs="Times New Roman"/>
                <w:sz w:val="18"/>
                <w:szCs w:val="18"/>
              </w:rPr>
            </w:pPr>
            <w:r w:rsidRPr="006401D1">
              <w:rPr>
                <w:sz w:val="18"/>
                <w:szCs w:val="18"/>
              </w:rPr>
              <w:t>0,3</w:t>
            </w:r>
          </w:p>
        </w:tc>
        <w:tc>
          <w:tcPr>
            <w:tcW w:w="728" w:type="dxa"/>
            <w:gridSpan w:val="3"/>
            <w:tcBorders>
              <w:top w:val="nil"/>
              <w:left w:val="nil"/>
              <w:bottom w:val="nil"/>
              <w:right w:val="nil"/>
            </w:tcBorders>
            <w:shd w:val="clear" w:color="auto" w:fill="auto"/>
            <w:vAlign w:val="center"/>
          </w:tcPr>
          <w:p w14:paraId="26AE9C13" w14:textId="77777777" w:rsidR="00C45D5B" w:rsidRPr="006401D1" w:rsidRDefault="00C45D5B" w:rsidP="00CF774B">
            <w:pPr>
              <w:jc w:val="center"/>
              <w:rPr>
                <w:rFonts w:cs="Times New Roman"/>
                <w:sz w:val="18"/>
                <w:szCs w:val="18"/>
              </w:rPr>
            </w:pPr>
            <w:r w:rsidRPr="006401D1">
              <w:rPr>
                <w:sz w:val="18"/>
                <w:szCs w:val="18"/>
              </w:rPr>
              <w:t>0,2</w:t>
            </w:r>
          </w:p>
        </w:tc>
        <w:tc>
          <w:tcPr>
            <w:tcW w:w="703" w:type="dxa"/>
            <w:gridSpan w:val="2"/>
            <w:tcBorders>
              <w:top w:val="nil"/>
              <w:left w:val="nil"/>
              <w:bottom w:val="nil"/>
              <w:right w:val="nil"/>
            </w:tcBorders>
            <w:shd w:val="clear" w:color="auto" w:fill="auto"/>
            <w:vAlign w:val="center"/>
          </w:tcPr>
          <w:p w14:paraId="13A63FA6" w14:textId="77777777" w:rsidR="00C45D5B" w:rsidRPr="006401D1" w:rsidRDefault="00C45D5B" w:rsidP="00CF774B">
            <w:pPr>
              <w:jc w:val="center"/>
              <w:rPr>
                <w:rFonts w:cs="Times New Roman"/>
                <w:sz w:val="18"/>
                <w:szCs w:val="18"/>
              </w:rPr>
            </w:pPr>
            <w:r w:rsidRPr="006401D1">
              <w:rPr>
                <w:sz w:val="18"/>
                <w:szCs w:val="18"/>
              </w:rPr>
              <w:t>0,2</w:t>
            </w:r>
          </w:p>
        </w:tc>
        <w:tc>
          <w:tcPr>
            <w:tcW w:w="589" w:type="dxa"/>
            <w:tcBorders>
              <w:top w:val="nil"/>
              <w:left w:val="nil"/>
              <w:bottom w:val="nil"/>
              <w:right w:val="nil"/>
            </w:tcBorders>
            <w:shd w:val="clear" w:color="auto" w:fill="auto"/>
            <w:vAlign w:val="center"/>
          </w:tcPr>
          <w:p w14:paraId="6BE4865D" w14:textId="77777777" w:rsidR="00C45D5B" w:rsidRPr="006401D1" w:rsidRDefault="00C45D5B" w:rsidP="00CF774B">
            <w:pPr>
              <w:jc w:val="center"/>
              <w:rPr>
                <w:rFonts w:cs="Times New Roman"/>
                <w:sz w:val="18"/>
                <w:szCs w:val="18"/>
              </w:rPr>
            </w:pPr>
            <w:r w:rsidRPr="006401D1">
              <w:rPr>
                <w:sz w:val="18"/>
                <w:szCs w:val="18"/>
              </w:rPr>
              <w:t>0,2</w:t>
            </w:r>
          </w:p>
        </w:tc>
      </w:tr>
      <w:tr w:rsidR="00C45D5B" w:rsidRPr="006401D1" w14:paraId="5FD6CB85"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58558150" w14:textId="77777777" w:rsidR="00C45D5B" w:rsidRPr="006401D1" w:rsidRDefault="00C45D5B" w:rsidP="00CF774B">
            <w:pPr>
              <w:rPr>
                <w:rFonts w:cs="Times New Roman"/>
                <w:sz w:val="18"/>
                <w:szCs w:val="18"/>
              </w:rPr>
            </w:pPr>
            <w:r w:rsidRPr="006401D1">
              <w:rPr>
                <w:rFonts w:cs="Times New Roman"/>
                <w:sz w:val="18"/>
                <w:szCs w:val="18"/>
              </w:rPr>
              <w:t>18a. Naturálne sociálne transfery</w:t>
            </w:r>
          </w:p>
        </w:tc>
        <w:tc>
          <w:tcPr>
            <w:tcW w:w="933" w:type="dxa"/>
            <w:gridSpan w:val="2"/>
            <w:tcBorders>
              <w:top w:val="nil"/>
              <w:left w:val="nil"/>
              <w:bottom w:val="nil"/>
              <w:right w:val="nil"/>
            </w:tcBorders>
            <w:shd w:val="clear" w:color="auto" w:fill="auto"/>
            <w:hideMark/>
          </w:tcPr>
          <w:p w14:paraId="634EB76C" w14:textId="77777777" w:rsidR="00C45D5B" w:rsidRPr="006401D1" w:rsidRDefault="00C45D5B" w:rsidP="00CF774B">
            <w:pPr>
              <w:jc w:val="center"/>
              <w:rPr>
                <w:rFonts w:cs="Times New Roman"/>
                <w:sz w:val="18"/>
                <w:szCs w:val="18"/>
              </w:rPr>
            </w:pPr>
            <w:r w:rsidRPr="006401D1">
              <w:rPr>
                <w:rFonts w:cs="Times New Roman"/>
                <w:sz w:val="18"/>
                <w:szCs w:val="18"/>
              </w:rPr>
              <w:t>D.632</w:t>
            </w:r>
          </w:p>
        </w:tc>
        <w:tc>
          <w:tcPr>
            <w:tcW w:w="845" w:type="dxa"/>
            <w:gridSpan w:val="2"/>
            <w:tcBorders>
              <w:top w:val="nil"/>
              <w:left w:val="nil"/>
              <w:bottom w:val="nil"/>
              <w:right w:val="nil"/>
            </w:tcBorders>
            <w:shd w:val="clear" w:color="auto" w:fill="auto"/>
            <w:vAlign w:val="center"/>
          </w:tcPr>
          <w:p w14:paraId="5DDF9083" w14:textId="77777777" w:rsidR="00C45D5B" w:rsidRPr="006401D1" w:rsidRDefault="00C45D5B" w:rsidP="00CF774B">
            <w:pPr>
              <w:jc w:val="center"/>
              <w:rPr>
                <w:rFonts w:cs="Times New Roman"/>
                <w:sz w:val="18"/>
                <w:szCs w:val="18"/>
              </w:rPr>
            </w:pPr>
            <w:r w:rsidRPr="006401D1">
              <w:rPr>
                <w:sz w:val="18"/>
                <w:szCs w:val="18"/>
              </w:rPr>
              <w:t>3 405</w:t>
            </w:r>
          </w:p>
        </w:tc>
        <w:tc>
          <w:tcPr>
            <w:tcW w:w="795" w:type="dxa"/>
            <w:gridSpan w:val="3"/>
            <w:tcBorders>
              <w:top w:val="nil"/>
              <w:left w:val="nil"/>
              <w:bottom w:val="nil"/>
              <w:right w:val="nil"/>
            </w:tcBorders>
            <w:shd w:val="clear" w:color="auto" w:fill="auto"/>
            <w:vAlign w:val="center"/>
          </w:tcPr>
          <w:p w14:paraId="64B7C91B" w14:textId="77777777" w:rsidR="00C45D5B" w:rsidRPr="006401D1" w:rsidRDefault="00C45D5B" w:rsidP="00CF774B">
            <w:pPr>
              <w:jc w:val="center"/>
              <w:rPr>
                <w:rFonts w:cs="Times New Roman"/>
                <w:sz w:val="18"/>
                <w:szCs w:val="18"/>
              </w:rPr>
            </w:pPr>
            <w:r w:rsidRPr="006401D1">
              <w:rPr>
                <w:sz w:val="18"/>
                <w:szCs w:val="18"/>
              </w:rPr>
              <w:t>4,1</w:t>
            </w:r>
          </w:p>
        </w:tc>
        <w:tc>
          <w:tcPr>
            <w:tcW w:w="872" w:type="dxa"/>
            <w:gridSpan w:val="2"/>
            <w:tcBorders>
              <w:top w:val="nil"/>
              <w:left w:val="nil"/>
              <w:bottom w:val="nil"/>
              <w:right w:val="nil"/>
            </w:tcBorders>
            <w:shd w:val="clear" w:color="auto" w:fill="auto"/>
            <w:vAlign w:val="center"/>
          </w:tcPr>
          <w:p w14:paraId="79AAF0A4" w14:textId="77777777" w:rsidR="00C45D5B" w:rsidRPr="006401D1" w:rsidRDefault="00C45D5B" w:rsidP="00CF774B">
            <w:pPr>
              <w:jc w:val="center"/>
              <w:rPr>
                <w:rFonts w:cs="Times New Roman"/>
                <w:sz w:val="18"/>
                <w:szCs w:val="18"/>
              </w:rPr>
            </w:pPr>
            <w:r w:rsidRPr="006401D1">
              <w:rPr>
                <w:sz w:val="18"/>
                <w:szCs w:val="18"/>
              </w:rPr>
              <w:t>2,4</w:t>
            </w:r>
          </w:p>
        </w:tc>
        <w:tc>
          <w:tcPr>
            <w:tcW w:w="728" w:type="dxa"/>
            <w:gridSpan w:val="3"/>
            <w:tcBorders>
              <w:top w:val="nil"/>
              <w:left w:val="nil"/>
              <w:bottom w:val="nil"/>
              <w:right w:val="nil"/>
            </w:tcBorders>
            <w:shd w:val="clear" w:color="auto" w:fill="auto"/>
            <w:vAlign w:val="center"/>
          </w:tcPr>
          <w:p w14:paraId="2DDEA9A2" w14:textId="77777777" w:rsidR="00C45D5B" w:rsidRPr="006401D1" w:rsidRDefault="00C45D5B" w:rsidP="00CF774B">
            <w:pPr>
              <w:jc w:val="center"/>
              <w:rPr>
                <w:rFonts w:cs="Times New Roman"/>
                <w:sz w:val="18"/>
                <w:szCs w:val="18"/>
              </w:rPr>
            </w:pPr>
            <w:r w:rsidRPr="006401D1">
              <w:rPr>
                <w:sz w:val="18"/>
                <w:szCs w:val="18"/>
              </w:rPr>
              <w:t>2,8</w:t>
            </w:r>
          </w:p>
        </w:tc>
        <w:tc>
          <w:tcPr>
            <w:tcW w:w="703" w:type="dxa"/>
            <w:gridSpan w:val="2"/>
            <w:tcBorders>
              <w:top w:val="nil"/>
              <w:left w:val="nil"/>
              <w:bottom w:val="nil"/>
              <w:right w:val="nil"/>
            </w:tcBorders>
            <w:shd w:val="clear" w:color="auto" w:fill="auto"/>
            <w:vAlign w:val="center"/>
          </w:tcPr>
          <w:p w14:paraId="521E6E9D" w14:textId="77777777" w:rsidR="00C45D5B" w:rsidRPr="006401D1" w:rsidRDefault="00C45D5B" w:rsidP="00CF774B">
            <w:pPr>
              <w:jc w:val="center"/>
              <w:rPr>
                <w:rFonts w:cs="Times New Roman"/>
                <w:sz w:val="18"/>
                <w:szCs w:val="18"/>
              </w:rPr>
            </w:pPr>
            <w:r w:rsidRPr="006401D1">
              <w:rPr>
                <w:sz w:val="18"/>
                <w:szCs w:val="18"/>
              </w:rPr>
              <w:t>2,3</w:t>
            </w:r>
          </w:p>
        </w:tc>
        <w:tc>
          <w:tcPr>
            <w:tcW w:w="589" w:type="dxa"/>
            <w:tcBorders>
              <w:top w:val="nil"/>
              <w:left w:val="nil"/>
              <w:bottom w:val="nil"/>
              <w:right w:val="nil"/>
            </w:tcBorders>
            <w:shd w:val="clear" w:color="auto" w:fill="auto"/>
            <w:vAlign w:val="center"/>
          </w:tcPr>
          <w:p w14:paraId="748650CD" w14:textId="77777777" w:rsidR="00C45D5B" w:rsidRPr="006401D1" w:rsidRDefault="00C45D5B" w:rsidP="00CF774B">
            <w:pPr>
              <w:jc w:val="center"/>
              <w:rPr>
                <w:rFonts w:cs="Times New Roman"/>
                <w:sz w:val="18"/>
                <w:szCs w:val="18"/>
              </w:rPr>
            </w:pPr>
            <w:r w:rsidRPr="006401D1">
              <w:rPr>
                <w:sz w:val="18"/>
                <w:szCs w:val="18"/>
              </w:rPr>
              <w:t>2,3</w:t>
            </w:r>
          </w:p>
        </w:tc>
      </w:tr>
      <w:tr w:rsidR="00C45D5B" w:rsidRPr="006401D1" w14:paraId="1125B1D9"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4E4AA1AE" w14:textId="77777777" w:rsidR="00C45D5B" w:rsidRPr="006401D1" w:rsidRDefault="00C45D5B" w:rsidP="00CF774B">
            <w:pPr>
              <w:rPr>
                <w:rFonts w:cs="Times New Roman"/>
                <w:sz w:val="18"/>
                <w:szCs w:val="18"/>
              </w:rPr>
            </w:pPr>
            <w:r w:rsidRPr="006401D1">
              <w:rPr>
                <w:rFonts w:cs="Times New Roman"/>
                <w:sz w:val="18"/>
                <w:szCs w:val="18"/>
              </w:rPr>
              <w:t>18b. Sociálne dávky okrem naturálnych soc. transferov</w:t>
            </w:r>
          </w:p>
        </w:tc>
        <w:tc>
          <w:tcPr>
            <w:tcW w:w="933" w:type="dxa"/>
            <w:gridSpan w:val="2"/>
            <w:tcBorders>
              <w:top w:val="nil"/>
              <w:left w:val="nil"/>
              <w:bottom w:val="nil"/>
              <w:right w:val="nil"/>
            </w:tcBorders>
            <w:shd w:val="clear" w:color="auto" w:fill="auto"/>
            <w:hideMark/>
          </w:tcPr>
          <w:p w14:paraId="20296D6D" w14:textId="77777777" w:rsidR="00C45D5B" w:rsidRPr="006401D1" w:rsidRDefault="00C45D5B" w:rsidP="00CF774B">
            <w:pPr>
              <w:jc w:val="center"/>
              <w:rPr>
                <w:rFonts w:cs="Times New Roman"/>
                <w:sz w:val="18"/>
                <w:szCs w:val="18"/>
              </w:rPr>
            </w:pPr>
            <w:r w:rsidRPr="006401D1">
              <w:rPr>
                <w:rFonts w:cs="Times New Roman"/>
                <w:sz w:val="18"/>
                <w:szCs w:val="18"/>
              </w:rPr>
              <w:t>D.62</w:t>
            </w:r>
          </w:p>
        </w:tc>
        <w:tc>
          <w:tcPr>
            <w:tcW w:w="845" w:type="dxa"/>
            <w:gridSpan w:val="2"/>
            <w:tcBorders>
              <w:top w:val="nil"/>
              <w:left w:val="nil"/>
              <w:bottom w:val="nil"/>
              <w:right w:val="nil"/>
            </w:tcBorders>
            <w:shd w:val="clear" w:color="auto" w:fill="auto"/>
            <w:vAlign w:val="center"/>
          </w:tcPr>
          <w:p w14:paraId="7057A092" w14:textId="77777777" w:rsidR="00C45D5B" w:rsidRPr="006401D1" w:rsidRDefault="00C45D5B" w:rsidP="00CF774B">
            <w:pPr>
              <w:jc w:val="center"/>
              <w:rPr>
                <w:rFonts w:cs="Times New Roman"/>
                <w:sz w:val="18"/>
                <w:szCs w:val="18"/>
              </w:rPr>
            </w:pPr>
            <w:r w:rsidRPr="006401D1">
              <w:rPr>
                <w:sz w:val="18"/>
                <w:szCs w:val="18"/>
              </w:rPr>
              <w:t>14 971</w:t>
            </w:r>
          </w:p>
        </w:tc>
        <w:tc>
          <w:tcPr>
            <w:tcW w:w="795" w:type="dxa"/>
            <w:gridSpan w:val="3"/>
            <w:tcBorders>
              <w:top w:val="nil"/>
              <w:left w:val="nil"/>
              <w:bottom w:val="nil"/>
              <w:right w:val="nil"/>
            </w:tcBorders>
            <w:shd w:val="clear" w:color="auto" w:fill="auto"/>
            <w:vAlign w:val="center"/>
          </w:tcPr>
          <w:p w14:paraId="6CB80729" w14:textId="77777777" w:rsidR="00C45D5B" w:rsidRPr="006401D1" w:rsidRDefault="00C45D5B" w:rsidP="00CF774B">
            <w:pPr>
              <w:jc w:val="center"/>
              <w:rPr>
                <w:rFonts w:cs="Times New Roman"/>
                <w:sz w:val="18"/>
                <w:szCs w:val="18"/>
              </w:rPr>
            </w:pPr>
            <w:r w:rsidRPr="006401D1">
              <w:rPr>
                <w:sz w:val="18"/>
                <w:szCs w:val="18"/>
              </w:rPr>
              <w:t>14,8</w:t>
            </w:r>
          </w:p>
        </w:tc>
        <w:tc>
          <w:tcPr>
            <w:tcW w:w="872" w:type="dxa"/>
            <w:gridSpan w:val="2"/>
            <w:tcBorders>
              <w:top w:val="nil"/>
              <w:left w:val="nil"/>
              <w:bottom w:val="nil"/>
              <w:right w:val="nil"/>
            </w:tcBorders>
            <w:shd w:val="clear" w:color="auto" w:fill="auto"/>
            <w:vAlign w:val="center"/>
          </w:tcPr>
          <w:p w14:paraId="6AF78F20" w14:textId="77777777" w:rsidR="00C45D5B" w:rsidRPr="006401D1" w:rsidRDefault="00C45D5B" w:rsidP="00CF774B">
            <w:pPr>
              <w:jc w:val="center"/>
              <w:rPr>
                <w:rFonts w:cs="Times New Roman"/>
                <w:sz w:val="18"/>
                <w:szCs w:val="18"/>
              </w:rPr>
            </w:pPr>
            <w:r w:rsidRPr="006401D1">
              <w:rPr>
                <w:sz w:val="18"/>
                <w:szCs w:val="18"/>
              </w:rPr>
              <w:t>15,5</w:t>
            </w:r>
          </w:p>
        </w:tc>
        <w:tc>
          <w:tcPr>
            <w:tcW w:w="728" w:type="dxa"/>
            <w:gridSpan w:val="3"/>
            <w:tcBorders>
              <w:top w:val="nil"/>
              <w:left w:val="nil"/>
              <w:bottom w:val="nil"/>
              <w:right w:val="nil"/>
            </w:tcBorders>
            <w:shd w:val="clear" w:color="auto" w:fill="auto"/>
            <w:vAlign w:val="center"/>
          </w:tcPr>
          <w:p w14:paraId="363AB9BC" w14:textId="77777777" w:rsidR="00C45D5B" w:rsidRPr="006401D1" w:rsidRDefault="00C45D5B" w:rsidP="00CF774B">
            <w:pPr>
              <w:jc w:val="center"/>
              <w:rPr>
                <w:rFonts w:cs="Times New Roman"/>
                <w:sz w:val="18"/>
                <w:szCs w:val="18"/>
              </w:rPr>
            </w:pPr>
            <w:r w:rsidRPr="006401D1">
              <w:rPr>
                <w:sz w:val="18"/>
                <w:szCs w:val="18"/>
              </w:rPr>
              <w:t>14,2</w:t>
            </w:r>
          </w:p>
        </w:tc>
        <w:tc>
          <w:tcPr>
            <w:tcW w:w="703" w:type="dxa"/>
            <w:gridSpan w:val="2"/>
            <w:tcBorders>
              <w:top w:val="nil"/>
              <w:left w:val="nil"/>
              <w:bottom w:val="nil"/>
              <w:right w:val="nil"/>
            </w:tcBorders>
            <w:shd w:val="clear" w:color="auto" w:fill="auto"/>
            <w:vAlign w:val="center"/>
          </w:tcPr>
          <w:p w14:paraId="05F4258F" w14:textId="77777777" w:rsidR="00C45D5B" w:rsidRPr="006401D1" w:rsidRDefault="00C45D5B" w:rsidP="00CF774B">
            <w:pPr>
              <w:jc w:val="center"/>
              <w:rPr>
                <w:rFonts w:cs="Times New Roman"/>
                <w:sz w:val="18"/>
                <w:szCs w:val="18"/>
              </w:rPr>
            </w:pPr>
            <w:r w:rsidRPr="006401D1">
              <w:rPr>
                <w:sz w:val="18"/>
                <w:szCs w:val="18"/>
              </w:rPr>
              <w:t>15,0</w:t>
            </w:r>
          </w:p>
        </w:tc>
        <w:tc>
          <w:tcPr>
            <w:tcW w:w="589" w:type="dxa"/>
            <w:tcBorders>
              <w:top w:val="nil"/>
              <w:left w:val="nil"/>
              <w:bottom w:val="nil"/>
              <w:right w:val="nil"/>
            </w:tcBorders>
            <w:shd w:val="clear" w:color="auto" w:fill="auto"/>
            <w:vAlign w:val="center"/>
          </w:tcPr>
          <w:p w14:paraId="0251A4A3" w14:textId="77777777" w:rsidR="00C45D5B" w:rsidRPr="006401D1" w:rsidRDefault="00C45D5B" w:rsidP="00CF774B">
            <w:pPr>
              <w:jc w:val="center"/>
              <w:rPr>
                <w:rFonts w:cs="Times New Roman"/>
                <w:sz w:val="18"/>
                <w:szCs w:val="18"/>
              </w:rPr>
            </w:pPr>
            <w:r w:rsidRPr="006401D1">
              <w:rPr>
                <w:sz w:val="18"/>
                <w:szCs w:val="18"/>
              </w:rPr>
              <w:t>15,0</w:t>
            </w:r>
          </w:p>
        </w:tc>
      </w:tr>
      <w:tr w:rsidR="00C45D5B" w:rsidRPr="006401D1" w14:paraId="49812CBD"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6E2480E3" w14:textId="77777777" w:rsidR="00C45D5B" w:rsidRPr="006401D1" w:rsidRDefault="00C45D5B" w:rsidP="00CF774B">
            <w:pPr>
              <w:rPr>
                <w:rFonts w:cs="Times New Roman"/>
                <w:sz w:val="18"/>
                <w:szCs w:val="18"/>
              </w:rPr>
            </w:pPr>
            <w:r w:rsidRPr="006401D1">
              <w:rPr>
                <w:rFonts w:cs="Times New Roman"/>
                <w:sz w:val="18"/>
                <w:szCs w:val="18"/>
              </w:rPr>
              <w:t>19.=9. Úrokové náklady</w:t>
            </w:r>
          </w:p>
        </w:tc>
        <w:tc>
          <w:tcPr>
            <w:tcW w:w="933" w:type="dxa"/>
            <w:gridSpan w:val="2"/>
            <w:tcBorders>
              <w:top w:val="nil"/>
              <w:left w:val="nil"/>
              <w:bottom w:val="nil"/>
              <w:right w:val="nil"/>
            </w:tcBorders>
            <w:shd w:val="clear" w:color="auto" w:fill="auto"/>
            <w:hideMark/>
          </w:tcPr>
          <w:p w14:paraId="09717802" w14:textId="77777777" w:rsidR="00C45D5B" w:rsidRPr="006401D1" w:rsidRDefault="00C45D5B" w:rsidP="00CF774B">
            <w:pPr>
              <w:jc w:val="center"/>
              <w:rPr>
                <w:rFonts w:cs="Times New Roman"/>
                <w:sz w:val="18"/>
                <w:szCs w:val="18"/>
              </w:rPr>
            </w:pPr>
            <w:r w:rsidRPr="006401D1">
              <w:rPr>
                <w:rFonts w:cs="Times New Roman"/>
                <w:sz w:val="18"/>
                <w:szCs w:val="18"/>
              </w:rPr>
              <w:t xml:space="preserve">D.41 </w:t>
            </w:r>
          </w:p>
        </w:tc>
        <w:tc>
          <w:tcPr>
            <w:tcW w:w="845" w:type="dxa"/>
            <w:gridSpan w:val="2"/>
            <w:tcBorders>
              <w:top w:val="nil"/>
              <w:left w:val="nil"/>
              <w:bottom w:val="nil"/>
              <w:right w:val="nil"/>
            </w:tcBorders>
            <w:shd w:val="clear" w:color="auto" w:fill="auto"/>
            <w:vAlign w:val="center"/>
          </w:tcPr>
          <w:p w14:paraId="61159BCC" w14:textId="77777777" w:rsidR="00C45D5B" w:rsidRPr="006401D1" w:rsidRDefault="00C45D5B" w:rsidP="00CF774B">
            <w:pPr>
              <w:jc w:val="center"/>
              <w:rPr>
                <w:rFonts w:cs="Times New Roman"/>
                <w:sz w:val="18"/>
                <w:szCs w:val="18"/>
              </w:rPr>
            </w:pPr>
            <w:r w:rsidRPr="006401D1">
              <w:rPr>
                <w:sz w:val="18"/>
                <w:szCs w:val="18"/>
              </w:rPr>
              <w:t>1 083</w:t>
            </w:r>
          </w:p>
        </w:tc>
        <w:tc>
          <w:tcPr>
            <w:tcW w:w="795" w:type="dxa"/>
            <w:gridSpan w:val="3"/>
            <w:tcBorders>
              <w:top w:val="nil"/>
              <w:left w:val="nil"/>
              <w:bottom w:val="nil"/>
              <w:right w:val="nil"/>
            </w:tcBorders>
            <w:shd w:val="clear" w:color="auto" w:fill="auto"/>
            <w:vAlign w:val="center"/>
          </w:tcPr>
          <w:p w14:paraId="1506CE5C" w14:textId="77777777" w:rsidR="00C45D5B" w:rsidRPr="006401D1" w:rsidRDefault="00C45D5B" w:rsidP="00CF774B">
            <w:pPr>
              <w:jc w:val="center"/>
              <w:rPr>
                <w:rFonts w:cs="Times New Roman"/>
                <w:sz w:val="18"/>
                <w:szCs w:val="18"/>
              </w:rPr>
            </w:pPr>
            <w:r w:rsidRPr="006401D1">
              <w:rPr>
                <w:sz w:val="18"/>
                <w:szCs w:val="18"/>
              </w:rPr>
              <w:t>1,1</w:t>
            </w:r>
          </w:p>
        </w:tc>
        <w:tc>
          <w:tcPr>
            <w:tcW w:w="872" w:type="dxa"/>
            <w:gridSpan w:val="2"/>
            <w:tcBorders>
              <w:top w:val="nil"/>
              <w:left w:val="nil"/>
              <w:bottom w:val="nil"/>
              <w:right w:val="nil"/>
            </w:tcBorders>
            <w:shd w:val="clear" w:color="auto" w:fill="auto"/>
            <w:vAlign w:val="center"/>
          </w:tcPr>
          <w:p w14:paraId="41274C74" w14:textId="77777777" w:rsidR="00C45D5B" w:rsidRPr="006401D1" w:rsidRDefault="00C45D5B" w:rsidP="00CF774B">
            <w:pPr>
              <w:jc w:val="center"/>
              <w:rPr>
                <w:rFonts w:cs="Times New Roman"/>
                <w:sz w:val="18"/>
                <w:szCs w:val="18"/>
              </w:rPr>
            </w:pPr>
            <w:r w:rsidRPr="006401D1">
              <w:rPr>
                <w:sz w:val="18"/>
                <w:szCs w:val="18"/>
              </w:rPr>
              <w:t>0,8</w:t>
            </w:r>
          </w:p>
        </w:tc>
        <w:tc>
          <w:tcPr>
            <w:tcW w:w="728" w:type="dxa"/>
            <w:gridSpan w:val="3"/>
            <w:tcBorders>
              <w:top w:val="nil"/>
              <w:left w:val="nil"/>
              <w:bottom w:val="nil"/>
              <w:right w:val="nil"/>
            </w:tcBorders>
            <w:shd w:val="clear" w:color="auto" w:fill="auto"/>
            <w:vAlign w:val="center"/>
          </w:tcPr>
          <w:p w14:paraId="1BACDE5A" w14:textId="77777777" w:rsidR="00C45D5B" w:rsidRPr="006401D1" w:rsidRDefault="00C45D5B" w:rsidP="00CF774B">
            <w:pPr>
              <w:jc w:val="center"/>
              <w:rPr>
                <w:rFonts w:cs="Times New Roman"/>
                <w:sz w:val="18"/>
                <w:szCs w:val="18"/>
              </w:rPr>
            </w:pPr>
            <w:r w:rsidRPr="006401D1">
              <w:rPr>
                <w:sz w:val="18"/>
                <w:szCs w:val="18"/>
              </w:rPr>
              <w:t>0,8</w:t>
            </w:r>
          </w:p>
        </w:tc>
        <w:tc>
          <w:tcPr>
            <w:tcW w:w="703" w:type="dxa"/>
            <w:gridSpan w:val="2"/>
            <w:tcBorders>
              <w:top w:val="nil"/>
              <w:left w:val="nil"/>
              <w:bottom w:val="nil"/>
              <w:right w:val="nil"/>
            </w:tcBorders>
            <w:shd w:val="clear" w:color="auto" w:fill="auto"/>
            <w:vAlign w:val="center"/>
          </w:tcPr>
          <w:p w14:paraId="51DADEDD" w14:textId="77777777" w:rsidR="00C45D5B" w:rsidRPr="006401D1" w:rsidRDefault="00C45D5B" w:rsidP="00CF774B">
            <w:pPr>
              <w:jc w:val="center"/>
              <w:rPr>
                <w:rFonts w:cs="Times New Roman"/>
                <w:sz w:val="18"/>
                <w:szCs w:val="18"/>
              </w:rPr>
            </w:pPr>
            <w:r w:rsidRPr="006401D1">
              <w:rPr>
                <w:sz w:val="18"/>
                <w:szCs w:val="18"/>
              </w:rPr>
              <w:t>0,9</w:t>
            </w:r>
          </w:p>
        </w:tc>
        <w:tc>
          <w:tcPr>
            <w:tcW w:w="589" w:type="dxa"/>
            <w:tcBorders>
              <w:top w:val="nil"/>
              <w:left w:val="nil"/>
              <w:bottom w:val="nil"/>
              <w:right w:val="nil"/>
            </w:tcBorders>
            <w:shd w:val="clear" w:color="auto" w:fill="auto"/>
            <w:vAlign w:val="center"/>
          </w:tcPr>
          <w:p w14:paraId="54A498A7" w14:textId="77777777" w:rsidR="00C45D5B" w:rsidRPr="006401D1" w:rsidRDefault="00C45D5B" w:rsidP="00CF774B">
            <w:pPr>
              <w:jc w:val="center"/>
              <w:rPr>
                <w:rFonts w:cs="Times New Roman"/>
                <w:sz w:val="18"/>
                <w:szCs w:val="18"/>
              </w:rPr>
            </w:pPr>
            <w:r w:rsidRPr="006401D1">
              <w:rPr>
                <w:sz w:val="18"/>
                <w:szCs w:val="18"/>
              </w:rPr>
              <w:t>1,0</w:t>
            </w:r>
          </w:p>
        </w:tc>
      </w:tr>
      <w:tr w:rsidR="00C45D5B" w:rsidRPr="006401D1" w14:paraId="2F1727A6"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7B9E21FA" w14:textId="77777777" w:rsidR="00C45D5B" w:rsidRPr="006401D1" w:rsidRDefault="00C45D5B" w:rsidP="00CF774B">
            <w:pPr>
              <w:rPr>
                <w:rFonts w:cs="Times New Roman"/>
                <w:sz w:val="18"/>
                <w:szCs w:val="18"/>
              </w:rPr>
            </w:pPr>
            <w:r w:rsidRPr="006401D1">
              <w:rPr>
                <w:rFonts w:cs="Times New Roman"/>
                <w:sz w:val="18"/>
                <w:szCs w:val="18"/>
              </w:rPr>
              <w:t>20. Subvencie</w:t>
            </w:r>
          </w:p>
        </w:tc>
        <w:tc>
          <w:tcPr>
            <w:tcW w:w="933" w:type="dxa"/>
            <w:gridSpan w:val="2"/>
            <w:tcBorders>
              <w:top w:val="nil"/>
              <w:left w:val="nil"/>
              <w:bottom w:val="nil"/>
              <w:right w:val="nil"/>
            </w:tcBorders>
            <w:shd w:val="clear" w:color="auto" w:fill="auto"/>
            <w:hideMark/>
          </w:tcPr>
          <w:p w14:paraId="7C8A736B" w14:textId="77777777" w:rsidR="00C45D5B" w:rsidRPr="006401D1" w:rsidRDefault="00C45D5B" w:rsidP="00CF774B">
            <w:pPr>
              <w:jc w:val="center"/>
              <w:rPr>
                <w:rFonts w:cs="Times New Roman"/>
                <w:sz w:val="18"/>
                <w:szCs w:val="18"/>
              </w:rPr>
            </w:pPr>
            <w:r w:rsidRPr="006401D1">
              <w:rPr>
                <w:rFonts w:cs="Times New Roman"/>
                <w:sz w:val="18"/>
                <w:szCs w:val="18"/>
              </w:rPr>
              <w:t>D.3</w:t>
            </w:r>
          </w:p>
        </w:tc>
        <w:tc>
          <w:tcPr>
            <w:tcW w:w="845" w:type="dxa"/>
            <w:gridSpan w:val="2"/>
            <w:tcBorders>
              <w:top w:val="nil"/>
              <w:left w:val="nil"/>
              <w:bottom w:val="nil"/>
              <w:right w:val="nil"/>
            </w:tcBorders>
            <w:shd w:val="clear" w:color="auto" w:fill="auto"/>
            <w:vAlign w:val="center"/>
          </w:tcPr>
          <w:p w14:paraId="667ADCF6" w14:textId="77777777" w:rsidR="00C45D5B" w:rsidRPr="006401D1" w:rsidRDefault="00C45D5B" w:rsidP="00CF774B">
            <w:pPr>
              <w:jc w:val="center"/>
              <w:rPr>
                <w:rFonts w:cs="Times New Roman"/>
                <w:sz w:val="18"/>
                <w:szCs w:val="18"/>
              </w:rPr>
            </w:pPr>
            <w:r w:rsidRPr="006401D1">
              <w:rPr>
                <w:sz w:val="18"/>
                <w:szCs w:val="18"/>
              </w:rPr>
              <w:t>1 369</w:t>
            </w:r>
          </w:p>
        </w:tc>
        <w:tc>
          <w:tcPr>
            <w:tcW w:w="795" w:type="dxa"/>
            <w:gridSpan w:val="3"/>
            <w:tcBorders>
              <w:top w:val="nil"/>
              <w:left w:val="nil"/>
              <w:bottom w:val="nil"/>
              <w:right w:val="nil"/>
            </w:tcBorders>
            <w:shd w:val="clear" w:color="auto" w:fill="auto"/>
            <w:vAlign w:val="center"/>
          </w:tcPr>
          <w:p w14:paraId="127BA468" w14:textId="77777777" w:rsidR="00C45D5B" w:rsidRPr="006401D1" w:rsidRDefault="00C45D5B" w:rsidP="00CF774B">
            <w:pPr>
              <w:jc w:val="center"/>
              <w:rPr>
                <w:rFonts w:cs="Times New Roman"/>
                <w:sz w:val="18"/>
                <w:szCs w:val="18"/>
              </w:rPr>
            </w:pPr>
            <w:r w:rsidRPr="006401D1">
              <w:rPr>
                <w:sz w:val="18"/>
                <w:szCs w:val="18"/>
              </w:rPr>
              <w:t>1,4</w:t>
            </w:r>
          </w:p>
        </w:tc>
        <w:tc>
          <w:tcPr>
            <w:tcW w:w="872" w:type="dxa"/>
            <w:gridSpan w:val="2"/>
            <w:tcBorders>
              <w:top w:val="nil"/>
              <w:left w:val="nil"/>
              <w:bottom w:val="nil"/>
              <w:right w:val="nil"/>
            </w:tcBorders>
            <w:shd w:val="clear" w:color="auto" w:fill="auto"/>
            <w:vAlign w:val="center"/>
          </w:tcPr>
          <w:p w14:paraId="2C5EF7DC" w14:textId="77777777" w:rsidR="00C45D5B" w:rsidRPr="006401D1" w:rsidRDefault="00C45D5B" w:rsidP="00CF774B">
            <w:pPr>
              <w:jc w:val="center"/>
              <w:rPr>
                <w:rFonts w:cs="Times New Roman"/>
                <w:sz w:val="18"/>
                <w:szCs w:val="18"/>
              </w:rPr>
            </w:pPr>
            <w:r w:rsidRPr="006401D1">
              <w:rPr>
                <w:sz w:val="18"/>
                <w:szCs w:val="18"/>
              </w:rPr>
              <w:t>1,1</w:t>
            </w:r>
          </w:p>
        </w:tc>
        <w:tc>
          <w:tcPr>
            <w:tcW w:w="728" w:type="dxa"/>
            <w:gridSpan w:val="3"/>
            <w:tcBorders>
              <w:top w:val="nil"/>
              <w:left w:val="nil"/>
              <w:bottom w:val="nil"/>
              <w:right w:val="nil"/>
            </w:tcBorders>
            <w:shd w:val="clear" w:color="auto" w:fill="auto"/>
            <w:vAlign w:val="center"/>
          </w:tcPr>
          <w:p w14:paraId="525770BD" w14:textId="77777777" w:rsidR="00C45D5B" w:rsidRPr="006401D1" w:rsidRDefault="00C45D5B" w:rsidP="00CF774B">
            <w:pPr>
              <w:jc w:val="center"/>
              <w:rPr>
                <w:rFonts w:cs="Times New Roman"/>
                <w:sz w:val="18"/>
                <w:szCs w:val="18"/>
              </w:rPr>
            </w:pPr>
            <w:r w:rsidRPr="006401D1">
              <w:rPr>
                <w:sz w:val="18"/>
                <w:szCs w:val="18"/>
              </w:rPr>
              <w:t>0,8</w:t>
            </w:r>
          </w:p>
        </w:tc>
        <w:tc>
          <w:tcPr>
            <w:tcW w:w="703" w:type="dxa"/>
            <w:gridSpan w:val="2"/>
            <w:tcBorders>
              <w:top w:val="nil"/>
              <w:left w:val="nil"/>
              <w:bottom w:val="nil"/>
              <w:right w:val="nil"/>
            </w:tcBorders>
            <w:shd w:val="clear" w:color="auto" w:fill="auto"/>
            <w:vAlign w:val="center"/>
          </w:tcPr>
          <w:p w14:paraId="7F8CD6E0" w14:textId="77777777" w:rsidR="00C45D5B" w:rsidRPr="006401D1" w:rsidRDefault="00C45D5B" w:rsidP="00CF774B">
            <w:pPr>
              <w:jc w:val="center"/>
              <w:rPr>
                <w:rFonts w:cs="Times New Roman"/>
                <w:sz w:val="18"/>
                <w:szCs w:val="18"/>
              </w:rPr>
            </w:pPr>
            <w:r w:rsidRPr="006401D1">
              <w:rPr>
                <w:sz w:val="18"/>
                <w:szCs w:val="18"/>
              </w:rPr>
              <w:t>0,7</w:t>
            </w:r>
          </w:p>
        </w:tc>
        <w:tc>
          <w:tcPr>
            <w:tcW w:w="589" w:type="dxa"/>
            <w:tcBorders>
              <w:top w:val="nil"/>
              <w:left w:val="nil"/>
              <w:bottom w:val="nil"/>
              <w:right w:val="nil"/>
            </w:tcBorders>
            <w:shd w:val="clear" w:color="auto" w:fill="auto"/>
            <w:vAlign w:val="center"/>
          </w:tcPr>
          <w:p w14:paraId="591C55DF" w14:textId="77777777" w:rsidR="00C45D5B" w:rsidRPr="006401D1" w:rsidRDefault="00C45D5B" w:rsidP="00CF774B">
            <w:pPr>
              <w:jc w:val="center"/>
              <w:rPr>
                <w:rFonts w:cs="Times New Roman"/>
                <w:sz w:val="18"/>
                <w:szCs w:val="18"/>
              </w:rPr>
            </w:pPr>
            <w:r w:rsidRPr="006401D1">
              <w:rPr>
                <w:sz w:val="18"/>
                <w:szCs w:val="18"/>
              </w:rPr>
              <w:t>0,7</w:t>
            </w:r>
          </w:p>
        </w:tc>
      </w:tr>
      <w:tr w:rsidR="00C45D5B" w:rsidRPr="006401D1" w14:paraId="555E792B"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2658EAC4" w14:textId="77777777" w:rsidR="00C45D5B" w:rsidRPr="006401D1" w:rsidRDefault="00C45D5B" w:rsidP="00CF774B">
            <w:pPr>
              <w:rPr>
                <w:rFonts w:cs="Times New Roman"/>
                <w:sz w:val="18"/>
                <w:szCs w:val="18"/>
              </w:rPr>
            </w:pPr>
            <w:r w:rsidRPr="006401D1">
              <w:rPr>
                <w:rFonts w:cs="Times New Roman"/>
                <w:sz w:val="18"/>
                <w:szCs w:val="18"/>
              </w:rPr>
              <w:t>21. Tvorba hrubého fixného kapitálu</w:t>
            </w:r>
          </w:p>
        </w:tc>
        <w:tc>
          <w:tcPr>
            <w:tcW w:w="933" w:type="dxa"/>
            <w:gridSpan w:val="2"/>
            <w:tcBorders>
              <w:top w:val="nil"/>
              <w:left w:val="nil"/>
              <w:bottom w:val="nil"/>
              <w:right w:val="nil"/>
            </w:tcBorders>
            <w:shd w:val="clear" w:color="auto" w:fill="auto"/>
            <w:hideMark/>
          </w:tcPr>
          <w:p w14:paraId="3C33246A" w14:textId="77777777" w:rsidR="00C45D5B" w:rsidRPr="006401D1" w:rsidRDefault="00C45D5B" w:rsidP="00CF774B">
            <w:pPr>
              <w:jc w:val="center"/>
              <w:rPr>
                <w:rFonts w:cs="Times New Roman"/>
                <w:sz w:val="18"/>
                <w:szCs w:val="18"/>
              </w:rPr>
            </w:pPr>
            <w:r w:rsidRPr="006401D1">
              <w:rPr>
                <w:rFonts w:cs="Times New Roman"/>
                <w:sz w:val="18"/>
                <w:szCs w:val="18"/>
              </w:rPr>
              <w:t>P.51g</w:t>
            </w:r>
          </w:p>
        </w:tc>
        <w:tc>
          <w:tcPr>
            <w:tcW w:w="845" w:type="dxa"/>
            <w:gridSpan w:val="2"/>
            <w:tcBorders>
              <w:top w:val="nil"/>
              <w:left w:val="nil"/>
              <w:bottom w:val="nil"/>
              <w:right w:val="nil"/>
            </w:tcBorders>
            <w:shd w:val="clear" w:color="auto" w:fill="auto"/>
            <w:vAlign w:val="center"/>
          </w:tcPr>
          <w:p w14:paraId="1108CDBA" w14:textId="77777777" w:rsidR="00C45D5B" w:rsidRPr="006401D1" w:rsidRDefault="00C45D5B" w:rsidP="00CF774B">
            <w:pPr>
              <w:jc w:val="center"/>
              <w:rPr>
                <w:rFonts w:cs="Times New Roman"/>
                <w:sz w:val="18"/>
                <w:szCs w:val="18"/>
              </w:rPr>
            </w:pPr>
            <w:r w:rsidRPr="006401D1">
              <w:rPr>
                <w:sz w:val="18"/>
                <w:szCs w:val="18"/>
              </w:rPr>
              <w:t>3 064</w:t>
            </w:r>
          </w:p>
        </w:tc>
        <w:tc>
          <w:tcPr>
            <w:tcW w:w="795" w:type="dxa"/>
            <w:gridSpan w:val="3"/>
            <w:tcBorders>
              <w:top w:val="nil"/>
              <w:left w:val="nil"/>
              <w:bottom w:val="nil"/>
              <w:right w:val="nil"/>
            </w:tcBorders>
            <w:shd w:val="clear" w:color="auto" w:fill="auto"/>
            <w:vAlign w:val="center"/>
          </w:tcPr>
          <w:p w14:paraId="19C91C88" w14:textId="77777777" w:rsidR="00C45D5B" w:rsidRPr="006401D1" w:rsidRDefault="00C45D5B" w:rsidP="00CF774B">
            <w:pPr>
              <w:jc w:val="center"/>
              <w:rPr>
                <w:rFonts w:cs="Times New Roman"/>
                <w:sz w:val="18"/>
                <w:szCs w:val="18"/>
              </w:rPr>
            </w:pPr>
            <w:r w:rsidRPr="006401D1">
              <w:rPr>
                <w:sz w:val="18"/>
                <w:szCs w:val="18"/>
              </w:rPr>
              <w:t>3,2</w:t>
            </w:r>
          </w:p>
        </w:tc>
        <w:tc>
          <w:tcPr>
            <w:tcW w:w="872" w:type="dxa"/>
            <w:gridSpan w:val="2"/>
            <w:tcBorders>
              <w:top w:val="nil"/>
              <w:left w:val="nil"/>
              <w:bottom w:val="nil"/>
              <w:right w:val="nil"/>
            </w:tcBorders>
            <w:shd w:val="clear" w:color="auto" w:fill="auto"/>
            <w:vAlign w:val="center"/>
          </w:tcPr>
          <w:p w14:paraId="53585D94" w14:textId="77777777" w:rsidR="00C45D5B" w:rsidRPr="006401D1" w:rsidRDefault="00C45D5B" w:rsidP="00CF774B">
            <w:pPr>
              <w:jc w:val="center"/>
              <w:rPr>
                <w:rFonts w:cs="Times New Roman"/>
                <w:sz w:val="18"/>
                <w:szCs w:val="18"/>
              </w:rPr>
            </w:pPr>
            <w:r w:rsidRPr="006401D1">
              <w:rPr>
                <w:sz w:val="18"/>
                <w:szCs w:val="18"/>
              </w:rPr>
              <w:t>4,7</w:t>
            </w:r>
          </w:p>
        </w:tc>
        <w:tc>
          <w:tcPr>
            <w:tcW w:w="728" w:type="dxa"/>
            <w:gridSpan w:val="3"/>
            <w:tcBorders>
              <w:top w:val="nil"/>
              <w:left w:val="nil"/>
              <w:bottom w:val="nil"/>
              <w:right w:val="nil"/>
            </w:tcBorders>
            <w:shd w:val="clear" w:color="auto" w:fill="auto"/>
            <w:vAlign w:val="center"/>
          </w:tcPr>
          <w:p w14:paraId="000ADE3F" w14:textId="77777777" w:rsidR="00C45D5B" w:rsidRPr="006401D1" w:rsidRDefault="00C45D5B" w:rsidP="00CF774B">
            <w:pPr>
              <w:jc w:val="center"/>
              <w:rPr>
                <w:rFonts w:cs="Times New Roman"/>
                <w:sz w:val="18"/>
                <w:szCs w:val="18"/>
              </w:rPr>
            </w:pPr>
            <w:r w:rsidRPr="006401D1">
              <w:rPr>
                <w:sz w:val="18"/>
                <w:szCs w:val="18"/>
              </w:rPr>
              <w:t>4,5</w:t>
            </w:r>
          </w:p>
        </w:tc>
        <w:tc>
          <w:tcPr>
            <w:tcW w:w="703" w:type="dxa"/>
            <w:gridSpan w:val="2"/>
            <w:tcBorders>
              <w:top w:val="nil"/>
              <w:left w:val="nil"/>
              <w:bottom w:val="nil"/>
              <w:right w:val="nil"/>
            </w:tcBorders>
            <w:shd w:val="clear" w:color="auto" w:fill="auto"/>
            <w:vAlign w:val="center"/>
          </w:tcPr>
          <w:p w14:paraId="3BFCC472" w14:textId="77777777" w:rsidR="00C45D5B" w:rsidRPr="006401D1" w:rsidRDefault="00C45D5B" w:rsidP="00CF774B">
            <w:pPr>
              <w:jc w:val="center"/>
              <w:rPr>
                <w:rFonts w:cs="Times New Roman"/>
                <w:sz w:val="18"/>
                <w:szCs w:val="18"/>
              </w:rPr>
            </w:pPr>
            <w:r w:rsidRPr="006401D1">
              <w:rPr>
                <w:sz w:val="18"/>
                <w:szCs w:val="18"/>
              </w:rPr>
              <w:t>4,2</w:t>
            </w:r>
          </w:p>
        </w:tc>
        <w:tc>
          <w:tcPr>
            <w:tcW w:w="589" w:type="dxa"/>
            <w:tcBorders>
              <w:top w:val="nil"/>
              <w:left w:val="nil"/>
              <w:bottom w:val="nil"/>
              <w:right w:val="nil"/>
            </w:tcBorders>
            <w:shd w:val="clear" w:color="auto" w:fill="auto"/>
            <w:vAlign w:val="center"/>
          </w:tcPr>
          <w:p w14:paraId="6B090DAC" w14:textId="77777777" w:rsidR="00C45D5B" w:rsidRPr="006401D1" w:rsidRDefault="00C45D5B" w:rsidP="00CF774B">
            <w:pPr>
              <w:jc w:val="center"/>
              <w:rPr>
                <w:rFonts w:cs="Times New Roman"/>
                <w:sz w:val="18"/>
                <w:szCs w:val="18"/>
              </w:rPr>
            </w:pPr>
            <w:r w:rsidRPr="006401D1">
              <w:rPr>
                <w:sz w:val="18"/>
                <w:szCs w:val="18"/>
              </w:rPr>
              <w:t>4,2</w:t>
            </w:r>
          </w:p>
        </w:tc>
      </w:tr>
      <w:tr w:rsidR="00C45D5B" w:rsidRPr="006401D1" w14:paraId="39F0B041"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245B3FDD" w14:textId="77777777" w:rsidR="00C45D5B" w:rsidRPr="006401D1" w:rsidRDefault="00C45D5B" w:rsidP="00CF774B">
            <w:pPr>
              <w:rPr>
                <w:rFonts w:cs="Times New Roman"/>
                <w:sz w:val="18"/>
                <w:szCs w:val="18"/>
              </w:rPr>
            </w:pPr>
            <w:r w:rsidRPr="006401D1">
              <w:rPr>
                <w:rFonts w:cs="Times New Roman"/>
                <w:sz w:val="18"/>
                <w:szCs w:val="18"/>
              </w:rPr>
              <w:t>22. Kapitálové transfery</w:t>
            </w:r>
          </w:p>
        </w:tc>
        <w:tc>
          <w:tcPr>
            <w:tcW w:w="933" w:type="dxa"/>
            <w:gridSpan w:val="2"/>
            <w:tcBorders>
              <w:top w:val="nil"/>
              <w:left w:val="nil"/>
              <w:bottom w:val="nil"/>
              <w:right w:val="nil"/>
            </w:tcBorders>
            <w:shd w:val="clear" w:color="auto" w:fill="auto"/>
            <w:hideMark/>
          </w:tcPr>
          <w:p w14:paraId="5BADC193" w14:textId="77777777" w:rsidR="00C45D5B" w:rsidRPr="006401D1" w:rsidRDefault="00C45D5B" w:rsidP="00CF774B">
            <w:pPr>
              <w:jc w:val="center"/>
              <w:rPr>
                <w:rFonts w:cs="Times New Roman"/>
                <w:sz w:val="18"/>
                <w:szCs w:val="18"/>
              </w:rPr>
            </w:pPr>
            <w:r w:rsidRPr="006401D1">
              <w:rPr>
                <w:rFonts w:cs="Times New Roman"/>
                <w:sz w:val="18"/>
                <w:szCs w:val="18"/>
              </w:rPr>
              <w:t>D.9</w:t>
            </w:r>
          </w:p>
        </w:tc>
        <w:tc>
          <w:tcPr>
            <w:tcW w:w="845" w:type="dxa"/>
            <w:gridSpan w:val="2"/>
            <w:tcBorders>
              <w:top w:val="nil"/>
              <w:left w:val="nil"/>
              <w:bottom w:val="nil"/>
              <w:right w:val="nil"/>
            </w:tcBorders>
            <w:shd w:val="clear" w:color="auto" w:fill="auto"/>
            <w:vAlign w:val="center"/>
          </w:tcPr>
          <w:p w14:paraId="33E7F866" w14:textId="77777777" w:rsidR="00C45D5B" w:rsidRPr="006401D1" w:rsidRDefault="00C45D5B" w:rsidP="00CF774B">
            <w:pPr>
              <w:jc w:val="center"/>
              <w:rPr>
                <w:rFonts w:cs="Times New Roman"/>
                <w:sz w:val="18"/>
                <w:szCs w:val="18"/>
              </w:rPr>
            </w:pPr>
            <w:r w:rsidRPr="006401D1">
              <w:rPr>
                <w:sz w:val="18"/>
                <w:szCs w:val="18"/>
              </w:rPr>
              <w:t>292</w:t>
            </w:r>
          </w:p>
        </w:tc>
        <w:tc>
          <w:tcPr>
            <w:tcW w:w="795" w:type="dxa"/>
            <w:gridSpan w:val="3"/>
            <w:tcBorders>
              <w:top w:val="nil"/>
              <w:left w:val="nil"/>
              <w:bottom w:val="nil"/>
              <w:right w:val="nil"/>
            </w:tcBorders>
            <w:shd w:val="clear" w:color="auto" w:fill="auto"/>
            <w:vAlign w:val="center"/>
          </w:tcPr>
          <w:p w14:paraId="65312C48" w14:textId="77777777" w:rsidR="00C45D5B" w:rsidRPr="006401D1" w:rsidRDefault="00C45D5B" w:rsidP="00CF774B">
            <w:pPr>
              <w:jc w:val="center"/>
              <w:rPr>
                <w:rFonts w:cs="Times New Roman"/>
                <w:sz w:val="18"/>
                <w:szCs w:val="18"/>
              </w:rPr>
            </w:pPr>
            <w:r w:rsidRPr="006401D1">
              <w:rPr>
                <w:sz w:val="18"/>
                <w:szCs w:val="18"/>
              </w:rPr>
              <w:t>0,3</w:t>
            </w:r>
          </w:p>
        </w:tc>
        <w:tc>
          <w:tcPr>
            <w:tcW w:w="872" w:type="dxa"/>
            <w:gridSpan w:val="2"/>
            <w:tcBorders>
              <w:top w:val="nil"/>
              <w:left w:val="nil"/>
              <w:bottom w:val="nil"/>
              <w:right w:val="nil"/>
            </w:tcBorders>
            <w:shd w:val="clear" w:color="auto" w:fill="auto"/>
            <w:vAlign w:val="center"/>
          </w:tcPr>
          <w:p w14:paraId="2A7CAE15" w14:textId="77777777" w:rsidR="00C45D5B" w:rsidRPr="006401D1" w:rsidRDefault="00C45D5B" w:rsidP="00CF774B">
            <w:pPr>
              <w:jc w:val="center"/>
              <w:rPr>
                <w:rFonts w:cs="Times New Roman"/>
                <w:sz w:val="18"/>
                <w:szCs w:val="18"/>
              </w:rPr>
            </w:pPr>
            <w:r w:rsidRPr="006401D1">
              <w:rPr>
                <w:sz w:val="18"/>
                <w:szCs w:val="18"/>
              </w:rPr>
              <w:t>0,7</w:t>
            </w:r>
          </w:p>
        </w:tc>
        <w:tc>
          <w:tcPr>
            <w:tcW w:w="728" w:type="dxa"/>
            <w:gridSpan w:val="3"/>
            <w:tcBorders>
              <w:top w:val="nil"/>
              <w:left w:val="nil"/>
              <w:bottom w:val="nil"/>
              <w:right w:val="nil"/>
            </w:tcBorders>
            <w:shd w:val="clear" w:color="auto" w:fill="auto"/>
            <w:vAlign w:val="center"/>
          </w:tcPr>
          <w:p w14:paraId="0C2F3300" w14:textId="77777777" w:rsidR="00C45D5B" w:rsidRPr="006401D1" w:rsidRDefault="00C45D5B" w:rsidP="00CF774B">
            <w:pPr>
              <w:jc w:val="center"/>
              <w:rPr>
                <w:rFonts w:cs="Times New Roman"/>
                <w:sz w:val="18"/>
                <w:szCs w:val="18"/>
              </w:rPr>
            </w:pPr>
            <w:r w:rsidRPr="006401D1">
              <w:rPr>
                <w:sz w:val="18"/>
                <w:szCs w:val="18"/>
              </w:rPr>
              <w:t>0,3</w:t>
            </w:r>
          </w:p>
        </w:tc>
        <w:tc>
          <w:tcPr>
            <w:tcW w:w="703" w:type="dxa"/>
            <w:gridSpan w:val="2"/>
            <w:tcBorders>
              <w:top w:val="nil"/>
              <w:left w:val="nil"/>
              <w:bottom w:val="nil"/>
              <w:right w:val="nil"/>
            </w:tcBorders>
            <w:shd w:val="clear" w:color="auto" w:fill="auto"/>
            <w:vAlign w:val="center"/>
          </w:tcPr>
          <w:p w14:paraId="09C43289" w14:textId="77777777" w:rsidR="00C45D5B" w:rsidRPr="006401D1" w:rsidRDefault="00C45D5B" w:rsidP="00CF774B">
            <w:pPr>
              <w:jc w:val="center"/>
              <w:rPr>
                <w:rFonts w:cs="Times New Roman"/>
                <w:sz w:val="18"/>
                <w:szCs w:val="18"/>
              </w:rPr>
            </w:pPr>
            <w:r w:rsidRPr="006401D1">
              <w:rPr>
                <w:sz w:val="18"/>
                <w:szCs w:val="18"/>
              </w:rPr>
              <w:t>0,2</w:t>
            </w:r>
          </w:p>
        </w:tc>
        <w:tc>
          <w:tcPr>
            <w:tcW w:w="589" w:type="dxa"/>
            <w:tcBorders>
              <w:top w:val="nil"/>
              <w:left w:val="nil"/>
              <w:bottom w:val="nil"/>
              <w:right w:val="nil"/>
            </w:tcBorders>
            <w:shd w:val="clear" w:color="auto" w:fill="auto"/>
            <w:vAlign w:val="center"/>
          </w:tcPr>
          <w:p w14:paraId="46D379B3" w14:textId="77777777" w:rsidR="00C45D5B" w:rsidRPr="006401D1" w:rsidRDefault="00C45D5B" w:rsidP="00CF774B">
            <w:pPr>
              <w:jc w:val="center"/>
              <w:rPr>
                <w:rFonts w:cs="Times New Roman"/>
                <w:sz w:val="18"/>
                <w:szCs w:val="18"/>
              </w:rPr>
            </w:pPr>
            <w:r w:rsidRPr="006401D1">
              <w:rPr>
                <w:sz w:val="18"/>
                <w:szCs w:val="18"/>
              </w:rPr>
              <w:t>0,2</w:t>
            </w:r>
          </w:p>
        </w:tc>
      </w:tr>
      <w:tr w:rsidR="00C45D5B" w:rsidRPr="006401D1" w14:paraId="069C895B" w14:textId="77777777" w:rsidTr="00CF774B">
        <w:trPr>
          <w:gridAfter w:val="3"/>
          <w:wAfter w:w="524" w:type="dxa"/>
          <w:trHeight w:val="279"/>
        </w:trPr>
        <w:tc>
          <w:tcPr>
            <w:tcW w:w="3540" w:type="dxa"/>
            <w:gridSpan w:val="3"/>
            <w:tcBorders>
              <w:top w:val="nil"/>
              <w:left w:val="nil"/>
              <w:bottom w:val="nil"/>
              <w:right w:val="nil"/>
            </w:tcBorders>
            <w:shd w:val="clear" w:color="auto" w:fill="auto"/>
            <w:hideMark/>
          </w:tcPr>
          <w:p w14:paraId="61A67A7D" w14:textId="77777777" w:rsidR="00C45D5B" w:rsidRPr="006401D1" w:rsidRDefault="00C45D5B" w:rsidP="00CF774B">
            <w:pPr>
              <w:rPr>
                <w:rFonts w:cs="Times New Roman"/>
                <w:sz w:val="18"/>
                <w:szCs w:val="18"/>
              </w:rPr>
            </w:pPr>
            <w:r w:rsidRPr="006401D1">
              <w:rPr>
                <w:rFonts w:cs="Times New Roman"/>
                <w:sz w:val="18"/>
                <w:szCs w:val="18"/>
              </w:rPr>
              <w:t>23. Ostatné</w:t>
            </w:r>
          </w:p>
        </w:tc>
        <w:tc>
          <w:tcPr>
            <w:tcW w:w="933" w:type="dxa"/>
            <w:gridSpan w:val="2"/>
            <w:tcBorders>
              <w:top w:val="nil"/>
              <w:left w:val="nil"/>
              <w:bottom w:val="nil"/>
              <w:right w:val="nil"/>
            </w:tcBorders>
            <w:shd w:val="clear" w:color="auto" w:fill="auto"/>
            <w:hideMark/>
          </w:tcPr>
          <w:p w14:paraId="4AB5F52F" w14:textId="77777777" w:rsidR="00C45D5B" w:rsidRPr="006401D1" w:rsidRDefault="00C45D5B" w:rsidP="00CF774B">
            <w:pPr>
              <w:jc w:val="center"/>
              <w:rPr>
                <w:rFonts w:cs="Times New Roman"/>
                <w:sz w:val="18"/>
                <w:szCs w:val="18"/>
              </w:rPr>
            </w:pPr>
            <w:r w:rsidRPr="006401D1">
              <w:rPr>
                <w:rFonts w:cs="Times New Roman"/>
                <w:sz w:val="18"/>
                <w:szCs w:val="18"/>
                <w:vertAlign w:val="superscript"/>
              </w:rPr>
              <w:t>[7]</w:t>
            </w:r>
          </w:p>
        </w:tc>
        <w:tc>
          <w:tcPr>
            <w:tcW w:w="845" w:type="dxa"/>
            <w:gridSpan w:val="2"/>
            <w:tcBorders>
              <w:top w:val="nil"/>
              <w:left w:val="nil"/>
              <w:bottom w:val="nil"/>
              <w:right w:val="nil"/>
            </w:tcBorders>
            <w:shd w:val="clear" w:color="auto" w:fill="auto"/>
            <w:vAlign w:val="center"/>
          </w:tcPr>
          <w:p w14:paraId="418BFBDE" w14:textId="77777777" w:rsidR="00C45D5B" w:rsidRPr="006401D1" w:rsidRDefault="00C45D5B" w:rsidP="00CF774B">
            <w:pPr>
              <w:jc w:val="center"/>
              <w:rPr>
                <w:rFonts w:cs="Times New Roman"/>
                <w:sz w:val="18"/>
                <w:szCs w:val="18"/>
              </w:rPr>
            </w:pPr>
            <w:r w:rsidRPr="006401D1">
              <w:rPr>
                <w:sz w:val="18"/>
                <w:szCs w:val="18"/>
              </w:rPr>
              <w:t>4 244</w:t>
            </w:r>
          </w:p>
        </w:tc>
        <w:tc>
          <w:tcPr>
            <w:tcW w:w="795" w:type="dxa"/>
            <w:gridSpan w:val="3"/>
            <w:tcBorders>
              <w:top w:val="nil"/>
              <w:left w:val="nil"/>
              <w:bottom w:val="nil"/>
              <w:right w:val="nil"/>
            </w:tcBorders>
            <w:shd w:val="clear" w:color="auto" w:fill="auto"/>
            <w:vAlign w:val="center"/>
          </w:tcPr>
          <w:p w14:paraId="324A4DCA" w14:textId="77777777" w:rsidR="00C45D5B" w:rsidRPr="006401D1" w:rsidRDefault="00C45D5B" w:rsidP="00CF774B">
            <w:pPr>
              <w:jc w:val="center"/>
              <w:rPr>
                <w:rFonts w:cs="Times New Roman"/>
                <w:sz w:val="18"/>
                <w:szCs w:val="18"/>
              </w:rPr>
            </w:pPr>
            <w:r w:rsidRPr="006401D1">
              <w:rPr>
                <w:sz w:val="18"/>
                <w:szCs w:val="18"/>
              </w:rPr>
              <w:t>2,3</w:t>
            </w:r>
          </w:p>
        </w:tc>
        <w:tc>
          <w:tcPr>
            <w:tcW w:w="872" w:type="dxa"/>
            <w:gridSpan w:val="2"/>
            <w:tcBorders>
              <w:top w:val="nil"/>
              <w:left w:val="nil"/>
              <w:bottom w:val="nil"/>
              <w:right w:val="nil"/>
            </w:tcBorders>
            <w:shd w:val="clear" w:color="auto" w:fill="auto"/>
            <w:vAlign w:val="center"/>
          </w:tcPr>
          <w:p w14:paraId="67970590" w14:textId="77777777" w:rsidR="00C45D5B" w:rsidRPr="006401D1" w:rsidRDefault="00C45D5B" w:rsidP="00CF774B">
            <w:pPr>
              <w:jc w:val="center"/>
              <w:rPr>
                <w:rFonts w:cs="Times New Roman"/>
                <w:sz w:val="18"/>
                <w:szCs w:val="18"/>
              </w:rPr>
            </w:pPr>
            <w:r w:rsidRPr="006401D1">
              <w:rPr>
                <w:sz w:val="18"/>
                <w:szCs w:val="18"/>
              </w:rPr>
              <w:t>2,6</w:t>
            </w:r>
          </w:p>
        </w:tc>
        <w:tc>
          <w:tcPr>
            <w:tcW w:w="728" w:type="dxa"/>
            <w:gridSpan w:val="3"/>
            <w:tcBorders>
              <w:top w:val="nil"/>
              <w:left w:val="nil"/>
              <w:bottom w:val="nil"/>
              <w:right w:val="nil"/>
            </w:tcBorders>
            <w:shd w:val="clear" w:color="auto" w:fill="auto"/>
            <w:vAlign w:val="center"/>
          </w:tcPr>
          <w:p w14:paraId="27BD5495" w14:textId="77777777" w:rsidR="00C45D5B" w:rsidRPr="006401D1" w:rsidRDefault="00C45D5B" w:rsidP="00CF774B">
            <w:pPr>
              <w:jc w:val="center"/>
              <w:rPr>
                <w:rFonts w:cs="Times New Roman"/>
                <w:sz w:val="18"/>
                <w:szCs w:val="18"/>
              </w:rPr>
            </w:pPr>
            <w:r w:rsidRPr="006401D1">
              <w:rPr>
                <w:sz w:val="18"/>
                <w:szCs w:val="18"/>
              </w:rPr>
              <w:t>2,6</w:t>
            </w:r>
          </w:p>
        </w:tc>
        <w:tc>
          <w:tcPr>
            <w:tcW w:w="703" w:type="dxa"/>
            <w:gridSpan w:val="2"/>
            <w:tcBorders>
              <w:top w:val="nil"/>
              <w:left w:val="nil"/>
              <w:bottom w:val="nil"/>
              <w:right w:val="nil"/>
            </w:tcBorders>
            <w:shd w:val="clear" w:color="auto" w:fill="auto"/>
            <w:vAlign w:val="center"/>
          </w:tcPr>
          <w:p w14:paraId="2562A7DB" w14:textId="77777777" w:rsidR="00C45D5B" w:rsidRPr="006401D1" w:rsidRDefault="00C45D5B" w:rsidP="00CF774B">
            <w:pPr>
              <w:jc w:val="center"/>
              <w:rPr>
                <w:rFonts w:cs="Times New Roman"/>
                <w:sz w:val="18"/>
                <w:szCs w:val="18"/>
              </w:rPr>
            </w:pPr>
            <w:r w:rsidRPr="006401D1">
              <w:rPr>
                <w:sz w:val="18"/>
                <w:szCs w:val="18"/>
              </w:rPr>
              <w:t>2,5</w:t>
            </w:r>
          </w:p>
        </w:tc>
        <w:tc>
          <w:tcPr>
            <w:tcW w:w="589" w:type="dxa"/>
            <w:tcBorders>
              <w:top w:val="nil"/>
              <w:left w:val="nil"/>
              <w:bottom w:val="nil"/>
              <w:right w:val="nil"/>
            </w:tcBorders>
            <w:shd w:val="clear" w:color="auto" w:fill="auto"/>
            <w:vAlign w:val="center"/>
          </w:tcPr>
          <w:p w14:paraId="54CE3A39" w14:textId="77777777" w:rsidR="00C45D5B" w:rsidRPr="006401D1" w:rsidRDefault="00C45D5B" w:rsidP="00CF774B">
            <w:pPr>
              <w:jc w:val="center"/>
              <w:rPr>
                <w:rFonts w:cs="Times New Roman"/>
                <w:sz w:val="18"/>
                <w:szCs w:val="18"/>
              </w:rPr>
            </w:pPr>
            <w:r w:rsidRPr="006401D1">
              <w:rPr>
                <w:sz w:val="18"/>
                <w:szCs w:val="18"/>
              </w:rPr>
              <w:t>2,0</w:t>
            </w:r>
          </w:p>
        </w:tc>
      </w:tr>
      <w:tr w:rsidR="00C45D5B" w:rsidRPr="006401D1" w14:paraId="246CD284" w14:textId="77777777" w:rsidTr="00CF774B">
        <w:trPr>
          <w:gridAfter w:val="3"/>
          <w:wAfter w:w="524" w:type="dxa"/>
          <w:trHeight w:val="279"/>
        </w:trPr>
        <w:tc>
          <w:tcPr>
            <w:tcW w:w="3540" w:type="dxa"/>
            <w:gridSpan w:val="3"/>
            <w:tcBorders>
              <w:top w:val="nil"/>
              <w:left w:val="nil"/>
              <w:right w:val="nil"/>
            </w:tcBorders>
            <w:shd w:val="clear" w:color="auto" w:fill="auto"/>
            <w:hideMark/>
          </w:tcPr>
          <w:p w14:paraId="3E4E2A12" w14:textId="77777777" w:rsidR="00C45D5B" w:rsidRPr="006401D1" w:rsidRDefault="00C45D5B" w:rsidP="00CF774B">
            <w:pPr>
              <w:rPr>
                <w:rFonts w:cs="Times New Roman"/>
                <w:sz w:val="18"/>
                <w:szCs w:val="18"/>
              </w:rPr>
            </w:pPr>
            <w:r w:rsidRPr="006401D1">
              <w:rPr>
                <w:rFonts w:cs="Times New Roman"/>
                <w:sz w:val="18"/>
                <w:szCs w:val="18"/>
              </w:rPr>
              <w:t>24=7. Celkové výdavky</w:t>
            </w:r>
          </w:p>
        </w:tc>
        <w:tc>
          <w:tcPr>
            <w:tcW w:w="933" w:type="dxa"/>
            <w:gridSpan w:val="2"/>
            <w:tcBorders>
              <w:top w:val="nil"/>
              <w:left w:val="nil"/>
              <w:right w:val="nil"/>
            </w:tcBorders>
            <w:shd w:val="clear" w:color="auto" w:fill="auto"/>
            <w:hideMark/>
          </w:tcPr>
          <w:p w14:paraId="57B0CF5A" w14:textId="77777777" w:rsidR="00C45D5B" w:rsidRPr="006401D1" w:rsidRDefault="00C45D5B" w:rsidP="00CF774B">
            <w:pPr>
              <w:jc w:val="center"/>
              <w:rPr>
                <w:rFonts w:cs="Times New Roman"/>
                <w:sz w:val="18"/>
                <w:szCs w:val="18"/>
              </w:rPr>
            </w:pPr>
            <w:r w:rsidRPr="006401D1">
              <w:rPr>
                <w:rFonts w:cs="Times New Roman"/>
                <w:sz w:val="18"/>
                <w:szCs w:val="18"/>
              </w:rPr>
              <w:t>TE [1]</w:t>
            </w:r>
          </w:p>
        </w:tc>
        <w:tc>
          <w:tcPr>
            <w:tcW w:w="845" w:type="dxa"/>
            <w:gridSpan w:val="2"/>
            <w:tcBorders>
              <w:top w:val="nil"/>
              <w:left w:val="nil"/>
              <w:bottom w:val="nil"/>
              <w:right w:val="nil"/>
            </w:tcBorders>
            <w:shd w:val="clear" w:color="auto" w:fill="auto"/>
            <w:vAlign w:val="center"/>
          </w:tcPr>
          <w:p w14:paraId="350F8F3B" w14:textId="77777777" w:rsidR="00C45D5B" w:rsidRPr="006401D1" w:rsidRDefault="00C45D5B" w:rsidP="00CF774B">
            <w:pPr>
              <w:jc w:val="center"/>
              <w:rPr>
                <w:rFonts w:cs="Times New Roman"/>
                <w:sz w:val="18"/>
                <w:szCs w:val="18"/>
              </w:rPr>
            </w:pPr>
            <w:r w:rsidRPr="006401D1">
              <w:rPr>
                <w:sz w:val="18"/>
                <w:szCs w:val="18"/>
              </w:rPr>
              <w:t>45 485</w:t>
            </w:r>
          </w:p>
        </w:tc>
        <w:tc>
          <w:tcPr>
            <w:tcW w:w="795" w:type="dxa"/>
            <w:gridSpan w:val="3"/>
            <w:tcBorders>
              <w:top w:val="nil"/>
              <w:left w:val="nil"/>
              <w:bottom w:val="nil"/>
              <w:right w:val="nil"/>
            </w:tcBorders>
            <w:shd w:val="clear" w:color="auto" w:fill="auto"/>
            <w:vAlign w:val="center"/>
          </w:tcPr>
          <w:p w14:paraId="30F6949D" w14:textId="77777777" w:rsidR="00C45D5B" w:rsidRPr="006401D1" w:rsidRDefault="00C45D5B" w:rsidP="00CF774B">
            <w:pPr>
              <w:jc w:val="center"/>
              <w:rPr>
                <w:rFonts w:cs="Times New Roman"/>
                <w:sz w:val="18"/>
                <w:szCs w:val="18"/>
              </w:rPr>
            </w:pPr>
            <w:r w:rsidRPr="006401D1">
              <w:rPr>
                <w:sz w:val="18"/>
                <w:szCs w:val="18"/>
              </w:rPr>
              <w:t>46,8</w:t>
            </w:r>
          </w:p>
        </w:tc>
        <w:tc>
          <w:tcPr>
            <w:tcW w:w="872" w:type="dxa"/>
            <w:gridSpan w:val="2"/>
            <w:tcBorders>
              <w:top w:val="nil"/>
              <w:left w:val="nil"/>
              <w:bottom w:val="nil"/>
              <w:right w:val="nil"/>
            </w:tcBorders>
            <w:shd w:val="clear" w:color="auto" w:fill="auto"/>
            <w:vAlign w:val="center"/>
          </w:tcPr>
          <w:p w14:paraId="7EB01E21" w14:textId="77777777" w:rsidR="00C45D5B" w:rsidRPr="006401D1" w:rsidRDefault="00C45D5B" w:rsidP="00CF774B">
            <w:pPr>
              <w:jc w:val="center"/>
              <w:rPr>
                <w:rFonts w:cs="Times New Roman"/>
                <w:sz w:val="18"/>
                <w:szCs w:val="18"/>
              </w:rPr>
            </w:pPr>
            <w:r w:rsidRPr="006401D1">
              <w:rPr>
                <w:sz w:val="18"/>
                <w:szCs w:val="18"/>
              </w:rPr>
              <w:t>45,3</w:t>
            </w:r>
          </w:p>
        </w:tc>
        <w:tc>
          <w:tcPr>
            <w:tcW w:w="728" w:type="dxa"/>
            <w:gridSpan w:val="3"/>
            <w:tcBorders>
              <w:top w:val="nil"/>
              <w:left w:val="nil"/>
              <w:bottom w:val="nil"/>
              <w:right w:val="nil"/>
            </w:tcBorders>
            <w:shd w:val="clear" w:color="auto" w:fill="auto"/>
            <w:vAlign w:val="center"/>
          </w:tcPr>
          <w:p w14:paraId="4580C2B0" w14:textId="77777777" w:rsidR="00C45D5B" w:rsidRPr="006401D1" w:rsidRDefault="00C45D5B" w:rsidP="00CF774B">
            <w:pPr>
              <w:jc w:val="center"/>
              <w:rPr>
                <w:rFonts w:cs="Times New Roman"/>
                <w:sz w:val="18"/>
                <w:szCs w:val="18"/>
              </w:rPr>
            </w:pPr>
            <w:r w:rsidRPr="006401D1">
              <w:rPr>
                <w:sz w:val="18"/>
                <w:szCs w:val="18"/>
              </w:rPr>
              <w:t>43,6</w:t>
            </w:r>
          </w:p>
        </w:tc>
        <w:tc>
          <w:tcPr>
            <w:tcW w:w="703" w:type="dxa"/>
            <w:gridSpan w:val="2"/>
            <w:tcBorders>
              <w:top w:val="nil"/>
              <w:left w:val="nil"/>
              <w:bottom w:val="nil"/>
              <w:right w:val="nil"/>
            </w:tcBorders>
            <w:shd w:val="clear" w:color="auto" w:fill="auto"/>
            <w:vAlign w:val="center"/>
          </w:tcPr>
          <w:p w14:paraId="77B9A696" w14:textId="77777777" w:rsidR="00C45D5B" w:rsidRPr="006401D1" w:rsidRDefault="00C45D5B" w:rsidP="00CF774B">
            <w:pPr>
              <w:jc w:val="center"/>
              <w:rPr>
                <w:rFonts w:cs="Times New Roman"/>
                <w:sz w:val="18"/>
                <w:szCs w:val="18"/>
              </w:rPr>
            </w:pPr>
            <w:r w:rsidRPr="006401D1">
              <w:rPr>
                <w:sz w:val="18"/>
                <w:szCs w:val="18"/>
              </w:rPr>
              <w:t>41,4</w:t>
            </w:r>
          </w:p>
        </w:tc>
        <w:tc>
          <w:tcPr>
            <w:tcW w:w="589" w:type="dxa"/>
            <w:tcBorders>
              <w:top w:val="nil"/>
              <w:left w:val="nil"/>
              <w:bottom w:val="nil"/>
              <w:right w:val="nil"/>
            </w:tcBorders>
            <w:shd w:val="clear" w:color="auto" w:fill="auto"/>
            <w:vAlign w:val="center"/>
          </w:tcPr>
          <w:p w14:paraId="2838C1BA" w14:textId="77777777" w:rsidR="00C45D5B" w:rsidRPr="006401D1" w:rsidRDefault="00C45D5B" w:rsidP="00CF774B">
            <w:pPr>
              <w:jc w:val="center"/>
              <w:rPr>
                <w:rFonts w:cs="Times New Roman"/>
                <w:sz w:val="18"/>
                <w:szCs w:val="18"/>
              </w:rPr>
            </w:pPr>
            <w:r w:rsidRPr="006401D1">
              <w:rPr>
                <w:sz w:val="18"/>
                <w:szCs w:val="18"/>
              </w:rPr>
              <w:t>41,0</w:t>
            </w:r>
          </w:p>
        </w:tc>
      </w:tr>
      <w:tr w:rsidR="00C45D5B" w:rsidRPr="006401D1" w14:paraId="2F439561" w14:textId="77777777" w:rsidTr="00CF774B">
        <w:trPr>
          <w:gridAfter w:val="3"/>
          <w:wAfter w:w="524" w:type="dxa"/>
          <w:trHeight w:val="279"/>
        </w:trPr>
        <w:tc>
          <w:tcPr>
            <w:tcW w:w="3540" w:type="dxa"/>
            <w:gridSpan w:val="3"/>
            <w:tcBorders>
              <w:top w:val="nil"/>
              <w:left w:val="nil"/>
              <w:bottom w:val="single" w:sz="8" w:space="0" w:color="auto"/>
              <w:right w:val="nil"/>
            </w:tcBorders>
            <w:shd w:val="clear" w:color="auto" w:fill="auto"/>
            <w:hideMark/>
          </w:tcPr>
          <w:p w14:paraId="7DD4D28A" w14:textId="77777777" w:rsidR="00C45D5B" w:rsidRPr="006401D1" w:rsidRDefault="00C45D5B" w:rsidP="00CF774B">
            <w:pPr>
              <w:rPr>
                <w:rFonts w:cs="Times New Roman"/>
                <w:sz w:val="18"/>
                <w:szCs w:val="18"/>
              </w:rPr>
            </w:pPr>
            <w:r w:rsidRPr="006401D1">
              <w:rPr>
                <w:rFonts w:cs="Times New Roman"/>
                <w:sz w:val="18"/>
                <w:szCs w:val="18"/>
              </w:rPr>
              <w:t>p. m.: Spotreba vlády (nominálna)</w:t>
            </w:r>
          </w:p>
        </w:tc>
        <w:tc>
          <w:tcPr>
            <w:tcW w:w="933" w:type="dxa"/>
            <w:gridSpan w:val="2"/>
            <w:tcBorders>
              <w:top w:val="nil"/>
              <w:left w:val="nil"/>
              <w:bottom w:val="single" w:sz="8" w:space="0" w:color="auto"/>
              <w:right w:val="nil"/>
            </w:tcBorders>
            <w:shd w:val="clear" w:color="auto" w:fill="auto"/>
            <w:hideMark/>
          </w:tcPr>
          <w:p w14:paraId="689DE800" w14:textId="77777777" w:rsidR="00C45D5B" w:rsidRPr="006401D1" w:rsidRDefault="00C45D5B" w:rsidP="00CF774B">
            <w:pPr>
              <w:jc w:val="center"/>
              <w:rPr>
                <w:rFonts w:cs="Times New Roman"/>
                <w:sz w:val="18"/>
                <w:szCs w:val="18"/>
              </w:rPr>
            </w:pPr>
            <w:r w:rsidRPr="006401D1">
              <w:rPr>
                <w:rFonts w:cs="Times New Roman"/>
                <w:sz w:val="18"/>
                <w:szCs w:val="18"/>
              </w:rPr>
              <w:t>P.3</w:t>
            </w:r>
          </w:p>
        </w:tc>
        <w:tc>
          <w:tcPr>
            <w:tcW w:w="845" w:type="dxa"/>
            <w:gridSpan w:val="2"/>
            <w:tcBorders>
              <w:top w:val="nil"/>
              <w:left w:val="nil"/>
              <w:bottom w:val="single" w:sz="4" w:space="0" w:color="auto"/>
              <w:right w:val="nil"/>
            </w:tcBorders>
            <w:shd w:val="clear" w:color="auto" w:fill="auto"/>
            <w:vAlign w:val="center"/>
          </w:tcPr>
          <w:p w14:paraId="0CDA292F" w14:textId="77777777" w:rsidR="00C45D5B" w:rsidRPr="006401D1" w:rsidRDefault="00C45D5B" w:rsidP="00CF774B">
            <w:pPr>
              <w:jc w:val="center"/>
              <w:rPr>
                <w:rFonts w:cs="Times New Roman"/>
                <w:sz w:val="18"/>
                <w:szCs w:val="18"/>
              </w:rPr>
            </w:pPr>
            <w:r w:rsidRPr="006401D1">
              <w:rPr>
                <w:sz w:val="18"/>
                <w:szCs w:val="18"/>
              </w:rPr>
              <w:t>20 921</w:t>
            </w:r>
          </w:p>
        </w:tc>
        <w:tc>
          <w:tcPr>
            <w:tcW w:w="795" w:type="dxa"/>
            <w:gridSpan w:val="3"/>
            <w:tcBorders>
              <w:top w:val="nil"/>
              <w:left w:val="nil"/>
              <w:bottom w:val="single" w:sz="4" w:space="0" w:color="auto"/>
              <w:right w:val="nil"/>
            </w:tcBorders>
            <w:shd w:val="clear" w:color="auto" w:fill="auto"/>
            <w:vAlign w:val="center"/>
          </w:tcPr>
          <w:p w14:paraId="286ABA1B" w14:textId="77777777" w:rsidR="00C45D5B" w:rsidRPr="006401D1" w:rsidRDefault="00C45D5B" w:rsidP="00CF774B">
            <w:pPr>
              <w:jc w:val="center"/>
              <w:rPr>
                <w:rFonts w:cs="Times New Roman"/>
                <w:sz w:val="18"/>
                <w:szCs w:val="18"/>
              </w:rPr>
            </w:pPr>
            <w:r w:rsidRPr="006401D1">
              <w:rPr>
                <w:sz w:val="18"/>
                <w:szCs w:val="18"/>
              </w:rPr>
              <w:t>21,5</w:t>
            </w:r>
          </w:p>
        </w:tc>
        <w:tc>
          <w:tcPr>
            <w:tcW w:w="872" w:type="dxa"/>
            <w:gridSpan w:val="2"/>
            <w:tcBorders>
              <w:top w:val="nil"/>
              <w:left w:val="nil"/>
              <w:bottom w:val="single" w:sz="4" w:space="0" w:color="auto"/>
              <w:right w:val="nil"/>
            </w:tcBorders>
            <w:shd w:val="clear" w:color="auto" w:fill="auto"/>
            <w:vAlign w:val="center"/>
          </w:tcPr>
          <w:p w14:paraId="217262F8" w14:textId="77777777" w:rsidR="00C45D5B" w:rsidRPr="006401D1" w:rsidRDefault="00C45D5B" w:rsidP="00CF774B">
            <w:pPr>
              <w:jc w:val="center"/>
              <w:rPr>
                <w:rFonts w:cs="Times New Roman"/>
                <w:sz w:val="18"/>
                <w:szCs w:val="18"/>
              </w:rPr>
            </w:pPr>
            <w:r w:rsidRPr="006401D1">
              <w:rPr>
                <w:sz w:val="18"/>
                <w:szCs w:val="18"/>
              </w:rPr>
              <w:t>20,7</w:t>
            </w:r>
          </w:p>
        </w:tc>
        <w:tc>
          <w:tcPr>
            <w:tcW w:w="728" w:type="dxa"/>
            <w:gridSpan w:val="3"/>
            <w:tcBorders>
              <w:top w:val="nil"/>
              <w:left w:val="nil"/>
              <w:bottom w:val="single" w:sz="4" w:space="0" w:color="auto"/>
              <w:right w:val="nil"/>
            </w:tcBorders>
            <w:shd w:val="clear" w:color="auto" w:fill="auto"/>
            <w:vAlign w:val="center"/>
          </w:tcPr>
          <w:p w14:paraId="3C4B90AC" w14:textId="77777777" w:rsidR="00C45D5B" w:rsidRPr="006401D1" w:rsidRDefault="00C45D5B" w:rsidP="00CF774B">
            <w:pPr>
              <w:jc w:val="center"/>
              <w:rPr>
                <w:rFonts w:cs="Times New Roman"/>
                <w:sz w:val="18"/>
                <w:szCs w:val="18"/>
              </w:rPr>
            </w:pPr>
            <w:r w:rsidRPr="006401D1">
              <w:rPr>
                <w:sz w:val="18"/>
                <w:szCs w:val="18"/>
              </w:rPr>
              <w:t>19,7</w:t>
            </w:r>
          </w:p>
        </w:tc>
        <w:tc>
          <w:tcPr>
            <w:tcW w:w="703" w:type="dxa"/>
            <w:gridSpan w:val="2"/>
            <w:tcBorders>
              <w:top w:val="nil"/>
              <w:left w:val="nil"/>
              <w:bottom w:val="single" w:sz="4" w:space="0" w:color="auto"/>
              <w:right w:val="nil"/>
            </w:tcBorders>
            <w:shd w:val="clear" w:color="auto" w:fill="auto"/>
            <w:vAlign w:val="center"/>
          </w:tcPr>
          <w:p w14:paraId="39F9E263" w14:textId="77777777" w:rsidR="00C45D5B" w:rsidRPr="006401D1" w:rsidRDefault="00C45D5B" w:rsidP="00CF774B">
            <w:pPr>
              <w:jc w:val="center"/>
              <w:rPr>
                <w:rFonts w:cs="Times New Roman"/>
                <w:sz w:val="18"/>
                <w:szCs w:val="18"/>
              </w:rPr>
            </w:pPr>
            <w:r w:rsidRPr="006401D1">
              <w:rPr>
                <w:sz w:val="18"/>
                <w:szCs w:val="18"/>
              </w:rPr>
              <w:t>19,3</w:t>
            </w:r>
          </w:p>
        </w:tc>
        <w:tc>
          <w:tcPr>
            <w:tcW w:w="589" w:type="dxa"/>
            <w:tcBorders>
              <w:top w:val="nil"/>
              <w:left w:val="nil"/>
              <w:bottom w:val="single" w:sz="4" w:space="0" w:color="auto"/>
              <w:right w:val="nil"/>
            </w:tcBorders>
            <w:shd w:val="clear" w:color="auto" w:fill="auto"/>
            <w:vAlign w:val="center"/>
          </w:tcPr>
          <w:p w14:paraId="426EC9E1" w14:textId="77777777" w:rsidR="00C45D5B" w:rsidRPr="006401D1" w:rsidRDefault="00C45D5B" w:rsidP="00CF774B">
            <w:pPr>
              <w:jc w:val="center"/>
              <w:rPr>
                <w:rFonts w:cs="Times New Roman"/>
                <w:sz w:val="18"/>
                <w:szCs w:val="18"/>
              </w:rPr>
            </w:pPr>
            <w:r w:rsidRPr="006401D1">
              <w:rPr>
                <w:sz w:val="18"/>
                <w:szCs w:val="18"/>
              </w:rPr>
              <w:t>18,8</w:t>
            </w:r>
          </w:p>
        </w:tc>
      </w:tr>
      <w:tr w:rsidR="00C45D5B" w:rsidRPr="006401D1" w14:paraId="27B6DD85" w14:textId="77777777" w:rsidTr="00CF774B">
        <w:trPr>
          <w:gridAfter w:val="2"/>
          <w:wAfter w:w="497" w:type="dxa"/>
          <w:trHeight w:val="224"/>
        </w:trPr>
        <w:tc>
          <w:tcPr>
            <w:tcW w:w="5934" w:type="dxa"/>
            <w:gridSpan w:val="8"/>
            <w:tcBorders>
              <w:top w:val="single" w:sz="8" w:space="0" w:color="auto"/>
              <w:left w:val="nil"/>
              <w:bottom w:val="nil"/>
              <w:right w:val="nil"/>
            </w:tcBorders>
            <w:shd w:val="clear" w:color="auto" w:fill="auto"/>
            <w:noWrap/>
            <w:vAlign w:val="center"/>
            <w:hideMark/>
          </w:tcPr>
          <w:p w14:paraId="4EC67F82" w14:textId="77777777" w:rsidR="00C45D5B" w:rsidRPr="006401D1" w:rsidRDefault="00C45D5B" w:rsidP="00CF774B">
            <w:pPr>
              <w:rPr>
                <w:rFonts w:cs="Times New Roman"/>
                <w:i/>
                <w:sz w:val="16"/>
                <w:szCs w:val="18"/>
              </w:rPr>
            </w:pPr>
            <w:r w:rsidRPr="006401D1">
              <w:rPr>
                <w:rFonts w:cs="Times New Roman"/>
                <w:i/>
                <w:sz w:val="16"/>
                <w:szCs w:val="18"/>
              </w:rPr>
              <w:t>[1] Upravené o čisté toky týkajúce sa swapov tak, aby TR-TE=B.9</w:t>
            </w:r>
          </w:p>
        </w:tc>
        <w:tc>
          <w:tcPr>
            <w:tcW w:w="795" w:type="dxa"/>
            <w:gridSpan w:val="3"/>
            <w:tcBorders>
              <w:top w:val="single" w:sz="8" w:space="0" w:color="auto"/>
              <w:left w:val="nil"/>
              <w:bottom w:val="nil"/>
              <w:right w:val="nil"/>
            </w:tcBorders>
            <w:shd w:val="clear" w:color="auto" w:fill="auto"/>
            <w:noWrap/>
            <w:vAlign w:val="bottom"/>
            <w:hideMark/>
          </w:tcPr>
          <w:p w14:paraId="30166CD4" w14:textId="77777777" w:rsidR="00C45D5B" w:rsidRPr="006401D1" w:rsidRDefault="00C45D5B" w:rsidP="00CF774B">
            <w:pPr>
              <w:rPr>
                <w:rFonts w:cs="Times New Roman"/>
                <w:i/>
                <w:color w:val="000000"/>
                <w:sz w:val="18"/>
                <w:szCs w:val="18"/>
              </w:rPr>
            </w:pPr>
            <w:r w:rsidRPr="006401D1">
              <w:rPr>
                <w:rFonts w:cs="Times New Roman"/>
                <w:i/>
                <w:color w:val="000000"/>
                <w:sz w:val="18"/>
                <w:szCs w:val="18"/>
              </w:rPr>
              <w:t> </w:t>
            </w:r>
          </w:p>
        </w:tc>
        <w:tc>
          <w:tcPr>
            <w:tcW w:w="872" w:type="dxa"/>
            <w:gridSpan w:val="3"/>
            <w:tcBorders>
              <w:top w:val="single" w:sz="8" w:space="0" w:color="auto"/>
              <w:left w:val="nil"/>
              <w:bottom w:val="nil"/>
              <w:right w:val="nil"/>
            </w:tcBorders>
            <w:shd w:val="clear" w:color="auto" w:fill="auto"/>
            <w:noWrap/>
            <w:vAlign w:val="bottom"/>
            <w:hideMark/>
          </w:tcPr>
          <w:p w14:paraId="6759C93F" w14:textId="77777777" w:rsidR="00C45D5B" w:rsidRPr="006401D1" w:rsidRDefault="00C45D5B" w:rsidP="00CF774B">
            <w:pPr>
              <w:rPr>
                <w:rFonts w:cs="Times New Roman"/>
                <w:i/>
                <w:color w:val="000000"/>
                <w:sz w:val="18"/>
                <w:szCs w:val="18"/>
              </w:rPr>
            </w:pPr>
            <w:r w:rsidRPr="006401D1">
              <w:rPr>
                <w:rFonts w:cs="Times New Roman"/>
                <w:i/>
                <w:color w:val="000000"/>
                <w:sz w:val="18"/>
                <w:szCs w:val="18"/>
              </w:rPr>
              <w:t> </w:t>
            </w:r>
          </w:p>
        </w:tc>
        <w:tc>
          <w:tcPr>
            <w:tcW w:w="1431" w:type="dxa"/>
            <w:gridSpan w:val="5"/>
            <w:tcBorders>
              <w:top w:val="single" w:sz="8" w:space="0" w:color="auto"/>
              <w:left w:val="nil"/>
              <w:bottom w:val="nil"/>
              <w:right w:val="nil"/>
            </w:tcBorders>
            <w:shd w:val="clear" w:color="auto" w:fill="auto"/>
            <w:noWrap/>
            <w:vAlign w:val="center"/>
            <w:hideMark/>
          </w:tcPr>
          <w:p w14:paraId="7A8A539E" w14:textId="77777777" w:rsidR="00C45D5B" w:rsidRPr="006401D1" w:rsidRDefault="00C45D5B" w:rsidP="00CF774B">
            <w:pPr>
              <w:jc w:val="right"/>
              <w:rPr>
                <w:rFonts w:cs="Times New Roman"/>
                <w:i/>
                <w:iCs/>
                <w:sz w:val="18"/>
                <w:szCs w:val="18"/>
              </w:rPr>
            </w:pPr>
            <w:r w:rsidRPr="006401D1">
              <w:rPr>
                <w:rFonts w:cs="Times New Roman"/>
                <w:i/>
                <w:iCs/>
                <w:sz w:val="16"/>
                <w:szCs w:val="18"/>
              </w:rPr>
              <w:t>Zdroj: MF SR</w:t>
            </w:r>
          </w:p>
        </w:tc>
      </w:tr>
      <w:tr w:rsidR="00C45D5B" w:rsidRPr="006401D1" w14:paraId="4ACBCE85" w14:textId="77777777" w:rsidTr="00CF774B">
        <w:trPr>
          <w:gridAfter w:val="1"/>
          <w:wAfter w:w="332" w:type="dxa"/>
          <w:trHeight w:val="224"/>
        </w:trPr>
        <w:tc>
          <w:tcPr>
            <w:tcW w:w="9032" w:type="dxa"/>
            <w:gridSpan w:val="19"/>
            <w:tcBorders>
              <w:top w:val="nil"/>
              <w:left w:val="nil"/>
              <w:bottom w:val="nil"/>
              <w:right w:val="nil"/>
            </w:tcBorders>
            <w:shd w:val="clear" w:color="auto" w:fill="auto"/>
            <w:vAlign w:val="center"/>
            <w:hideMark/>
          </w:tcPr>
          <w:p w14:paraId="2D5CFA61" w14:textId="77777777" w:rsidR="00C45D5B" w:rsidRPr="006401D1" w:rsidRDefault="00C45D5B" w:rsidP="00CF774B">
            <w:pPr>
              <w:rPr>
                <w:rFonts w:cs="Times New Roman"/>
                <w:i/>
                <w:sz w:val="16"/>
                <w:szCs w:val="18"/>
              </w:rPr>
            </w:pPr>
            <w:r w:rsidRPr="006401D1">
              <w:rPr>
                <w:rFonts w:cs="Times New Roman"/>
                <w:i/>
                <w:sz w:val="16"/>
                <w:szCs w:val="18"/>
              </w:rPr>
              <w:t>[2] Primárne saldo je počítané ako (B.9, položka 8) plus (D.41, položka 9)</w:t>
            </w:r>
          </w:p>
        </w:tc>
        <w:tc>
          <w:tcPr>
            <w:tcW w:w="165" w:type="dxa"/>
            <w:tcBorders>
              <w:top w:val="nil"/>
              <w:left w:val="nil"/>
              <w:bottom w:val="nil"/>
              <w:right w:val="nil"/>
            </w:tcBorders>
            <w:shd w:val="clear" w:color="auto" w:fill="auto"/>
            <w:noWrap/>
            <w:vAlign w:val="bottom"/>
            <w:hideMark/>
          </w:tcPr>
          <w:p w14:paraId="62FE2484" w14:textId="77777777" w:rsidR="00C45D5B" w:rsidRPr="006401D1" w:rsidRDefault="00C45D5B" w:rsidP="00CF774B">
            <w:pPr>
              <w:rPr>
                <w:rFonts w:cs="Times New Roman"/>
                <w:i/>
                <w:sz w:val="18"/>
                <w:szCs w:val="18"/>
              </w:rPr>
            </w:pPr>
          </w:p>
        </w:tc>
      </w:tr>
      <w:tr w:rsidR="00C45D5B" w:rsidRPr="006401D1" w14:paraId="0CDEC37B" w14:textId="77777777" w:rsidTr="00CF774B">
        <w:trPr>
          <w:gridAfter w:val="1"/>
          <w:wAfter w:w="332" w:type="dxa"/>
          <w:trHeight w:val="224"/>
        </w:trPr>
        <w:tc>
          <w:tcPr>
            <w:tcW w:w="9032" w:type="dxa"/>
            <w:gridSpan w:val="19"/>
            <w:tcBorders>
              <w:top w:val="nil"/>
              <w:left w:val="nil"/>
              <w:bottom w:val="nil"/>
              <w:right w:val="nil"/>
            </w:tcBorders>
            <w:shd w:val="clear" w:color="auto" w:fill="auto"/>
            <w:vAlign w:val="center"/>
            <w:hideMark/>
          </w:tcPr>
          <w:p w14:paraId="07BE93BF" w14:textId="77777777" w:rsidR="00C45D5B" w:rsidRPr="006401D1" w:rsidRDefault="00C45D5B" w:rsidP="00CF774B">
            <w:pPr>
              <w:rPr>
                <w:rFonts w:cs="Times New Roman"/>
                <w:i/>
                <w:sz w:val="16"/>
                <w:szCs w:val="18"/>
              </w:rPr>
            </w:pPr>
            <w:r w:rsidRPr="006401D1">
              <w:rPr>
                <w:rFonts w:cs="Times New Roman"/>
                <w:i/>
                <w:sz w:val="16"/>
                <w:szCs w:val="18"/>
              </w:rPr>
              <w:t>[3] Kladné znamienko predstavuje pozitívny vplyv jednorazového opatrenia na saldo VS</w:t>
            </w:r>
          </w:p>
        </w:tc>
        <w:tc>
          <w:tcPr>
            <w:tcW w:w="165" w:type="dxa"/>
            <w:tcBorders>
              <w:top w:val="nil"/>
              <w:left w:val="nil"/>
              <w:bottom w:val="nil"/>
              <w:right w:val="nil"/>
            </w:tcBorders>
            <w:shd w:val="clear" w:color="auto" w:fill="auto"/>
            <w:noWrap/>
            <w:vAlign w:val="bottom"/>
            <w:hideMark/>
          </w:tcPr>
          <w:p w14:paraId="3536A82E" w14:textId="77777777" w:rsidR="00C45D5B" w:rsidRPr="006401D1" w:rsidRDefault="00C45D5B" w:rsidP="00CF774B">
            <w:pPr>
              <w:rPr>
                <w:rFonts w:cs="Times New Roman"/>
                <w:i/>
                <w:sz w:val="18"/>
                <w:szCs w:val="18"/>
              </w:rPr>
            </w:pPr>
          </w:p>
        </w:tc>
      </w:tr>
      <w:tr w:rsidR="00C45D5B" w:rsidRPr="006401D1" w14:paraId="5CA36C0A" w14:textId="77777777" w:rsidTr="00CF774B">
        <w:trPr>
          <w:gridAfter w:val="1"/>
          <w:wAfter w:w="332" w:type="dxa"/>
          <w:trHeight w:val="224"/>
        </w:trPr>
        <w:tc>
          <w:tcPr>
            <w:tcW w:w="9032" w:type="dxa"/>
            <w:gridSpan w:val="19"/>
            <w:tcBorders>
              <w:top w:val="nil"/>
              <w:left w:val="nil"/>
              <w:bottom w:val="nil"/>
              <w:right w:val="nil"/>
            </w:tcBorders>
            <w:shd w:val="clear" w:color="auto" w:fill="auto"/>
            <w:vAlign w:val="center"/>
            <w:hideMark/>
          </w:tcPr>
          <w:p w14:paraId="58FE0632" w14:textId="77777777" w:rsidR="00C45D5B" w:rsidRPr="006401D1" w:rsidRDefault="00C45D5B" w:rsidP="00CF774B">
            <w:pPr>
              <w:rPr>
                <w:rFonts w:cs="Times New Roman"/>
                <w:i/>
                <w:sz w:val="16"/>
                <w:szCs w:val="18"/>
              </w:rPr>
            </w:pPr>
            <w:r w:rsidRPr="006401D1">
              <w:rPr>
                <w:rFonts w:cs="Times New Roman"/>
                <w:i/>
                <w:sz w:val="16"/>
                <w:szCs w:val="18"/>
              </w:rPr>
              <w:t>[4] P.11+P.12+P.131+D.39+D.7+D.9 (okrem D.91)</w:t>
            </w:r>
          </w:p>
        </w:tc>
        <w:tc>
          <w:tcPr>
            <w:tcW w:w="165" w:type="dxa"/>
            <w:tcBorders>
              <w:top w:val="nil"/>
              <w:left w:val="nil"/>
              <w:bottom w:val="nil"/>
              <w:right w:val="nil"/>
            </w:tcBorders>
            <w:shd w:val="clear" w:color="auto" w:fill="auto"/>
            <w:noWrap/>
            <w:vAlign w:val="bottom"/>
            <w:hideMark/>
          </w:tcPr>
          <w:p w14:paraId="24409511" w14:textId="77777777" w:rsidR="00C45D5B" w:rsidRPr="006401D1" w:rsidRDefault="00C45D5B" w:rsidP="00CF774B">
            <w:pPr>
              <w:rPr>
                <w:rFonts w:cs="Times New Roman"/>
                <w:i/>
                <w:sz w:val="18"/>
                <w:szCs w:val="18"/>
              </w:rPr>
            </w:pPr>
          </w:p>
        </w:tc>
      </w:tr>
      <w:tr w:rsidR="00C45D5B" w:rsidRPr="006401D1" w14:paraId="3BD535AF" w14:textId="77777777" w:rsidTr="00CF774B">
        <w:trPr>
          <w:gridAfter w:val="1"/>
          <w:wAfter w:w="332" w:type="dxa"/>
          <w:trHeight w:val="224"/>
        </w:trPr>
        <w:tc>
          <w:tcPr>
            <w:tcW w:w="9032" w:type="dxa"/>
            <w:gridSpan w:val="19"/>
            <w:tcBorders>
              <w:top w:val="nil"/>
              <w:left w:val="nil"/>
              <w:bottom w:val="nil"/>
              <w:right w:val="nil"/>
            </w:tcBorders>
            <w:shd w:val="clear" w:color="auto" w:fill="auto"/>
            <w:vAlign w:val="center"/>
            <w:hideMark/>
          </w:tcPr>
          <w:p w14:paraId="0474A4B0" w14:textId="77777777" w:rsidR="00C45D5B" w:rsidRPr="006401D1" w:rsidRDefault="00C45D5B" w:rsidP="00CF774B">
            <w:pPr>
              <w:rPr>
                <w:rFonts w:cs="Times New Roman"/>
                <w:i/>
                <w:sz w:val="16"/>
                <w:szCs w:val="18"/>
              </w:rPr>
            </w:pPr>
            <w:r w:rsidRPr="006401D1">
              <w:rPr>
                <w:rFonts w:cs="Times New Roman"/>
                <w:i/>
                <w:sz w:val="16"/>
                <w:szCs w:val="18"/>
              </w:rPr>
              <w:t>[5] Vrátane vyberaných EÚ</w:t>
            </w:r>
          </w:p>
        </w:tc>
        <w:tc>
          <w:tcPr>
            <w:tcW w:w="165" w:type="dxa"/>
            <w:tcBorders>
              <w:top w:val="nil"/>
              <w:left w:val="nil"/>
              <w:bottom w:val="nil"/>
              <w:right w:val="nil"/>
            </w:tcBorders>
            <w:shd w:val="clear" w:color="auto" w:fill="auto"/>
            <w:noWrap/>
            <w:vAlign w:val="bottom"/>
            <w:hideMark/>
          </w:tcPr>
          <w:p w14:paraId="09DE9A61" w14:textId="77777777" w:rsidR="00C45D5B" w:rsidRPr="006401D1" w:rsidRDefault="00C45D5B" w:rsidP="00CF774B">
            <w:pPr>
              <w:rPr>
                <w:rFonts w:cs="Times New Roman"/>
                <w:i/>
                <w:sz w:val="18"/>
                <w:szCs w:val="18"/>
              </w:rPr>
            </w:pPr>
          </w:p>
        </w:tc>
      </w:tr>
      <w:tr w:rsidR="00C45D5B" w:rsidRPr="006401D1" w14:paraId="5564402E" w14:textId="77777777" w:rsidTr="00CF774B">
        <w:trPr>
          <w:gridAfter w:val="1"/>
          <w:wAfter w:w="332" w:type="dxa"/>
          <w:trHeight w:val="224"/>
        </w:trPr>
        <w:tc>
          <w:tcPr>
            <w:tcW w:w="9032" w:type="dxa"/>
            <w:gridSpan w:val="19"/>
            <w:tcBorders>
              <w:top w:val="nil"/>
              <w:left w:val="nil"/>
              <w:bottom w:val="nil"/>
              <w:right w:val="nil"/>
            </w:tcBorders>
            <w:shd w:val="clear" w:color="auto" w:fill="auto"/>
            <w:vAlign w:val="center"/>
            <w:hideMark/>
          </w:tcPr>
          <w:p w14:paraId="7D79481F" w14:textId="77777777" w:rsidR="00C45D5B" w:rsidRPr="006401D1" w:rsidRDefault="00C45D5B" w:rsidP="00CF774B">
            <w:pPr>
              <w:rPr>
                <w:rFonts w:cs="Times New Roman"/>
                <w:i/>
                <w:sz w:val="16"/>
                <w:szCs w:val="18"/>
              </w:rPr>
            </w:pPr>
            <w:r w:rsidRPr="006401D1">
              <w:rPr>
                <w:rFonts w:cs="Times New Roman"/>
                <w:i/>
                <w:sz w:val="16"/>
                <w:szCs w:val="18"/>
              </w:rPr>
              <w:t>[6] Zahŕňa hotovostné dávky (D.621 a D.624) a naturálne dávky (D.631) súvisiace s dávkami v nezamestnanosti</w:t>
            </w:r>
          </w:p>
        </w:tc>
        <w:tc>
          <w:tcPr>
            <w:tcW w:w="165" w:type="dxa"/>
            <w:tcBorders>
              <w:top w:val="nil"/>
              <w:left w:val="nil"/>
              <w:bottom w:val="nil"/>
              <w:right w:val="nil"/>
            </w:tcBorders>
            <w:shd w:val="clear" w:color="auto" w:fill="auto"/>
            <w:noWrap/>
            <w:vAlign w:val="bottom"/>
            <w:hideMark/>
          </w:tcPr>
          <w:p w14:paraId="30D0CD64" w14:textId="77777777" w:rsidR="00C45D5B" w:rsidRPr="006401D1" w:rsidRDefault="00C45D5B" w:rsidP="00CF774B">
            <w:pPr>
              <w:rPr>
                <w:rFonts w:cs="Times New Roman"/>
                <w:i/>
                <w:sz w:val="18"/>
                <w:szCs w:val="18"/>
              </w:rPr>
            </w:pPr>
          </w:p>
        </w:tc>
      </w:tr>
      <w:tr w:rsidR="00C45D5B" w:rsidRPr="006401D1" w14:paraId="311BBA81" w14:textId="77777777" w:rsidTr="00CF774B">
        <w:trPr>
          <w:gridAfter w:val="2"/>
          <w:wAfter w:w="497" w:type="dxa"/>
          <w:trHeight w:val="224"/>
        </w:trPr>
        <w:tc>
          <w:tcPr>
            <w:tcW w:w="9032" w:type="dxa"/>
            <w:gridSpan w:val="19"/>
            <w:tcBorders>
              <w:top w:val="nil"/>
              <w:left w:val="nil"/>
              <w:bottom w:val="nil"/>
              <w:right w:val="nil"/>
            </w:tcBorders>
            <w:shd w:val="clear" w:color="auto" w:fill="auto"/>
            <w:vAlign w:val="center"/>
            <w:hideMark/>
          </w:tcPr>
          <w:p w14:paraId="01FF102A" w14:textId="68C2B18D" w:rsidR="00C45D5B" w:rsidRPr="006401D1" w:rsidRDefault="00C45D5B" w:rsidP="00CF774B">
            <w:pPr>
              <w:rPr>
                <w:rFonts w:cs="Times New Roman"/>
                <w:i/>
                <w:sz w:val="16"/>
                <w:szCs w:val="18"/>
              </w:rPr>
            </w:pPr>
            <w:r w:rsidRPr="006401D1">
              <w:rPr>
                <w:rFonts w:cs="Times New Roman"/>
                <w:i/>
                <w:sz w:val="16"/>
                <w:szCs w:val="18"/>
              </w:rPr>
              <w:t>[7] D.29+D4 (ok</w:t>
            </w:r>
            <w:r w:rsidR="00206E5B">
              <w:rPr>
                <w:rFonts w:cs="Times New Roman"/>
                <w:i/>
                <w:sz w:val="16"/>
                <w:szCs w:val="18"/>
              </w:rPr>
              <w:t>rem D.41)+ D.5+D.7+P.52+P.53+NP</w:t>
            </w:r>
            <w:r w:rsidRPr="006401D1">
              <w:rPr>
                <w:rFonts w:cs="Times New Roman"/>
                <w:i/>
                <w:sz w:val="16"/>
                <w:szCs w:val="18"/>
              </w:rPr>
              <w:t>+D.8</w:t>
            </w:r>
          </w:p>
        </w:tc>
      </w:tr>
    </w:tbl>
    <w:p w14:paraId="0FCEB6E4" w14:textId="77777777" w:rsidR="00C45D5B" w:rsidRPr="00AB54ED" w:rsidRDefault="00C45D5B" w:rsidP="00C45D5B">
      <w:pPr>
        <w:rPr>
          <w:color w:val="2C9ADC" w:themeColor="accent1"/>
          <w:sz w:val="18"/>
          <w:szCs w:val="18"/>
          <w:highlight w:val="yellow"/>
        </w:rPr>
      </w:pPr>
    </w:p>
    <w:p w14:paraId="084B1303" w14:textId="77777777" w:rsidR="00C45D5B" w:rsidRPr="00AB54ED" w:rsidRDefault="00C45D5B" w:rsidP="00C45D5B">
      <w:pPr>
        <w:rPr>
          <w:color w:val="2C9ADC" w:themeColor="accent1"/>
          <w:sz w:val="18"/>
          <w:szCs w:val="18"/>
          <w:highlight w:val="yellow"/>
        </w:rPr>
      </w:pPr>
    </w:p>
    <w:tbl>
      <w:tblPr>
        <w:tblW w:w="9315" w:type="dxa"/>
        <w:tblCellMar>
          <w:left w:w="70" w:type="dxa"/>
          <w:right w:w="70" w:type="dxa"/>
        </w:tblCellMar>
        <w:tblLook w:val="04A0" w:firstRow="1" w:lastRow="0" w:firstColumn="1" w:lastColumn="0" w:noHBand="0" w:noVBand="1"/>
      </w:tblPr>
      <w:tblGrid>
        <w:gridCol w:w="4252"/>
        <w:gridCol w:w="964"/>
        <w:gridCol w:w="964"/>
        <w:gridCol w:w="964"/>
        <w:gridCol w:w="470"/>
        <w:gridCol w:w="494"/>
        <w:gridCol w:w="947"/>
        <w:gridCol w:w="17"/>
        <w:gridCol w:w="243"/>
      </w:tblGrid>
      <w:tr w:rsidR="00C45D5B" w:rsidRPr="00907075" w14:paraId="7E8390FC" w14:textId="77777777" w:rsidTr="00CF774B">
        <w:trPr>
          <w:gridAfter w:val="2"/>
          <w:wAfter w:w="260" w:type="dxa"/>
          <w:trHeight w:val="283"/>
        </w:trPr>
        <w:tc>
          <w:tcPr>
            <w:tcW w:w="9055" w:type="dxa"/>
            <w:gridSpan w:val="7"/>
            <w:tcBorders>
              <w:top w:val="nil"/>
              <w:left w:val="nil"/>
              <w:bottom w:val="single" w:sz="8" w:space="0" w:color="auto"/>
              <w:right w:val="nil"/>
            </w:tcBorders>
            <w:shd w:val="clear" w:color="auto" w:fill="auto"/>
            <w:noWrap/>
            <w:vAlign w:val="bottom"/>
            <w:hideMark/>
          </w:tcPr>
          <w:p w14:paraId="432506D2" w14:textId="13AAD1BC" w:rsidR="00C45D5B" w:rsidRPr="00907075" w:rsidRDefault="00C45D5B" w:rsidP="00CF774B">
            <w:pPr>
              <w:rPr>
                <w:rFonts w:eastAsiaTheme="minorHAnsi"/>
                <w:b/>
                <w:color w:val="2C9ADC"/>
                <w:sz w:val="20"/>
                <w:szCs w:val="20"/>
                <w:lang w:eastAsia="en-US"/>
              </w:rPr>
            </w:pPr>
            <w:bookmarkStart w:id="239" w:name="_Toc480905415"/>
            <w:bookmarkStart w:id="240" w:name="_Toc6314222"/>
            <w:bookmarkStart w:id="241" w:name="_Toc71622462"/>
            <w:bookmarkStart w:id="242" w:name="_Toc101880703"/>
            <w:r w:rsidRPr="00907075">
              <w:rPr>
                <w:rFonts w:eastAsiaTheme="minorHAnsi"/>
                <w:b/>
                <w:color w:val="2C9ADC"/>
                <w:sz w:val="20"/>
                <w:szCs w:val="20"/>
                <w:lang w:eastAsia="en-US"/>
              </w:rPr>
              <w:t xml:space="preserve">TABUĽKA </w:t>
            </w:r>
            <w:r w:rsidRPr="00907075">
              <w:rPr>
                <w:rFonts w:eastAsiaTheme="minorHAnsi"/>
                <w:b/>
                <w:color w:val="2C9ADC"/>
                <w:sz w:val="20"/>
                <w:szCs w:val="20"/>
                <w:lang w:eastAsia="en-US"/>
              </w:rPr>
              <w:fldChar w:fldCharType="begin"/>
            </w:r>
            <w:r w:rsidRPr="00907075">
              <w:rPr>
                <w:rFonts w:eastAsiaTheme="minorHAnsi"/>
                <w:b/>
                <w:color w:val="2C9ADC"/>
                <w:sz w:val="20"/>
                <w:szCs w:val="20"/>
                <w:lang w:eastAsia="en-US"/>
              </w:rPr>
              <w:instrText xml:space="preserve"> SEQ TABUĽKA \* ARABIC </w:instrText>
            </w:r>
            <w:r w:rsidRPr="00907075">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24</w:t>
            </w:r>
            <w:r w:rsidRPr="00907075">
              <w:rPr>
                <w:rFonts w:eastAsiaTheme="minorHAnsi"/>
                <w:b/>
                <w:color w:val="2C9ADC"/>
                <w:sz w:val="20"/>
                <w:szCs w:val="20"/>
                <w:lang w:eastAsia="en-US"/>
              </w:rPr>
              <w:fldChar w:fldCharType="end"/>
            </w:r>
            <w:r w:rsidRPr="00907075">
              <w:rPr>
                <w:rFonts w:eastAsiaTheme="minorHAnsi"/>
                <w:b/>
                <w:color w:val="2C9ADC"/>
                <w:sz w:val="20"/>
                <w:szCs w:val="20"/>
                <w:lang w:eastAsia="en-US"/>
              </w:rPr>
              <w:t xml:space="preserve"> (Tabuľka 2b) – Scenár nezmenených politík</w:t>
            </w:r>
            <w:bookmarkEnd w:id="239"/>
            <w:bookmarkEnd w:id="240"/>
            <w:bookmarkEnd w:id="241"/>
            <w:bookmarkEnd w:id="242"/>
          </w:p>
        </w:tc>
      </w:tr>
      <w:tr w:rsidR="00C45D5B" w:rsidRPr="00907075" w14:paraId="69F11DB7" w14:textId="77777777" w:rsidTr="00CF774B">
        <w:trPr>
          <w:gridAfter w:val="1"/>
          <w:wAfter w:w="243" w:type="dxa"/>
          <w:trHeight w:val="283"/>
        </w:trPr>
        <w:tc>
          <w:tcPr>
            <w:tcW w:w="4252" w:type="dxa"/>
            <w:tcBorders>
              <w:top w:val="nil"/>
              <w:left w:val="nil"/>
              <w:bottom w:val="nil"/>
              <w:right w:val="nil"/>
            </w:tcBorders>
            <w:shd w:val="clear" w:color="auto" w:fill="auto"/>
            <w:vAlign w:val="center"/>
            <w:hideMark/>
          </w:tcPr>
          <w:p w14:paraId="185E0691" w14:textId="77777777" w:rsidR="00C45D5B" w:rsidRPr="00907075" w:rsidRDefault="00C45D5B" w:rsidP="00CF774B">
            <w:pPr>
              <w:rPr>
                <w:rFonts w:cs="Times New Roman"/>
                <w:b/>
                <w:bCs/>
                <w:color w:val="2C9ADC"/>
                <w:sz w:val="18"/>
                <w:szCs w:val="18"/>
              </w:rPr>
            </w:pPr>
          </w:p>
        </w:tc>
        <w:tc>
          <w:tcPr>
            <w:tcW w:w="964" w:type="dxa"/>
            <w:tcBorders>
              <w:top w:val="nil"/>
              <w:left w:val="nil"/>
              <w:bottom w:val="nil"/>
              <w:right w:val="nil"/>
            </w:tcBorders>
            <w:shd w:val="clear" w:color="auto" w:fill="auto"/>
            <w:vAlign w:val="center"/>
            <w:hideMark/>
          </w:tcPr>
          <w:p w14:paraId="6A2E9542" w14:textId="77777777" w:rsidR="00C45D5B" w:rsidRPr="00907075" w:rsidRDefault="00C45D5B" w:rsidP="00CF774B">
            <w:pPr>
              <w:jc w:val="center"/>
              <w:rPr>
                <w:rFonts w:cs="Times New Roman"/>
                <w:b/>
                <w:bCs/>
                <w:color w:val="000000"/>
                <w:sz w:val="18"/>
                <w:szCs w:val="18"/>
              </w:rPr>
            </w:pPr>
            <w:r w:rsidRPr="00907075">
              <w:rPr>
                <w:b/>
                <w:sz w:val="18"/>
                <w:szCs w:val="18"/>
              </w:rPr>
              <w:t>2022 NPC</w:t>
            </w:r>
          </w:p>
        </w:tc>
        <w:tc>
          <w:tcPr>
            <w:tcW w:w="964" w:type="dxa"/>
            <w:tcBorders>
              <w:top w:val="nil"/>
              <w:left w:val="nil"/>
              <w:bottom w:val="nil"/>
              <w:right w:val="nil"/>
            </w:tcBorders>
            <w:shd w:val="clear" w:color="auto" w:fill="auto"/>
            <w:vAlign w:val="center"/>
            <w:hideMark/>
          </w:tcPr>
          <w:p w14:paraId="1820E1BE" w14:textId="77777777" w:rsidR="00C45D5B" w:rsidRPr="00907075" w:rsidRDefault="00C45D5B" w:rsidP="00CF774B">
            <w:pPr>
              <w:jc w:val="center"/>
              <w:rPr>
                <w:rFonts w:cs="Times New Roman"/>
                <w:b/>
                <w:bCs/>
                <w:color w:val="000000"/>
                <w:sz w:val="18"/>
                <w:szCs w:val="18"/>
              </w:rPr>
            </w:pPr>
            <w:r w:rsidRPr="00907075">
              <w:rPr>
                <w:b/>
                <w:sz w:val="18"/>
                <w:szCs w:val="18"/>
              </w:rPr>
              <w:t>2022 NPC</w:t>
            </w:r>
          </w:p>
        </w:tc>
        <w:tc>
          <w:tcPr>
            <w:tcW w:w="964" w:type="dxa"/>
            <w:tcBorders>
              <w:top w:val="nil"/>
              <w:left w:val="nil"/>
              <w:bottom w:val="nil"/>
              <w:right w:val="nil"/>
            </w:tcBorders>
            <w:shd w:val="clear" w:color="auto" w:fill="auto"/>
            <w:vAlign w:val="center"/>
            <w:hideMark/>
          </w:tcPr>
          <w:p w14:paraId="4080E48E" w14:textId="77777777" w:rsidR="00C45D5B" w:rsidRPr="00907075" w:rsidRDefault="00C45D5B" w:rsidP="00CF774B">
            <w:pPr>
              <w:jc w:val="center"/>
              <w:rPr>
                <w:rFonts w:cs="Times New Roman"/>
                <w:b/>
                <w:bCs/>
                <w:color w:val="000000"/>
                <w:sz w:val="18"/>
                <w:szCs w:val="18"/>
              </w:rPr>
            </w:pPr>
            <w:r w:rsidRPr="00907075">
              <w:rPr>
                <w:b/>
                <w:sz w:val="18"/>
                <w:szCs w:val="18"/>
              </w:rPr>
              <w:t>2023 NPC</w:t>
            </w:r>
          </w:p>
        </w:tc>
        <w:tc>
          <w:tcPr>
            <w:tcW w:w="964" w:type="dxa"/>
            <w:gridSpan w:val="2"/>
            <w:tcBorders>
              <w:top w:val="nil"/>
              <w:left w:val="nil"/>
              <w:bottom w:val="nil"/>
              <w:right w:val="nil"/>
            </w:tcBorders>
            <w:shd w:val="clear" w:color="auto" w:fill="auto"/>
            <w:vAlign w:val="center"/>
            <w:hideMark/>
          </w:tcPr>
          <w:p w14:paraId="2BCCEDB5" w14:textId="77777777" w:rsidR="00C45D5B" w:rsidRPr="00907075" w:rsidRDefault="00C45D5B" w:rsidP="00CF774B">
            <w:pPr>
              <w:jc w:val="center"/>
              <w:rPr>
                <w:rFonts w:cs="Times New Roman"/>
                <w:b/>
                <w:bCs/>
                <w:color w:val="000000"/>
                <w:sz w:val="18"/>
                <w:szCs w:val="18"/>
              </w:rPr>
            </w:pPr>
            <w:r w:rsidRPr="00907075">
              <w:rPr>
                <w:b/>
                <w:sz w:val="18"/>
                <w:szCs w:val="18"/>
              </w:rPr>
              <w:t>2024 NPC</w:t>
            </w:r>
          </w:p>
        </w:tc>
        <w:tc>
          <w:tcPr>
            <w:tcW w:w="964" w:type="dxa"/>
            <w:gridSpan w:val="2"/>
            <w:tcBorders>
              <w:top w:val="nil"/>
              <w:left w:val="nil"/>
              <w:bottom w:val="nil"/>
              <w:right w:val="nil"/>
            </w:tcBorders>
            <w:shd w:val="clear" w:color="auto" w:fill="auto"/>
            <w:vAlign w:val="center"/>
            <w:hideMark/>
          </w:tcPr>
          <w:p w14:paraId="6FC81596" w14:textId="77777777" w:rsidR="00C45D5B" w:rsidRPr="00907075" w:rsidRDefault="00C45D5B" w:rsidP="00CF774B">
            <w:pPr>
              <w:jc w:val="center"/>
              <w:rPr>
                <w:rFonts w:cs="Times New Roman"/>
                <w:b/>
                <w:bCs/>
                <w:color w:val="000000"/>
                <w:sz w:val="18"/>
                <w:szCs w:val="18"/>
              </w:rPr>
            </w:pPr>
            <w:r w:rsidRPr="00907075">
              <w:rPr>
                <w:b/>
                <w:sz w:val="18"/>
                <w:szCs w:val="18"/>
              </w:rPr>
              <w:t>2025 NPC</w:t>
            </w:r>
          </w:p>
        </w:tc>
      </w:tr>
      <w:tr w:rsidR="00C45D5B" w:rsidRPr="00907075" w14:paraId="2E141E3E" w14:textId="77777777" w:rsidTr="00CF774B">
        <w:trPr>
          <w:gridAfter w:val="1"/>
          <w:wAfter w:w="243" w:type="dxa"/>
          <w:trHeight w:val="283"/>
        </w:trPr>
        <w:tc>
          <w:tcPr>
            <w:tcW w:w="4252" w:type="dxa"/>
            <w:tcBorders>
              <w:top w:val="nil"/>
              <w:left w:val="nil"/>
              <w:bottom w:val="nil"/>
              <w:right w:val="nil"/>
            </w:tcBorders>
            <w:shd w:val="clear" w:color="auto" w:fill="auto"/>
            <w:vAlign w:val="center"/>
            <w:hideMark/>
          </w:tcPr>
          <w:p w14:paraId="620DE9FE" w14:textId="77777777" w:rsidR="00C45D5B" w:rsidRPr="00907075" w:rsidRDefault="00C45D5B" w:rsidP="00CF774B">
            <w:pPr>
              <w:jc w:val="center"/>
              <w:rPr>
                <w:rFonts w:cs="Times New Roman"/>
                <w:b/>
                <w:bCs/>
                <w:color w:val="000000"/>
                <w:sz w:val="18"/>
                <w:szCs w:val="18"/>
              </w:rPr>
            </w:pPr>
          </w:p>
        </w:tc>
        <w:tc>
          <w:tcPr>
            <w:tcW w:w="964" w:type="dxa"/>
            <w:tcBorders>
              <w:top w:val="nil"/>
              <w:left w:val="nil"/>
              <w:bottom w:val="nil"/>
              <w:right w:val="nil"/>
            </w:tcBorders>
            <w:shd w:val="clear" w:color="auto" w:fill="auto"/>
            <w:vAlign w:val="center"/>
            <w:hideMark/>
          </w:tcPr>
          <w:p w14:paraId="4AD6A06C" w14:textId="77777777" w:rsidR="00C45D5B" w:rsidRPr="00907075" w:rsidRDefault="00C45D5B" w:rsidP="00CF774B">
            <w:pPr>
              <w:jc w:val="center"/>
              <w:rPr>
                <w:rFonts w:cs="Times New Roman"/>
                <w:color w:val="000000"/>
                <w:sz w:val="18"/>
                <w:szCs w:val="18"/>
              </w:rPr>
            </w:pPr>
            <w:r w:rsidRPr="00907075">
              <w:rPr>
                <w:sz w:val="18"/>
                <w:szCs w:val="18"/>
              </w:rPr>
              <w:t>mil. eur</w:t>
            </w:r>
          </w:p>
        </w:tc>
        <w:tc>
          <w:tcPr>
            <w:tcW w:w="964" w:type="dxa"/>
            <w:tcBorders>
              <w:top w:val="nil"/>
              <w:left w:val="nil"/>
              <w:bottom w:val="nil"/>
              <w:right w:val="nil"/>
            </w:tcBorders>
            <w:shd w:val="clear" w:color="auto" w:fill="auto"/>
            <w:vAlign w:val="center"/>
            <w:hideMark/>
          </w:tcPr>
          <w:p w14:paraId="26D51F56" w14:textId="77777777" w:rsidR="00C45D5B" w:rsidRPr="00907075" w:rsidRDefault="00C45D5B" w:rsidP="00CF774B">
            <w:pPr>
              <w:jc w:val="center"/>
              <w:rPr>
                <w:rFonts w:cs="Times New Roman"/>
                <w:color w:val="000000"/>
                <w:sz w:val="18"/>
                <w:szCs w:val="18"/>
              </w:rPr>
            </w:pPr>
            <w:r w:rsidRPr="00907075">
              <w:rPr>
                <w:sz w:val="18"/>
                <w:szCs w:val="18"/>
              </w:rPr>
              <w:t>% HDP</w:t>
            </w:r>
          </w:p>
        </w:tc>
        <w:tc>
          <w:tcPr>
            <w:tcW w:w="964" w:type="dxa"/>
            <w:tcBorders>
              <w:top w:val="nil"/>
              <w:left w:val="nil"/>
              <w:bottom w:val="nil"/>
              <w:right w:val="nil"/>
            </w:tcBorders>
            <w:shd w:val="clear" w:color="auto" w:fill="auto"/>
            <w:vAlign w:val="center"/>
            <w:hideMark/>
          </w:tcPr>
          <w:p w14:paraId="591FE063" w14:textId="77777777" w:rsidR="00C45D5B" w:rsidRPr="00907075" w:rsidRDefault="00C45D5B" w:rsidP="00CF774B">
            <w:pPr>
              <w:jc w:val="center"/>
              <w:rPr>
                <w:rFonts w:cs="Times New Roman"/>
                <w:color w:val="000000"/>
                <w:sz w:val="18"/>
                <w:szCs w:val="18"/>
              </w:rPr>
            </w:pPr>
            <w:r w:rsidRPr="00907075">
              <w:rPr>
                <w:sz w:val="18"/>
                <w:szCs w:val="18"/>
              </w:rPr>
              <w:t>% HDP</w:t>
            </w:r>
          </w:p>
        </w:tc>
        <w:tc>
          <w:tcPr>
            <w:tcW w:w="964" w:type="dxa"/>
            <w:gridSpan w:val="2"/>
            <w:tcBorders>
              <w:top w:val="nil"/>
              <w:left w:val="nil"/>
              <w:bottom w:val="nil"/>
              <w:right w:val="nil"/>
            </w:tcBorders>
            <w:shd w:val="clear" w:color="auto" w:fill="auto"/>
            <w:vAlign w:val="center"/>
            <w:hideMark/>
          </w:tcPr>
          <w:p w14:paraId="36F00E02" w14:textId="77777777" w:rsidR="00C45D5B" w:rsidRPr="00907075" w:rsidRDefault="00C45D5B" w:rsidP="00CF774B">
            <w:pPr>
              <w:jc w:val="center"/>
              <w:rPr>
                <w:rFonts w:cs="Times New Roman"/>
                <w:color w:val="000000"/>
                <w:sz w:val="18"/>
                <w:szCs w:val="18"/>
              </w:rPr>
            </w:pPr>
            <w:r w:rsidRPr="00907075">
              <w:rPr>
                <w:sz w:val="18"/>
                <w:szCs w:val="18"/>
              </w:rPr>
              <w:t>% HDP</w:t>
            </w:r>
          </w:p>
        </w:tc>
        <w:tc>
          <w:tcPr>
            <w:tcW w:w="964" w:type="dxa"/>
            <w:gridSpan w:val="2"/>
            <w:tcBorders>
              <w:top w:val="nil"/>
              <w:left w:val="nil"/>
              <w:bottom w:val="nil"/>
              <w:right w:val="nil"/>
            </w:tcBorders>
            <w:shd w:val="clear" w:color="auto" w:fill="auto"/>
            <w:vAlign w:val="center"/>
            <w:hideMark/>
          </w:tcPr>
          <w:p w14:paraId="3256269D" w14:textId="77777777" w:rsidR="00C45D5B" w:rsidRPr="00907075" w:rsidRDefault="00C45D5B" w:rsidP="00CF774B">
            <w:pPr>
              <w:jc w:val="center"/>
              <w:rPr>
                <w:rFonts w:cs="Times New Roman"/>
                <w:color w:val="000000"/>
                <w:sz w:val="18"/>
                <w:szCs w:val="18"/>
              </w:rPr>
            </w:pPr>
            <w:r w:rsidRPr="00907075">
              <w:rPr>
                <w:sz w:val="18"/>
                <w:szCs w:val="18"/>
              </w:rPr>
              <w:t>% HDP</w:t>
            </w:r>
          </w:p>
        </w:tc>
      </w:tr>
      <w:tr w:rsidR="00C45D5B" w:rsidRPr="00907075" w14:paraId="147730DB" w14:textId="77777777" w:rsidTr="00CF774B">
        <w:trPr>
          <w:gridAfter w:val="1"/>
          <w:wAfter w:w="243" w:type="dxa"/>
          <w:trHeight w:val="283"/>
        </w:trPr>
        <w:tc>
          <w:tcPr>
            <w:tcW w:w="4252" w:type="dxa"/>
            <w:tcBorders>
              <w:top w:val="single" w:sz="4" w:space="0" w:color="auto"/>
              <w:left w:val="nil"/>
              <w:right w:val="nil"/>
            </w:tcBorders>
            <w:shd w:val="clear" w:color="000000" w:fill="FFFFFF"/>
            <w:vAlign w:val="center"/>
            <w:hideMark/>
          </w:tcPr>
          <w:p w14:paraId="54D8F5C2" w14:textId="77777777" w:rsidR="00C45D5B" w:rsidRPr="00907075" w:rsidRDefault="00C45D5B" w:rsidP="00CF774B">
            <w:pPr>
              <w:rPr>
                <w:rFonts w:cs="Times New Roman"/>
                <w:color w:val="000000"/>
                <w:sz w:val="18"/>
                <w:szCs w:val="18"/>
              </w:rPr>
            </w:pPr>
            <w:r w:rsidRPr="00907075">
              <w:rPr>
                <w:rFonts w:cs="Times New Roman"/>
                <w:color w:val="000000"/>
                <w:sz w:val="18"/>
                <w:szCs w:val="18"/>
              </w:rPr>
              <w:t>1. Celkové príjmy za predpokladu scenára bez zmien politík</w:t>
            </w:r>
          </w:p>
        </w:tc>
        <w:tc>
          <w:tcPr>
            <w:tcW w:w="964" w:type="dxa"/>
            <w:tcBorders>
              <w:top w:val="single" w:sz="4" w:space="0" w:color="auto"/>
              <w:left w:val="nil"/>
              <w:bottom w:val="nil"/>
              <w:right w:val="nil"/>
            </w:tcBorders>
            <w:shd w:val="clear" w:color="auto" w:fill="auto"/>
            <w:vAlign w:val="center"/>
          </w:tcPr>
          <w:p w14:paraId="2258E706" w14:textId="77777777" w:rsidR="00C45D5B" w:rsidRPr="00907075" w:rsidRDefault="00C45D5B" w:rsidP="00CF774B">
            <w:pPr>
              <w:jc w:val="center"/>
              <w:rPr>
                <w:rFonts w:cs="Times New Roman"/>
                <w:color w:val="000000"/>
                <w:sz w:val="18"/>
                <w:szCs w:val="18"/>
              </w:rPr>
            </w:pPr>
          </w:p>
        </w:tc>
        <w:tc>
          <w:tcPr>
            <w:tcW w:w="964" w:type="dxa"/>
            <w:tcBorders>
              <w:top w:val="single" w:sz="4" w:space="0" w:color="auto"/>
              <w:left w:val="nil"/>
              <w:bottom w:val="nil"/>
              <w:right w:val="nil"/>
            </w:tcBorders>
            <w:shd w:val="clear" w:color="auto" w:fill="auto"/>
            <w:vAlign w:val="center"/>
          </w:tcPr>
          <w:p w14:paraId="47A398F6" w14:textId="77777777" w:rsidR="00C45D5B" w:rsidRPr="00907075" w:rsidRDefault="00C45D5B" w:rsidP="00CF774B">
            <w:pPr>
              <w:jc w:val="center"/>
              <w:rPr>
                <w:rFonts w:cs="Times New Roman"/>
                <w:color w:val="000000"/>
                <w:sz w:val="18"/>
                <w:szCs w:val="18"/>
              </w:rPr>
            </w:pPr>
          </w:p>
        </w:tc>
        <w:tc>
          <w:tcPr>
            <w:tcW w:w="964" w:type="dxa"/>
            <w:tcBorders>
              <w:top w:val="single" w:sz="4" w:space="0" w:color="auto"/>
              <w:left w:val="nil"/>
              <w:bottom w:val="nil"/>
              <w:right w:val="nil"/>
            </w:tcBorders>
            <w:shd w:val="clear" w:color="auto" w:fill="auto"/>
            <w:vAlign w:val="center"/>
            <w:hideMark/>
          </w:tcPr>
          <w:p w14:paraId="6A2FEFA7" w14:textId="77777777" w:rsidR="00C45D5B" w:rsidRPr="00907075" w:rsidRDefault="00C45D5B" w:rsidP="00CF774B">
            <w:pPr>
              <w:jc w:val="center"/>
              <w:rPr>
                <w:rFonts w:cs="Times New Roman"/>
                <w:color w:val="000000"/>
                <w:sz w:val="18"/>
                <w:szCs w:val="18"/>
              </w:rPr>
            </w:pPr>
            <w:r w:rsidRPr="00907075">
              <w:rPr>
                <w:color w:val="000000"/>
                <w:sz w:val="18"/>
                <w:szCs w:val="18"/>
              </w:rPr>
              <w:t>40,8</w:t>
            </w:r>
          </w:p>
        </w:tc>
        <w:tc>
          <w:tcPr>
            <w:tcW w:w="964" w:type="dxa"/>
            <w:gridSpan w:val="2"/>
            <w:tcBorders>
              <w:top w:val="single" w:sz="4" w:space="0" w:color="auto"/>
              <w:left w:val="nil"/>
              <w:bottom w:val="nil"/>
              <w:right w:val="nil"/>
            </w:tcBorders>
            <w:shd w:val="clear" w:color="auto" w:fill="auto"/>
            <w:vAlign w:val="center"/>
            <w:hideMark/>
          </w:tcPr>
          <w:p w14:paraId="4C09D526" w14:textId="77777777" w:rsidR="00C45D5B" w:rsidRPr="00907075" w:rsidRDefault="00C45D5B" w:rsidP="00CF774B">
            <w:pPr>
              <w:jc w:val="center"/>
              <w:rPr>
                <w:rFonts w:cs="Times New Roman"/>
                <w:color w:val="000000"/>
                <w:sz w:val="18"/>
                <w:szCs w:val="18"/>
              </w:rPr>
            </w:pPr>
            <w:r w:rsidRPr="00907075">
              <w:rPr>
                <w:color w:val="000000"/>
                <w:sz w:val="18"/>
                <w:szCs w:val="18"/>
              </w:rPr>
              <w:t>38,7</w:t>
            </w:r>
          </w:p>
        </w:tc>
        <w:tc>
          <w:tcPr>
            <w:tcW w:w="964" w:type="dxa"/>
            <w:gridSpan w:val="2"/>
            <w:tcBorders>
              <w:top w:val="single" w:sz="4" w:space="0" w:color="auto"/>
              <w:left w:val="nil"/>
              <w:bottom w:val="nil"/>
              <w:right w:val="nil"/>
            </w:tcBorders>
            <w:shd w:val="clear" w:color="auto" w:fill="auto"/>
            <w:vAlign w:val="center"/>
            <w:hideMark/>
          </w:tcPr>
          <w:p w14:paraId="3042F9D5" w14:textId="77777777" w:rsidR="00C45D5B" w:rsidRPr="00907075" w:rsidRDefault="00C45D5B" w:rsidP="00CF774B">
            <w:pPr>
              <w:jc w:val="center"/>
              <w:rPr>
                <w:rFonts w:cs="Times New Roman"/>
                <w:color w:val="000000"/>
                <w:sz w:val="18"/>
                <w:szCs w:val="18"/>
              </w:rPr>
            </w:pPr>
            <w:r w:rsidRPr="00907075">
              <w:rPr>
                <w:color w:val="000000"/>
                <w:sz w:val="18"/>
                <w:szCs w:val="18"/>
              </w:rPr>
              <w:t>38,3</w:t>
            </w:r>
          </w:p>
        </w:tc>
      </w:tr>
      <w:tr w:rsidR="00C45D5B" w:rsidRPr="00907075" w14:paraId="4007CC9D" w14:textId="77777777" w:rsidTr="00CF774B">
        <w:trPr>
          <w:gridAfter w:val="1"/>
          <w:wAfter w:w="243" w:type="dxa"/>
          <w:trHeight w:val="283"/>
        </w:trPr>
        <w:tc>
          <w:tcPr>
            <w:tcW w:w="4252" w:type="dxa"/>
            <w:tcBorders>
              <w:top w:val="nil"/>
              <w:left w:val="nil"/>
              <w:bottom w:val="single" w:sz="8" w:space="0" w:color="auto"/>
              <w:right w:val="nil"/>
            </w:tcBorders>
            <w:shd w:val="clear" w:color="000000" w:fill="FFFFFF"/>
            <w:vAlign w:val="center"/>
            <w:hideMark/>
          </w:tcPr>
          <w:p w14:paraId="3B99F82F" w14:textId="77777777" w:rsidR="00C45D5B" w:rsidRPr="00907075" w:rsidRDefault="00C45D5B" w:rsidP="00CF774B">
            <w:pPr>
              <w:rPr>
                <w:rFonts w:cs="Times New Roman"/>
                <w:color w:val="000000"/>
                <w:sz w:val="18"/>
                <w:szCs w:val="18"/>
              </w:rPr>
            </w:pPr>
            <w:r w:rsidRPr="00907075">
              <w:rPr>
                <w:rFonts w:cs="Times New Roman"/>
                <w:color w:val="000000"/>
                <w:sz w:val="18"/>
                <w:szCs w:val="18"/>
              </w:rPr>
              <w:t>2. Celkové výdavky za predpokladu scenára bez zmien politík</w:t>
            </w:r>
          </w:p>
        </w:tc>
        <w:tc>
          <w:tcPr>
            <w:tcW w:w="964" w:type="dxa"/>
            <w:tcBorders>
              <w:top w:val="nil"/>
              <w:left w:val="nil"/>
              <w:bottom w:val="single" w:sz="4" w:space="0" w:color="auto"/>
              <w:right w:val="nil"/>
            </w:tcBorders>
            <w:shd w:val="clear" w:color="auto" w:fill="auto"/>
            <w:vAlign w:val="center"/>
          </w:tcPr>
          <w:p w14:paraId="1CD2E683" w14:textId="77777777" w:rsidR="00C45D5B" w:rsidRPr="00907075" w:rsidRDefault="00C45D5B" w:rsidP="00CF774B">
            <w:pPr>
              <w:jc w:val="center"/>
              <w:rPr>
                <w:rFonts w:cs="Times New Roman"/>
                <w:color w:val="000000"/>
                <w:sz w:val="18"/>
                <w:szCs w:val="18"/>
              </w:rPr>
            </w:pPr>
          </w:p>
        </w:tc>
        <w:tc>
          <w:tcPr>
            <w:tcW w:w="964" w:type="dxa"/>
            <w:tcBorders>
              <w:top w:val="nil"/>
              <w:left w:val="nil"/>
              <w:bottom w:val="single" w:sz="4" w:space="0" w:color="auto"/>
              <w:right w:val="nil"/>
            </w:tcBorders>
            <w:shd w:val="clear" w:color="auto" w:fill="auto"/>
            <w:vAlign w:val="center"/>
          </w:tcPr>
          <w:p w14:paraId="61E1F559" w14:textId="77777777" w:rsidR="00C45D5B" w:rsidRPr="00907075" w:rsidRDefault="00C45D5B" w:rsidP="00CF774B">
            <w:pPr>
              <w:jc w:val="center"/>
              <w:rPr>
                <w:rFonts w:cs="Times New Roman"/>
                <w:color w:val="000000"/>
                <w:sz w:val="18"/>
                <w:szCs w:val="18"/>
              </w:rPr>
            </w:pPr>
          </w:p>
        </w:tc>
        <w:tc>
          <w:tcPr>
            <w:tcW w:w="964" w:type="dxa"/>
            <w:tcBorders>
              <w:top w:val="nil"/>
              <w:left w:val="nil"/>
              <w:bottom w:val="single" w:sz="4" w:space="0" w:color="auto"/>
              <w:right w:val="nil"/>
            </w:tcBorders>
            <w:shd w:val="clear" w:color="auto" w:fill="auto"/>
            <w:vAlign w:val="center"/>
            <w:hideMark/>
          </w:tcPr>
          <w:p w14:paraId="348E354B" w14:textId="77777777" w:rsidR="00C45D5B" w:rsidRPr="00907075" w:rsidRDefault="00C45D5B" w:rsidP="00CF774B">
            <w:pPr>
              <w:jc w:val="center"/>
              <w:rPr>
                <w:rFonts w:cs="Times New Roman"/>
                <w:color w:val="000000"/>
                <w:sz w:val="18"/>
                <w:szCs w:val="18"/>
              </w:rPr>
            </w:pPr>
            <w:r w:rsidRPr="00907075">
              <w:rPr>
                <w:color w:val="000000"/>
                <w:sz w:val="18"/>
                <w:szCs w:val="18"/>
              </w:rPr>
              <w:t>44,8</w:t>
            </w:r>
          </w:p>
        </w:tc>
        <w:tc>
          <w:tcPr>
            <w:tcW w:w="964" w:type="dxa"/>
            <w:gridSpan w:val="2"/>
            <w:tcBorders>
              <w:top w:val="nil"/>
              <w:left w:val="nil"/>
              <w:bottom w:val="single" w:sz="4" w:space="0" w:color="auto"/>
              <w:right w:val="nil"/>
            </w:tcBorders>
            <w:shd w:val="clear" w:color="auto" w:fill="auto"/>
            <w:vAlign w:val="center"/>
            <w:hideMark/>
          </w:tcPr>
          <w:p w14:paraId="4E9F4F8B" w14:textId="77777777" w:rsidR="00C45D5B" w:rsidRPr="00907075" w:rsidRDefault="00C45D5B" w:rsidP="00CF774B">
            <w:pPr>
              <w:jc w:val="center"/>
              <w:rPr>
                <w:rFonts w:cs="Times New Roman"/>
                <w:color w:val="000000"/>
                <w:sz w:val="18"/>
                <w:szCs w:val="18"/>
              </w:rPr>
            </w:pPr>
            <w:r w:rsidRPr="00907075">
              <w:rPr>
                <w:color w:val="000000"/>
                <w:sz w:val="18"/>
                <w:szCs w:val="18"/>
              </w:rPr>
              <w:t>43,1</w:t>
            </w:r>
          </w:p>
        </w:tc>
        <w:tc>
          <w:tcPr>
            <w:tcW w:w="964" w:type="dxa"/>
            <w:gridSpan w:val="2"/>
            <w:tcBorders>
              <w:top w:val="nil"/>
              <w:left w:val="nil"/>
              <w:bottom w:val="single" w:sz="4" w:space="0" w:color="auto"/>
              <w:right w:val="nil"/>
            </w:tcBorders>
            <w:shd w:val="clear" w:color="auto" w:fill="auto"/>
            <w:vAlign w:val="center"/>
            <w:hideMark/>
          </w:tcPr>
          <w:p w14:paraId="50BB6468" w14:textId="77777777" w:rsidR="00C45D5B" w:rsidRPr="00907075" w:rsidRDefault="00C45D5B" w:rsidP="00CF774B">
            <w:pPr>
              <w:jc w:val="center"/>
              <w:rPr>
                <w:rFonts w:cs="Times New Roman"/>
                <w:color w:val="000000"/>
                <w:sz w:val="18"/>
                <w:szCs w:val="18"/>
              </w:rPr>
            </w:pPr>
            <w:r w:rsidRPr="00907075">
              <w:rPr>
                <w:color w:val="000000"/>
                <w:sz w:val="18"/>
                <w:szCs w:val="18"/>
              </w:rPr>
              <w:t>43,0</w:t>
            </w:r>
          </w:p>
        </w:tc>
      </w:tr>
      <w:tr w:rsidR="00C45D5B" w:rsidRPr="00AB54ED" w14:paraId="62FADE09" w14:textId="77777777" w:rsidTr="00CF774B">
        <w:trPr>
          <w:trHeight w:val="283"/>
        </w:trPr>
        <w:tc>
          <w:tcPr>
            <w:tcW w:w="7614" w:type="dxa"/>
            <w:gridSpan w:val="5"/>
            <w:tcBorders>
              <w:top w:val="nil"/>
              <w:left w:val="nil"/>
              <w:bottom w:val="nil"/>
              <w:right w:val="nil"/>
            </w:tcBorders>
            <w:shd w:val="clear" w:color="auto" w:fill="auto"/>
            <w:vAlign w:val="center"/>
            <w:hideMark/>
          </w:tcPr>
          <w:p w14:paraId="06416CEB" w14:textId="77777777" w:rsidR="00C45D5B" w:rsidRPr="00907075" w:rsidRDefault="00C45D5B" w:rsidP="00CF774B">
            <w:pPr>
              <w:rPr>
                <w:rFonts w:cs="Times New Roman"/>
                <w:color w:val="000000"/>
                <w:sz w:val="16"/>
                <w:szCs w:val="18"/>
              </w:rPr>
            </w:pPr>
            <w:r w:rsidRPr="00907075">
              <w:rPr>
                <w:rFonts w:cs="Times New Roman"/>
                <w:color w:val="000000"/>
                <w:sz w:val="16"/>
                <w:szCs w:val="18"/>
              </w:rPr>
              <w:t>Pozn.: Pre účely scenára nezmenených politík na roky 2023 až 2025 sa vychádzalo z očakávanej skutočnosti roku 2022.</w:t>
            </w:r>
          </w:p>
        </w:tc>
        <w:tc>
          <w:tcPr>
            <w:tcW w:w="1701" w:type="dxa"/>
            <w:gridSpan w:val="4"/>
            <w:tcBorders>
              <w:top w:val="nil"/>
              <w:left w:val="nil"/>
              <w:bottom w:val="nil"/>
              <w:right w:val="nil"/>
            </w:tcBorders>
            <w:shd w:val="clear" w:color="000000" w:fill="FFFFFF"/>
            <w:vAlign w:val="center"/>
            <w:hideMark/>
          </w:tcPr>
          <w:p w14:paraId="16FC2A99" w14:textId="77777777" w:rsidR="00C45D5B" w:rsidRPr="00907075" w:rsidRDefault="00C45D5B" w:rsidP="00CF774B">
            <w:pPr>
              <w:jc w:val="center"/>
              <w:rPr>
                <w:rFonts w:cs="Times New Roman"/>
                <w:i/>
                <w:iCs/>
                <w:color w:val="000000"/>
                <w:sz w:val="16"/>
                <w:szCs w:val="18"/>
              </w:rPr>
            </w:pPr>
            <w:r w:rsidRPr="00907075">
              <w:rPr>
                <w:rFonts w:cs="Times New Roman"/>
                <w:i/>
                <w:iCs/>
                <w:color w:val="000000"/>
                <w:sz w:val="16"/>
                <w:szCs w:val="18"/>
              </w:rPr>
              <w:t xml:space="preserve">         Zdroj: MF SR</w:t>
            </w:r>
          </w:p>
        </w:tc>
      </w:tr>
    </w:tbl>
    <w:p w14:paraId="4D24F0C9" w14:textId="77777777" w:rsidR="00C45D5B" w:rsidRPr="00AB54ED" w:rsidRDefault="00C45D5B" w:rsidP="00C45D5B">
      <w:pPr>
        <w:rPr>
          <w:color w:val="2C9ADC" w:themeColor="accent1"/>
          <w:sz w:val="18"/>
          <w:szCs w:val="18"/>
          <w:highlight w:val="yellow"/>
        </w:rPr>
      </w:pPr>
    </w:p>
    <w:tbl>
      <w:tblPr>
        <w:tblW w:w="9138" w:type="dxa"/>
        <w:tblCellMar>
          <w:left w:w="70" w:type="dxa"/>
          <w:right w:w="70" w:type="dxa"/>
        </w:tblCellMar>
        <w:tblLook w:val="04A0" w:firstRow="1" w:lastRow="0" w:firstColumn="1" w:lastColumn="0" w:noHBand="0" w:noVBand="1"/>
      </w:tblPr>
      <w:tblGrid>
        <w:gridCol w:w="5045"/>
        <w:gridCol w:w="650"/>
        <w:gridCol w:w="840"/>
        <w:gridCol w:w="650"/>
        <w:gridCol w:w="650"/>
        <w:gridCol w:w="650"/>
        <w:gridCol w:w="653"/>
      </w:tblGrid>
      <w:tr w:rsidR="00C45D5B" w:rsidRPr="00907075" w14:paraId="42DB654F" w14:textId="77777777" w:rsidTr="00CF774B">
        <w:trPr>
          <w:trHeight w:val="283"/>
        </w:trPr>
        <w:tc>
          <w:tcPr>
            <w:tcW w:w="9138" w:type="dxa"/>
            <w:gridSpan w:val="7"/>
            <w:tcBorders>
              <w:top w:val="nil"/>
              <w:left w:val="nil"/>
              <w:bottom w:val="single" w:sz="8" w:space="0" w:color="auto"/>
              <w:right w:val="nil"/>
            </w:tcBorders>
            <w:shd w:val="clear" w:color="auto" w:fill="auto"/>
            <w:noWrap/>
            <w:vAlign w:val="bottom"/>
            <w:hideMark/>
          </w:tcPr>
          <w:p w14:paraId="1D362FFB" w14:textId="71BDA5FB" w:rsidR="00C45D5B" w:rsidRPr="00907075" w:rsidRDefault="00C45D5B" w:rsidP="00CF774B">
            <w:pPr>
              <w:rPr>
                <w:rFonts w:eastAsiaTheme="minorHAnsi"/>
                <w:b/>
                <w:color w:val="2C9ADC"/>
                <w:sz w:val="18"/>
                <w:szCs w:val="18"/>
                <w:lang w:eastAsia="en-US"/>
              </w:rPr>
            </w:pPr>
            <w:bookmarkStart w:id="243" w:name="_Toc480905416"/>
            <w:bookmarkStart w:id="244" w:name="_Toc6314223"/>
            <w:bookmarkStart w:id="245" w:name="_Toc71622463"/>
            <w:bookmarkStart w:id="246" w:name="_Toc101880704"/>
            <w:r w:rsidRPr="00907075">
              <w:rPr>
                <w:rFonts w:eastAsiaTheme="minorHAnsi"/>
                <w:b/>
                <w:color w:val="2C9ADC"/>
                <w:sz w:val="20"/>
                <w:szCs w:val="18"/>
                <w:lang w:eastAsia="en-US"/>
              </w:rPr>
              <w:t xml:space="preserve">TABUĽKA </w:t>
            </w:r>
            <w:r w:rsidRPr="00907075">
              <w:rPr>
                <w:rFonts w:eastAsiaTheme="minorHAnsi"/>
                <w:b/>
                <w:color w:val="2C9ADC"/>
                <w:sz w:val="20"/>
                <w:szCs w:val="18"/>
                <w:lang w:eastAsia="en-US"/>
              </w:rPr>
              <w:fldChar w:fldCharType="begin"/>
            </w:r>
            <w:r w:rsidRPr="00907075">
              <w:rPr>
                <w:rFonts w:eastAsiaTheme="minorHAnsi"/>
                <w:b/>
                <w:color w:val="2C9ADC"/>
                <w:sz w:val="20"/>
                <w:szCs w:val="18"/>
                <w:lang w:eastAsia="en-US"/>
              </w:rPr>
              <w:instrText xml:space="preserve"> SEQ TABUĽKA \* ARABIC </w:instrText>
            </w:r>
            <w:r w:rsidRPr="00907075">
              <w:rPr>
                <w:rFonts w:eastAsiaTheme="minorHAnsi"/>
                <w:b/>
                <w:color w:val="2C9ADC"/>
                <w:sz w:val="20"/>
                <w:szCs w:val="18"/>
                <w:lang w:eastAsia="en-US"/>
              </w:rPr>
              <w:fldChar w:fldCharType="separate"/>
            </w:r>
            <w:r w:rsidR="005D3280">
              <w:rPr>
                <w:rFonts w:eastAsiaTheme="minorHAnsi"/>
                <w:b/>
                <w:noProof/>
                <w:color w:val="2C9ADC"/>
                <w:sz w:val="20"/>
                <w:szCs w:val="18"/>
                <w:lang w:eastAsia="en-US"/>
              </w:rPr>
              <w:t>25</w:t>
            </w:r>
            <w:r w:rsidRPr="00907075">
              <w:rPr>
                <w:rFonts w:eastAsiaTheme="minorHAnsi"/>
                <w:b/>
                <w:color w:val="2C9ADC"/>
                <w:sz w:val="20"/>
                <w:szCs w:val="18"/>
                <w:lang w:eastAsia="en-US"/>
              </w:rPr>
              <w:fldChar w:fldCharType="end"/>
            </w:r>
            <w:r w:rsidRPr="00907075">
              <w:rPr>
                <w:rFonts w:eastAsiaTheme="minorHAnsi"/>
                <w:b/>
                <w:color w:val="2C9ADC"/>
                <w:sz w:val="20"/>
                <w:szCs w:val="18"/>
                <w:lang w:eastAsia="en-US"/>
              </w:rPr>
              <w:t xml:space="preserve"> (Tabuľka 2c) – Výdavky vylúčené z výdavkového agregátu</w:t>
            </w:r>
            <w:bookmarkEnd w:id="243"/>
            <w:bookmarkEnd w:id="244"/>
            <w:bookmarkEnd w:id="245"/>
            <w:bookmarkEnd w:id="246"/>
          </w:p>
        </w:tc>
      </w:tr>
      <w:tr w:rsidR="00C45D5B" w:rsidRPr="00907075" w14:paraId="19DEE38A" w14:textId="77777777" w:rsidTr="00CF774B">
        <w:trPr>
          <w:trHeight w:val="283"/>
        </w:trPr>
        <w:tc>
          <w:tcPr>
            <w:tcW w:w="5045" w:type="dxa"/>
            <w:tcBorders>
              <w:top w:val="nil"/>
              <w:left w:val="nil"/>
              <w:bottom w:val="nil"/>
              <w:right w:val="nil"/>
            </w:tcBorders>
            <w:shd w:val="clear" w:color="auto" w:fill="auto"/>
            <w:vAlign w:val="center"/>
            <w:hideMark/>
          </w:tcPr>
          <w:p w14:paraId="75CA5938" w14:textId="77777777" w:rsidR="00C45D5B" w:rsidRPr="00907075" w:rsidRDefault="00C45D5B" w:rsidP="00CF774B">
            <w:pPr>
              <w:rPr>
                <w:rFonts w:cs="Times New Roman"/>
                <w:color w:val="000000"/>
                <w:sz w:val="18"/>
                <w:szCs w:val="18"/>
              </w:rPr>
            </w:pPr>
            <w:r w:rsidRPr="00907075">
              <w:rPr>
                <w:rFonts w:cs="Times New Roman"/>
                <w:color w:val="000000"/>
                <w:sz w:val="18"/>
                <w:szCs w:val="18"/>
              </w:rPr>
              <w:t> </w:t>
            </w:r>
          </w:p>
        </w:tc>
        <w:tc>
          <w:tcPr>
            <w:tcW w:w="650" w:type="dxa"/>
            <w:tcBorders>
              <w:top w:val="single" w:sz="8" w:space="0" w:color="auto"/>
              <w:left w:val="nil"/>
              <w:bottom w:val="nil"/>
              <w:right w:val="nil"/>
            </w:tcBorders>
            <w:shd w:val="clear" w:color="auto" w:fill="auto"/>
            <w:vAlign w:val="center"/>
            <w:hideMark/>
          </w:tcPr>
          <w:p w14:paraId="6ECDAB28" w14:textId="77777777" w:rsidR="00C45D5B" w:rsidRPr="00907075" w:rsidRDefault="00C45D5B" w:rsidP="00CF774B">
            <w:pPr>
              <w:jc w:val="center"/>
              <w:rPr>
                <w:rFonts w:cs="Times New Roman"/>
                <w:b/>
                <w:bCs/>
                <w:color w:val="000000"/>
                <w:sz w:val="18"/>
                <w:szCs w:val="18"/>
              </w:rPr>
            </w:pPr>
            <w:r w:rsidRPr="00907075">
              <w:rPr>
                <w:b/>
                <w:bCs/>
                <w:color w:val="000000"/>
                <w:sz w:val="18"/>
                <w:szCs w:val="18"/>
              </w:rPr>
              <w:t>2021</w:t>
            </w:r>
          </w:p>
        </w:tc>
        <w:tc>
          <w:tcPr>
            <w:tcW w:w="840" w:type="dxa"/>
            <w:tcBorders>
              <w:top w:val="single" w:sz="8" w:space="0" w:color="auto"/>
              <w:left w:val="nil"/>
              <w:bottom w:val="nil"/>
              <w:right w:val="nil"/>
            </w:tcBorders>
            <w:shd w:val="clear" w:color="auto" w:fill="auto"/>
            <w:vAlign w:val="center"/>
            <w:hideMark/>
          </w:tcPr>
          <w:p w14:paraId="632C1A6F" w14:textId="77777777" w:rsidR="00C45D5B" w:rsidRPr="00907075" w:rsidRDefault="00C45D5B" w:rsidP="00CF774B">
            <w:pPr>
              <w:jc w:val="center"/>
              <w:rPr>
                <w:rFonts w:cs="Times New Roman"/>
                <w:b/>
                <w:bCs/>
                <w:color w:val="000000"/>
                <w:sz w:val="18"/>
                <w:szCs w:val="18"/>
              </w:rPr>
            </w:pPr>
            <w:r w:rsidRPr="00907075">
              <w:rPr>
                <w:b/>
                <w:bCs/>
                <w:color w:val="000000"/>
                <w:sz w:val="18"/>
                <w:szCs w:val="18"/>
              </w:rPr>
              <w:t>2021</w:t>
            </w:r>
          </w:p>
        </w:tc>
        <w:tc>
          <w:tcPr>
            <w:tcW w:w="650" w:type="dxa"/>
            <w:tcBorders>
              <w:top w:val="single" w:sz="8" w:space="0" w:color="auto"/>
              <w:left w:val="nil"/>
              <w:bottom w:val="nil"/>
              <w:right w:val="nil"/>
            </w:tcBorders>
            <w:shd w:val="clear" w:color="auto" w:fill="auto"/>
            <w:vAlign w:val="center"/>
            <w:hideMark/>
          </w:tcPr>
          <w:p w14:paraId="2DFF0CBC" w14:textId="77777777" w:rsidR="00C45D5B" w:rsidRPr="00907075" w:rsidRDefault="00C45D5B" w:rsidP="00CF774B">
            <w:pPr>
              <w:jc w:val="center"/>
              <w:rPr>
                <w:rFonts w:cs="Times New Roman"/>
                <w:b/>
                <w:bCs/>
                <w:color w:val="000000"/>
                <w:sz w:val="18"/>
                <w:szCs w:val="18"/>
              </w:rPr>
            </w:pPr>
            <w:r w:rsidRPr="00907075">
              <w:rPr>
                <w:b/>
                <w:bCs/>
                <w:color w:val="000000"/>
                <w:sz w:val="18"/>
                <w:szCs w:val="18"/>
              </w:rPr>
              <w:t>2022</w:t>
            </w:r>
          </w:p>
        </w:tc>
        <w:tc>
          <w:tcPr>
            <w:tcW w:w="650" w:type="dxa"/>
            <w:tcBorders>
              <w:top w:val="single" w:sz="8" w:space="0" w:color="auto"/>
              <w:left w:val="nil"/>
              <w:bottom w:val="nil"/>
              <w:right w:val="nil"/>
            </w:tcBorders>
            <w:shd w:val="clear" w:color="auto" w:fill="auto"/>
            <w:vAlign w:val="center"/>
            <w:hideMark/>
          </w:tcPr>
          <w:p w14:paraId="2C985E2B" w14:textId="77777777" w:rsidR="00C45D5B" w:rsidRPr="00907075" w:rsidRDefault="00C45D5B" w:rsidP="00CF774B">
            <w:pPr>
              <w:jc w:val="center"/>
              <w:rPr>
                <w:rFonts w:cs="Times New Roman"/>
                <w:b/>
                <w:bCs/>
                <w:color w:val="000000"/>
                <w:sz w:val="18"/>
                <w:szCs w:val="18"/>
              </w:rPr>
            </w:pPr>
            <w:r w:rsidRPr="00907075">
              <w:rPr>
                <w:b/>
                <w:bCs/>
                <w:color w:val="000000"/>
                <w:sz w:val="18"/>
                <w:szCs w:val="18"/>
              </w:rPr>
              <w:t>2023</w:t>
            </w:r>
          </w:p>
        </w:tc>
        <w:tc>
          <w:tcPr>
            <w:tcW w:w="650" w:type="dxa"/>
            <w:tcBorders>
              <w:top w:val="single" w:sz="8" w:space="0" w:color="auto"/>
              <w:left w:val="nil"/>
              <w:bottom w:val="nil"/>
              <w:right w:val="nil"/>
            </w:tcBorders>
            <w:shd w:val="clear" w:color="auto" w:fill="auto"/>
            <w:vAlign w:val="center"/>
            <w:hideMark/>
          </w:tcPr>
          <w:p w14:paraId="6C61513D" w14:textId="77777777" w:rsidR="00C45D5B" w:rsidRPr="00907075" w:rsidRDefault="00C45D5B" w:rsidP="00CF774B">
            <w:pPr>
              <w:jc w:val="center"/>
              <w:rPr>
                <w:rFonts w:cs="Times New Roman"/>
                <w:b/>
                <w:bCs/>
                <w:color w:val="000000"/>
                <w:sz w:val="18"/>
                <w:szCs w:val="18"/>
              </w:rPr>
            </w:pPr>
            <w:r w:rsidRPr="00907075">
              <w:rPr>
                <w:b/>
                <w:bCs/>
                <w:color w:val="000000"/>
                <w:sz w:val="18"/>
                <w:szCs w:val="18"/>
              </w:rPr>
              <w:t>2024</w:t>
            </w:r>
          </w:p>
        </w:tc>
        <w:tc>
          <w:tcPr>
            <w:tcW w:w="653" w:type="dxa"/>
            <w:tcBorders>
              <w:top w:val="single" w:sz="8" w:space="0" w:color="auto"/>
              <w:left w:val="nil"/>
              <w:bottom w:val="nil"/>
              <w:right w:val="nil"/>
            </w:tcBorders>
            <w:shd w:val="clear" w:color="auto" w:fill="auto"/>
            <w:vAlign w:val="center"/>
            <w:hideMark/>
          </w:tcPr>
          <w:p w14:paraId="6C768526" w14:textId="77777777" w:rsidR="00C45D5B" w:rsidRPr="00907075" w:rsidRDefault="00C45D5B" w:rsidP="00CF774B">
            <w:pPr>
              <w:jc w:val="center"/>
              <w:rPr>
                <w:rFonts w:cs="Times New Roman"/>
                <w:b/>
                <w:bCs/>
                <w:color w:val="000000"/>
                <w:sz w:val="18"/>
                <w:szCs w:val="18"/>
              </w:rPr>
            </w:pPr>
            <w:r w:rsidRPr="00907075">
              <w:rPr>
                <w:b/>
                <w:bCs/>
                <w:color w:val="000000"/>
                <w:sz w:val="18"/>
                <w:szCs w:val="18"/>
              </w:rPr>
              <w:t>2025</w:t>
            </w:r>
          </w:p>
        </w:tc>
      </w:tr>
      <w:tr w:rsidR="00C45D5B" w:rsidRPr="00907075" w14:paraId="7A2E0284" w14:textId="77777777" w:rsidTr="00CF774B">
        <w:trPr>
          <w:trHeight w:val="283"/>
        </w:trPr>
        <w:tc>
          <w:tcPr>
            <w:tcW w:w="5045" w:type="dxa"/>
            <w:tcBorders>
              <w:top w:val="nil"/>
              <w:left w:val="nil"/>
              <w:bottom w:val="single" w:sz="4" w:space="0" w:color="auto"/>
              <w:right w:val="nil"/>
            </w:tcBorders>
            <w:shd w:val="clear" w:color="auto" w:fill="auto"/>
            <w:vAlign w:val="center"/>
            <w:hideMark/>
          </w:tcPr>
          <w:p w14:paraId="16CBEBCB" w14:textId="77777777" w:rsidR="00C45D5B" w:rsidRPr="00907075" w:rsidRDefault="00C45D5B" w:rsidP="00CF774B">
            <w:pPr>
              <w:rPr>
                <w:rFonts w:cs="Times New Roman"/>
                <w:color w:val="000000"/>
                <w:sz w:val="18"/>
                <w:szCs w:val="18"/>
              </w:rPr>
            </w:pPr>
            <w:r w:rsidRPr="00907075">
              <w:rPr>
                <w:rFonts w:cs="Times New Roman"/>
                <w:color w:val="000000"/>
                <w:sz w:val="18"/>
                <w:szCs w:val="18"/>
              </w:rPr>
              <w:t> </w:t>
            </w:r>
          </w:p>
        </w:tc>
        <w:tc>
          <w:tcPr>
            <w:tcW w:w="650" w:type="dxa"/>
            <w:tcBorders>
              <w:top w:val="nil"/>
              <w:left w:val="nil"/>
              <w:bottom w:val="single" w:sz="4" w:space="0" w:color="auto"/>
              <w:right w:val="nil"/>
            </w:tcBorders>
            <w:shd w:val="clear" w:color="auto" w:fill="auto"/>
            <w:vAlign w:val="center"/>
            <w:hideMark/>
          </w:tcPr>
          <w:p w14:paraId="2821893D" w14:textId="77777777" w:rsidR="00C45D5B" w:rsidRPr="00907075" w:rsidRDefault="00C45D5B" w:rsidP="00CF774B">
            <w:pPr>
              <w:jc w:val="center"/>
              <w:rPr>
                <w:rFonts w:cs="Times New Roman"/>
                <w:color w:val="000000"/>
                <w:sz w:val="18"/>
                <w:szCs w:val="18"/>
              </w:rPr>
            </w:pPr>
            <w:r w:rsidRPr="00907075">
              <w:rPr>
                <w:color w:val="000000"/>
                <w:sz w:val="18"/>
                <w:szCs w:val="18"/>
              </w:rPr>
              <w:t>mil. eur</w:t>
            </w:r>
          </w:p>
        </w:tc>
        <w:tc>
          <w:tcPr>
            <w:tcW w:w="840" w:type="dxa"/>
            <w:tcBorders>
              <w:top w:val="nil"/>
              <w:left w:val="nil"/>
              <w:bottom w:val="single" w:sz="4" w:space="0" w:color="auto"/>
              <w:right w:val="nil"/>
            </w:tcBorders>
            <w:shd w:val="clear" w:color="auto" w:fill="auto"/>
            <w:vAlign w:val="center"/>
            <w:hideMark/>
          </w:tcPr>
          <w:p w14:paraId="299AAF5F" w14:textId="77777777" w:rsidR="00C45D5B" w:rsidRPr="00907075" w:rsidRDefault="00C45D5B" w:rsidP="00CF774B">
            <w:pPr>
              <w:jc w:val="center"/>
              <w:rPr>
                <w:rFonts w:cs="Times New Roman"/>
                <w:color w:val="000000"/>
                <w:sz w:val="18"/>
                <w:szCs w:val="18"/>
              </w:rPr>
            </w:pPr>
            <w:r w:rsidRPr="00907075">
              <w:rPr>
                <w:color w:val="000000"/>
                <w:sz w:val="18"/>
                <w:szCs w:val="18"/>
              </w:rPr>
              <w:t>% HDP</w:t>
            </w:r>
          </w:p>
        </w:tc>
        <w:tc>
          <w:tcPr>
            <w:tcW w:w="650" w:type="dxa"/>
            <w:tcBorders>
              <w:top w:val="nil"/>
              <w:left w:val="nil"/>
              <w:bottom w:val="single" w:sz="4" w:space="0" w:color="auto"/>
              <w:right w:val="nil"/>
            </w:tcBorders>
            <w:shd w:val="clear" w:color="auto" w:fill="auto"/>
            <w:vAlign w:val="center"/>
            <w:hideMark/>
          </w:tcPr>
          <w:p w14:paraId="2E468A8E" w14:textId="77777777" w:rsidR="00C45D5B" w:rsidRPr="00907075" w:rsidRDefault="00C45D5B" w:rsidP="00CF774B">
            <w:pPr>
              <w:jc w:val="center"/>
              <w:rPr>
                <w:rFonts w:cs="Times New Roman"/>
                <w:color w:val="000000"/>
                <w:sz w:val="18"/>
                <w:szCs w:val="18"/>
              </w:rPr>
            </w:pPr>
            <w:r w:rsidRPr="00907075">
              <w:rPr>
                <w:color w:val="000000"/>
                <w:sz w:val="18"/>
                <w:szCs w:val="18"/>
              </w:rPr>
              <w:t>% HDP</w:t>
            </w:r>
          </w:p>
        </w:tc>
        <w:tc>
          <w:tcPr>
            <w:tcW w:w="650" w:type="dxa"/>
            <w:tcBorders>
              <w:top w:val="nil"/>
              <w:left w:val="nil"/>
              <w:bottom w:val="single" w:sz="4" w:space="0" w:color="auto"/>
              <w:right w:val="nil"/>
            </w:tcBorders>
            <w:shd w:val="clear" w:color="auto" w:fill="auto"/>
            <w:vAlign w:val="center"/>
            <w:hideMark/>
          </w:tcPr>
          <w:p w14:paraId="633E4885" w14:textId="77777777" w:rsidR="00C45D5B" w:rsidRPr="00907075" w:rsidRDefault="00C45D5B" w:rsidP="00CF774B">
            <w:pPr>
              <w:jc w:val="center"/>
              <w:rPr>
                <w:rFonts w:cs="Times New Roman"/>
                <w:color w:val="000000"/>
                <w:sz w:val="18"/>
                <w:szCs w:val="18"/>
              </w:rPr>
            </w:pPr>
            <w:r w:rsidRPr="00907075">
              <w:rPr>
                <w:color w:val="000000"/>
                <w:sz w:val="18"/>
                <w:szCs w:val="18"/>
              </w:rPr>
              <w:t>% HDP</w:t>
            </w:r>
          </w:p>
        </w:tc>
        <w:tc>
          <w:tcPr>
            <w:tcW w:w="650" w:type="dxa"/>
            <w:tcBorders>
              <w:top w:val="nil"/>
              <w:left w:val="nil"/>
              <w:bottom w:val="single" w:sz="4" w:space="0" w:color="auto"/>
              <w:right w:val="nil"/>
            </w:tcBorders>
            <w:shd w:val="clear" w:color="auto" w:fill="auto"/>
            <w:vAlign w:val="center"/>
            <w:hideMark/>
          </w:tcPr>
          <w:p w14:paraId="6770F579" w14:textId="77777777" w:rsidR="00C45D5B" w:rsidRPr="00907075" w:rsidRDefault="00C45D5B" w:rsidP="00CF774B">
            <w:pPr>
              <w:jc w:val="center"/>
              <w:rPr>
                <w:rFonts w:cs="Times New Roman"/>
                <w:color w:val="000000"/>
                <w:sz w:val="18"/>
                <w:szCs w:val="18"/>
              </w:rPr>
            </w:pPr>
            <w:r w:rsidRPr="00907075">
              <w:rPr>
                <w:color w:val="000000"/>
                <w:sz w:val="18"/>
                <w:szCs w:val="18"/>
              </w:rPr>
              <w:t>% HDP</w:t>
            </w:r>
          </w:p>
        </w:tc>
        <w:tc>
          <w:tcPr>
            <w:tcW w:w="653" w:type="dxa"/>
            <w:tcBorders>
              <w:top w:val="nil"/>
              <w:left w:val="nil"/>
              <w:bottom w:val="single" w:sz="4" w:space="0" w:color="auto"/>
              <w:right w:val="nil"/>
            </w:tcBorders>
            <w:shd w:val="clear" w:color="auto" w:fill="auto"/>
            <w:vAlign w:val="center"/>
            <w:hideMark/>
          </w:tcPr>
          <w:p w14:paraId="73861705" w14:textId="77777777" w:rsidR="00C45D5B" w:rsidRPr="00907075" w:rsidRDefault="00C45D5B" w:rsidP="00CF774B">
            <w:pPr>
              <w:jc w:val="center"/>
              <w:rPr>
                <w:rFonts w:cs="Times New Roman"/>
                <w:color w:val="000000"/>
                <w:sz w:val="18"/>
                <w:szCs w:val="18"/>
              </w:rPr>
            </w:pPr>
            <w:r w:rsidRPr="00907075">
              <w:rPr>
                <w:color w:val="000000"/>
                <w:sz w:val="18"/>
                <w:szCs w:val="18"/>
              </w:rPr>
              <w:t>% HDP</w:t>
            </w:r>
          </w:p>
        </w:tc>
      </w:tr>
      <w:tr w:rsidR="00C45D5B" w:rsidRPr="00907075" w14:paraId="07FE3E4D" w14:textId="77777777" w:rsidTr="00CF774B">
        <w:trPr>
          <w:trHeight w:val="283"/>
        </w:trPr>
        <w:tc>
          <w:tcPr>
            <w:tcW w:w="5045" w:type="dxa"/>
            <w:tcBorders>
              <w:top w:val="nil"/>
              <w:left w:val="nil"/>
              <w:bottom w:val="nil"/>
              <w:right w:val="nil"/>
            </w:tcBorders>
            <w:shd w:val="clear" w:color="auto" w:fill="auto"/>
            <w:vAlign w:val="center"/>
            <w:hideMark/>
          </w:tcPr>
          <w:p w14:paraId="52236AC7" w14:textId="77777777" w:rsidR="00C45D5B" w:rsidRPr="00907075" w:rsidRDefault="00C45D5B" w:rsidP="00CF774B">
            <w:pPr>
              <w:rPr>
                <w:rFonts w:cs="Times New Roman"/>
                <w:color w:val="000000"/>
                <w:sz w:val="18"/>
                <w:szCs w:val="18"/>
              </w:rPr>
            </w:pPr>
            <w:r w:rsidRPr="00907075">
              <w:rPr>
                <w:rFonts w:cs="Times New Roman"/>
                <w:color w:val="000000"/>
                <w:sz w:val="18"/>
                <w:szCs w:val="18"/>
              </w:rPr>
              <w:t>1. Výdavky na programy EÚ plne kryté príjmami z fondov EÚ</w:t>
            </w:r>
          </w:p>
        </w:tc>
        <w:tc>
          <w:tcPr>
            <w:tcW w:w="650" w:type="dxa"/>
            <w:tcBorders>
              <w:top w:val="nil"/>
              <w:left w:val="nil"/>
              <w:bottom w:val="nil"/>
              <w:right w:val="nil"/>
            </w:tcBorders>
            <w:shd w:val="clear" w:color="auto" w:fill="auto"/>
            <w:vAlign w:val="center"/>
            <w:hideMark/>
          </w:tcPr>
          <w:p w14:paraId="33C432A1" w14:textId="77777777" w:rsidR="00C45D5B" w:rsidRPr="00907075" w:rsidRDefault="00C45D5B" w:rsidP="00CF774B">
            <w:pPr>
              <w:jc w:val="center"/>
              <w:rPr>
                <w:rFonts w:cs="Times New Roman"/>
                <w:color w:val="000000"/>
                <w:sz w:val="18"/>
                <w:szCs w:val="18"/>
              </w:rPr>
            </w:pPr>
            <w:r w:rsidRPr="00907075">
              <w:rPr>
                <w:color w:val="000000"/>
                <w:sz w:val="18"/>
                <w:szCs w:val="18"/>
              </w:rPr>
              <w:t>1053</w:t>
            </w:r>
          </w:p>
        </w:tc>
        <w:tc>
          <w:tcPr>
            <w:tcW w:w="840" w:type="dxa"/>
            <w:tcBorders>
              <w:top w:val="nil"/>
              <w:left w:val="nil"/>
              <w:bottom w:val="nil"/>
              <w:right w:val="nil"/>
            </w:tcBorders>
            <w:shd w:val="clear" w:color="auto" w:fill="auto"/>
            <w:vAlign w:val="center"/>
            <w:hideMark/>
          </w:tcPr>
          <w:p w14:paraId="08D71844" w14:textId="77777777" w:rsidR="00C45D5B" w:rsidRPr="00907075" w:rsidRDefault="00C45D5B" w:rsidP="00CF774B">
            <w:pPr>
              <w:jc w:val="center"/>
              <w:rPr>
                <w:rFonts w:cs="Times New Roman"/>
                <w:color w:val="000000"/>
                <w:sz w:val="18"/>
                <w:szCs w:val="18"/>
              </w:rPr>
            </w:pPr>
            <w:r w:rsidRPr="00907075">
              <w:rPr>
                <w:color w:val="000000"/>
                <w:sz w:val="18"/>
                <w:szCs w:val="18"/>
              </w:rPr>
              <w:t>1,1</w:t>
            </w:r>
          </w:p>
        </w:tc>
        <w:tc>
          <w:tcPr>
            <w:tcW w:w="650" w:type="dxa"/>
            <w:tcBorders>
              <w:top w:val="nil"/>
              <w:left w:val="nil"/>
              <w:bottom w:val="nil"/>
              <w:right w:val="nil"/>
            </w:tcBorders>
            <w:shd w:val="clear" w:color="auto" w:fill="auto"/>
            <w:vAlign w:val="center"/>
            <w:hideMark/>
          </w:tcPr>
          <w:p w14:paraId="3ECAB102" w14:textId="77777777" w:rsidR="00C45D5B" w:rsidRPr="00907075" w:rsidRDefault="00C45D5B" w:rsidP="00CF774B">
            <w:pPr>
              <w:jc w:val="center"/>
              <w:rPr>
                <w:rFonts w:cs="Times New Roman"/>
                <w:color w:val="000000"/>
                <w:sz w:val="18"/>
                <w:szCs w:val="18"/>
              </w:rPr>
            </w:pPr>
            <w:r w:rsidRPr="00907075">
              <w:rPr>
                <w:color w:val="000000"/>
                <w:sz w:val="18"/>
                <w:szCs w:val="18"/>
              </w:rPr>
              <w:t>2,1</w:t>
            </w:r>
          </w:p>
        </w:tc>
        <w:tc>
          <w:tcPr>
            <w:tcW w:w="650" w:type="dxa"/>
            <w:tcBorders>
              <w:top w:val="nil"/>
              <w:left w:val="nil"/>
              <w:bottom w:val="nil"/>
              <w:right w:val="nil"/>
            </w:tcBorders>
            <w:shd w:val="clear" w:color="auto" w:fill="auto"/>
            <w:vAlign w:val="center"/>
            <w:hideMark/>
          </w:tcPr>
          <w:p w14:paraId="00F57E6F" w14:textId="77777777" w:rsidR="00C45D5B" w:rsidRPr="00907075" w:rsidRDefault="00C45D5B" w:rsidP="00CF774B">
            <w:pPr>
              <w:jc w:val="center"/>
              <w:rPr>
                <w:rFonts w:cs="Times New Roman"/>
                <w:color w:val="000000"/>
                <w:sz w:val="18"/>
                <w:szCs w:val="18"/>
              </w:rPr>
            </w:pPr>
            <w:r w:rsidRPr="00907075">
              <w:rPr>
                <w:color w:val="000000"/>
                <w:sz w:val="18"/>
                <w:szCs w:val="18"/>
              </w:rPr>
              <w:t>3,6</w:t>
            </w:r>
          </w:p>
        </w:tc>
        <w:tc>
          <w:tcPr>
            <w:tcW w:w="650" w:type="dxa"/>
            <w:tcBorders>
              <w:top w:val="nil"/>
              <w:left w:val="nil"/>
              <w:bottom w:val="nil"/>
              <w:right w:val="nil"/>
            </w:tcBorders>
            <w:shd w:val="clear" w:color="auto" w:fill="auto"/>
            <w:vAlign w:val="center"/>
            <w:hideMark/>
          </w:tcPr>
          <w:p w14:paraId="65002098" w14:textId="77777777" w:rsidR="00C45D5B" w:rsidRPr="00907075" w:rsidRDefault="00C45D5B" w:rsidP="00CF774B">
            <w:pPr>
              <w:jc w:val="center"/>
              <w:rPr>
                <w:rFonts w:cs="Times New Roman"/>
                <w:color w:val="000000"/>
                <w:sz w:val="18"/>
                <w:szCs w:val="18"/>
              </w:rPr>
            </w:pPr>
            <w:r w:rsidRPr="00907075">
              <w:rPr>
                <w:color w:val="000000"/>
                <w:sz w:val="18"/>
                <w:szCs w:val="18"/>
              </w:rPr>
              <w:t>1,9</w:t>
            </w:r>
          </w:p>
        </w:tc>
        <w:tc>
          <w:tcPr>
            <w:tcW w:w="653" w:type="dxa"/>
            <w:tcBorders>
              <w:top w:val="nil"/>
              <w:left w:val="nil"/>
              <w:bottom w:val="nil"/>
              <w:right w:val="nil"/>
            </w:tcBorders>
            <w:shd w:val="clear" w:color="auto" w:fill="auto"/>
            <w:vAlign w:val="center"/>
            <w:hideMark/>
          </w:tcPr>
          <w:p w14:paraId="50EF50DE" w14:textId="77777777" w:rsidR="00C45D5B" w:rsidRPr="00907075" w:rsidRDefault="00C45D5B" w:rsidP="00CF774B">
            <w:pPr>
              <w:jc w:val="center"/>
              <w:rPr>
                <w:rFonts w:cs="Times New Roman"/>
                <w:color w:val="000000"/>
                <w:sz w:val="18"/>
                <w:szCs w:val="18"/>
              </w:rPr>
            </w:pPr>
            <w:r w:rsidRPr="00907075">
              <w:rPr>
                <w:color w:val="000000"/>
                <w:sz w:val="18"/>
                <w:szCs w:val="18"/>
              </w:rPr>
              <w:t>1,9</w:t>
            </w:r>
          </w:p>
        </w:tc>
      </w:tr>
      <w:tr w:rsidR="00C45D5B" w:rsidRPr="00907075" w14:paraId="53C44087" w14:textId="77777777" w:rsidTr="00CF774B">
        <w:trPr>
          <w:trHeight w:val="283"/>
        </w:trPr>
        <w:tc>
          <w:tcPr>
            <w:tcW w:w="5045" w:type="dxa"/>
            <w:tcBorders>
              <w:top w:val="nil"/>
              <w:left w:val="nil"/>
              <w:bottom w:val="nil"/>
              <w:right w:val="nil"/>
            </w:tcBorders>
            <w:shd w:val="clear" w:color="auto" w:fill="auto"/>
            <w:vAlign w:val="center"/>
            <w:hideMark/>
          </w:tcPr>
          <w:p w14:paraId="3FA8C7CB" w14:textId="77777777" w:rsidR="00C45D5B" w:rsidRPr="00907075" w:rsidRDefault="00C45D5B" w:rsidP="00CF774B">
            <w:pPr>
              <w:rPr>
                <w:rFonts w:cs="Times New Roman"/>
                <w:color w:val="000000"/>
                <w:sz w:val="18"/>
                <w:szCs w:val="18"/>
              </w:rPr>
            </w:pPr>
            <w:r w:rsidRPr="00907075">
              <w:rPr>
                <w:rFonts w:cs="Times New Roman"/>
                <w:color w:val="000000"/>
                <w:sz w:val="18"/>
                <w:szCs w:val="18"/>
              </w:rPr>
              <w:t>1.a. z toho investície plne kryté z príjmami z fondov EÚ</w:t>
            </w:r>
          </w:p>
        </w:tc>
        <w:tc>
          <w:tcPr>
            <w:tcW w:w="650" w:type="dxa"/>
            <w:tcBorders>
              <w:top w:val="nil"/>
              <w:left w:val="nil"/>
              <w:bottom w:val="nil"/>
              <w:right w:val="nil"/>
            </w:tcBorders>
            <w:shd w:val="clear" w:color="auto" w:fill="auto"/>
            <w:vAlign w:val="center"/>
            <w:hideMark/>
          </w:tcPr>
          <w:p w14:paraId="49059CF3" w14:textId="77777777" w:rsidR="00C45D5B" w:rsidRPr="00907075" w:rsidRDefault="00C45D5B" w:rsidP="00CF774B">
            <w:pPr>
              <w:jc w:val="center"/>
              <w:rPr>
                <w:rFonts w:cs="Times New Roman"/>
                <w:color w:val="000000"/>
                <w:sz w:val="18"/>
                <w:szCs w:val="18"/>
              </w:rPr>
            </w:pPr>
            <w:r w:rsidRPr="00907075">
              <w:rPr>
                <w:color w:val="000000"/>
                <w:sz w:val="18"/>
                <w:szCs w:val="18"/>
              </w:rPr>
              <w:t>564</w:t>
            </w:r>
          </w:p>
        </w:tc>
        <w:tc>
          <w:tcPr>
            <w:tcW w:w="840" w:type="dxa"/>
            <w:tcBorders>
              <w:top w:val="nil"/>
              <w:left w:val="nil"/>
              <w:bottom w:val="nil"/>
              <w:right w:val="nil"/>
            </w:tcBorders>
            <w:shd w:val="clear" w:color="auto" w:fill="auto"/>
            <w:vAlign w:val="center"/>
            <w:hideMark/>
          </w:tcPr>
          <w:p w14:paraId="7762E6D2" w14:textId="77777777" w:rsidR="00C45D5B" w:rsidRPr="00907075" w:rsidRDefault="00C45D5B" w:rsidP="00CF774B">
            <w:pPr>
              <w:jc w:val="center"/>
              <w:rPr>
                <w:rFonts w:cs="Times New Roman"/>
                <w:color w:val="000000"/>
                <w:sz w:val="18"/>
                <w:szCs w:val="18"/>
              </w:rPr>
            </w:pPr>
            <w:r w:rsidRPr="00907075">
              <w:rPr>
                <w:color w:val="000000"/>
                <w:sz w:val="18"/>
                <w:szCs w:val="18"/>
              </w:rPr>
              <w:t>0,6</w:t>
            </w:r>
          </w:p>
        </w:tc>
        <w:tc>
          <w:tcPr>
            <w:tcW w:w="650" w:type="dxa"/>
            <w:tcBorders>
              <w:top w:val="nil"/>
              <w:left w:val="nil"/>
              <w:bottom w:val="nil"/>
              <w:right w:val="nil"/>
            </w:tcBorders>
            <w:shd w:val="clear" w:color="auto" w:fill="auto"/>
            <w:vAlign w:val="center"/>
            <w:hideMark/>
          </w:tcPr>
          <w:p w14:paraId="283E109C" w14:textId="77777777" w:rsidR="00C45D5B" w:rsidRPr="00907075" w:rsidRDefault="00C45D5B" w:rsidP="00CF774B">
            <w:pPr>
              <w:jc w:val="center"/>
              <w:rPr>
                <w:rFonts w:cs="Times New Roman"/>
                <w:color w:val="000000"/>
                <w:sz w:val="18"/>
                <w:szCs w:val="18"/>
              </w:rPr>
            </w:pPr>
            <w:r w:rsidRPr="00907075">
              <w:rPr>
                <w:color w:val="000000"/>
                <w:sz w:val="18"/>
                <w:szCs w:val="18"/>
              </w:rPr>
              <w:t>1,2</w:t>
            </w:r>
          </w:p>
        </w:tc>
        <w:tc>
          <w:tcPr>
            <w:tcW w:w="650" w:type="dxa"/>
            <w:tcBorders>
              <w:top w:val="nil"/>
              <w:left w:val="nil"/>
              <w:bottom w:val="nil"/>
              <w:right w:val="nil"/>
            </w:tcBorders>
            <w:shd w:val="clear" w:color="auto" w:fill="auto"/>
            <w:vAlign w:val="center"/>
            <w:hideMark/>
          </w:tcPr>
          <w:p w14:paraId="700FF022" w14:textId="77777777" w:rsidR="00C45D5B" w:rsidRPr="00907075" w:rsidRDefault="00C45D5B" w:rsidP="00CF774B">
            <w:pPr>
              <w:jc w:val="center"/>
              <w:rPr>
                <w:rFonts w:cs="Times New Roman"/>
                <w:color w:val="000000"/>
                <w:sz w:val="18"/>
                <w:szCs w:val="18"/>
              </w:rPr>
            </w:pPr>
            <w:r w:rsidRPr="00907075">
              <w:rPr>
                <w:color w:val="000000"/>
                <w:sz w:val="18"/>
                <w:szCs w:val="18"/>
              </w:rPr>
              <w:t>1,4</w:t>
            </w:r>
          </w:p>
        </w:tc>
        <w:tc>
          <w:tcPr>
            <w:tcW w:w="650" w:type="dxa"/>
            <w:tcBorders>
              <w:top w:val="nil"/>
              <w:left w:val="nil"/>
              <w:bottom w:val="nil"/>
              <w:right w:val="nil"/>
            </w:tcBorders>
            <w:shd w:val="clear" w:color="auto" w:fill="auto"/>
            <w:vAlign w:val="center"/>
            <w:hideMark/>
          </w:tcPr>
          <w:p w14:paraId="2E7C42C9" w14:textId="77777777" w:rsidR="00C45D5B" w:rsidRPr="00907075" w:rsidRDefault="00C45D5B" w:rsidP="00CF774B">
            <w:pPr>
              <w:jc w:val="center"/>
              <w:rPr>
                <w:rFonts w:cs="Times New Roman"/>
                <w:color w:val="000000"/>
                <w:sz w:val="18"/>
                <w:szCs w:val="18"/>
              </w:rPr>
            </w:pPr>
            <w:r w:rsidRPr="00907075">
              <w:rPr>
                <w:color w:val="000000"/>
                <w:sz w:val="18"/>
                <w:szCs w:val="18"/>
              </w:rPr>
              <w:t>1,2</w:t>
            </w:r>
          </w:p>
        </w:tc>
        <w:tc>
          <w:tcPr>
            <w:tcW w:w="653" w:type="dxa"/>
            <w:tcBorders>
              <w:top w:val="nil"/>
              <w:left w:val="nil"/>
              <w:bottom w:val="nil"/>
              <w:right w:val="nil"/>
            </w:tcBorders>
            <w:shd w:val="clear" w:color="auto" w:fill="auto"/>
            <w:vAlign w:val="center"/>
            <w:hideMark/>
          </w:tcPr>
          <w:p w14:paraId="701AEB5D" w14:textId="77777777" w:rsidR="00C45D5B" w:rsidRPr="00907075" w:rsidRDefault="00C45D5B" w:rsidP="00CF774B">
            <w:pPr>
              <w:jc w:val="center"/>
              <w:rPr>
                <w:rFonts w:cs="Times New Roman"/>
                <w:color w:val="000000"/>
                <w:sz w:val="18"/>
                <w:szCs w:val="18"/>
              </w:rPr>
            </w:pPr>
            <w:r w:rsidRPr="00907075">
              <w:rPr>
                <w:color w:val="000000"/>
                <w:sz w:val="18"/>
                <w:szCs w:val="18"/>
              </w:rPr>
              <w:t>0,9</w:t>
            </w:r>
          </w:p>
        </w:tc>
      </w:tr>
      <w:tr w:rsidR="00C45D5B" w:rsidRPr="00907075" w14:paraId="1036C426" w14:textId="77777777" w:rsidTr="00CF774B">
        <w:trPr>
          <w:trHeight w:val="283"/>
        </w:trPr>
        <w:tc>
          <w:tcPr>
            <w:tcW w:w="5045" w:type="dxa"/>
            <w:tcBorders>
              <w:top w:val="nil"/>
              <w:left w:val="nil"/>
              <w:bottom w:val="nil"/>
              <w:right w:val="nil"/>
            </w:tcBorders>
            <w:shd w:val="clear" w:color="000000" w:fill="FFFFFF"/>
            <w:vAlign w:val="center"/>
            <w:hideMark/>
          </w:tcPr>
          <w:p w14:paraId="2AEC4AB1" w14:textId="77777777" w:rsidR="00C45D5B" w:rsidRPr="00907075" w:rsidRDefault="00C45D5B" w:rsidP="00CF774B">
            <w:pPr>
              <w:rPr>
                <w:rFonts w:cs="Times New Roman"/>
                <w:color w:val="000000"/>
                <w:sz w:val="18"/>
                <w:szCs w:val="18"/>
              </w:rPr>
            </w:pPr>
            <w:r w:rsidRPr="00907075">
              <w:rPr>
                <w:rFonts w:cs="Times New Roman"/>
                <w:color w:val="000000"/>
                <w:sz w:val="18"/>
                <w:szCs w:val="18"/>
              </w:rPr>
              <w:t>2. Výdavky na dávky v nezamestnanosti nesúvisiace s opatreniami vlády (cyklická zložka)</w:t>
            </w:r>
          </w:p>
        </w:tc>
        <w:tc>
          <w:tcPr>
            <w:tcW w:w="650" w:type="dxa"/>
            <w:tcBorders>
              <w:top w:val="nil"/>
              <w:left w:val="nil"/>
              <w:bottom w:val="nil"/>
              <w:right w:val="nil"/>
            </w:tcBorders>
            <w:shd w:val="clear" w:color="auto" w:fill="auto"/>
            <w:vAlign w:val="center"/>
            <w:hideMark/>
          </w:tcPr>
          <w:p w14:paraId="45FA455D" w14:textId="77777777" w:rsidR="00C45D5B" w:rsidRPr="00907075" w:rsidRDefault="00C45D5B" w:rsidP="00CF774B">
            <w:pPr>
              <w:jc w:val="center"/>
              <w:rPr>
                <w:rFonts w:cs="Times New Roman"/>
                <w:color w:val="000000"/>
                <w:sz w:val="18"/>
                <w:szCs w:val="18"/>
              </w:rPr>
            </w:pPr>
            <w:r w:rsidRPr="00907075">
              <w:rPr>
                <w:color w:val="000000"/>
                <w:sz w:val="18"/>
                <w:szCs w:val="18"/>
              </w:rPr>
              <w:t>23</w:t>
            </w:r>
          </w:p>
        </w:tc>
        <w:tc>
          <w:tcPr>
            <w:tcW w:w="840" w:type="dxa"/>
            <w:tcBorders>
              <w:top w:val="nil"/>
              <w:left w:val="nil"/>
              <w:bottom w:val="nil"/>
              <w:right w:val="nil"/>
            </w:tcBorders>
            <w:shd w:val="clear" w:color="auto" w:fill="auto"/>
            <w:vAlign w:val="center"/>
            <w:hideMark/>
          </w:tcPr>
          <w:p w14:paraId="2D43CB31"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nil"/>
              <w:right w:val="nil"/>
            </w:tcBorders>
            <w:shd w:val="clear" w:color="auto" w:fill="auto"/>
            <w:vAlign w:val="center"/>
            <w:hideMark/>
          </w:tcPr>
          <w:p w14:paraId="1CD6D871"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nil"/>
              <w:right w:val="nil"/>
            </w:tcBorders>
            <w:shd w:val="clear" w:color="auto" w:fill="auto"/>
            <w:vAlign w:val="center"/>
            <w:hideMark/>
          </w:tcPr>
          <w:p w14:paraId="793A1F05"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nil"/>
              <w:right w:val="nil"/>
            </w:tcBorders>
            <w:shd w:val="clear" w:color="auto" w:fill="auto"/>
            <w:vAlign w:val="center"/>
            <w:hideMark/>
          </w:tcPr>
          <w:p w14:paraId="45C4F6F5"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3" w:type="dxa"/>
            <w:tcBorders>
              <w:top w:val="nil"/>
              <w:left w:val="nil"/>
              <w:bottom w:val="nil"/>
              <w:right w:val="nil"/>
            </w:tcBorders>
            <w:shd w:val="clear" w:color="auto" w:fill="auto"/>
            <w:vAlign w:val="center"/>
            <w:hideMark/>
          </w:tcPr>
          <w:p w14:paraId="3042DD76"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r>
      <w:tr w:rsidR="00C45D5B" w:rsidRPr="00907075" w14:paraId="01524613" w14:textId="77777777" w:rsidTr="00CF774B">
        <w:trPr>
          <w:trHeight w:val="283"/>
        </w:trPr>
        <w:tc>
          <w:tcPr>
            <w:tcW w:w="5045" w:type="dxa"/>
            <w:tcBorders>
              <w:top w:val="nil"/>
              <w:left w:val="nil"/>
              <w:right w:val="nil"/>
            </w:tcBorders>
            <w:shd w:val="clear" w:color="000000" w:fill="FFFFFF"/>
            <w:vAlign w:val="center"/>
            <w:hideMark/>
          </w:tcPr>
          <w:p w14:paraId="200F95D6" w14:textId="77777777" w:rsidR="00C45D5B" w:rsidRPr="00907075" w:rsidRDefault="00C45D5B" w:rsidP="00CF774B">
            <w:pPr>
              <w:rPr>
                <w:rFonts w:cs="Times New Roman"/>
                <w:color w:val="000000"/>
                <w:sz w:val="18"/>
                <w:szCs w:val="18"/>
              </w:rPr>
            </w:pPr>
            <w:r w:rsidRPr="00907075">
              <w:rPr>
                <w:rFonts w:cs="Times New Roman"/>
                <w:color w:val="000000"/>
                <w:sz w:val="18"/>
                <w:szCs w:val="18"/>
              </w:rPr>
              <w:t xml:space="preserve">3. Zmena príjmov z titulu opatrení </w:t>
            </w:r>
          </w:p>
        </w:tc>
        <w:tc>
          <w:tcPr>
            <w:tcW w:w="650" w:type="dxa"/>
            <w:tcBorders>
              <w:top w:val="nil"/>
              <w:left w:val="nil"/>
              <w:bottom w:val="nil"/>
              <w:right w:val="nil"/>
            </w:tcBorders>
            <w:shd w:val="clear" w:color="auto" w:fill="auto"/>
            <w:vAlign w:val="center"/>
            <w:hideMark/>
          </w:tcPr>
          <w:p w14:paraId="10F3F6C8" w14:textId="77777777" w:rsidR="00C45D5B" w:rsidRPr="00907075" w:rsidRDefault="00C45D5B" w:rsidP="00CF774B">
            <w:pPr>
              <w:jc w:val="center"/>
              <w:rPr>
                <w:rFonts w:cs="Times New Roman"/>
                <w:color w:val="000000"/>
                <w:sz w:val="18"/>
                <w:szCs w:val="18"/>
              </w:rPr>
            </w:pPr>
            <w:r w:rsidRPr="00907075">
              <w:rPr>
                <w:color w:val="000000"/>
                <w:sz w:val="18"/>
                <w:szCs w:val="18"/>
              </w:rPr>
              <w:t>474</w:t>
            </w:r>
          </w:p>
        </w:tc>
        <w:tc>
          <w:tcPr>
            <w:tcW w:w="840" w:type="dxa"/>
            <w:tcBorders>
              <w:top w:val="nil"/>
              <w:left w:val="nil"/>
              <w:bottom w:val="nil"/>
              <w:right w:val="nil"/>
            </w:tcBorders>
            <w:shd w:val="clear" w:color="auto" w:fill="auto"/>
            <w:vAlign w:val="center"/>
            <w:hideMark/>
          </w:tcPr>
          <w:p w14:paraId="7A4F076E" w14:textId="77777777" w:rsidR="00C45D5B" w:rsidRPr="00907075" w:rsidRDefault="00C45D5B" w:rsidP="00CF774B">
            <w:pPr>
              <w:jc w:val="center"/>
              <w:rPr>
                <w:rFonts w:cs="Times New Roman"/>
                <w:color w:val="000000"/>
                <w:sz w:val="18"/>
                <w:szCs w:val="18"/>
              </w:rPr>
            </w:pPr>
            <w:r w:rsidRPr="00907075">
              <w:rPr>
                <w:color w:val="000000"/>
                <w:sz w:val="18"/>
                <w:szCs w:val="18"/>
              </w:rPr>
              <w:t>0,5</w:t>
            </w:r>
          </w:p>
        </w:tc>
        <w:tc>
          <w:tcPr>
            <w:tcW w:w="650" w:type="dxa"/>
            <w:tcBorders>
              <w:top w:val="nil"/>
              <w:left w:val="nil"/>
              <w:bottom w:val="nil"/>
              <w:right w:val="nil"/>
            </w:tcBorders>
            <w:shd w:val="clear" w:color="auto" w:fill="auto"/>
            <w:vAlign w:val="center"/>
            <w:hideMark/>
          </w:tcPr>
          <w:p w14:paraId="44DD10AE"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nil"/>
              <w:right w:val="nil"/>
            </w:tcBorders>
            <w:shd w:val="clear" w:color="auto" w:fill="auto"/>
            <w:vAlign w:val="center"/>
            <w:hideMark/>
          </w:tcPr>
          <w:p w14:paraId="6FD5B7A7"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nil"/>
              <w:right w:val="nil"/>
            </w:tcBorders>
            <w:shd w:val="clear" w:color="auto" w:fill="auto"/>
            <w:vAlign w:val="center"/>
            <w:hideMark/>
          </w:tcPr>
          <w:p w14:paraId="74F376B4" w14:textId="77777777" w:rsidR="00C45D5B" w:rsidRPr="00907075" w:rsidRDefault="00C45D5B" w:rsidP="00CF774B">
            <w:pPr>
              <w:jc w:val="center"/>
              <w:rPr>
                <w:rFonts w:cs="Times New Roman"/>
                <w:color w:val="000000"/>
                <w:sz w:val="18"/>
                <w:szCs w:val="18"/>
              </w:rPr>
            </w:pPr>
            <w:r w:rsidRPr="00907075">
              <w:rPr>
                <w:color w:val="000000"/>
                <w:sz w:val="18"/>
                <w:szCs w:val="18"/>
              </w:rPr>
              <w:t>-0,1</w:t>
            </w:r>
          </w:p>
        </w:tc>
        <w:tc>
          <w:tcPr>
            <w:tcW w:w="653" w:type="dxa"/>
            <w:tcBorders>
              <w:top w:val="nil"/>
              <w:left w:val="nil"/>
              <w:bottom w:val="nil"/>
              <w:right w:val="nil"/>
            </w:tcBorders>
            <w:shd w:val="clear" w:color="auto" w:fill="auto"/>
            <w:vAlign w:val="center"/>
            <w:hideMark/>
          </w:tcPr>
          <w:p w14:paraId="3B1DCD1B"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r>
      <w:tr w:rsidR="00C45D5B" w:rsidRPr="00907075" w14:paraId="5281E9E5" w14:textId="77777777" w:rsidTr="00CF774B">
        <w:trPr>
          <w:trHeight w:val="283"/>
        </w:trPr>
        <w:tc>
          <w:tcPr>
            <w:tcW w:w="5045" w:type="dxa"/>
            <w:tcBorders>
              <w:top w:val="nil"/>
              <w:left w:val="nil"/>
              <w:bottom w:val="single" w:sz="8" w:space="0" w:color="auto"/>
              <w:right w:val="nil"/>
            </w:tcBorders>
            <w:shd w:val="clear" w:color="000000" w:fill="FFFFFF"/>
            <w:vAlign w:val="center"/>
            <w:hideMark/>
          </w:tcPr>
          <w:p w14:paraId="4C570265" w14:textId="77777777" w:rsidR="00C45D5B" w:rsidRPr="00907075" w:rsidRDefault="00C45D5B" w:rsidP="00CF774B">
            <w:pPr>
              <w:rPr>
                <w:rFonts w:cs="Times New Roman"/>
                <w:color w:val="000000"/>
                <w:sz w:val="18"/>
                <w:szCs w:val="18"/>
              </w:rPr>
            </w:pPr>
            <w:r w:rsidRPr="00907075">
              <w:rPr>
                <w:rFonts w:cs="Times New Roman"/>
                <w:color w:val="000000"/>
                <w:sz w:val="18"/>
                <w:szCs w:val="18"/>
              </w:rPr>
              <w:t>4. Automatická zmena príjmov z dôvodu uplatňovania legislatívy</w:t>
            </w:r>
          </w:p>
        </w:tc>
        <w:tc>
          <w:tcPr>
            <w:tcW w:w="650" w:type="dxa"/>
            <w:tcBorders>
              <w:top w:val="nil"/>
              <w:left w:val="nil"/>
              <w:bottom w:val="single" w:sz="4" w:space="0" w:color="auto"/>
              <w:right w:val="nil"/>
            </w:tcBorders>
            <w:shd w:val="clear" w:color="auto" w:fill="auto"/>
            <w:vAlign w:val="center"/>
            <w:hideMark/>
          </w:tcPr>
          <w:p w14:paraId="4103BF13" w14:textId="77777777" w:rsidR="00C45D5B" w:rsidRPr="00907075" w:rsidRDefault="00C45D5B" w:rsidP="00CF774B">
            <w:pPr>
              <w:jc w:val="center"/>
              <w:rPr>
                <w:rFonts w:cs="Times New Roman"/>
                <w:color w:val="000000"/>
                <w:sz w:val="18"/>
                <w:szCs w:val="18"/>
              </w:rPr>
            </w:pPr>
            <w:r w:rsidRPr="00907075">
              <w:rPr>
                <w:color w:val="000000"/>
                <w:sz w:val="18"/>
                <w:szCs w:val="18"/>
              </w:rPr>
              <w:t>0</w:t>
            </w:r>
          </w:p>
        </w:tc>
        <w:tc>
          <w:tcPr>
            <w:tcW w:w="840" w:type="dxa"/>
            <w:tcBorders>
              <w:top w:val="nil"/>
              <w:left w:val="nil"/>
              <w:bottom w:val="single" w:sz="4" w:space="0" w:color="auto"/>
              <w:right w:val="nil"/>
            </w:tcBorders>
            <w:shd w:val="clear" w:color="auto" w:fill="auto"/>
            <w:vAlign w:val="center"/>
            <w:hideMark/>
          </w:tcPr>
          <w:p w14:paraId="47C60DCC"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single" w:sz="4" w:space="0" w:color="auto"/>
              <w:right w:val="nil"/>
            </w:tcBorders>
            <w:shd w:val="clear" w:color="auto" w:fill="auto"/>
            <w:vAlign w:val="center"/>
            <w:hideMark/>
          </w:tcPr>
          <w:p w14:paraId="140C3968"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single" w:sz="4" w:space="0" w:color="auto"/>
              <w:right w:val="nil"/>
            </w:tcBorders>
            <w:shd w:val="clear" w:color="auto" w:fill="auto"/>
            <w:vAlign w:val="center"/>
            <w:hideMark/>
          </w:tcPr>
          <w:p w14:paraId="34030CA5"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0" w:type="dxa"/>
            <w:tcBorders>
              <w:top w:val="nil"/>
              <w:left w:val="nil"/>
              <w:bottom w:val="single" w:sz="4" w:space="0" w:color="auto"/>
              <w:right w:val="nil"/>
            </w:tcBorders>
            <w:shd w:val="clear" w:color="auto" w:fill="auto"/>
            <w:vAlign w:val="center"/>
            <w:hideMark/>
          </w:tcPr>
          <w:p w14:paraId="7408E2D1"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c>
          <w:tcPr>
            <w:tcW w:w="653" w:type="dxa"/>
            <w:tcBorders>
              <w:top w:val="nil"/>
              <w:left w:val="nil"/>
              <w:bottom w:val="single" w:sz="4" w:space="0" w:color="auto"/>
              <w:right w:val="nil"/>
            </w:tcBorders>
            <w:shd w:val="clear" w:color="auto" w:fill="auto"/>
            <w:vAlign w:val="center"/>
            <w:hideMark/>
          </w:tcPr>
          <w:p w14:paraId="13F253B4" w14:textId="77777777" w:rsidR="00C45D5B" w:rsidRPr="00907075" w:rsidRDefault="00C45D5B" w:rsidP="00CF774B">
            <w:pPr>
              <w:jc w:val="center"/>
              <w:rPr>
                <w:rFonts w:cs="Times New Roman"/>
                <w:color w:val="000000"/>
                <w:sz w:val="18"/>
                <w:szCs w:val="18"/>
              </w:rPr>
            </w:pPr>
            <w:r w:rsidRPr="00907075">
              <w:rPr>
                <w:color w:val="000000"/>
                <w:sz w:val="18"/>
                <w:szCs w:val="18"/>
              </w:rPr>
              <w:t>0,0</w:t>
            </w:r>
          </w:p>
        </w:tc>
      </w:tr>
      <w:tr w:rsidR="00C45D5B" w:rsidRPr="00AB54ED" w14:paraId="5FF8A802" w14:textId="77777777" w:rsidTr="00CF774B">
        <w:trPr>
          <w:trHeight w:val="283"/>
        </w:trPr>
        <w:tc>
          <w:tcPr>
            <w:tcW w:w="5045" w:type="dxa"/>
            <w:tcBorders>
              <w:top w:val="single" w:sz="8" w:space="0" w:color="auto"/>
              <w:left w:val="nil"/>
              <w:bottom w:val="nil"/>
              <w:right w:val="nil"/>
            </w:tcBorders>
            <w:shd w:val="clear" w:color="auto" w:fill="auto"/>
            <w:vAlign w:val="center"/>
            <w:hideMark/>
          </w:tcPr>
          <w:p w14:paraId="5CF6D74C" w14:textId="77777777" w:rsidR="00C45D5B" w:rsidRPr="00907075" w:rsidRDefault="00C45D5B" w:rsidP="00CF774B">
            <w:pPr>
              <w:jc w:val="center"/>
              <w:rPr>
                <w:rFonts w:cs="Times New Roman"/>
                <w:color w:val="000000"/>
                <w:sz w:val="18"/>
                <w:szCs w:val="18"/>
              </w:rPr>
            </w:pPr>
          </w:p>
        </w:tc>
        <w:tc>
          <w:tcPr>
            <w:tcW w:w="650" w:type="dxa"/>
            <w:tcBorders>
              <w:top w:val="single" w:sz="8" w:space="0" w:color="auto"/>
              <w:left w:val="nil"/>
              <w:bottom w:val="nil"/>
              <w:right w:val="nil"/>
            </w:tcBorders>
            <w:shd w:val="clear" w:color="auto" w:fill="auto"/>
            <w:vAlign w:val="center"/>
            <w:hideMark/>
          </w:tcPr>
          <w:p w14:paraId="04AE680A" w14:textId="77777777" w:rsidR="00C45D5B" w:rsidRPr="00907075" w:rsidRDefault="00C45D5B" w:rsidP="00CF774B">
            <w:pPr>
              <w:rPr>
                <w:rFonts w:ascii="Times New Roman" w:hAnsi="Times New Roman" w:cs="Times New Roman"/>
                <w:sz w:val="18"/>
                <w:szCs w:val="18"/>
              </w:rPr>
            </w:pPr>
          </w:p>
        </w:tc>
        <w:tc>
          <w:tcPr>
            <w:tcW w:w="840" w:type="dxa"/>
            <w:tcBorders>
              <w:top w:val="single" w:sz="8" w:space="0" w:color="auto"/>
              <w:left w:val="nil"/>
              <w:bottom w:val="nil"/>
              <w:right w:val="nil"/>
            </w:tcBorders>
            <w:shd w:val="clear" w:color="auto" w:fill="auto"/>
            <w:vAlign w:val="center"/>
            <w:hideMark/>
          </w:tcPr>
          <w:p w14:paraId="31D9EA8D" w14:textId="77777777" w:rsidR="00C45D5B" w:rsidRPr="00907075" w:rsidRDefault="00C45D5B" w:rsidP="00CF774B">
            <w:pPr>
              <w:rPr>
                <w:rFonts w:ascii="Times New Roman" w:hAnsi="Times New Roman" w:cs="Times New Roman"/>
                <w:sz w:val="18"/>
                <w:szCs w:val="18"/>
              </w:rPr>
            </w:pPr>
          </w:p>
        </w:tc>
        <w:tc>
          <w:tcPr>
            <w:tcW w:w="650" w:type="dxa"/>
            <w:tcBorders>
              <w:top w:val="single" w:sz="8" w:space="0" w:color="auto"/>
              <w:left w:val="nil"/>
              <w:bottom w:val="nil"/>
              <w:right w:val="nil"/>
            </w:tcBorders>
            <w:shd w:val="clear" w:color="auto" w:fill="auto"/>
            <w:vAlign w:val="center"/>
            <w:hideMark/>
          </w:tcPr>
          <w:p w14:paraId="1007EF6E" w14:textId="77777777" w:rsidR="00C45D5B" w:rsidRPr="00907075" w:rsidRDefault="00C45D5B" w:rsidP="00CF774B">
            <w:pPr>
              <w:rPr>
                <w:rFonts w:ascii="Times New Roman" w:hAnsi="Times New Roman" w:cs="Times New Roman"/>
                <w:sz w:val="18"/>
                <w:szCs w:val="18"/>
              </w:rPr>
            </w:pPr>
          </w:p>
        </w:tc>
        <w:tc>
          <w:tcPr>
            <w:tcW w:w="650" w:type="dxa"/>
            <w:tcBorders>
              <w:top w:val="single" w:sz="8" w:space="0" w:color="auto"/>
              <w:left w:val="nil"/>
              <w:bottom w:val="nil"/>
              <w:right w:val="nil"/>
            </w:tcBorders>
            <w:shd w:val="clear" w:color="auto" w:fill="auto"/>
            <w:vAlign w:val="center"/>
            <w:hideMark/>
          </w:tcPr>
          <w:p w14:paraId="1B78F806" w14:textId="77777777" w:rsidR="00C45D5B" w:rsidRPr="00907075" w:rsidRDefault="00C45D5B" w:rsidP="00CF774B">
            <w:pPr>
              <w:rPr>
                <w:rFonts w:ascii="Times New Roman" w:hAnsi="Times New Roman" w:cs="Times New Roman"/>
                <w:sz w:val="18"/>
                <w:szCs w:val="18"/>
              </w:rPr>
            </w:pPr>
          </w:p>
        </w:tc>
        <w:tc>
          <w:tcPr>
            <w:tcW w:w="1303" w:type="dxa"/>
            <w:gridSpan w:val="2"/>
            <w:tcBorders>
              <w:top w:val="single" w:sz="8" w:space="0" w:color="auto"/>
              <w:left w:val="nil"/>
              <w:bottom w:val="nil"/>
              <w:right w:val="nil"/>
            </w:tcBorders>
            <w:shd w:val="clear" w:color="auto" w:fill="auto"/>
            <w:vAlign w:val="center"/>
            <w:hideMark/>
          </w:tcPr>
          <w:p w14:paraId="0ACFC657" w14:textId="77777777" w:rsidR="00C45D5B" w:rsidRPr="00907075" w:rsidRDefault="00C45D5B" w:rsidP="00CF774B">
            <w:pPr>
              <w:jc w:val="right"/>
              <w:rPr>
                <w:rFonts w:cs="Times New Roman"/>
                <w:i/>
                <w:iCs/>
                <w:color w:val="000000"/>
                <w:sz w:val="18"/>
                <w:szCs w:val="18"/>
              </w:rPr>
            </w:pPr>
            <w:r w:rsidRPr="00907075">
              <w:rPr>
                <w:rFonts w:cs="Times New Roman"/>
                <w:i/>
                <w:iCs/>
                <w:color w:val="000000"/>
                <w:sz w:val="16"/>
                <w:szCs w:val="18"/>
              </w:rPr>
              <w:t>Zdroj: MF SR</w:t>
            </w:r>
          </w:p>
        </w:tc>
      </w:tr>
    </w:tbl>
    <w:p w14:paraId="61523B9A" w14:textId="77777777" w:rsidR="00C45D5B" w:rsidRPr="00AB54ED" w:rsidRDefault="00C45D5B" w:rsidP="00C45D5B">
      <w:pPr>
        <w:rPr>
          <w:color w:val="2C9ADC" w:themeColor="accent1"/>
          <w:sz w:val="18"/>
          <w:szCs w:val="18"/>
          <w:highlight w:val="yellow"/>
        </w:rPr>
      </w:pPr>
    </w:p>
    <w:tbl>
      <w:tblPr>
        <w:tblW w:w="9138" w:type="dxa"/>
        <w:tblCellMar>
          <w:left w:w="70" w:type="dxa"/>
          <w:right w:w="70" w:type="dxa"/>
        </w:tblCellMar>
        <w:tblLook w:val="04A0" w:firstRow="1" w:lastRow="0" w:firstColumn="1" w:lastColumn="0" w:noHBand="0" w:noVBand="1"/>
      </w:tblPr>
      <w:tblGrid>
        <w:gridCol w:w="3772"/>
        <w:gridCol w:w="1291"/>
        <w:gridCol w:w="1493"/>
        <w:gridCol w:w="968"/>
        <w:gridCol w:w="1614"/>
      </w:tblGrid>
      <w:tr w:rsidR="00C45D5B" w:rsidRPr="00025E50" w14:paraId="72C722B2" w14:textId="77777777" w:rsidTr="00CF774B">
        <w:trPr>
          <w:trHeight w:val="283"/>
        </w:trPr>
        <w:tc>
          <w:tcPr>
            <w:tcW w:w="9138" w:type="dxa"/>
            <w:gridSpan w:val="5"/>
            <w:tcBorders>
              <w:top w:val="nil"/>
              <w:left w:val="nil"/>
              <w:bottom w:val="single" w:sz="8" w:space="0" w:color="auto"/>
              <w:right w:val="nil"/>
            </w:tcBorders>
            <w:shd w:val="clear" w:color="auto" w:fill="auto"/>
            <w:noWrap/>
            <w:vAlign w:val="bottom"/>
            <w:hideMark/>
          </w:tcPr>
          <w:p w14:paraId="2AC56BD9" w14:textId="127F0139" w:rsidR="00C45D5B" w:rsidRPr="00025E50" w:rsidRDefault="00C45D5B" w:rsidP="00CF774B">
            <w:pPr>
              <w:rPr>
                <w:rFonts w:eastAsiaTheme="minorHAnsi"/>
                <w:b/>
                <w:color w:val="2C9ADC"/>
                <w:sz w:val="18"/>
                <w:szCs w:val="18"/>
                <w:lang w:eastAsia="en-US"/>
              </w:rPr>
            </w:pPr>
            <w:bookmarkStart w:id="247" w:name="_Toc480905417"/>
            <w:bookmarkStart w:id="248" w:name="_Toc6314224"/>
            <w:bookmarkStart w:id="249" w:name="_Toc71622464"/>
            <w:bookmarkStart w:id="250" w:name="_Toc101880705"/>
            <w:r w:rsidRPr="00025E50">
              <w:rPr>
                <w:rFonts w:eastAsiaTheme="minorHAnsi"/>
                <w:b/>
                <w:color w:val="2C9ADC"/>
                <w:sz w:val="20"/>
                <w:szCs w:val="18"/>
                <w:lang w:eastAsia="en-US"/>
              </w:rPr>
              <w:t xml:space="preserve">TABUĽKA </w:t>
            </w:r>
            <w:r w:rsidRPr="00025E50">
              <w:rPr>
                <w:rFonts w:eastAsiaTheme="minorHAnsi"/>
                <w:b/>
                <w:color w:val="2C9ADC"/>
                <w:sz w:val="20"/>
                <w:szCs w:val="18"/>
                <w:lang w:eastAsia="en-US"/>
              </w:rPr>
              <w:fldChar w:fldCharType="begin"/>
            </w:r>
            <w:r w:rsidRPr="00025E50">
              <w:rPr>
                <w:rFonts w:eastAsiaTheme="minorHAnsi"/>
                <w:b/>
                <w:color w:val="2C9ADC"/>
                <w:sz w:val="20"/>
                <w:szCs w:val="18"/>
                <w:lang w:eastAsia="en-US"/>
              </w:rPr>
              <w:instrText xml:space="preserve"> SEQ TABUĽKA \* ARABIC </w:instrText>
            </w:r>
            <w:r w:rsidRPr="00025E50">
              <w:rPr>
                <w:rFonts w:eastAsiaTheme="minorHAnsi"/>
                <w:b/>
                <w:color w:val="2C9ADC"/>
                <w:sz w:val="20"/>
                <w:szCs w:val="18"/>
                <w:lang w:eastAsia="en-US"/>
              </w:rPr>
              <w:fldChar w:fldCharType="separate"/>
            </w:r>
            <w:r w:rsidR="005D3280">
              <w:rPr>
                <w:rFonts w:eastAsiaTheme="minorHAnsi"/>
                <w:b/>
                <w:noProof/>
                <w:color w:val="2C9ADC"/>
                <w:sz w:val="20"/>
                <w:szCs w:val="18"/>
                <w:lang w:eastAsia="en-US"/>
              </w:rPr>
              <w:t>26</w:t>
            </w:r>
            <w:r w:rsidRPr="00025E50">
              <w:rPr>
                <w:rFonts w:eastAsiaTheme="minorHAnsi"/>
                <w:b/>
                <w:color w:val="2C9ADC"/>
                <w:sz w:val="20"/>
                <w:szCs w:val="18"/>
                <w:lang w:eastAsia="en-US"/>
              </w:rPr>
              <w:fldChar w:fldCharType="end"/>
            </w:r>
            <w:r w:rsidRPr="00025E50">
              <w:rPr>
                <w:rFonts w:eastAsiaTheme="minorHAnsi"/>
                <w:b/>
                <w:color w:val="2C9ADC"/>
                <w:sz w:val="20"/>
                <w:szCs w:val="18"/>
                <w:lang w:eastAsia="en-US"/>
              </w:rPr>
              <w:t xml:space="preserve"> (Tabuľka 3) – Výdavky verejnej správy (% HDP)</w:t>
            </w:r>
            <w:bookmarkEnd w:id="247"/>
            <w:bookmarkEnd w:id="248"/>
            <w:bookmarkEnd w:id="249"/>
            <w:bookmarkEnd w:id="250"/>
          </w:p>
        </w:tc>
      </w:tr>
      <w:tr w:rsidR="00C45D5B" w:rsidRPr="00025E50" w14:paraId="55D6250C" w14:textId="77777777" w:rsidTr="00CF774B">
        <w:trPr>
          <w:trHeight w:val="283"/>
        </w:trPr>
        <w:tc>
          <w:tcPr>
            <w:tcW w:w="3772" w:type="dxa"/>
            <w:tcBorders>
              <w:top w:val="single" w:sz="8" w:space="0" w:color="auto"/>
              <w:left w:val="nil"/>
              <w:bottom w:val="single" w:sz="6" w:space="0" w:color="auto"/>
              <w:right w:val="nil"/>
            </w:tcBorders>
            <w:shd w:val="clear" w:color="000000" w:fill="FFFFFF"/>
            <w:vAlign w:val="center"/>
          </w:tcPr>
          <w:p w14:paraId="5C8AEFB6" w14:textId="77777777" w:rsidR="00C45D5B" w:rsidRPr="00025E50" w:rsidRDefault="00C45D5B" w:rsidP="00CF774B">
            <w:pPr>
              <w:rPr>
                <w:rFonts w:cs="Times New Roman"/>
                <w:sz w:val="18"/>
                <w:szCs w:val="18"/>
              </w:rPr>
            </w:pPr>
          </w:p>
        </w:tc>
        <w:tc>
          <w:tcPr>
            <w:tcW w:w="1291" w:type="dxa"/>
            <w:tcBorders>
              <w:top w:val="single" w:sz="8" w:space="0" w:color="auto"/>
              <w:left w:val="nil"/>
              <w:bottom w:val="single" w:sz="6" w:space="0" w:color="auto"/>
              <w:right w:val="nil"/>
            </w:tcBorders>
            <w:shd w:val="clear" w:color="000000" w:fill="FFFFFF"/>
            <w:vAlign w:val="center"/>
          </w:tcPr>
          <w:p w14:paraId="591B0C6E" w14:textId="77777777" w:rsidR="00C45D5B" w:rsidRPr="00025E50" w:rsidRDefault="00C45D5B" w:rsidP="00CF774B">
            <w:pPr>
              <w:tabs>
                <w:tab w:val="left" w:pos="510"/>
                <w:tab w:val="center" w:pos="570"/>
              </w:tabs>
              <w:jc w:val="center"/>
              <w:rPr>
                <w:rFonts w:cs="Times New Roman"/>
                <w:sz w:val="18"/>
                <w:szCs w:val="18"/>
              </w:rPr>
            </w:pPr>
            <w:r w:rsidRPr="00025E50">
              <w:rPr>
                <w:rFonts w:cs="Times New Roman"/>
                <w:b/>
                <w:bCs/>
                <w:sz w:val="18"/>
                <w:szCs w:val="18"/>
              </w:rPr>
              <w:t>COFOG kód</w:t>
            </w:r>
          </w:p>
        </w:tc>
        <w:tc>
          <w:tcPr>
            <w:tcW w:w="1493" w:type="dxa"/>
            <w:tcBorders>
              <w:top w:val="nil"/>
              <w:left w:val="nil"/>
              <w:bottom w:val="single" w:sz="4" w:space="0" w:color="auto"/>
              <w:right w:val="nil"/>
            </w:tcBorders>
            <w:shd w:val="clear" w:color="auto" w:fill="auto"/>
            <w:vAlign w:val="center"/>
          </w:tcPr>
          <w:p w14:paraId="7DB8C6B4" w14:textId="77777777" w:rsidR="00C45D5B" w:rsidRPr="00025E50" w:rsidRDefault="00C45D5B" w:rsidP="00CF774B">
            <w:pPr>
              <w:jc w:val="center"/>
              <w:rPr>
                <w:rFonts w:cs="Times New Roman"/>
                <w:b/>
                <w:sz w:val="18"/>
                <w:szCs w:val="18"/>
              </w:rPr>
            </w:pPr>
          </w:p>
        </w:tc>
        <w:tc>
          <w:tcPr>
            <w:tcW w:w="968" w:type="dxa"/>
            <w:tcBorders>
              <w:top w:val="nil"/>
              <w:left w:val="nil"/>
              <w:bottom w:val="single" w:sz="4" w:space="0" w:color="auto"/>
              <w:right w:val="nil"/>
            </w:tcBorders>
            <w:shd w:val="clear" w:color="auto" w:fill="auto"/>
            <w:vAlign w:val="center"/>
          </w:tcPr>
          <w:p w14:paraId="34ABD310" w14:textId="77777777" w:rsidR="00C45D5B" w:rsidRPr="00025E50" w:rsidRDefault="00C45D5B" w:rsidP="00CF774B">
            <w:pPr>
              <w:jc w:val="center"/>
              <w:rPr>
                <w:rFonts w:cs="Times New Roman"/>
                <w:b/>
                <w:sz w:val="18"/>
                <w:szCs w:val="18"/>
                <w:highlight w:val="red"/>
              </w:rPr>
            </w:pPr>
            <w:r w:rsidRPr="001624F6">
              <w:rPr>
                <w:rFonts w:cs="Times New Roman"/>
                <w:b/>
                <w:sz w:val="18"/>
                <w:szCs w:val="18"/>
              </w:rPr>
              <w:t>2020</w:t>
            </w:r>
          </w:p>
        </w:tc>
        <w:tc>
          <w:tcPr>
            <w:tcW w:w="1614" w:type="dxa"/>
            <w:tcBorders>
              <w:top w:val="nil"/>
              <w:left w:val="nil"/>
              <w:bottom w:val="single" w:sz="4" w:space="0" w:color="auto"/>
              <w:right w:val="nil"/>
            </w:tcBorders>
            <w:shd w:val="clear" w:color="auto" w:fill="auto"/>
            <w:vAlign w:val="center"/>
          </w:tcPr>
          <w:p w14:paraId="3ECCE767" w14:textId="77777777" w:rsidR="00C45D5B" w:rsidRPr="00025E50" w:rsidRDefault="00C45D5B" w:rsidP="00CF774B">
            <w:pPr>
              <w:jc w:val="center"/>
              <w:rPr>
                <w:rFonts w:cs="Times New Roman"/>
                <w:b/>
                <w:sz w:val="18"/>
                <w:szCs w:val="18"/>
              </w:rPr>
            </w:pPr>
            <w:r w:rsidRPr="00025E50">
              <w:rPr>
                <w:b/>
                <w:sz w:val="18"/>
                <w:szCs w:val="18"/>
              </w:rPr>
              <w:t>2025</w:t>
            </w:r>
          </w:p>
        </w:tc>
      </w:tr>
      <w:tr w:rsidR="00C45D5B" w:rsidRPr="00025E50" w14:paraId="3D096369" w14:textId="77777777" w:rsidTr="00CF774B">
        <w:trPr>
          <w:trHeight w:val="283"/>
        </w:trPr>
        <w:tc>
          <w:tcPr>
            <w:tcW w:w="3772" w:type="dxa"/>
            <w:tcBorders>
              <w:top w:val="single" w:sz="6" w:space="0" w:color="auto"/>
              <w:left w:val="nil"/>
              <w:bottom w:val="nil"/>
              <w:right w:val="nil"/>
            </w:tcBorders>
            <w:shd w:val="clear" w:color="000000" w:fill="FFFFFF"/>
            <w:vAlign w:val="center"/>
            <w:hideMark/>
          </w:tcPr>
          <w:p w14:paraId="135813E8" w14:textId="77777777" w:rsidR="00C45D5B" w:rsidRPr="00025E50" w:rsidRDefault="00C45D5B" w:rsidP="00CF774B">
            <w:pPr>
              <w:rPr>
                <w:rFonts w:cs="Times New Roman"/>
                <w:sz w:val="18"/>
                <w:szCs w:val="18"/>
              </w:rPr>
            </w:pPr>
            <w:r w:rsidRPr="00025E50">
              <w:rPr>
                <w:rFonts w:cs="Times New Roman"/>
                <w:sz w:val="18"/>
                <w:szCs w:val="18"/>
              </w:rPr>
              <w:t>1. Všeobecné verejné služby</w:t>
            </w:r>
          </w:p>
        </w:tc>
        <w:tc>
          <w:tcPr>
            <w:tcW w:w="1291" w:type="dxa"/>
            <w:tcBorders>
              <w:top w:val="single" w:sz="6" w:space="0" w:color="auto"/>
              <w:left w:val="nil"/>
              <w:bottom w:val="nil"/>
              <w:right w:val="nil"/>
            </w:tcBorders>
            <w:shd w:val="clear" w:color="000000" w:fill="FFFFFF"/>
            <w:vAlign w:val="center"/>
            <w:hideMark/>
          </w:tcPr>
          <w:p w14:paraId="350056E4" w14:textId="77777777" w:rsidR="00C45D5B" w:rsidRPr="00025E50" w:rsidRDefault="00C45D5B" w:rsidP="00CF774B">
            <w:pPr>
              <w:tabs>
                <w:tab w:val="left" w:pos="510"/>
                <w:tab w:val="center" w:pos="570"/>
              </w:tabs>
              <w:jc w:val="center"/>
              <w:rPr>
                <w:rFonts w:cs="Times New Roman"/>
                <w:sz w:val="18"/>
                <w:szCs w:val="18"/>
              </w:rPr>
            </w:pPr>
            <w:r w:rsidRPr="00025E50">
              <w:rPr>
                <w:rFonts w:cs="Times New Roman"/>
                <w:sz w:val="18"/>
                <w:szCs w:val="18"/>
              </w:rPr>
              <w:t>1</w:t>
            </w:r>
          </w:p>
        </w:tc>
        <w:tc>
          <w:tcPr>
            <w:tcW w:w="1493" w:type="dxa"/>
            <w:tcBorders>
              <w:top w:val="nil"/>
              <w:left w:val="nil"/>
              <w:bottom w:val="nil"/>
              <w:right w:val="nil"/>
            </w:tcBorders>
            <w:shd w:val="clear" w:color="auto" w:fill="auto"/>
            <w:vAlign w:val="center"/>
          </w:tcPr>
          <w:p w14:paraId="691237BA"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7AF0BEAC" w14:textId="77777777" w:rsidR="00C45D5B" w:rsidRPr="00025E50" w:rsidRDefault="00C45D5B" w:rsidP="00CF774B">
            <w:pPr>
              <w:jc w:val="center"/>
              <w:rPr>
                <w:rFonts w:cs="Times New Roman"/>
                <w:sz w:val="18"/>
                <w:szCs w:val="18"/>
                <w:highlight w:val="red"/>
              </w:rPr>
            </w:pPr>
            <w:r>
              <w:rPr>
                <w:sz w:val="18"/>
                <w:szCs w:val="18"/>
              </w:rPr>
              <w:t>6,2</w:t>
            </w:r>
          </w:p>
        </w:tc>
        <w:tc>
          <w:tcPr>
            <w:tcW w:w="1614" w:type="dxa"/>
            <w:tcBorders>
              <w:top w:val="nil"/>
              <w:left w:val="nil"/>
              <w:bottom w:val="nil"/>
              <w:right w:val="nil"/>
            </w:tcBorders>
            <w:shd w:val="clear" w:color="auto" w:fill="auto"/>
            <w:vAlign w:val="center"/>
            <w:hideMark/>
          </w:tcPr>
          <w:p w14:paraId="00CFC01A" w14:textId="77777777" w:rsidR="00C45D5B" w:rsidRPr="00025E50" w:rsidRDefault="00C45D5B" w:rsidP="00CF774B">
            <w:pPr>
              <w:jc w:val="center"/>
              <w:rPr>
                <w:rFonts w:cs="Times New Roman"/>
                <w:sz w:val="18"/>
                <w:szCs w:val="18"/>
              </w:rPr>
            </w:pPr>
            <w:r w:rsidRPr="00025E50">
              <w:rPr>
                <w:sz w:val="18"/>
                <w:szCs w:val="18"/>
              </w:rPr>
              <w:t>7,0</w:t>
            </w:r>
          </w:p>
        </w:tc>
      </w:tr>
      <w:tr w:rsidR="00C45D5B" w:rsidRPr="00025E50" w14:paraId="305B8E36" w14:textId="77777777" w:rsidTr="00CF774B">
        <w:trPr>
          <w:trHeight w:val="283"/>
        </w:trPr>
        <w:tc>
          <w:tcPr>
            <w:tcW w:w="3772" w:type="dxa"/>
            <w:tcBorders>
              <w:top w:val="nil"/>
              <w:left w:val="nil"/>
              <w:bottom w:val="nil"/>
              <w:right w:val="nil"/>
            </w:tcBorders>
            <w:shd w:val="clear" w:color="000000" w:fill="FFFFFF"/>
            <w:vAlign w:val="center"/>
            <w:hideMark/>
          </w:tcPr>
          <w:p w14:paraId="2C37954E" w14:textId="77777777" w:rsidR="00C45D5B" w:rsidRPr="00025E50" w:rsidRDefault="00C45D5B" w:rsidP="00CF774B">
            <w:pPr>
              <w:rPr>
                <w:rFonts w:cs="Times New Roman"/>
                <w:sz w:val="18"/>
                <w:szCs w:val="18"/>
              </w:rPr>
            </w:pPr>
            <w:r w:rsidRPr="00025E50">
              <w:rPr>
                <w:rFonts w:cs="Times New Roman"/>
                <w:sz w:val="18"/>
                <w:szCs w:val="18"/>
              </w:rPr>
              <w:t>2. Obrana</w:t>
            </w:r>
          </w:p>
        </w:tc>
        <w:tc>
          <w:tcPr>
            <w:tcW w:w="1291" w:type="dxa"/>
            <w:tcBorders>
              <w:top w:val="nil"/>
              <w:left w:val="nil"/>
              <w:bottom w:val="nil"/>
              <w:right w:val="nil"/>
            </w:tcBorders>
            <w:shd w:val="clear" w:color="000000" w:fill="FFFFFF"/>
            <w:vAlign w:val="center"/>
            <w:hideMark/>
          </w:tcPr>
          <w:p w14:paraId="6B678E53" w14:textId="77777777" w:rsidR="00C45D5B" w:rsidRPr="00025E50" w:rsidRDefault="00C45D5B" w:rsidP="00CF774B">
            <w:pPr>
              <w:jc w:val="center"/>
              <w:rPr>
                <w:rFonts w:cs="Times New Roman"/>
                <w:sz w:val="18"/>
                <w:szCs w:val="18"/>
              </w:rPr>
            </w:pPr>
            <w:r w:rsidRPr="00025E50">
              <w:rPr>
                <w:rFonts w:cs="Times New Roman"/>
                <w:sz w:val="18"/>
                <w:szCs w:val="18"/>
              </w:rPr>
              <w:t>2</w:t>
            </w:r>
          </w:p>
        </w:tc>
        <w:tc>
          <w:tcPr>
            <w:tcW w:w="1493" w:type="dxa"/>
            <w:tcBorders>
              <w:top w:val="nil"/>
              <w:left w:val="nil"/>
              <w:bottom w:val="nil"/>
              <w:right w:val="nil"/>
            </w:tcBorders>
            <w:shd w:val="clear" w:color="auto" w:fill="auto"/>
            <w:vAlign w:val="center"/>
          </w:tcPr>
          <w:p w14:paraId="7ECC00CE"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7347EC5F" w14:textId="77777777" w:rsidR="00C45D5B" w:rsidRPr="00025E50" w:rsidRDefault="00C45D5B" w:rsidP="00CF774B">
            <w:pPr>
              <w:jc w:val="center"/>
              <w:rPr>
                <w:rFonts w:cs="Times New Roman"/>
                <w:sz w:val="18"/>
                <w:szCs w:val="18"/>
                <w:highlight w:val="red"/>
              </w:rPr>
            </w:pPr>
            <w:r>
              <w:rPr>
                <w:sz w:val="18"/>
                <w:szCs w:val="18"/>
              </w:rPr>
              <w:t>1,4</w:t>
            </w:r>
          </w:p>
        </w:tc>
        <w:tc>
          <w:tcPr>
            <w:tcW w:w="1614" w:type="dxa"/>
            <w:tcBorders>
              <w:top w:val="nil"/>
              <w:left w:val="nil"/>
              <w:bottom w:val="nil"/>
              <w:right w:val="nil"/>
            </w:tcBorders>
            <w:shd w:val="clear" w:color="auto" w:fill="auto"/>
            <w:vAlign w:val="center"/>
            <w:hideMark/>
          </w:tcPr>
          <w:p w14:paraId="2943FD5C" w14:textId="77777777" w:rsidR="00C45D5B" w:rsidRPr="00025E50" w:rsidRDefault="00C45D5B" w:rsidP="00CF774B">
            <w:pPr>
              <w:jc w:val="center"/>
              <w:rPr>
                <w:rFonts w:cs="Times New Roman"/>
                <w:sz w:val="18"/>
                <w:szCs w:val="18"/>
              </w:rPr>
            </w:pPr>
            <w:r w:rsidRPr="00025E50">
              <w:rPr>
                <w:sz w:val="18"/>
                <w:szCs w:val="18"/>
              </w:rPr>
              <w:t>2,3</w:t>
            </w:r>
          </w:p>
        </w:tc>
      </w:tr>
      <w:tr w:rsidR="00C45D5B" w:rsidRPr="00025E50" w14:paraId="09A4AECF" w14:textId="77777777" w:rsidTr="00CF774B">
        <w:trPr>
          <w:trHeight w:val="283"/>
        </w:trPr>
        <w:tc>
          <w:tcPr>
            <w:tcW w:w="3772" w:type="dxa"/>
            <w:tcBorders>
              <w:top w:val="nil"/>
              <w:left w:val="nil"/>
              <w:bottom w:val="nil"/>
              <w:right w:val="nil"/>
            </w:tcBorders>
            <w:shd w:val="clear" w:color="000000" w:fill="FFFFFF"/>
            <w:vAlign w:val="center"/>
            <w:hideMark/>
          </w:tcPr>
          <w:p w14:paraId="436B74A6" w14:textId="77777777" w:rsidR="00C45D5B" w:rsidRPr="00025E50" w:rsidRDefault="00C45D5B" w:rsidP="00CF774B">
            <w:pPr>
              <w:rPr>
                <w:rFonts w:cs="Times New Roman"/>
                <w:sz w:val="18"/>
                <w:szCs w:val="18"/>
              </w:rPr>
            </w:pPr>
            <w:r w:rsidRPr="00025E50">
              <w:rPr>
                <w:rFonts w:cs="Times New Roman"/>
                <w:sz w:val="18"/>
                <w:szCs w:val="18"/>
              </w:rPr>
              <w:t>3. Verejný poriadok a bezpečnosť</w:t>
            </w:r>
          </w:p>
        </w:tc>
        <w:tc>
          <w:tcPr>
            <w:tcW w:w="1291" w:type="dxa"/>
            <w:tcBorders>
              <w:top w:val="nil"/>
              <w:left w:val="nil"/>
              <w:bottom w:val="nil"/>
              <w:right w:val="nil"/>
            </w:tcBorders>
            <w:shd w:val="clear" w:color="000000" w:fill="FFFFFF"/>
            <w:vAlign w:val="center"/>
            <w:hideMark/>
          </w:tcPr>
          <w:p w14:paraId="0C66E5A4" w14:textId="77777777" w:rsidR="00C45D5B" w:rsidRPr="00025E50" w:rsidRDefault="00C45D5B" w:rsidP="00CF774B">
            <w:pPr>
              <w:jc w:val="center"/>
              <w:rPr>
                <w:rFonts w:cs="Times New Roman"/>
                <w:sz w:val="18"/>
                <w:szCs w:val="18"/>
              </w:rPr>
            </w:pPr>
            <w:r w:rsidRPr="00025E50">
              <w:rPr>
                <w:rFonts w:cs="Times New Roman"/>
                <w:sz w:val="18"/>
                <w:szCs w:val="18"/>
              </w:rPr>
              <w:t>3</w:t>
            </w:r>
          </w:p>
        </w:tc>
        <w:tc>
          <w:tcPr>
            <w:tcW w:w="1493" w:type="dxa"/>
            <w:tcBorders>
              <w:top w:val="nil"/>
              <w:left w:val="nil"/>
              <w:bottom w:val="nil"/>
              <w:right w:val="nil"/>
            </w:tcBorders>
            <w:shd w:val="clear" w:color="auto" w:fill="auto"/>
            <w:vAlign w:val="center"/>
          </w:tcPr>
          <w:p w14:paraId="6284762E"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0EB6A5FF" w14:textId="77777777" w:rsidR="00C45D5B" w:rsidRPr="00025E50" w:rsidRDefault="00C45D5B" w:rsidP="00CF774B">
            <w:pPr>
              <w:jc w:val="center"/>
              <w:rPr>
                <w:rFonts w:cs="Times New Roman"/>
                <w:sz w:val="18"/>
                <w:szCs w:val="18"/>
                <w:highlight w:val="red"/>
              </w:rPr>
            </w:pPr>
            <w:r>
              <w:rPr>
                <w:sz w:val="18"/>
                <w:szCs w:val="18"/>
              </w:rPr>
              <w:t>2,5</w:t>
            </w:r>
          </w:p>
        </w:tc>
        <w:tc>
          <w:tcPr>
            <w:tcW w:w="1614" w:type="dxa"/>
            <w:tcBorders>
              <w:top w:val="nil"/>
              <w:left w:val="nil"/>
              <w:bottom w:val="nil"/>
              <w:right w:val="nil"/>
            </w:tcBorders>
            <w:shd w:val="clear" w:color="auto" w:fill="auto"/>
            <w:vAlign w:val="center"/>
            <w:hideMark/>
          </w:tcPr>
          <w:p w14:paraId="100ACE9A" w14:textId="77777777" w:rsidR="00C45D5B" w:rsidRPr="00025E50" w:rsidRDefault="00C45D5B" w:rsidP="00CF774B">
            <w:pPr>
              <w:jc w:val="center"/>
              <w:rPr>
                <w:rFonts w:cs="Times New Roman"/>
                <w:sz w:val="18"/>
                <w:szCs w:val="18"/>
              </w:rPr>
            </w:pPr>
            <w:r w:rsidRPr="00025E50">
              <w:rPr>
                <w:sz w:val="18"/>
                <w:szCs w:val="18"/>
              </w:rPr>
              <w:t>1,9</w:t>
            </w:r>
          </w:p>
        </w:tc>
      </w:tr>
      <w:tr w:rsidR="00C45D5B" w:rsidRPr="00025E50" w14:paraId="40BB2B7F" w14:textId="77777777" w:rsidTr="00CF774B">
        <w:trPr>
          <w:trHeight w:val="283"/>
        </w:trPr>
        <w:tc>
          <w:tcPr>
            <w:tcW w:w="3772" w:type="dxa"/>
            <w:tcBorders>
              <w:top w:val="nil"/>
              <w:left w:val="nil"/>
              <w:bottom w:val="nil"/>
              <w:right w:val="nil"/>
            </w:tcBorders>
            <w:shd w:val="clear" w:color="000000" w:fill="FFFFFF"/>
            <w:vAlign w:val="center"/>
            <w:hideMark/>
          </w:tcPr>
          <w:p w14:paraId="0DD2EBE8" w14:textId="77777777" w:rsidR="00C45D5B" w:rsidRPr="00025E50" w:rsidRDefault="00C45D5B" w:rsidP="00CF774B">
            <w:pPr>
              <w:rPr>
                <w:rFonts w:cs="Times New Roman"/>
                <w:sz w:val="18"/>
                <w:szCs w:val="18"/>
              </w:rPr>
            </w:pPr>
            <w:r w:rsidRPr="00025E50">
              <w:rPr>
                <w:rFonts w:cs="Times New Roman"/>
                <w:sz w:val="18"/>
                <w:szCs w:val="18"/>
              </w:rPr>
              <w:t>4. Ekonomická oblasť</w:t>
            </w:r>
          </w:p>
        </w:tc>
        <w:tc>
          <w:tcPr>
            <w:tcW w:w="1291" w:type="dxa"/>
            <w:tcBorders>
              <w:top w:val="nil"/>
              <w:left w:val="nil"/>
              <w:bottom w:val="nil"/>
              <w:right w:val="nil"/>
            </w:tcBorders>
            <w:shd w:val="clear" w:color="000000" w:fill="FFFFFF"/>
            <w:vAlign w:val="center"/>
            <w:hideMark/>
          </w:tcPr>
          <w:p w14:paraId="6FB0D94D" w14:textId="77777777" w:rsidR="00C45D5B" w:rsidRPr="00025E50" w:rsidRDefault="00C45D5B" w:rsidP="00CF774B">
            <w:pPr>
              <w:jc w:val="center"/>
              <w:rPr>
                <w:rFonts w:cs="Times New Roman"/>
                <w:sz w:val="18"/>
                <w:szCs w:val="18"/>
              </w:rPr>
            </w:pPr>
            <w:r w:rsidRPr="00025E50">
              <w:rPr>
                <w:rFonts w:cs="Times New Roman"/>
                <w:sz w:val="18"/>
                <w:szCs w:val="18"/>
              </w:rPr>
              <w:t>4</w:t>
            </w:r>
          </w:p>
        </w:tc>
        <w:tc>
          <w:tcPr>
            <w:tcW w:w="1493" w:type="dxa"/>
            <w:tcBorders>
              <w:top w:val="nil"/>
              <w:left w:val="nil"/>
              <w:bottom w:val="nil"/>
              <w:right w:val="nil"/>
            </w:tcBorders>
            <w:shd w:val="clear" w:color="auto" w:fill="auto"/>
            <w:vAlign w:val="center"/>
          </w:tcPr>
          <w:p w14:paraId="6E8D5DC0"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4052757A" w14:textId="77777777" w:rsidR="00C45D5B" w:rsidRPr="00025E50" w:rsidRDefault="00C45D5B" w:rsidP="00CF774B">
            <w:pPr>
              <w:jc w:val="center"/>
              <w:rPr>
                <w:rFonts w:cs="Times New Roman"/>
                <w:sz w:val="18"/>
                <w:szCs w:val="18"/>
                <w:highlight w:val="red"/>
              </w:rPr>
            </w:pPr>
            <w:r>
              <w:rPr>
                <w:sz w:val="18"/>
                <w:szCs w:val="18"/>
              </w:rPr>
              <w:t>5,8</w:t>
            </w:r>
          </w:p>
        </w:tc>
        <w:tc>
          <w:tcPr>
            <w:tcW w:w="1614" w:type="dxa"/>
            <w:tcBorders>
              <w:top w:val="nil"/>
              <w:left w:val="nil"/>
              <w:bottom w:val="nil"/>
              <w:right w:val="nil"/>
            </w:tcBorders>
            <w:shd w:val="clear" w:color="auto" w:fill="auto"/>
            <w:vAlign w:val="center"/>
            <w:hideMark/>
          </w:tcPr>
          <w:p w14:paraId="3671A45C" w14:textId="77777777" w:rsidR="00C45D5B" w:rsidRPr="00025E50" w:rsidRDefault="00C45D5B" w:rsidP="00CF774B">
            <w:pPr>
              <w:jc w:val="center"/>
              <w:rPr>
                <w:rFonts w:cs="Times New Roman"/>
                <w:sz w:val="18"/>
                <w:szCs w:val="18"/>
              </w:rPr>
            </w:pPr>
            <w:r w:rsidRPr="00025E50">
              <w:rPr>
                <w:sz w:val="18"/>
                <w:szCs w:val="18"/>
              </w:rPr>
              <w:t>3,7</w:t>
            </w:r>
          </w:p>
        </w:tc>
      </w:tr>
      <w:tr w:rsidR="00C45D5B" w:rsidRPr="00025E50" w14:paraId="3917058A" w14:textId="77777777" w:rsidTr="00CF774B">
        <w:trPr>
          <w:trHeight w:val="283"/>
        </w:trPr>
        <w:tc>
          <w:tcPr>
            <w:tcW w:w="3772" w:type="dxa"/>
            <w:tcBorders>
              <w:top w:val="nil"/>
              <w:left w:val="nil"/>
              <w:bottom w:val="nil"/>
              <w:right w:val="nil"/>
            </w:tcBorders>
            <w:shd w:val="clear" w:color="000000" w:fill="FFFFFF"/>
            <w:vAlign w:val="center"/>
            <w:hideMark/>
          </w:tcPr>
          <w:p w14:paraId="67808B50" w14:textId="77777777" w:rsidR="00C45D5B" w:rsidRPr="00025E50" w:rsidRDefault="00C45D5B" w:rsidP="00CF774B">
            <w:pPr>
              <w:rPr>
                <w:rFonts w:cs="Times New Roman"/>
                <w:sz w:val="18"/>
                <w:szCs w:val="18"/>
              </w:rPr>
            </w:pPr>
            <w:r w:rsidRPr="00025E50">
              <w:rPr>
                <w:rFonts w:cs="Times New Roman"/>
                <w:sz w:val="18"/>
                <w:szCs w:val="18"/>
              </w:rPr>
              <w:t>5. Ochrana životného prostredia</w:t>
            </w:r>
          </w:p>
        </w:tc>
        <w:tc>
          <w:tcPr>
            <w:tcW w:w="1291" w:type="dxa"/>
            <w:tcBorders>
              <w:top w:val="nil"/>
              <w:left w:val="nil"/>
              <w:bottom w:val="nil"/>
              <w:right w:val="nil"/>
            </w:tcBorders>
            <w:shd w:val="clear" w:color="000000" w:fill="FFFFFF"/>
            <w:vAlign w:val="center"/>
            <w:hideMark/>
          </w:tcPr>
          <w:p w14:paraId="496D76A5" w14:textId="77777777" w:rsidR="00C45D5B" w:rsidRPr="00025E50" w:rsidRDefault="00C45D5B" w:rsidP="00CF774B">
            <w:pPr>
              <w:jc w:val="center"/>
              <w:rPr>
                <w:rFonts w:cs="Times New Roman"/>
                <w:sz w:val="18"/>
                <w:szCs w:val="18"/>
              </w:rPr>
            </w:pPr>
            <w:r w:rsidRPr="00025E50">
              <w:rPr>
                <w:rFonts w:cs="Times New Roman"/>
                <w:sz w:val="18"/>
                <w:szCs w:val="18"/>
              </w:rPr>
              <w:t>5</w:t>
            </w:r>
          </w:p>
        </w:tc>
        <w:tc>
          <w:tcPr>
            <w:tcW w:w="1493" w:type="dxa"/>
            <w:tcBorders>
              <w:top w:val="nil"/>
              <w:left w:val="nil"/>
              <w:bottom w:val="nil"/>
              <w:right w:val="nil"/>
            </w:tcBorders>
            <w:shd w:val="clear" w:color="auto" w:fill="auto"/>
            <w:vAlign w:val="center"/>
          </w:tcPr>
          <w:p w14:paraId="076D7814"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0DA44C78" w14:textId="77777777" w:rsidR="00C45D5B" w:rsidRPr="00025E50" w:rsidRDefault="00C45D5B" w:rsidP="00CF774B">
            <w:pPr>
              <w:jc w:val="center"/>
              <w:rPr>
                <w:rFonts w:cs="Times New Roman"/>
                <w:sz w:val="18"/>
                <w:szCs w:val="18"/>
                <w:highlight w:val="red"/>
              </w:rPr>
            </w:pPr>
            <w:r>
              <w:rPr>
                <w:sz w:val="18"/>
                <w:szCs w:val="18"/>
              </w:rPr>
              <w:t>0,9</w:t>
            </w:r>
          </w:p>
        </w:tc>
        <w:tc>
          <w:tcPr>
            <w:tcW w:w="1614" w:type="dxa"/>
            <w:tcBorders>
              <w:top w:val="nil"/>
              <w:left w:val="nil"/>
              <w:bottom w:val="nil"/>
              <w:right w:val="nil"/>
            </w:tcBorders>
            <w:shd w:val="clear" w:color="auto" w:fill="auto"/>
            <w:vAlign w:val="center"/>
            <w:hideMark/>
          </w:tcPr>
          <w:p w14:paraId="731649B8" w14:textId="77777777" w:rsidR="00C45D5B" w:rsidRPr="00025E50" w:rsidRDefault="00C45D5B" w:rsidP="00CF774B">
            <w:pPr>
              <w:jc w:val="center"/>
              <w:rPr>
                <w:rFonts w:cs="Times New Roman"/>
                <w:sz w:val="18"/>
                <w:szCs w:val="18"/>
              </w:rPr>
            </w:pPr>
            <w:r w:rsidRPr="00025E50">
              <w:rPr>
                <w:sz w:val="18"/>
                <w:szCs w:val="18"/>
              </w:rPr>
              <w:t>0,7</w:t>
            </w:r>
          </w:p>
        </w:tc>
      </w:tr>
      <w:tr w:rsidR="00C45D5B" w:rsidRPr="00025E50" w14:paraId="3E1B2528" w14:textId="77777777" w:rsidTr="00CF774B">
        <w:trPr>
          <w:trHeight w:val="283"/>
        </w:trPr>
        <w:tc>
          <w:tcPr>
            <w:tcW w:w="3772" w:type="dxa"/>
            <w:tcBorders>
              <w:top w:val="nil"/>
              <w:left w:val="nil"/>
              <w:bottom w:val="nil"/>
              <w:right w:val="nil"/>
            </w:tcBorders>
            <w:shd w:val="clear" w:color="000000" w:fill="FFFFFF"/>
            <w:vAlign w:val="center"/>
            <w:hideMark/>
          </w:tcPr>
          <w:p w14:paraId="433C55FA" w14:textId="77777777" w:rsidR="00C45D5B" w:rsidRPr="00025E50" w:rsidRDefault="00C45D5B" w:rsidP="00CF774B">
            <w:pPr>
              <w:rPr>
                <w:rFonts w:cs="Times New Roman"/>
                <w:sz w:val="18"/>
                <w:szCs w:val="18"/>
              </w:rPr>
            </w:pPr>
            <w:r w:rsidRPr="00025E50">
              <w:rPr>
                <w:rFonts w:cs="Times New Roman"/>
                <w:sz w:val="18"/>
                <w:szCs w:val="18"/>
              </w:rPr>
              <w:t>6. Bývanie a občianska vybavenosť</w:t>
            </w:r>
          </w:p>
        </w:tc>
        <w:tc>
          <w:tcPr>
            <w:tcW w:w="1291" w:type="dxa"/>
            <w:tcBorders>
              <w:top w:val="nil"/>
              <w:left w:val="nil"/>
              <w:bottom w:val="nil"/>
              <w:right w:val="nil"/>
            </w:tcBorders>
            <w:shd w:val="clear" w:color="000000" w:fill="FFFFFF"/>
            <w:vAlign w:val="center"/>
            <w:hideMark/>
          </w:tcPr>
          <w:p w14:paraId="7CBB1F4C" w14:textId="77777777" w:rsidR="00C45D5B" w:rsidRPr="00025E50" w:rsidRDefault="00C45D5B" w:rsidP="00CF774B">
            <w:pPr>
              <w:jc w:val="center"/>
              <w:rPr>
                <w:rFonts w:cs="Times New Roman"/>
                <w:sz w:val="18"/>
                <w:szCs w:val="18"/>
              </w:rPr>
            </w:pPr>
            <w:r w:rsidRPr="00025E50">
              <w:rPr>
                <w:rFonts w:cs="Times New Roman"/>
                <w:sz w:val="18"/>
                <w:szCs w:val="18"/>
              </w:rPr>
              <w:t>6</w:t>
            </w:r>
          </w:p>
        </w:tc>
        <w:tc>
          <w:tcPr>
            <w:tcW w:w="1493" w:type="dxa"/>
            <w:tcBorders>
              <w:top w:val="nil"/>
              <w:left w:val="nil"/>
              <w:bottom w:val="nil"/>
              <w:right w:val="nil"/>
            </w:tcBorders>
            <w:shd w:val="clear" w:color="auto" w:fill="auto"/>
            <w:vAlign w:val="center"/>
          </w:tcPr>
          <w:p w14:paraId="31ACB1C1"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492BF86D" w14:textId="77777777" w:rsidR="00C45D5B" w:rsidRPr="00025E50" w:rsidRDefault="00C45D5B" w:rsidP="00CF774B">
            <w:pPr>
              <w:jc w:val="center"/>
              <w:rPr>
                <w:rFonts w:cs="Times New Roman"/>
                <w:sz w:val="18"/>
                <w:szCs w:val="18"/>
                <w:highlight w:val="red"/>
              </w:rPr>
            </w:pPr>
            <w:r>
              <w:rPr>
                <w:sz w:val="18"/>
                <w:szCs w:val="18"/>
              </w:rPr>
              <w:t>0,5</w:t>
            </w:r>
          </w:p>
        </w:tc>
        <w:tc>
          <w:tcPr>
            <w:tcW w:w="1614" w:type="dxa"/>
            <w:tcBorders>
              <w:top w:val="nil"/>
              <w:left w:val="nil"/>
              <w:bottom w:val="nil"/>
              <w:right w:val="nil"/>
            </w:tcBorders>
            <w:shd w:val="clear" w:color="auto" w:fill="auto"/>
            <w:vAlign w:val="center"/>
            <w:hideMark/>
          </w:tcPr>
          <w:p w14:paraId="36E65A18" w14:textId="77777777" w:rsidR="00C45D5B" w:rsidRPr="00025E50" w:rsidRDefault="00C45D5B" w:rsidP="00CF774B">
            <w:pPr>
              <w:jc w:val="center"/>
              <w:rPr>
                <w:rFonts w:cs="Times New Roman"/>
                <w:sz w:val="18"/>
                <w:szCs w:val="18"/>
              </w:rPr>
            </w:pPr>
            <w:r w:rsidRPr="00025E50">
              <w:rPr>
                <w:sz w:val="18"/>
                <w:szCs w:val="18"/>
              </w:rPr>
              <w:t>0,5</w:t>
            </w:r>
          </w:p>
        </w:tc>
      </w:tr>
      <w:tr w:rsidR="00C45D5B" w:rsidRPr="00025E50" w14:paraId="151ECB73" w14:textId="77777777" w:rsidTr="00CF774B">
        <w:trPr>
          <w:trHeight w:val="283"/>
        </w:trPr>
        <w:tc>
          <w:tcPr>
            <w:tcW w:w="3772" w:type="dxa"/>
            <w:tcBorders>
              <w:top w:val="nil"/>
              <w:left w:val="nil"/>
              <w:bottom w:val="nil"/>
              <w:right w:val="nil"/>
            </w:tcBorders>
            <w:shd w:val="clear" w:color="000000" w:fill="FFFFFF"/>
            <w:vAlign w:val="center"/>
            <w:hideMark/>
          </w:tcPr>
          <w:p w14:paraId="326D5296" w14:textId="77777777" w:rsidR="00C45D5B" w:rsidRPr="00025E50" w:rsidRDefault="00C45D5B" w:rsidP="00CF774B">
            <w:pPr>
              <w:rPr>
                <w:rFonts w:cs="Times New Roman"/>
                <w:sz w:val="18"/>
                <w:szCs w:val="18"/>
              </w:rPr>
            </w:pPr>
            <w:r w:rsidRPr="00025E50">
              <w:rPr>
                <w:rFonts w:cs="Times New Roman"/>
                <w:sz w:val="18"/>
                <w:szCs w:val="18"/>
              </w:rPr>
              <w:t>7. Zdravotníctvo</w:t>
            </w:r>
          </w:p>
        </w:tc>
        <w:tc>
          <w:tcPr>
            <w:tcW w:w="1291" w:type="dxa"/>
            <w:tcBorders>
              <w:top w:val="nil"/>
              <w:left w:val="nil"/>
              <w:bottom w:val="nil"/>
              <w:right w:val="nil"/>
            </w:tcBorders>
            <w:shd w:val="clear" w:color="000000" w:fill="FFFFFF"/>
            <w:vAlign w:val="center"/>
            <w:hideMark/>
          </w:tcPr>
          <w:p w14:paraId="27062347" w14:textId="77777777" w:rsidR="00C45D5B" w:rsidRPr="00025E50" w:rsidRDefault="00C45D5B" w:rsidP="00CF774B">
            <w:pPr>
              <w:jc w:val="center"/>
              <w:rPr>
                <w:rFonts w:cs="Times New Roman"/>
                <w:sz w:val="18"/>
                <w:szCs w:val="18"/>
              </w:rPr>
            </w:pPr>
            <w:r w:rsidRPr="00025E50">
              <w:rPr>
                <w:rFonts w:cs="Times New Roman"/>
                <w:sz w:val="18"/>
                <w:szCs w:val="18"/>
              </w:rPr>
              <w:t>7</w:t>
            </w:r>
          </w:p>
        </w:tc>
        <w:tc>
          <w:tcPr>
            <w:tcW w:w="1493" w:type="dxa"/>
            <w:tcBorders>
              <w:top w:val="nil"/>
              <w:left w:val="nil"/>
              <w:bottom w:val="nil"/>
              <w:right w:val="nil"/>
            </w:tcBorders>
            <w:shd w:val="clear" w:color="auto" w:fill="auto"/>
            <w:vAlign w:val="center"/>
          </w:tcPr>
          <w:p w14:paraId="31842C04"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36996B66" w14:textId="77777777" w:rsidR="00C45D5B" w:rsidRPr="00025E50" w:rsidRDefault="00C45D5B" w:rsidP="00CF774B">
            <w:pPr>
              <w:jc w:val="center"/>
              <w:rPr>
                <w:rFonts w:cs="Times New Roman"/>
                <w:sz w:val="18"/>
                <w:szCs w:val="18"/>
                <w:highlight w:val="red"/>
              </w:rPr>
            </w:pPr>
            <w:r>
              <w:rPr>
                <w:sz w:val="18"/>
                <w:szCs w:val="18"/>
              </w:rPr>
              <w:t>6,3</w:t>
            </w:r>
          </w:p>
        </w:tc>
        <w:tc>
          <w:tcPr>
            <w:tcW w:w="1614" w:type="dxa"/>
            <w:tcBorders>
              <w:top w:val="nil"/>
              <w:left w:val="nil"/>
              <w:bottom w:val="nil"/>
              <w:right w:val="nil"/>
            </w:tcBorders>
            <w:shd w:val="clear" w:color="auto" w:fill="auto"/>
            <w:vAlign w:val="center"/>
            <w:hideMark/>
          </w:tcPr>
          <w:p w14:paraId="36B9E8A5" w14:textId="77777777" w:rsidR="00C45D5B" w:rsidRPr="00025E50" w:rsidRDefault="00C45D5B" w:rsidP="00CF774B">
            <w:pPr>
              <w:jc w:val="center"/>
              <w:rPr>
                <w:rFonts w:cs="Times New Roman"/>
                <w:sz w:val="18"/>
                <w:szCs w:val="18"/>
              </w:rPr>
            </w:pPr>
            <w:r w:rsidRPr="00025E50">
              <w:rPr>
                <w:sz w:val="18"/>
                <w:szCs w:val="18"/>
              </w:rPr>
              <w:t>6,2</w:t>
            </w:r>
          </w:p>
        </w:tc>
      </w:tr>
      <w:tr w:rsidR="00C45D5B" w:rsidRPr="00025E50" w14:paraId="0DA55D1C" w14:textId="77777777" w:rsidTr="00CF774B">
        <w:trPr>
          <w:trHeight w:val="283"/>
        </w:trPr>
        <w:tc>
          <w:tcPr>
            <w:tcW w:w="3772" w:type="dxa"/>
            <w:tcBorders>
              <w:top w:val="nil"/>
              <w:left w:val="nil"/>
              <w:bottom w:val="nil"/>
              <w:right w:val="nil"/>
            </w:tcBorders>
            <w:shd w:val="clear" w:color="000000" w:fill="FFFFFF"/>
            <w:vAlign w:val="center"/>
            <w:hideMark/>
          </w:tcPr>
          <w:p w14:paraId="596FB585" w14:textId="77777777" w:rsidR="00C45D5B" w:rsidRPr="00025E50" w:rsidRDefault="00C45D5B" w:rsidP="00CF774B">
            <w:pPr>
              <w:rPr>
                <w:rFonts w:cs="Times New Roman"/>
                <w:sz w:val="18"/>
                <w:szCs w:val="18"/>
              </w:rPr>
            </w:pPr>
            <w:r w:rsidRPr="00025E50">
              <w:rPr>
                <w:rFonts w:cs="Times New Roman"/>
                <w:sz w:val="18"/>
                <w:szCs w:val="18"/>
              </w:rPr>
              <w:t>8. Rekreácia, kultúra a náboženstvo</w:t>
            </w:r>
          </w:p>
        </w:tc>
        <w:tc>
          <w:tcPr>
            <w:tcW w:w="1291" w:type="dxa"/>
            <w:tcBorders>
              <w:top w:val="nil"/>
              <w:left w:val="nil"/>
              <w:bottom w:val="nil"/>
              <w:right w:val="nil"/>
            </w:tcBorders>
            <w:shd w:val="clear" w:color="000000" w:fill="FFFFFF"/>
            <w:vAlign w:val="center"/>
            <w:hideMark/>
          </w:tcPr>
          <w:p w14:paraId="2D9398BE" w14:textId="77777777" w:rsidR="00C45D5B" w:rsidRPr="00025E50" w:rsidRDefault="00C45D5B" w:rsidP="00CF774B">
            <w:pPr>
              <w:jc w:val="center"/>
              <w:rPr>
                <w:rFonts w:cs="Times New Roman"/>
                <w:sz w:val="18"/>
                <w:szCs w:val="18"/>
              </w:rPr>
            </w:pPr>
            <w:r w:rsidRPr="00025E50">
              <w:rPr>
                <w:rFonts w:cs="Times New Roman"/>
                <w:sz w:val="18"/>
                <w:szCs w:val="18"/>
              </w:rPr>
              <w:t>8</w:t>
            </w:r>
          </w:p>
        </w:tc>
        <w:tc>
          <w:tcPr>
            <w:tcW w:w="1493" w:type="dxa"/>
            <w:tcBorders>
              <w:top w:val="nil"/>
              <w:left w:val="nil"/>
              <w:bottom w:val="nil"/>
              <w:right w:val="nil"/>
            </w:tcBorders>
            <w:shd w:val="clear" w:color="auto" w:fill="auto"/>
            <w:vAlign w:val="center"/>
          </w:tcPr>
          <w:p w14:paraId="12577A4E"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40FBCE8A" w14:textId="77777777" w:rsidR="00C45D5B" w:rsidRPr="00025E50" w:rsidRDefault="00C45D5B" w:rsidP="00CF774B">
            <w:pPr>
              <w:jc w:val="center"/>
              <w:rPr>
                <w:rFonts w:cs="Times New Roman"/>
                <w:sz w:val="18"/>
                <w:szCs w:val="18"/>
                <w:highlight w:val="red"/>
              </w:rPr>
            </w:pPr>
            <w:r>
              <w:rPr>
                <w:sz w:val="18"/>
                <w:szCs w:val="18"/>
              </w:rPr>
              <w:t>1,2</w:t>
            </w:r>
          </w:p>
        </w:tc>
        <w:tc>
          <w:tcPr>
            <w:tcW w:w="1614" w:type="dxa"/>
            <w:tcBorders>
              <w:top w:val="nil"/>
              <w:left w:val="nil"/>
              <w:bottom w:val="nil"/>
              <w:right w:val="nil"/>
            </w:tcBorders>
            <w:shd w:val="clear" w:color="auto" w:fill="auto"/>
            <w:vAlign w:val="center"/>
            <w:hideMark/>
          </w:tcPr>
          <w:p w14:paraId="172F538F" w14:textId="77777777" w:rsidR="00C45D5B" w:rsidRPr="00025E50" w:rsidRDefault="00C45D5B" w:rsidP="00CF774B">
            <w:pPr>
              <w:jc w:val="center"/>
              <w:rPr>
                <w:rFonts w:cs="Times New Roman"/>
                <w:sz w:val="18"/>
                <w:szCs w:val="18"/>
              </w:rPr>
            </w:pPr>
            <w:r w:rsidRPr="00025E50">
              <w:rPr>
                <w:sz w:val="18"/>
                <w:szCs w:val="18"/>
              </w:rPr>
              <w:t>0,9</w:t>
            </w:r>
          </w:p>
        </w:tc>
      </w:tr>
      <w:tr w:rsidR="00C45D5B" w:rsidRPr="00025E50" w14:paraId="7ACFD584" w14:textId="77777777" w:rsidTr="00CF774B">
        <w:trPr>
          <w:trHeight w:val="283"/>
        </w:trPr>
        <w:tc>
          <w:tcPr>
            <w:tcW w:w="3772" w:type="dxa"/>
            <w:tcBorders>
              <w:top w:val="nil"/>
              <w:left w:val="nil"/>
              <w:bottom w:val="nil"/>
              <w:right w:val="nil"/>
            </w:tcBorders>
            <w:shd w:val="clear" w:color="000000" w:fill="FFFFFF"/>
            <w:vAlign w:val="center"/>
            <w:hideMark/>
          </w:tcPr>
          <w:p w14:paraId="1BF1AB94" w14:textId="77777777" w:rsidR="00C45D5B" w:rsidRPr="00025E50" w:rsidRDefault="00C45D5B" w:rsidP="00CF774B">
            <w:pPr>
              <w:rPr>
                <w:rFonts w:cs="Times New Roman"/>
                <w:sz w:val="18"/>
                <w:szCs w:val="18"/>
              </w:rPr>
            </w:pPr>
            <w:r w:rsidRPr="00025E50">
              <w:rPr>
                <w:rFonts w:cs="Times New Roman"/>
                <w:sz w:val="18"/>
                <w:szCs w:val="18"/>
              </w:rPr>
              <w:t>9. Vzdelávanie</w:t>
            </w:r>
          </w:p>
        </w:tc>
        <w:tc>
          <w:tcPr>
            <w:tcW w:w="1291" w:type="dxa"/>
            <w:tcBorders>
              <w:top w:val="nil"/>
              <w:left w:val="nil"/>
              <w:bottom w:val="nil"/>
              <w:right w:val="nil"/>
            </w:tcBorders>
            <w:shd w:val="clear" w:color="000000" w:fill="FFFFFF"/>
            <w:vAlign w:val="center"/>
            <w:hideMark/>
          </w:tcPr>
          <w:p w14:paraId="21500D48" w14:textId="77777777" w:rsidR="00C45D5B" w:rsidRPr="00025E50" w:rsidRDefault="00C45D5B" w:rsidP="00CF774B">
            <w:pPr>
              <w:jc w:val="center"/>
              <w:rPr>
                <w:rFonts w:cs="Times New Roman"/>
                <w:sz w:val="18"/>
                <w:szCs w:val="18"/>
              </w:rPr>
            </w:pPr>
            <w:r w:rsidRPr="00025E50">
              <w:rPr>
                <w:rFonts w:cs="Times New Roman"/>
                <w:sz w:val="18"/>
                <w:szCs w:val="18"/>
              </w:rPr>
              <w:t>9</w:t>
            </w:r>
          </w:p>
        </w:tc>
        <w:tc>
          <w:tcPr>
            <w:tcW w:w="1493" w:type="dxa"/>
            <w:tcBorders>
              <w:top w:val="nil"/>
              <w:left w:val="nil"/>
              <w:bottom w:val="nil"/>
              <w:right w:val="nil"/>
            </w:tcBorders>
            <w:shd w:val="clear" w:color="auto" w:fill="auto"/>
            <w:vAlign w:val="center"/>
          </w:tcPr>
          <w:p w14:paraId="171A45B2"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65F07C87" w14:textId="77777777" w:rsidR="00C45D5B" w:rsidRPr="00025E50" w:rsidRDefault="00C45D5B" w:rsidP="00CF774B">
            <w:pPr>
              <w:jc w:val="center"/>
              <w:rPr>
                <w:rFonts w:cs="Times New Roman"/>
                <w:sz w:val="18"/>
                <w:szCs w:val="18"/>
                <w:highlight w:val="red"/>
              </w:rPr>
            </w:pPr>
            <w:r>
              <w:rPr>
                <w:sz w:val="18"/>
                <w:szCs w:val="18"/>
              </w:rPr>
              <w:t>4,6</w:t>
            </w:r>
          </w:p>
        </w:tc>
        <w:tc>
          <w:tcPr>
            <w:tcW w:w="1614" w:type="dxa"/>
            <w:tcBorders>
              <w:top w:val="nil"/>
              <w:left w:val="nil"/>
              <w:bottom w:val="nil"/>
              <w:right w:val="nil"/>
            </w:tcBorders>
            <w:shd w:val="clear" w:color="auto" w:fill="auto"/>
            <w:vAlign w:val="center"/>
            <w:hideMark/>
          </w:tcPr>
          <w:p w14:paraId="55E63017" w14:textId="77777777" w:rsidR="00C45D5B" w:rsidRPr="00025E50" w:rsidRDefault="00C45D5B" w:rsidP="00CF774B">
            <w:pPr>
              <w:jc w:val="center"/>
              <w:rPr>
                <w:rFonts w:cs="Times New Roman"/>
                <w:sz w:val="18"/>
                <w:szCs w:val="18"/>
              </w:rPr>
            </w:pPr>
            <w:r w:rsidRPr="00025E50">
              <w:rPr>
                <w:sz w:val="18"/>
                <w:szCs w:val="18"/>
              </w:rPr>
              <w:t>3,8</w:t>
            </w:r>
          </w:p>
        </w:tc>
      </w:tr>
      <w:tr w:rsidR="00C45D5B" w:rsidRPr="00025E50" w14:paraId="1264BD57" w14:textId="77777777" w:rsidTr="00CF774B">
        <w:trPr>
          <w:trHeight w:val="283"/>
        </w:trPr>
        <w:tc>
          <w:tcPr>
            <w:tcW w:w="3772" w:type="dxa"/>
            <w:tcBorders>
              <w:top w:val="nil"/>
              <w:left w:val="nil"/>
              <w:bottom w:val="single" w:sz="4" w:space="0" w:color="auto"/>
              <w:right w:val="nil"/>
            </w:tcBorders>
            <w:shd w:val="clear" w:color="000000" w:fill="FFFFFF"/>
            <w:vAlign w:val="center"/>
            <w:hideMark/>
          </w:tcPr>
          <w:p w14:paraId="123F3020" w14:textId="77777777" w:rsidR="00C45D5B" w:rsidRPr="00025E50" w:rsidRDefault="00C45D5B" w:rsidP="00CF774B">
            <w:pPr>
              <w:rPr>
                <w:rFonts w:cs="Times New Roman"/>
                <w:sz w:val="18"/>
                <w:szCs w:val="18"/>
              </w:rPr>
            </w:pPr>
            <w:r w:rsidRPr="00025E50">
              <w:rPr>
                <w:rFonts w:cs="Times New Roman"/>
                <w:sz w:val="18"/>
                <w:szCs w:val="18"/>
              </w:rPr>
              <w:t>10. Sociálne zabezpečenie</w:t>
            </w:r>
          </w:p>
        </w:tc>
        <w:tc>
          <w:tcPr>
            <w:tcW w:w="1291" w:type="dxa"/>
            <w:tcBorders>
              <w:top w:val="nil"/>
              <w:left w:val="nil"/>
              <w:bottom w:val="single" w:sz="4" w:space="0" w:color="auto"/>
              <w:right w:val="nil"/>
            </w:tcBorders>
            <w:shd w:val="clear" w:color="000000" w:fill="FFFFFF"/>
            <w:vAlign w:val="center"/>
            <w:hideMark/>
          </w:tcPr>
          <w:p w14:paraId="1D26092E" w14:textId="77777777" w:rsidR="00C45D5B" w:rsidRPr="00025E50" w:rsidRDefault="00C45D5B" w:rsidP="00CF774B">
            <w:pPr>
              <w:jc w:val="center"/>
              <w:rPr>
                <w:rFonts w:cs="Times New Roman"/>
                <w:sz w:val="18"/>
                <w:szCs w:val="18"/>
              </w:rPr>
            </w:pPr>
            <w:r w:rsidRPr="00025E50">
              <w:rPr>
                <w:rFonts w:cs="Times New Roman"/>
                <w:sz w:val="18"/>
                <w:szCs w:val="18"/>
              </w:rPr>
              <w:t>10</w:t>
            </w:r>
          </w:p>
        </w:tc>
        <w:tc>
          <w:tcPr>
            <w:tcW w:w="1493" w:type="dxa"/>
            <w:tcBorders>
              <w:top w:val="nil"/>
              <w:left w:val="nil"/>
              <w:bottom w:val="nil"/>
              <w:right w:val="nil"/>
            </w:tcBorders>
            <w:shd w:val="clear" w:color="auto" w:fill="auto"/>
            <w:vAlign w:val="center"/>
          </w:tcPr>
          <w:p w14:paraId="573ADD1C" w14:textId="77777777" w:rsidR="00C45D5B" w:rsidRPr="00025E50" w:rsidRDefault="00C45D5B" w:rsidP="00CF774B">
            <w:pPr>
              <w:jc w:val="center"/>
              <w:rPr>
                <w:rFonts w:cs="Times New Roman"/>
                <w:sz w:val="18"/>
                <w:szCs w:val="18"/>
              </w:rPr>
            </w:pPr>
          </w:p>
        </w:tc>
        <w:tc>
          <w:tcPr>
            <w:tcW w:w="968" w:type="dxa"/>
            <w:tcBorders>
              <w:top w:val="nil"/>
              <w:left w:val="nil"/>
              <w:bottom w:val="nil"/>
              <w:right w:val="nil"/>
            </w:tcBorders>
            <w:shd w:val="clear" w:color="auto" w:fill="auto"/>
            <w:vAlign w:val="center"/>
            <w:hideMark/>
          </w:tcPr>
          <w:p w14:paraId="08416C3E" w14:textId="77777777" w:rsidR="00C45D5B" w:rsidRPr="00025E50" w:rsidRDefault="00C45D5B" w:rsidP="00CF774B">
            <w:pPr>
              <w:jc w:val="center"/>
              <w:rPr>
                <w:rFonts w:cs="Times New Roman"/>
                <w:sz w:val="18"/>
                <w:szCs w:val="18"/>
                <w:highlight w:val="red"/>
              </w:rPr>
            </w:pPr>
            <w:r>
              <w:rPr>
                <w:sz w:val="18"/>
                <w:szCs w:val="18"/>
              </w:rPr>
              <w:t>16,3</w:t>
            </w:r>
          </w:p>
        </w:tc>
        <w:tc>
          <w:tcPr>
            <w:tcW w:w="1614" w:type="dxa"/>
            <w:tcBorders>
              <w:top w:val="nil"/>
              <w:left w:val="nil"/>
              <w:bottom w:val="nil"/>
              <w:right w:val="nil"/>
            </w:tcBorders>
            <w:shd w:val="clear" w:color="auto" w:fill="auto"/>
            <w:vAlign w:val="center"/>
            <w:hideMark/>
          </w:tcPr>
          <w:p w14:paraId="50E23DAC" w14:textId="77777777" w:rsidR="00C45D5B" w:rsidRPr="00025E50" w:rsidRDefault="00C45D5B" w:rsidP="00CF774B">
            <w:pPr>
              <w:jc w:val="center"/>
              <w:rPr>
                <w:rFonts w:cs="Times New Roman"/>
                <w:sz w:val="18"/>
                <w:szCs w:val="18"/>
              </w:rPr>
            </w:pPr>
            <w:r w:rsidRPr="00025E50">
              <w:rPr>
                <w:sz w:val="18"/>
                <w:szCs w:val="18"/>
              </w:rPr>
              <w:t>14,7</w:t>
            </w:r>
          </w:p>
        </w:tc>
      </w:tr>
      <w:tr w:rsidR="00C45D5B" w:rsidRPr="00025E50" w14:paraId="2A6508A4" w14:textId="77777777" w:rsidTr="00CF774B">
        <w:trPr>
          <w:trHeight w:val="283"/>
        </w:trPr>
        <w:tc>
          <w:tcPr>
            <w:tcW w:w="3772" w:type="dxa"/>
            <w:tcBorders>
              <w:top w:val="single" w:sz="4" w:space="0" w:color="auto"/>
              <w:left w:val="nil"/>
              <w:bottom w:val="single" w:sz="8" w:space="0" w:color="auto"/>
              <w:right w:val="nil"/>
            </w:tcBorders>
            <w:shd w:val="clear" w:color="000000" w:fill="FFFFFF"/>
            <w:noWrap/>
            <w:vAlign w:val="center"/>
            <w:hideMark/>
          </w:tcPr>
          <w:p w14:paraId="3DC05B84" w14:textId="77777777" w:rsidR="00C45D5B" w:rsidRPr="00025E50" w:rsidRDefault="00C45D5B" w:rsidP="00CF774B">
            <w:pPr>
              <w:rPr>
                <w:rFonts w:cs="Times New Roman"/>
                <w:b/>
                <w:bCs/>
                <w:sz w:val="18"/>
                <w:szCs w:val="18"/>
              </w:rPr>
            </w:pPr>
            <w:r w:rsidRPr="00025E50">
              <w:rPr>
                <w:rFonts w:cs="Times New Roman"/>
                <w:b/>
                <w:bCs/>
                <w:sz w:val="18"/>
                <w:szCs w:val="18"/>
              </w:rPr>
              <w:t>11. Celkové výdavky</w:t>
            </w:r>
          </w:p>
        </w:tc>
        <w:tc>
          <w:tcPr>
            <w:tcW w:w="1291" w:type="dxa"/>
            <w:tcBorders>
              <w:top w:val="single" w:sz="4" w:space="0" w:color="auto"/>
              <w:left w:val="nil"/>
              <w:bottom w:val="single" w:sz="8" w:space="0" w:color="auto"/>
              <w:right w:val="nil"/>
            </w:tcBorders>
            <w:shd w:val="clear" w:color="000000" w:fill="FFFFFF"/>
            <w:noWrap/>
            <w:vAlign w:val="center"/>
            <w:hideMark/>
          </w:tcPr>
          <w:p w14:paraId="1783B78A" w14:textId="77777777" w:rsidR="00C45D5B" w:rsidRPr="00025E50" w:rsidRDefault="00C45D5B" w:rsidP="00CF774B">
            <w:pPr>
              <w:jc w:val="center"/>
              <w:rPr>
                <w:rFonts w:cs="Times New Roman"/>
                <w:b/>
                <w:bCs/>
                <w:sz w:val="18"/>
                <w:szCs w:val="18"/>
              </w:rPr>
            </w:pPr>
            <w:r w:rsidRPr="00025E50">
              <w:rPr>
                <w:rFonts w:cs="Times New Roman"/>
                <w:b/>
                <w:bCs/>
                <w:sz w:val="18"/>
                <w:szCs w:val="18"/>
              </w:rPr>
              <w:t>TE</w:t>
            </w:r>
          </w:p>
        </w:tc>
        <w:tc>
          <w:tcPr>
            <w:tcW w:w="1493" w:type="dxa"/>
            <w:tcBorders>
              <w:top w:val="single" w:sz="4" w:space="0" w:color="auto"/>
              <w:left w:val="nil"/>
              <w:bottom w:val="single" w:sz="4" w:space="0" w:color="auto"/>
              <w:right w:val="nil"/>
            </w:tcBorders>
            <w:shd w:val="clear" w:color="000000" w:fill="FFFFFF"/>
            <w:vAlign w:val="center"/>
          </w:tcPr>
          <w:p w14:paraId="3324E1C8" w14:textId="77777777" w:rsidR="00C45D5B" w:rsidRPr="00025E50" w:rsidRDefault="00C45D5B" w:rsidP="00CF774B">
            <w:pPr>
              <w:jc w:val="center"/>
              <w:rPr>
                <w:rFonts w:cs="Times New Roman"/>
                <w:b/>
                <w:bCs/>
                <w:sz w:val="18"/>
                <w:szCs w:val="18"/>
              </w:rPr>
            </w:pPr>
          </w:p>
        </w:tc>
        <w:tc>
          <w:tcPr>
            <w:tcW w:w="968" w:type="dxa"/>
            <w:tcBorders>
              <w:top w:val="single" w:sz="4" w:space="0" w:color="auto"/>
              <w:left w:val="nil"/>
              <w:bottom w:val="single" w:sz="4" w:space="0" w:color="auto"/>
              <w:right w:val="nil"/>
            </w:tcBorders>
            <w:shd w:val="clear" w:color="000000" w:fill="FFFFFF"/>
            <w:hideMark/>
          </w:tcPr>
          <w:p w14:paraId="28F6756C" w14:textId="77777777" w:rsidR="00C45D5B" w:rsidRPr="00025E50" w:rsidRDefault="00C45D5B" w:rsidP="00CF774B">
            <w:pPr>
              <w:jc w:val="center"/>
              <w:rPr>
                <w:rFonts w:cs="Times New Roman"/>
                <w:b/>
                <w:bCs/>
                <w:sz w:val="18"/>
                <w:szCs w:val="18"/>
                <w:highlight w:val="red"/>
              </w:rPr>
            </w:pPr>
            <w:r>
              <w:rPr>
                <w:b/>
                <w:bCs/>
                <w:sz w:val="18"/>
                <w:szCs w:val="18"/>
              </w:rPr>
              <w:t>45,6</w:t>
            </w:r>
          </w:p>
        </w:tc>
        <w:tc>
          <w:tcPr>
            <w:tcW w:w="1614" w:type="dxa"/>
            <w:tcBorders>
              <w:top w:val="single" w:sz="4" w:space="0" w:color="auto"/>
              <w:left w:val="nil"/>
              <w:bottom w:val="single" w:sz="4" w:space="0" w:color="auto"/>
              <w:right w:val="nil"/>
            </w:tcBorders>
            <w:shd w:val="clear" w:color="000000" w:fill="FFFFFF"/>
            <w:hideMark/>
          </w:tcPr>
          <w:p w14:paraId="120379D1" w14:textId="77777777" w:rsidR="00C45D5B" w:rsidRPr="00025E50" w:rsidRDefault="00C45D5B" w:rsidP="00CF774B">
            <w:pPr>
              <w:jc w:val="center"/>
              <w:rPr>
                <w:rFonts w:cs="Times New Roman"/>
                <w:b/>
                <w:bCs/>
                <w:sz w:val="18"/>
                <w:szCs w:val="18"/>
              </w:rPr>
            </w:pPr>
            <w:r w:rsidRPr="00025E50">
              <w:rPr>
                <w:b/>
                <w:bCs/>
                <w:sz w:val="18"/>
                <w:szCs w:val="18"/>
              </w:rPr>
              <w:t>41,8</w:t>
            </w:r>
          </w:p>
        </w:tc>
      </w:tr>
      <w:tr w:rsidR="00C45D5B" w:rsidRPr="00AB54ED" w14:paraId="7144115C" w14:textId="77777777" w:rsidTr="00CF774B">
        <w:trPr>
          <w:trHeight w:val="283"/>
        </w:trPr>
        <w:tc>
          <w:tcPr>
            <w:tcW w:w="5063" w:type="dxa"/>
            <w:gridSpan w:val="2"/>
            <w:tcBorders>
              <w:top w:val="single" w:sz="8" w:space="0" w:color="auto"/>
              <w:left w:val="nil"/>
              <w:bottom w:val="nil"/>
              <w:right w:val="nil"/>
            </w:tcBorders>
            <w:shd w:val="clear" w:color="000000" w:fill="FFFFFF"/>
            <w:hideMark/>
          </w:tcPr>
          <w:p w14:paraId="01093A86" w14:textId="77777777" w:rsidR="00C45D5B" w:rsidRPr="00025E50" w:rsidRDefault="00C45D5B" w:rsidP="00CF774B">
            <w:pPr>
              <w:rPr>
                <w:rFonts w:cs="Times New Roman"/>
                <w:sz w:val="18"/>
                <w:szCs w:val="18"/>
              </w:rPr>
            </w:pPr>
          </w:p>
        </w:tc>
        <w:tc>
          <w:tcPr>
            <w:tcW w:w="4075" w:type="dxa"/>
            <w:gridSpan w:val="3"/>
            <w:tcBorders>
              <w:top w:val="single" w:sz="8" w:space="0" w:color="auto"/>
              <w:left w:val="nil"/>
              <w:bottom w:val="nil"/>
              <w:right w:val="nil"/>
            </w:tcBorders>
            <w:shd w:val="clear" w:color="auto" w:fill="auto"/>
            <w:noWrap/>
            <w:vAlign w:val="bottom"/>
            <w:hideMark/>
          </w:tcPr>
          <w:p w14:paraId="5A16C9F8" w14:textId="77777777" w:rsidR="00C45D5B" w:rsidRPr="00025E50" w:rsidRDefault="00C45D5B" w:rsidP="00CF774B">
            <w:pPr>
              <w:jc w:val="right"/>
              <w:rPr>
                <w:rFonts w:cs="Times New Roman"/>
                <w:i/>
                <w:iCs/>
                <w:sz w:val="18"/>
                <w:szCs w:val="18"/>
              </w:rPr>
            </w:pPr>
            <w:r w:rsidRPr="00025E50">
              <w:rPr>
                <w:rFonts w:cs="Times New Roman"/>
                <w:i/>
                <w:iCs/>
                <w:sz w:val="18"/>
                <w:szCs w:val="18"/>
              </w:rPr>
              <w:t> </w:t>
            </w:r>
            <w:r w:rsidRPr="00025E50">
              <w:rPr>
                <w:rFonts w:cs="Times New Roman"/>
                <w:i/>
                <w:iCs/>
                <w:sz w:val="16"/>
                <w:szCs w:val="18"/>
              </w:rPr>
              <w:t>Zdroj: Eurostat, MF SR</w:t>
            </w:r>
          </w:p>
          <w:p w14:paraId="374F1E24" w14:textId="77777777" w:rsidR="00C45D5B" w:rsidRPr="00025E50" w:rsidRDefault="00C45D5B" w:rsidP="00CF774B">
            <w:pPr>
              <w:jc w:val="right"/>
              <w:rPr>
                <w:rFonts w:cs="Times New Roman"/>
                <w:i/>
                <w:iCs/>
                <w:sz w:val="18"/>
                <w:szCs w:val="18"/>
              </w:rPr>
            </w:pPr>
          </w:p>
        </w:tc>
      </w:tr>
    </w:tbl>
    <w:p w14:paraId="5B5ADECC" w14:textId="77777777" w:rsidR="00C45D5B" w:rsidRPr="00AB54ED" w:rsidRDefault="00C45D5B" w:rsidP="00C45D5B">
      <w:pPr>
        <w:rPr>
          <w:color w:val="2C9ADC" w:themeColor="accent1"/>
          <w:sz w:val="18"/>
          <w:szCs w:val="18"/>
          <w:highlight w:val="yellow"/>
        </w:rPr>
      </w:pPr>
    </w:p>
    <w:p w14:paraId="482212FF" w14:textId="77777777" w:rsidR="00C45D5B" w:rsidRPr="00AB54ED" w:rsidRDefault="00C45D5B" w:rsidP="00C45D5B">
      <w:pPr>
        <w:rPr>
          <w:color w:val="2C9ADC" w:themeColor="accent1"/>
          <w:sz w:val="18"/>
          <w:szCs w:val="18"/>
          <w:highlight w:val="yellow"/>
        </w:rPr>
      </w:pPr>
    </w:p>
    <w:p w14:paraId="5E3FA723" w14:textId="77777777" w:rsidR="00C45D5B" w:rsidRPr="00AB54ED" w:rsidRDefault="00C45D5B" w:rsidP="00C45D5B">
      <w:pPr>
        <w:rPr>
          <w:color w:val="2C9ADC" w:themeColor="accent1"/>
          <w:sz w:val="18"/>
          <w:szCs w:val="18"/>
          <w:highlight w:val="yellow"/>
        </w:rPr>
      </w:pPr>
    </w:p>
    <w:p w14:paraId="4AFBD623" w14:textId="77777777" w:rsidR="00C45D5B" w:rsidRPr="00AB54ED" w:rsidRDefault="00C45D5B" w:rsidP="00C45D5B">
      <w:pPr>
        <w:rPr>
          <w:color w:val="2C9ADC" w:themeColor="accent1"/>
          <w:sz w:val="18"/>
          <w:szCs w:val="18"/>
          <w:highlight w:val="yellow"/>
        </w:rPr>
      </w:pPr>
    </w:p>
    <w:p w14:paraId="3A52D030" w14:textId="77777777" w:rsidR="00C45D5B" w:rsidRPr="00AB54ED" w:rsidRDefault="00C45D5B" w:rsidP="00C45D5B">
      <w:pPr>
        <w:rPr>
          <w:color w:val="2C9ADC" w:themeColor="accent1"/>
          <w:sz w:val="18"/>
          <w:szCs w:val="18"/>
          <w:highlight w:val="yellow"/>
        </w:rPr>
      </w:pPr>
    </w:p>
    <w:p w14:paraId="16098241" w14:textId="77777777" w:rsidR="00C45D5B" w:rsidRPr="00AB54ED" w:rsidRDefault="00C45D5B" w:rsidP="00C45D5B">
      <w:pPr>
        <w:rPr>
          <w:color w:val="2C9ADC" w:themeColor="accent1"/>
          <w:sz w:val="18"/>
          <w:szCs w:val="18"/>
          <w:highlight w:val="yellow"/>
        </w:rPr>
      </w:pPr>
    </w:p>
    <w:tbl>
      <w:tblPr>
        <w:tblW w:w="9072" w:type="dxa"/>
        <w:jc w:val="center"/>
        <w:tblLayout w:type="fixed"/>
        <w:tblCellMar>
          <w:left w:w="70" w:type="dxa"/>
          <w:right w:w="70" w:type="dxa"/>
        </w:tblCellMar>
        <w:tblLook w:val="04A0" w:firstRow="1" w:lastRow="0" w:firstColumn="1" w:lastColumn="0" w:noHBand="0" w:noVBand="1"/>
      </w:tblPr>
      <w:tblGrid>
        <w:gridCol w:w="4920"/>
        <w:gridCol w:w="488"/>
        <w:gridCol w:w="938"/>
        <w:gridCol w:w="637"/>
        <w:gridCol w:w="635"/>
        <w:gridCol w:w="795"/>
        <w:gridCol w:w="659"/>
      </w:tblGrid>
      <w:tr w:rsidR="00C45D5B" w:rsidRPr="00B75CC9" w14:paraId="181DBB24" w14:textId="77777777" w:rsidTr="00CF774B">
        <w:trPr>
          <w:gridAfter w:val="3"/>
          <w:wAfter w:w="2089" w:type="dxa"/>
          <w:trHeight w:val="211"/>
          <w:jc w:val="center"/>
        </w:trPr>
        <w:tc>
          <w:tcPr>
            <w:tcW w:w="6983" w:type="dxa"/>
            <w:gridSpan w:val="4"/>
            <w:tcBorders>
              <w:top w:val="nil"/>
              <w:left w:val="nil"/>
              <w:bottom w:val="single" w:sz="4" w:space="0" w:color="auto"/>
            </w:tcBorders>
            <w:shd w:val="clear" w:color="auto" w:fill="auto"/>
            <w:noWrap/>
            <w:vAlign w:val="bottom"/>
            <w:hideMark/>
          </w:tcPr>
          <w:p w14:paraId="05D6AFAA" w14:textId="4ED7DA22" w:rsidR="00C45D5B" w:rsidRPr="00B75CC9" w:rsidRDefault="00C45D5B" w:rsidP="00CF774B">
            <w:pPr>
              <w:rPr>
                <w:rFonts w:eastAsiaTheme="minorHAnsi"/>
                <w:b/>
                <w:color w:val="2C9ADC"/>
                <w:sz w:val="20"/>
                <w:szCs w:val="20"/>
                <w:lang w:eastAsia="en-US"/>
              </w:rPr>
            </w:pPr>
            <w:bookmarkStart w:id="251" w:name="_Toc480905418"/>
            <w:bookmarkStart w:id="252" w:name="_Toc40186691"/>
            <w:bookmarkStart w:id="253" w:name="_Toc71622465"/>
            <w:bookmarkStart w:id="254" w:name="_Toc101880706"/>
            <w:r w:rsidRPr="00B75CC9">
              <w:rPr>
                <w:rFonts w:eastAsiaTheme="minorHAnsi"/>
                <w:b/>
                <w:color w:val="2C9ADC"/>
                <w:sz w:val="20"/>
                <w:szCs w:val="20"/>
                <w:lang w:eastAsia="en-US"/>
              </w:rPr>
              <w:t xml:space="preserve">TABUĽKA </w:t>
            </w:r>
            <w:r w:rsidRPr="00B75CC9">
              <w:rPr>
                <w:rFonts w:eastAsiaTheme="minorHAnsi"/>
                <w:b/>
                <w:color w:val="2C9ADC"/>
                <w:sz w:val="20"/>
                <w:szCs w:val="20"/>
                <w:lang w:eastAsia="en-US"/>
              </w:rPr>
              <w:fldChar w:fldCharType="begin"/>
            </w:r>
            <w:r w:rsidRPr="00B75CC9">
              <w:rPr>
                <w:rFonts w:eastAsiaTheme="minorHAnsi"/>
                <w:b/>
                <w:color w:val="2C9ADC"/>
                <w:sz w:val="20"/>
                <w:szCs w:val="20"/>
                <w:lang w:eastAsia="en-US"/>
              </w:rPr>
              <w:instrText xml:space="preserve"> SEQ TABUĽKA \* ARABIC </w:instrText>
            </w:r>
            <w:r w:rsidRPr="00B75CC9">
              <w:rPr>
                <w:rFonts w:eastAsiaTheme="minorHAnsi"/>
                <w:b/>
                <w:color w:val="2C9ADC"/>
                <w:sz w:val="20"/>
                <w:szCs w:val="20"/>
                <w:lang w:eastAsia="en-US"/>
              </w:rPr>
              <w:fldChar w:fldCharType="separate"/>
            </w:r>
            <w:r w:rsidR="005D3280">
              <w:rPr>
                <w:rFonts w:eastAsiaTheme="minorHAnsi"/>
                <w:b/>
                <w:noProof/>
                <w:color w:val="2C9ADC"/>
                <w:sz w:val="20"/>
                <w:szCs w:val="20"/>
                <w:lang w:eastAsia="en-US"/>
              </w:rPr>
              <w:t>27</w:t>
            </w:r>
            <w:r w:rsidRPr="00B75CC9">
              <w:rPr>
                <w:rFonts w:eastAsiaTheme="minorHAnsi"/>
                <w:b/>
                <w:color w:val="2C9ADC"/>
                <w:sz w:val="20"/>
                <w:szCs w:val="20"/>
                <w:lang w:eastAsia="en-US"/>
              </w:rPr>
              <w:fldChar w:fldCharType="end"/>
            </w:r>
            <w:r w:rsidRPr="00B75CC9">
              <w:rPr>
                <w:rFonts w:eastAsiaTheme="minorHAnsi"/>
                <w:b/>
                <w:color w:val="2C9ADC"/>
                <w:sz w:val="20"/>
                <w:szCs w:val="20"/>
                <w:lang w:eastAsia="en-US"/>
              </w:rPr>
              <w:t xml:space="preserve"> (Tabuľka 4) – Vývoj dlhu verejnej správy (% HDP)</w:t>
            </w:r>
            <w:bookmarkEnd w:id="251"/>
            <w:bookmarkEnd w:id="252"/>
            <w:bookmarkEnd w:id="253"/>
            <w:bookmarkEnd w:id="254"/>
          </w:p>
        </w:tc>
      </w:tr>
      <w:tr w:rsidR="00C45D5B" w:rsidRPr="00B75CC9" w14:paraId="566E901C" w14:textId="77777777" w:rsidTr="00CF774B">
        <w:trPr>
          <w:trHeight w:val="173"/>
          <w:jc w:val="center"/>
        </w:trPr>
        <w:tc>
          <w:tcPr>
            <w:tcW w:w="4920" w:type="dxa"/>
            <w:tcBorders>
              <w:top w:val="single" w:sz="4" w:space="0" w:color="auto"/>
              <w:left w:val="nil"/>
              <w:bottom w:val="single" w:sz="4" w:space="0" w:color="auto"/>
              <w:right w:val="nil"/>
            </w:tcBorders>
            <w:shd w:val="clear" w:color="auto" w:fill="auto"/>
            <w:vAlign w:val="center"/>
            <w:hideMark/>
          </w:tcPr>
          <w:p w14:paraId="47A11843" w14:textId="77777777" w:rsidR="00C45D5B" w:rsidRPr="00B75CC9" w:rsidRDefault="00C45D5B" w:rsidP="00CF774B">
            <w:pPr>
              <w:jc w:val="center"/>
              <w:rPr>
                <w:rFonts w:cs="Times New Roman"/>
                <w:color w:val="000000"/>
                <w:sz w:val="18"/>
                <w:szCs w:val="18"/>
              </w:rPr>
            </w:pPr>
            <w:r w:rsidRPr="00B75CC9">
              <w:rPr>
                <w:rFonts w:cs="Times New Roman"/>
                <w:color w:val="000000"/>
                <w:sz w:val="18"/>
                <w:szCs w:val="18"/>
              </w:rPr>
              <w:t> </w:t>
            </w:r>
          </w:p>
        </w:tc>
        <w:tc>
          <w:tcPr>
            <w:tcW w:w="488" w:type="dxa"/>
            <w:tcBorders>
              <w:top w:val="single" w:sz="4" w:space="0" w:color="auto"/>
              <w:left w:val="nil"/>
              <w:bottom w:val="single" w:sz="4" w:space="0" w:color="auto"/>
              <w:right w:val="nil"/>
            </w:tcBorders>
            <w:shd w:val="clear" w:color="auto" w:fill="auto"/>
            <w:vAlign w:val="center"/>
            <w:hideMark/>
          </w:tcPr>
          <w:p w14:paraId="0A2CA76C" w14:textId="77777777" w:rsidR="00C45D5B" w:rsidRPr="00B75CC9" w:rsidRDefault="00C45D5B" w:rsidP="00CF774B">
            <w:pPr>
              <w:jc w:val="center"/>
              <w:rPr>
                <w:rFonts w:cs="Times New Roman"/>
                <w:color w:val="000000"/>
                <w:sz w:val="18"/>
                <w:szCs w:val="18"/>
              </w:rPr>
            </w:pPr>
            <w:r w:rsidRPr="00B75CC9">
              <w:rPr>
                <w:rFonts w:cs="Times New Roman"/>
                <w:color w:val="000000"/>
                <w:sz w:val="18"/>
                <w:szCs w:val="18"/>
              </w:rPr>
              <w:t>ESA kód</w:t>
            </w:r>
          </w:p>
        </w:tc>
        <w:tc>
          <w:tcPr>
            <w:tcW w:w="938" w:type="dxa"/>
            <w:tcBorders>
              <w:top w:val="single" w:sz="4" w:space="0" w:color="auto"/>
              <w:left w:val="nil"/>
              <w:bottom w:val="single" w:sz="4" w:space="0" w:color="auto"/>
              <w:right w:val="nil"/>
            </w:tcBorders>
            <w:shd w:val="clear" w:color="auto" w:fill="auto"/>
            <w:vAlign w:val="center"/>
            <w:hideMark/>
          </w:tcPr>
          <w:p w14:paraId="6E1F8EFB" w14:textId="77777777" w:rsidR="00C45D5B" w:rsidRPr="00B75CC9" w:rsidRDefault="00C45D5B" w:rsidP="00CF774B">
            <w:pPr>
              <w:jc w:val="center"/>
              <w:rPr>
                <w:rFonts w:cs="Times New Roman"/>
                <w:b/>
                <w:bCs/>
                <w:color w:val="000000"/>
                <w:sz w:val="18"/>
                <w:szCs w:val="18"/>
              </w:rPr>
            </w:pPr>
            <w:r w:rsidRPr="00B75CC9">
              <w:rPr>
                <w:b/>
                <w:bCs/>
                <w:color w:val="000000"/>
                <w:sz w:val="18"/>
                <w:szCs w:val="18"/>
              </w:rPr>
              <w:t>2021</w:t>
            </w:r>
          </w:p>
        </w:tc>
        <w:tc>
          <w:tcPr>
            <w:tcW w:w="637" w:type="dxa"/>
            <w:tcBorders>
              <w:top w:val="single" w:sz="4" w:space="0" w:color="auto"/>
              <w:left w:val="nil"/>
              <w:bottom w:val="single" w:sz="4" w:space="0" w:color="auto"/>
              <w:right w:val="nil"/>
            </w:tcBorders>
            <w:shd w:val="clear" w:color="auto" w:fill="auto"/>
            <w:vAlign w:val="center"/>
            <w:hideMark/>
          </w:tcPr>
          <w:p w14:paraId="4BBD2E97" w14:textId="77777777" w:rsidR="00C45D5B" w:rsidRPr="00B75CC9" w:rsidRDefault="00C45D5B" w:rsidP="00CF774B">
            <w:pPr>
              <w:jc w:val="center"/>
              <w:rPr>
                <w:rFonts w:cs="Times New Roman"/>
                <w:b/>
                <w:bCs/>
                <w:color w:val="000000"/>
                <w:sz w:val="18"/>
                <w:szCs w:val="18"/>
              </w:rPr>
            </w:pPr>
            <w:r w:rsidRPr="00B75CC9">
              <w:rPr>
                <w:b/>
                <w:bCs/>
                <w:color w:val="000000"/>
                <w:sz w:val="18"/>
                <w:szCs w:val="18"/>
              </w:rPr>
              <w:t>2022</w:t>
            </w:r>
          </w:p>
        </w:tc>
        <w:tc>
          <w:tcPr>
            <w:tcW w:w="635" w:type="dxa"/>
            <w:tcBorders>
              <w:top w:val="single" w:sz="2" w:space="0" w:color="000000"/>
              <w:left w:val="nil"/>
              <w:bottom w:val="single" w:sz="4" w:space="0" w:color="auto"/>
              <w:right w:val="nil"/>
            </w:tcBorders>
            <w:shd w:val="clear" w:color="auto" w:fill="auto"/>
            <w:vAlign w:val="center"/>
            <w:hideMark/>
          </w:tcPr>
          <w:p w14:paraId="33B136FD" w14:textId="77777777" w:rsidR="00C45D5B" w:rsidRPr="00B75CC9" w:rsidRDefault="00C45D5B" w:rsidP="00CF774B">
            <w:pPr>
              <w:jc w:val="center"/>
              <w:rPr>
                <w:rFonts w:cs="Times New Roman"/>
                <w:b/>
                <w:bCs/>
                <w:color w:val="000000"/>
                <w:sz w:val="18"/>
                <w:szCs w:val="18"/>
              </w:rPr>
            </w:pPr>
            <w:r w:rsidRPr="00B75CC9">
              <w:rPr>
                <w:b/>
                <w:bCs/>
                <w:color w:val="000000"/>
                <w:sz w:val="18"/>
                <w:szCs w:val="18"/>
              </w:rPr>
              <w:t>2023</w:t>
            </w:r>
          </w:p>
        </w:tc>
        <w:tc>
          <w:tcPr>
            <w:tcW w:w="795" w:type="dxa"/>
            <w:tcBorders>
              <w:top w:val="single" w:sz="2" w:space="0" w:color="000000"/>
              <w:left w:val="nil"/>
              <w:bottom w:val="single" w:sz="4" w:space="0" w:color="auto"/>
              <w:right w:val="nil"/>
            </w:tcBorders>
            <w:shd w:val="clear" w:color="auto" w:fill="auto"/>
            <w:vAlign w:val="center"/>
            <w:hideMark/>
          </w:tcPr>
          <w:p w14:paraId="30976379" w14:textId="77777777" w:rsidR="00C45D5B" w:rsidRPr="00B75CC9" w:rsidRDefault="00C45D5B" w:rsidP="00CF774B">
            <w:pPr>
              <w:jc w:val="center"/>
              <w:rPr>
                <w:rFonts w:cs="Times New Roman"/>
                <w:b/>
                <w:bCs/>
                <w:color w:val="000000"/>
                <w:sz w:val="18"/>
                <w:szCs w:val="18"/>
              </w:rPr>
            </w:pPr>
            <w:r w:rsidRPr="00B75CC9">
              <w:rPr>
                <w:b/>
                <w:bCs/>
                <w:color w:val="000000"/>
                <w:sz w:val="18"/>
                <w:szCs w:val="18"/>
              </w:rPr>
              <w:t>2024</w:t>
            </w:r>
          </w:p>
        </w:tc>
        <w:tc>
          <w:tcPr>
            <w:tcW w:w="659" w:type="dxa"/>
            <w:tcBorders>
              <w:top w:val="single" w:sz="2" w:space="0" w:color="000000"/>
              <w:left w:val="nil"/>
              <w:bottom w:val="single" w:sz="4" w:space="0" w:color="auto"/>
              <w:right w:val="nil"/>
            </w:tcBorders>
            <w:shd w:val="clear" w:color="auto" w:fill="auto"/>
            <w:vAlign w:val="center"/>
            <w:hideMark/>
          </w:tcPr>
          <w:p w14:paraId="3ACFF173" w14:textId="77777777" w:rsidR="00C45D5B" w:rsidRPr="00B75CC9" w:rsidRDefault="00C45D5B" w:rsidP="00CF774B">
            <w:pPr>
              <w:jc w:val="center"/>
              <w:rPr>
                <w:rFonts w:cs="Times New Roman"/>
                <w:b/>
                <w:bCs/>
                <w:color w:val="000000"/>
                <w:sz w:val="18"/>
                <w:szCs w:val="18"/>
              </w:rPr>
            </w:pPr>
            <w:r w:rsidRPr="00B75CC9">
              <w:rPr>
                <w:b/>
                <w:bCs/>
                <w:color w:val="000000"/>
                <w:sz w:val="18"/>
                <w:szCs w:val="18"/>
              </w:rPr>
              <w:t>2025</w:t>
            </w:r>
          </w:p>
        </w:tc>
      </w:tr>
      <w:tr w:rsidR="00C45D5B" w:rsidRPr="00B75CC9" w14:paraId="4C266178" w14:textId="77777777" w:rsidTr="00CF774B">
        <w:trPr>
          <w:trHeight w:val="173"/>
          <w:jc w:val="center"/>
        </w:trPr>
        <w:tc>
          <w:tcPr>
            <w:tcW w:w="4920" w:type="dxa"/>
            <w:tcBorders>
              <w:top w:val="nil"/>
              <w:left w:val="nil"/>
              <w:bottom w:val="nil"/>
              <w:right w:val="nil"/>
            </w:tcBorders>
            <w:shd w:val="clear" w:color="auto" w:fill="auto"/>
            <w:noWrap/>
            <w:vAlign w:val="center"/>
            <w:hideMark/>
          </w:tcPr>
          <w:p w14:paraId="6A9B5903" w14:textId="77777777" w:rsidR="00C45D5B" w:rsidRPr="00B75CC9" w:rsidRDefault="00C45D5B" w:rsidP="00CF774B">
            <w:pPr>
              <w:rPr>
                <w:rFonts w:cs="Times New Roman"/>
                <w:color w:val="000000"/>
                <w:sz w:val="18"/>
                <w:szCs w:val="18"/>
              </w:rPr>
            </w:pPr>
            <w:r w:rsidRPr="00B75CC9">
              <w:rPr>
                <w:rFonts w:cs="Times New Roman"/>
                <w:color w:val="000000"/>
                <w:sz w:val="18"/>
                <w:szCs w:val="18"/>
              </w:rPr>
              <w:t>1. Hrubý dlh</w:t>
            </w:r>
          </w:p>
        </w:tc>
        <w:tc>
          <w:tcPr>
            <w:tcW w:w="488" w:type="dxa"/>
            <w:tcBorders>
              <w:top w:val="nil"/>
              <w:left w:val="nil"/>
              <w:bottom w:val="nil"/>
              <w:right w:val="nil"/>
            </w:tcBorders>
            <w:shd w:val="clear" w:color="auto" w:fill="auto"/>
            <w:noWrap/>
            <w:vAlign w:val="center"/>
            <w:hideMark/>
          </w:tcPr>
          <w:p w14:paraId="64B2B5EF"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36FA769B" w14:textId="77777777" w:rsidR="00C45D5B" w:rsidRPr="00B75CC9" w:rsidRDefault="00C45D5B" w:rsidP="00CF774B">
            <w:pPr>
              <w:jc w:val="center"/>
              <w:rPr>
                <w:rFonts w:cs="Times New Roman"/>
                <w:color w:val="000000"/>
                <w:sz w:val="18"/>
                <w:szCs w:val="18"/>
              </w:rPr>
            </w:pPr>
            <w:r w:rsidRPr="00B75CC9">
              <w:rPr>
                <w:color w:val="000000"/>
                <w:sz w:val="18"/>
                <w:szCs w:val="18"/>
              </w:rPr>
              <w:t>63,1</w:t>
            </w:r>
          </w:p>
        </w:tc>
        <w:tc>
          <w:tcPr>
            <w:tcW w:w="637" w:type="dxa"/>
            <w:tcBorders>
              <w:top w:val="nil"/>
              <w:left w:val="nil"/>
              <w:bottom w:val="nil"/>
              <w:right w:val="nil"/>
            </w:tcBorders>
            <w:shd w:val="clear" w:color="auto" w:fill="auto"/>
            <w:vAlign w:val="center"/>
            <w:hideMark/>
          </w:tcPr>
          <w:p w14:paraId="41A4D78C" w14:textId="77777777" w:rsidR="00C45D5B" w:rsidRPr="00B75CC9" w:rsidRDefault="00C45D5B" w:rsidP="00CF774B">
            <w:pPr>
              <w:jc w:val="center"/>
              <w:rPr>
                <w:rFonts w:cs="Times New Roman"/>
                <w:color w:val="000000"/>
                <w:sz w:val="18"/>
                <w:szCs w:val="18"/>
              </w:rPr>
            </w:pPr>
            <w:r w:rsidRPr="00B75CC9">
              <w:rPr>
                <w:color w:val="000000"/>
                <w:sz w:val="18"/>
                <w:szCs w:val="18"/>
              </w:rPr>
              <w:t>61,6</w:t>
            </w:r>
          </w:p>
        </w:tc>
        <w:tc>
          <w:tcPr>
            <w:tcW w:w="635" w:type="dxa"/>
            <w:tcBorders>
              <w:top w:val="nil"/>
              <w:left w:val="nil"/>
              <w:bottom w:val="nil"/>
              <w:right w:val="nil"/>
            </w:tcBorders>
            <w:shd w:val="clear" w:color="auto" w:fill="auto"/>
            <w:vAlign w:val="center"/>
            <w:hideMark/>
          </w:tcPr>
          <w:p w14:paraId="6BEDFB63" w14:textId="77777777" w:rsidR="00C45D5B" w:rsidRPr="00B75CC9" w:rsidRDefault="00C45D5B" w:rsidP="00CF774B">
            <w:pPr>
              <w:jc w:val="center"/>
              <w:rPr>
                <w:rFonts w:cs="Times New Roman"/>
                <w:color w:val="000000"/>
                <w:sz w:val="18"/>
                <w:szCs w:val="18"/>
              </w:rPr>
            </w:pPr>
            <w:r w:rsidRPr="00B75CC9">
              <w:rPr>
                <w:color w:val="000000"/>
                <w:sz w:val="18"/>
                <w:szCs w:val="18"/>
              </w:rPr>
              <w:t>58,0</w:t>
            </w:r>
          </w:p>
        </w:tc>
        <w:tc>
          <w:tcPr>
            <w:tcW w:w="795" w:type="dxa"/>
            <w:tcBorders>
              <w:top w:val="nil"/>
              <w:left w:val="nil"/>
              <w:bottom w:val="nil"/>
              <w:right w:val="nil"/>
            </w:tcBorders>
            <w:shd w:val="clear" w:color="auto" w:fill="auto"/>
            <w:vAlign w:val="center"/>
            <w:hideMark/>
          </w:tcPr>
          <w:p w14:paraId="23D1E387" w14:textId="77777777" w:rsidR="00C45D5B" w:rsidRPr="00B75CC9" w:rsidRDefault="00C45D5B" w:rsidP="00CF774B">
            <w:pPr>
              <w:jc w:val="center"/>
              <w:rPr>
                <w:rFonts w:cs="Times New Roman"/>
                <w:color w:val="000000"/>
                <w:sz w:val="18"/>
                <w:szCs w:val="18"/>
              </w:rPr>
            </w:pPr>
            <w:r w:rsidRPr="00B75CC9">
              <w:rPr>
                <w:color w:val="000000"/>
                <w:sz w:val="18"/>
                <w:szCs w:val="18"/>
              </w:rPr>
              <w:t>58,2</w:t>
            </w:r>
          </w:p>
        </w:tc>
        <w:tc>
          <w:tcPr>
            <w:tcW w:w="659" w:type="dxa"/>
            <w:tcBorders>
              <w:top w:val="nil"/>
              <w:left w:val="nil"/>
              <w:bottom w:val="nil"/>
              <w:right w:val="nil"/>
            </w:tcBorders>
            <w:shd w:val="clear" w:color="auto" w:fill="auto"/>
            <w:vAlign w:val="center"/>
            <w:hideMark/>
          </w:tcPr>
          <w:p w14:paraId="46126E83" w14:textId="77777777" w:rsidR="00C45D5B" w:rsidRPr="00B75CC9" w:rsidRDefault="00C45D5B" w:rsidP="00CF774B">
            <w:pPr>
              <w:jc w:val="center"/>
              <w:rPr>
                <w:rFonts w:cs="Times New Roman"/>
                <w:color w:val="000000"/>
                <w:sz w:val="18"/>
                <w:szCs w:val="18"/>
              </w:rPr>
            </w:pPr>
            <w:r w:rsidRPr="00B75CC9">
              <w:rPr>
                <w:color w:val="000000"/>
                <w:sz w:val="18"/>
                <w:szCs w:val="18"/>
              </w:rPr>
              <w:t>57,3</w:t>
            </w:r>
          </w:p>
        </w:tc>
      </w:tr>
      <w:tr w:rsidR="00C45D5B" w:rsidRPr="00B75CC9" w14:paraId="2C26218F" w14:textId="77777777" w:rsidTr="00CF774B">
        <w:trPr>
          <w:trHeight w:val="173"/>
          <w:jc w:val="center"/>
        </w:trPr>
        <w:tc>
          <w:tcPr>
            <w:tcW w:w="4920" w:type="dxa"/>
            <w:tcBorders>
              <w:top w:val="nil"/>
              <w:left w:val="nil"/>
              <w:bottom w:val="single" w:sz="4" w:space="0" w:color="auto"/>
              <w:right w:val="nil"/>
            </w:tcBorders>
            <w:shd w:val="clear" w:color="auto" w:fill="auto"/>
            <w:vAlign w:val="center"/>
            <w:hideMark/>
          </w:tcPr>
          <w:p w14:paraId="7776162D" w14:textId="77777777" w:rsidR="00C45D5B" w:rsidRPr="00B75CC9" w:rsidRDefault="00C45D5B" w:rsidP="00CF774B">
            <w:pPr>
              <w:rPr>
                <w:rFonts w:cs="Times New Roman"/>
                <w:color w:val="000000"/>
                <w:sz w:val="18"/>
                <w:szCs w:val="18"/>
              </w:rPr>
            </w:pPr>
            <w:r w:rsidRPr="00B75CC9">
              <w:rPr>
                <w:rFonts w:cs="Times New Roman"/>
                <w:color w:val="000000"/>
                <w:sz w:val="18"/>
                <w:szCs w:val="18"/>
              </w:rPr>
              <w:t>2. Zmena hrubého dlhu</w:t>
            </w:r>
          </w:p>
        </w:tc>
        <w:tc>
          <w:tcPr>
            <w:tcW w:w="488" w:type="dxa"/>
            <w:tcBorders>
              <w:top w:val="nil"/>
              <w:left w:val="nil"/>
              <w:bottom w:val="single" w:sz="4" w:space="0" w:color="auto"/>
              <w:right w:val="nil"/>
            </w:tcBorders>
            <w:shd w:val="clear" w:color="auto" w:fill="auto"/>
            <w:vAlign w:val="center"/>
            <w:hideMark/>
          </w:tcPr>
          <w:p w14:paraId="083DB789"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42B6A78F" w14:textId="77777777" w:rsidR="00C45D5B" w:rsidRPr="00B75CC9" w:rsidRDefault="00C45D5B" w:rsidP="00CF774B">
            <w:pPr>
              <w:jc w:val="center"/>
              <w:rPr>
                <w:rFonts w:cs="Times New Roman"/>
                <w:color w:val="000000"/>
                <w:sz w:val="18"/>
                <w:szCs w:val="18"/>
              </w:rPr>
            </w:pPr>
            <w:r w:rsidRPr="00B75CC9">
              <w:rPr>
                <w:color w:val="000000"/>
                <w:sz w:val="18"/>
                <w:szCs w:val="18"/>
              </w:rPr>
              <w:t>3,3</w:t>
            </w:r>
          </w:p>
        </w:tc>
        <w:tc>
          <w:tcPr>
            <w:tcW w:w="637" w:type="dxa"/>
            <w:tcBorders>
              <w:top w:val="nil"/>
              <w:left w:val="nil"/>
              <w:bottom w:val="nil"/>
              <w:right w:val="nil"/>
            </w:tcBorders>
            <w:shd w:val="clear" w:color="auto" w:fill="auto"/>
            <w:vAlign w:val="center"/>
            <w:hideMark/>
          </w:tcPr>
          <w:p w14:paraId="7446F9E7" w14:textId="77777777" w:rsidR="00C45D5B" w:rsidRPr="00B75CC9" w:rsidRDefault="00C45D5B" w:rsidP="00CF774B">
            <w:pPr>
              <w:jc w:val="center"/>
              <w:rPr>
                <w:rFonts w:cs="Times New Roman"/>
                <w:color w:val="000000"/>
                <w:sz w:val="18"/>
                <w:szCs w:val="18"/>
              </w:rPr>
            </w:pPr>
            <w:r w:rsidRPr="00B75CC9">
              <w:rPr>
                <w:color w:val="000000"/>
                <w:sz w:val="18"/>
                <w:szCs w:val="18"/>
              </w:rPr>
              <w:t>-1,5</w:t>
            </w:r>
          </w:p>
        </w:tc>
        <w:tc>
          <w:tcPr>
            <w:tcW w:w="635" w:type="dxa"/>
            <w:tcBorders>
              <w:top w:val="nil"/>
              <w:left w:val="nil"/>
              <w:bottom w:val="nil"/>
              <w:right w:val="nil"/>
            </w:tcBorders>
            <w:shd w:val="clear" w:color="auto" w:fill="auto"/>
            <w:vAlign w:val="center"/>
            <w:hideMark/>
          </w:tcPr>
          <w:p w14:paraId="61EE14C4" w14:textId="77777777" w:rsidR="00C45D5B" w:rsidRPr="00B75CC9" w:rsidRDefault="00C45D5B" w:rsidP="00CF774B">
            <w:pPr>
              <w:jc w:val="center"/>
              <w:rPr>
                <w:rFonts w:cs="Times New Roman"/>
                <w:color w:val="000000"/>
                <w:sz w:val="18"/>
                <w:szCs w:val="18"/>
              </w:rPr>
            </w:pPr>
            <w:r w:rsidRPr="00B75CC9">
              <w:rPr>
                <w:color w:val="000000"/>
                <w:sz w:val="18"/>
                <w:szCs w:val="18"/>
              </w:rPr>
              <w:t>-3,6</w:t>
            </w:r>
          </w:p>
        </w:tc>
        <w:tc>
          <w:tcPr>
            <w:tcW w:w="795" w:type="dxa"/>
            <w:tcBorders>
              <w:top w:val="nil"/>
              <w:left w:val="nil"/>
              <w:bottom w:val="nil"/>
              <w:right w:val="nil"/>
            </w:tcBorders>
            <w:shd w:val="clear" w:color="auto" w:fill="auto"/>
            <w:vAlign w:val="center"/>
            <w:hideMark/>
          </w:tcPr>
          <w:p w14:paraId="059F9B2B" w14:textId="77777777" w:rsidR="00C45D5B" w:rsidRPr="00B75CC9" w:rsidRDefault="00C45D5B" w:rsidP="00CF774B">
            <w:pPr>
              <w:jc w:val="center"/>
              <w:rPr>
                <w:rFonts w:cs="Times New Roman"/>
                <w:color w:val="000000"/>
                <w:sz w:val="18"/>
                <w:szCs w:val="18"/>
              </w:rPr>
            </w:pPr>
            <w:r w:rsidRPr="00B75CC9">
              <w:rPr>
                <w:color w:val="000000"/>
                <w:sz w:val="18"/>
                <w:szCs w:val="18"/>
              </w:rPr>
              <w:t>0,1</w:t>
            </w:r>
          </w:p>
        </w:tc>
        <w:tc>
          <w:tcPr>
            <w:tcW w:w="659" w:type="dxa"/>
            <w:tcBorders>
              <w:top w:val="nil"/>
              <w:left w:val="nil"/>
              <w:bottom w:val="nil"/>
              <w:right w:val="nil"/>
            </w:tcBorders>
            <w:shd w:val="clear" w:color="auto" w:fill="auto"/>
            <w:vAlign w:val="center"/>
            <w:hideMark/>
          </w:tcPr>
          <w:p w14:paraId="57106CAE" w14:textId="77777777" w:rsidR="00C45D5B" w:rsidRPr="00B75CC9" w:rsidRDefault="00C45D5B" w:rsidP="00CF774B">
            <w:pPr>
              <w:jc w:val="center"/>
              <w:rPr>
                <w:rFonts w:cs="Times New Roman"/>
                <w:color w:val="000000"/>
                <w:sz w:val="18"/>
                <w:szCs w:val="18"/>
              </w:rPr>
            </w:pPr>
            <w:r w:rsidRPr="00B75CC9">
              <w:rPr>
                <w:color w:val="000000"/>
                <w:sz w:val="18"/>
                <w:szCs w:val="18"/>
              </w:rPr>
              <w:t>-0,9</w:t>
            </w:r>
          </w:p>
        </w:tc>
      </w:tr>
      <w:tr w:rsidR="00C45D5B" w:rsidRPr="00B75CC9" w14:paraId="2AE5DC94" w14:textId="77777777" w:rsidTr="00CF774B">
        <w:trPr>
          <w:trHeight w:val="173"/>
          <w:jc w:val="center"/>
        </w:trPr>
        <w:tc>
          <w:tcPr>
            <w:tcW w:w="8413" w:type="dxa"/>
            <w:gridSpan w:val="6"/>
            <w:tcBorders>
              <w:top w:val="single" w:sz="4" w:space="0" w:color="auto"/>
              <w:left w:val="nil"/>
              <w:bottom w:val="single" w:sz="6" w:space="0" w:color="auto"/>
              <w:right w:val="nil"/>
            </w:tcBorders>
            <w:shd w:val="clear" w:color="auto" w:fill="auto"/>
            <w:vAlign w:val="center"/>
            <w:hideMark/>
          </w:tcPr>
          <w:p w14:paraId="4DE23654" w14:textId="77777777" w:rsidR="00C45D5B" w:rsidRPr="00B75CC9" w:rsidRDefault="00C45D5B" w:rsidP="00CF774B">
            <w:pPr>
              <w:jc w:val="center"/>
              <w:rPr>
                <w:rFonts w:cs="Times New Roman"/>
                <w:b/>
                <w:bCs/>
                <w:color w:val="000000"/>
                <w:sz w:val="18"/>
                <w:szCs w:val="18"/>
              </w:rPr>
            </w:pPr>
            <w:r w:rsidRPr="00B75CC9">
              <w:rPr>
                <w:rFonts w:cs="Times New Roman"/>
                <w:b/>
                <w:bCs/>
                <w:color w:val="000000"/>
                <w:sz w:val="18"/>
                <w:szCs w:val="18"/>
              </w:rPr>
              <w:t>Príspevky k zmene hrubého dlhu</w:t>
            </w:r>
          </w:p>
        </w:tc>
        <w:tc>
          <w:tcPr>
            <w:tcW w:w="659" w:type="dxa"/>
            <w:tcBorders>
              <w:top w:val="single" w:sz="4" w:space="0" w:color="auto"/>
              <w:left w:val="nil"/>
              <w:bottom w:val="single" w:sz="6" w:space="0" w:color="auto"/>
              <w:right w:val="nil"/>
            </w:tcBorders>
            <w:shd w:val="clear" w:color="auto" w:fill="auto"/>
            <w:vAlign w:val="center"/>
            <w:hideMark/>
          </w:tcPr>
          <w:p w14:paraId="7A4B0403" w14:textId="77777777" w:rsidR="00C45D5B" w:rsidRPr="00B75CC9" w:rsidRDefault="00C45D5B" w:rsidP="00CF774B">
            <w:pPr>
              <w:jc w:val="center"/>
              <w:rPr>
                <w:rFonts w:cs="Times New Roman"/>
                <w:b/>
                <w:bCs/>
                <w:color w:val="000000"/>
                <w:sz w:val="18"/>
                <w:szCs w:val="18"/>
              </w:rPr>
            </w:pPr>
          </w:p>
        </w:tc>
      </w:tr>
      <w:tr w:rsidR="00C45D5B" w:rsidRPr="00B75CC9" w14:paraId="45F72581" w14:textId="77777777" w:rsidTr="00CF774B">
        <w:trPr>
          <w:trHeight w:val="173"/>
          <w:jc w:val="center"/>
        </w:trPr>
        <w:tc>
          <w:tcPr>
            <w:tcW w:w="4920" w:type="dxa"/>
            <w:tcBorders>
              <w:top w:val="single" w:sz="6" w:space="0" w:color="auto"/>
              <w:left w:val="nil"/>
              <w:bottom w:val="nil"/>
              <w:right w:val="nil"/>
            </w:tcBorders>
            <w:shd w:val="clear" w:color="auto" w:fill="auto"/>
            <w:noWrap/>
            <w:vAlign w:val="center"/>
            <w:hideMark/>
          </w:tcPr>
          <w:p w14:paraId="4F4BEC69" w14:textId="77777777" w:rsidR="00C45D5B" w:rsidRPr="00B75CC9" w:rsidRDefault="00C45D5B" w:rsidP="00CF774B">
            <w:pPr>
              <w:rPr>
                <w:rFonts w:cs="Times New Roman"/>
                <w:color w:val="000000"/>
                <w:sz w:val="18"/>
                <w:szCs w:val="18"/>
              </w:rPr>
            </w:pPr>
            <w:r w:rsidRPr="00B75CC9">
              <w:rPr>
                <w:rFonts w:cs="Times New Roman"/>
                <w:color w:val="000000"/>
                <w:sz w:val="18"/>
                <w:szCs w:val="18"/>
              </w:rPr>
              <w:t>3. Primárne saldo</w:t>
            </w:r>
          </w:p>
        </w:tc>
        <w:tc>
          <w:tcPr>
            <w:tcW w:w="488" w:type="dxa"/>
            <w:tcBorders>
              <w:top w:val="single" w:sz="6" w:space="0" w:color="auto"/>
              <w:left w:val="nil"/>
              <w:bottom w:val="nil"/>
              <w:right w:val="nil"/>
            </w:tcBorders>
            <w:shd w:val="clear" w:color="auto" w:fill="auto"/>
            <w:noWrap/>
            <w:vAlign w:val="center"/>
            <w:hideMark/>
          </w:tcPr>
          <w:p w14:paraId="2EB95F66"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188D8B12" w14:textId="1D62A350" w:rsidR="00C45D5B" w:rsidRPr="00B75CC9" w:rsidRDefault="00C45D5B" w:rsidP="00CF774B">
            <w:pPr>
              <w:jc w:val="center"/>
              <w:rPr>
                <w:rFonts w:cs="Times New Roman"/>
                <w:color w:val="000000"/>
                <w:sz w:val="18"/>
                <w:szCs w:val="18"/>
              </w:rPr>
            </w:pPr>
            <w:r w:rsidRPr="00B75CC9">
              <w:rPr>
                <w:color w:val="000000"/>
                <w:sz w:val="18"/>
                <w:szCs w:val="18"/>
              </w:rPr>
              <w:t>5,0</w:t>
            </w:r>
          </w:p>
        </w:tc>
        <w:tc>
          <w:tcPr>
            <w:tcW w:w="637" w:type="dxa"/>
            <w:tcBorders>
              <w:top w:val="nil"/>
              <w:left w:val="nil"/>
              <w:bottom w:val="nil"/>
              <w:right w:val="nil"/>
            </w:tcBorders>
            <w:shd w:val="clear" w:color="auto" w:fill="auto"/>
            <w:vAlign w:val="center"/>
            <w:hideMark/>
          </w:tcPr>
          <w:p w14:paraId="091D022A" w14:textId="386248BD" w:rsidR="00C45D5B" w:rsidRPr="00B75CC9" w:rsidRDefault="00C45D5B" w:rsidP="00CF774B">
            <w:pPr>
              <w:jc w:val="center"/>
              <w:rPr>
                <w:rFonts w:cs="Times New Roman"/>
                <w:color w:val="000000"/>
                <w:sz w:val="18"/>
                <w:szCs w:val="18"/>
              </w:rPr>
            </w:pPr>
            <w:r w:rsidRPr="00B75CC9">
              <w:rPr>
                <w:color w:val="000000"/>
                <w:sz w:val="18"/>
                <w:szCs w:val="18"/>
              </w:rPr>
              <w:t>4,2</w:t>
            </w:r>
          </w:p>
        </w:tc>
        <w:tc>
          <w:tcPr>
            <w:tcW w:w="635" w:type="dxa"/>
            <w:tcBorders>
              <w:top w:val="nil"/>
              <w:left w:val="nil"/>
              <w:bottom w:val="nil"/>
              <w:right w:val="nil"/>
            </w:tcBorders>
            <w:shd w:val="clear" w:color="auto" w:fill="auto"/>
            <w:vAlign w:val="center"/>
            <w:hideMark/>
          </w:tcPr>
          <w:p w14:paraId="38E8C9D1" w14:textId="0F2D4D2F" w:rsidR="00C45D5B" w:rsidRPr="00B75CC9" w:rsidRDefault="00C45D5B" w:rsidP="00CF774B">
            <w:pPr>
              <w:jc w:val="center"/>
              <w:rPr>
                <w:rFonts w:cs="Times New Roman"/>
                <w:color w:val="000000"/>
                <w:sz w:val="18"/>
                <w:szCs w:val="18"/>
              </w:rPr>
            </w:pPr>
            <w:r w:rsidRPr="00B75CC9">
              <w:rPr>
                <w:color w:val="000000"/>
                <w:sz w:val="18"/>
                <w:szCs w:val="18"/>
              </w:rPr>
              <w:t>2,5</w:t>
            </w:r>
          </w:p>
        </w:tc>
        <w:tc>
          <w:tcPr>
            <w:tcW w:w="795" w:type="dxa"/>
            <w:tcBorders>
              <w:top w:val="nil"/>
              <w:left w:val="nil"/>
              <w:bottom w:val="nil"/>
              <w:right w:val="nil"/>
            </w:tcBorders>
            <w:shd w:val="clear" w:color="auto" w:fill="auto"/>
            <w:vAlign w:val="center"/>
            <w:hideMark/>
          </w:tcPr>
          <w:p w14:paraId="5593387B" w14:textId="4CBA52FF" w:rsidR="00C45D5B" w:rsidRPr="00B75CC9" w:rsidRDefault="00C45D5B" w:rsidP="00CF774B">
            <w:pPr>
              <w:jc w:val="center"/>
              <w:rPr>
                <w:rFonts w:cs="Times New Roman"/>
                <w:color w:val="000000"/>
                <w:sz w:val="18"/>
                <w:szCs w:val="18"/>
              </w:rPr>
            </w:pPr>
            <w:r w:rsidRPr="00B75CC9">
              <w:rPr>
                <w:color w:val="000000"/>
                <w:sz w:val="18"/>
                <w:szCs w:val="18"/>
              </w:rPr>
              <w:t>2,3</w:t>
            </w:r>
          </w:p>
        </w:tc>
        <w:tc>
          <w:tcPr>
            <w:tcW w:w="659" w:type="dxa"/>
            <w:tcBorders>
              <w:top w:val="nil"/>
              <w:left w:val="nil"/>
              <w:bottom w:val="nil"/>
              <w:right w:val="nil"/>
            </w:tcBorders>
            <w:shd w:val="clear" w:color="auto" w:fill="auto"/>
            <w:vAlign w:val="center"/>
            <w:hideMark/>
          </w:tcPr>
          <w:p w14:paraId="0BEAB38F" w14:textId="77276728" w:rsidR="00C45D5B" w:rsidRPr="00B75CC9" w:rsidRDefault="00C45D5B" w:rsidP="00CF774B">
            <w:pPr>
              <w:jc w:val="center"/>
              <w:rPr>
                <w:rFonts w:cs="Times New Roman"/>
                <w:color w:val="000000"/>
                <w:sz w:val="18"/>
                <w:szCs w:val="18"/>
              </w:rPr>
            </w:pPr>
            <w:r w:rsidRPr="00B75CC9">
              <w:rPr>
                <w:color w:val="000000"/>
                <w:sz w:val="18"/>
                <w:szCs w:val="18"/>
              </w:rPr>
              <w:t>2,5</w:t>
            </w:r>
          </w:p>
        </w:tc>
      </w:tr>
      <w:tr w:rsidR="00C45D5B" w:rsidRPr="00B75CC9" w14:paraId="18CCC959" w14:textId="77777777" w:rsidTr="00CF774B">
        <w:trPr>
          <w:trHeight w:val="173"/>
          <w:jc w:val="center"/>
        </w:trPr>
        <w:tc>
          <w:tcPr>
            <w:tcW w:w="5408" w:type="dxa"/>
            <w:gridSpan w:val="2"/>
            <w:tcBorders>
              <w:top w:val="nil"/>
              <w:left w:val="nil"/>
              <w:bottom w:val="nil"/>
              <w:right w:val="nil"/>
            </w:tcBorders>
            <w:shd w:val="clear" w:color="auto" w:fill="auto"/>
            <w:noWrap/>
            <w:vAlign w:val="center"/>
            <w:hideMark/>
          </w:tcPr>
          <w:p w14:paraId="35669450" w14:textId="77777777" w:rsidR="00C45D5B" w:rsidRPr="00B75CC9" w:rsidRDefault="00C45D5B" w:rsidP="00CF774B">
            <w:pPr>
              <w:rPr>
                <w:rFonts w:cs="Times New Roman"/>
                <w:color w:val="000000"/>
                <w:sz w:val="18"/>
                <w:szCs w:val="18"/>
              </w:rPr>
            </w:pPr>
            <w:r w:rsidRPr="00B75CC9">
              <w:rPr>
                <w:rFonts w:cs="Times New Roman"/>
                <w:color w:val="000000"/>
                <w:sz w:val="18"/>
                <w:szCs w:val="18"/>
              </w:rPr>
              <w:t xml:space="preserve">4. Úroky                                                                                        </w:t>
            </w:r>
          </w:p>
        </w:tc>
        <w:tc>
          <w:tcPr>
            <w:tcW w:w="938" w:type="dxa"/>
            <w:tcBorders>
              <w:top w:val="nil"/>
              <w:left w:val="nil"/>
              <w:bottom w:val="nil"/>
              <w:right w:val="nil"/>
            </w:tcBorders>
            <w:shd w:val="clear" w:color="auto" w:fill="auto"/>
            <w:vAlign w:val="center"/>
            <w:hideMark/>
          </w:tcPr>
          <w:p w14:paraId="3B54A1B8" w14:textId="77777777" w:rsidR="00C45D5B" w:rsidRPr="00B75CC9" w:rsidRDefault="00C45D5B" w:rsidP="00CF774B">
            <w:pPr>
              <w:jc w:val="center"/>
              <w:rPr>
                <w:rFonts w:cs="Times New Roman"/>
                <w:color w:val="000000"/>
                <w:sz w:val="18"/>
                <w:szCs w:val="18"/>
              </w:rPr>
            </w:pPr>
            <w:r w:rsidRPr="00B75CC9">
              <w:rPr>
                <w:color w:val="000000"/>
                <w:sz w:val="18"/>
                <w:szCs w:val="18"/>
              </w:rPr>
              <w:t>1,1</w:t>
            </w:r>
          </w:p>
        </w:tc>
        <w:tc>
          <w:tcPr>
            <w:tcW w:w="637" w:type="dxa"/>
            <w:tcBorders>
              <w:top w:val="nil"/>
              <w:left w:val="nil"/>
              <w:bottom w:val="nil"/>
              <w:right w:val="nil"/>
            </w:tcBorders>
            <w:shd w:val="clear" w:color="auto" w:fill="auto"/>
            <w:vAlign w:val="center"/>
            <w:hideMark/>
          </w:tcPr>
          <w:p w14:paraId="38CCF5D2" w14:textId="77777777" w:rsidR="00C45D5B" w:rsidRPr="00B75CC9" w:rsidRDefault="00C45D5B" w:rsidP="00CF774B">
            <w:pPr>
              <w:jc w:val="center"/>
              <w:rPr>
                <w:rFonts w:cs="Times New Roman"/>
                <w:color w:val="000000"/>
                <w:sz w:val="18"/>
                <w:szCs w:val="18"/>
              </w:rPr>
            </w:pPr>
            <w:r w:rsidRPr="00B75CC9">
              <w:rPr>
                <w:color w:val="000000"/>
                <w:sz w:val="18"/>
                <w:szCs w:val="18"/>
              </w:rPr>
              <w:t>0,8</w:t>
            </w:r>
          </w:p>
        </w:tc>
        <w:tc>
          <w:tcPr>
            <w:tcW w:w="635" w:type="dxa"/>
            <w:tcBorders>
              <w:top w:val="nil"/>
              <w:left w:val="nil"/>
              <w:bottom w:val="nil"/>
              <w:right w:val="nil"/>
            </w:tcBorders>
            <w:shd w:val="clear" w:color="auto" w:fill="auto"/>
            <w:vAlign w:val="center"/>
            <w:hideMark/>
          </w:tcPr>
          <w:p w14:paraId="29FF5B4C" w14:textId="77777777" w:rsidR="00C45D5B" w:rsidRPr="00B75CC9" w:rsidRDefault="00C45D5B" w:rsidP="00CF774B">
            <w:pPr>
              <w:jc w:val="center"/>
              <w:rPr>
                <w:rFonts w:cs="Times New Roman"/>
                <w:color w:val="000000"/>
                <w:sz w:val="18"/>
                <w:szCs w:val="18"/>
              </w:rPr>
            </w:pPr>
            <w:r w:rsidRPr="00B75CC9">
              <w:rPr>
                <w:color w:val="000000"/>
                <w:sz w:val="18"/>
                <w:szCs w:val="18"/>
              </w:rPr>
              <w:t>0,8</w:t>
            </w:r>
          </w:p>
        </w:tc>
        <w:tc>
          <w:tcPr>
            <w:tcW w:w="795" w:type="dxa"/>
            <w:tcBorders>
              <w:top w:val="nil"/>
              <w:left w:val="nil"/>
              <w:bottom w:val="nil"/>
              <w:right w:val="nil"/>
            </w:tcBorders>
            <w:shd w:val="clear" w:color="auto" w:fill="auto"/>
            <w:vAlign w:val="center"/>
            <w:hideMark/>
          </w:tcPr>
          <w:p w14:paraId="445E3C90" w14:textId="77777777" w:rsidR="00C45D5B" w:rsidRPr="00B75CC9" w:rsidRDefault="00C45D5B" w:rsidP="00CF774B">
            <w:pPr>
              <w:jc w:val="center"/>
              <w:rPr>
                <w:rFonts w:cs="Times New Roman"/>
                <w:color w:val="000000"/>
                <w:sz w:val="18"/>
                <w:szCs w:val="18"/>
              </w:rPr>
            </w:pPr>
            <w:r w:rsidRPr="00B75CC9">
              <w:rPr>
                <w:color w:val="000000"/>
                <w:sz w:val="18"/>
                <w:szCs w:val="18"/>
              </w:rPr>
              <w:t>0,9</w:t>
            </w:r>
          </w:p>
        </w:tc>
        <w:tc>
          <w:tcPr>
            <w:tcW w:w="659" w:type="dxa"/>
            <w:tcBorders>
              <w:top w:val="nil"/>
              <w:left w:val="nil"/>
              <w:bottom w:val="nil"/>
              <w:right w:val="nil"/>
            </w:tcBorders>
            <w:shd w:val="clear" w:color="auto" w:fill="auto"/>
            <w:vAlign w:val="center"/>
            <w:hideMark/>
          </w:tcPr>
          <w:p w14:paraId="6E4644DD" w14:textId="77777777" w:rsidR="00C45D5B" w:rsidRPr="00B75CC9" w:rsidRDefault="00C45D5B" w:rsidP="00CF774B">
            <w:pPr>
              <w:jc w:val="center"/>
              <w:rPr>
                <w:rFonts w:cs="Times New Roman"/>
                <w:color w:val="000000"/>
                <w:sz w:val="18"/>
                <w:szCs w:val="18"/>
              </w:rPr>
            </w:pPr>
            <w:r w:rsidRPr="00B75CC9">
              <w:rPr>
                <w:color w:val="000000"/>
                <w:sz w:val="18"/>
                <w:szCs w:val="18"/>
              </w:rPr>
              <w:t>1,0</w:t>
            </w:r>
          </w:p>
        </w:tc>
      </w:tr>
      <w:tr w:rsidR="00C45D5B" w:rsidRPr="00B75CC9" w14:paraId="4A960CE8" w14:textId="77777777" w:rsidTr="00CF774B">
        <w:trPr>
          <w:trHeight w:val="173"/>
          <w:jc w:val="center"/>
        </w:trPr>
        <w:tc>
          <w:tcPr>
            <w:tcW w:w="4920" w:type="dxa"/>
            <w:tcBorders>
              <w:top w:val="nil"/>
              <w:left w:val="nil"/>
              <w:bottom w:val="nil"/>
              <w:right w:val="nil"/>
            </w:tcBorders>
            <w:shd w:val="clear" w:color="auto" w:fill="auto"/>
            <w:vAlign w:val="center"/>
            <w:hideMark/>
          </w:tcPr>
          <w:p w14:paraId="035526F0" w14:textId="77777777" w:rsidR="00C45D5B" w:rsidRPr="00B75CC9" w:rsidRDefault="00C45D5B" w:rsidP="00CF774B">
            <w:pPr>
              <w:rPr>
                <w:rFonts w:cs="Times New Roman"/>
                <w:color w:val="000000"/>
                <w:sz w:val="18"/>
                <w:szCs w:val="18"/>
              </w:rPr>
            </w:pPr>
            <w:r w:rsidRPr="00B75CC9">
              <w:rPr>
                <w:rFonts w:cs="Times New Roman"/>
                <w:color w:val="000000"/>
                <w:sz w:val="18"/>
                <w:szCs w:val="18"/>
              </w:rPr>
              <w:t>5. Zosúladenie dlhu a deficitu</w:t>
            </w:r>
          </w:p>
        </w:tc>
        <w:tc>
          <w:tcPr>
            <w:tcW w:w="488" w:type="dxa"/>
            <w:tcBorders>
              <w:top w:val="nil"/>
              <w:left w:val="nil"/>
              <w:bottom w:val="nil"/>
              <w:right w:val="nil"/>
            </w:tcBorders>
            <w:shd w:val="clear" w:color="auto" w:fill="auto"/>
            <w:vAlign w:val="center"/>
            <w:hideMark/>
          </w:tcPr>
          <w:p w14:paraId="74C3833A"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0B8E3133" w14:textId="77777777" w:rsidR="00C45D5B" w:rsidRPr="00B75CC9" w:rsidRDefault="00C45D5B" w:rsidP="00CF774B">
            <w:pPr>
              <w:jc w:val="center"/>
              <w:rPr>
                <w:rFonts w:cs="Times New Roman"/>
                <w:color w:val="000000"/>
                <w:sz w:val="18"/>
                <w:szCs w:val="18"/>
              </w:rPr>
            </w:pPr>
            <w:r w:rsidRPr="00B75CC9">
              <w:rPr>
                <w:color w:val="000000"/>
                <w:sz w:val="18"/>
                <w:szCs w:val="18"/>
              </w:rPr>
              <w:t>0,3</w:t>
            </w:r>
          </w:p>
        </w:tc>
        <w:tc>
          <w:tcPr>
            <w:tcW w:w="637" w:type="dxa"/>
            <w:tcBorders>
              <w:top w:val="nil"/>
              <w:left w:val="nil"/>
              <w:bottom w:val="nil"/>
              <w:right w:val="nil"/>
            </w:tcBorders>
            <w:shd w:val="clear" w:color="auto" w:fill="auto"/>
            <w:vAlign w:val="center"/>
            <w:hideMark/>
          </w:tcPr>
          <w:p w14:paraId="690235EF" w14:textId="77777777" w:rsidR="00C45D5B" w:rsidRPr="00B75CC9" w:rsidRDefault="00C45D5B" w:rsidP="00CF774B">
            <w:pPr>
              <w:jc w:val="center"/>
              <w:rPr>
                <w:rFonts w:cs="Times New Roman"/>
                <w:color w:val="000000"/>
                <w:sz w:val="18"/>
                <w:szCs w:val="18"/>
              </w:rPr>
            </w:pPr>
            <w:r w:rsidRPr="00B75CC9">
              <w:rPr>
                <w:color w:val="000000"/>
                <w:sz w:val="18"/>
                <w:szCs w:val="18"/>
              </w:rPr>
              <w:t>-1,0</w:t>
            </w:r>
          </w:p>
        </w:tc>
        <w:tc>
          <w:tcPr>
            <w:tcW w:w="635" w:type="dxa"/>
            <w:tcBorders>
              <w:top w:val="nil"/>
              <w:left w:val="nil"/>
              <w:bottom w:val="nil"/>
              <w:right w:val="nil"/>
            </w:tcBorders>
            <w:shd w:val="clear" w:color="auto" w:fill="auto"/>
            <w:vAlign w:val="center"/>
            <w:hideMark/>
          </w:tcPr>
          <w:p w14:paraId="14DC0BCF" w14:textId="77777777" w:rsidR="00C45D5B" w:rsidRPr="00B75CC9" w:rsidRDefault="00C45D5B" w:rsidP="00CF774B">
            <w:pPr>
              <w:jc w:val="center"/>
              <w:rPr>
                <w:rFonts w:cs="Times New Roman"/>
                <w:color w:val="000000"/>
                <w:sz w:val="18"/>
                <w:szCs w:val="18"/>
              </w:rPr>
            </w:pPr>
            <w:r w:rsidRPr="00B75CC9">
              <w:rPr>
                <w:color w:val="000000"/>
                <w:sz w:val="18"/>
                <w:szCs w:val="18"/>
              </w:rPr>
              <w:t>-0,9</w:t>
            </w:r>
          </w:p>
        </w:tc>
        <w:tc>
          <w:tcPr>
            <w:tcW w:w="795" w:type="dxa"/>
            <w:tcBorders>
              <w:top w:val="nil"/>
              <w:left w:val="nil"/>
              <w:bottom w:val="nil"/>
              <w:right w:val="nil"/>
            </w:tcBorders>
            <w:shd w:val="clear" w:color="auto" w:fill="auto"/>
            <w:vAlign w:val="center"/>
            <w:hideMark/>
          </w:tcPr>
          <w:p w14:paraId="58BDD2F3" w14:textId="77777777" w:rsidR="00C45D5B" w:rsidRPr="00B75CC9" w:rsidRDefault="00C45D5B" w:rsidP="00CF774B">
            <w:pPr>
              <w:jc w:val="center"/>
              <w:rPr>
                <w:rFonts w:cs="Times New Roman"/>
                <w:color w:val="000000"/>
                <w:sz w:val="18"/>
                <w:szCs w:val="18"/>
              </w:rPr>
            </w:pPr>
            <w:r w:rsidRPr="00B75CC9">
              <w:rPr>
                <w:color w:val="000000"/>
                <w:sz w:val="18"/>
                <w:szCs w:val="18"/>
              </w:rPr>
              <w:t>-0,7</w:t>
            </w:r>
          </w:p>
        </w:tc>
        <w:tc>
          <w:tcPr>
            <w:tcW w:w="659" w:type="dxa"/>
            <w:tcBorders>
              <w:top w:val="nil"/>
              <w:left w:val="nil"/>
              <w:bottom w:val="nil"/>
              <w:right w:val="nil"/>
            </w:tcBorders>
            <w:shd w:val="clear" w:color="auto" w:fill="auto"/>
            <w:vAlign w:val="center"/>
            <w:hideMark/>
          </w:tcPr>
          <w:p w14:paraId="05528A73" w14:textId="77777777" w:rsidR="00C45D5B" w:rsidRPr="00B75CC9" w:rsidRDefault="00C45D5B" w:rsidP="00CF774B">
            <w:pPr>
              <w:jc w:val="center"/>
              <w:rPr>
                <w:rFonts w:cs="Times New Roman"/>
                <w:color w:val="000000"/>
                <w:sz w:val="18"/>
                <w:szCs w:val="18"/>
              </w:rPr>
            </w:pPr>
            <w:r w:rsidRPr="00B75CC9">
              <w:rPr>
                <w:color w:val="000000"/>
                <w:sz w:val="18"/>
                <w:szCs w:val="18"/>
              </w:rPr>
              <w:t>-2,2</w:t>
            </w:r>
          </w:p>
        </w:tc>
      </w:tr>
      <w:tr w:rsidR="00C45D5B" w:rsidRPr="00B75CC9" w14:paraId="16EDA8F0" w14:textId="77777777" w:rsidTr="00CF774B">
        <w:trPr>
          <w:trHeight w:val="173"/>
          <w:jc w:val="center"/>
        </w:trPr>
        <w:tc>
          <w:tcPr>
            <w:tcW w:w="4920" w:type="dxa"/>
            <w:tcBorders>
              <w:top w:val="nil"/>
              <w:left w:val="nil"/>
              <w:bottom w:val="nil"/>
              <w:right w:val="nil"/>
            </w:tcBorders>
            <w:shd w:val="clear" w:color="auto" w:fill="auto"/>
            <w:vAlign w:val="center"/>
            <w:hideMark/>
          </w:tcPr>
          <w:p w14:paraId="797A03C8" w14:textId="77777777" w:rsidR="00C45D5B" w:rsidRPr="00B75CC9" w:rsidRDefault="00C45D5B" w:rsidP="00CF774B">
            <w:pPr>
              <w:rPr>
                <w:rFonts w:cs="Times New Roman"/>
                <w:color w:val="000000"/>
                <w:sz w:val="18"/>
                <w:szCs w:val="18"/>
              </w:rPr>
            </w:pPr>
            <w:r w:rsidRPr="00B75CC9">
              <w:rPr>
                <w:rFonts w:cs="Times New Roman"/>
                <w:color w:val="000000"/>
                <w:sz w:val="18"/>
                <w:szCs w:val="18"/>
              </w:rPr>
              <w:t>z toho:</w:t>
            </w:r>
          </w:p>
        </w:tc>
        <w:tc>
          <w:tcPr>
            <w:tcW w:w="488" w:type="dxa"/>
            <w:tcBorders>
              <w:top w:val="nil"/>
              <w:left w:val="nil"/>
              <w:bottom w:val="nil"/>
              <w:right w:val="nil"/>
            </w:tcBorders>
            <w:shd w:val="clear" w:color="auto" w:fill="auto"/>
            <w:vAlign w:val="center"/>
            <w:hideMark/>
          </w:tcPr>
          <w:p w14:paraId="58F01840"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0DDF2E30" w14:textId="77777777" w:rsidR="00C45D5B" w:rsidRPr="00B75CC9" w:rsidRDefault="00C45D5B" w:rsidP="00CF774B">
            <w:pPr>
              <w:jc w:val="center"/>
              <w:rPr>
                <w:rFonts w:cs="Times New Roman"/>
                <w:sz w:val="18"/>
                <w:szCs w:val="18"/>
              </w:rPr>
            </w:pPr>
          </w:p>
        </w:tc>
        <w:tc>
          <w:tcPr>
            <w:tcW w:w="637" w:type="dxa"/>
            <w:tcBorders>
              <w:top w:val="nil"/>
              <w:left w:val="nil"/>
              <w:bottom w:val="nil"/>
              <w:right w:val="nil"/>
            </w:tcBorders>
            <w:shd w:val="clear" w:color="auto" w:fill="auto"/>
            <w:vAlign w:val="center"/>
            <w:hideMark/>
          </w:tcPr>
          <w:p w14:paraId="45FBA03C" w14:textId="77777777" w:rsidR="00C45D5B" w:rsidRPr="00B75CC9" w:rsidRDefault="00C45D5B" w:rsidP="00CF774B">
            <w:pPr>
              <w:jc w:val="center"/>
              <w:rPr>
                <w:rFonts w:cs="Times New Roman"/>
                <w:sz w:val="18"/>
                <w:szCs w:val="18"/>
              </w:rPr>
            </w:pPr>
          </w:p>
        </w:tc>
        <w:tc>
          <w:tcPr>
            <w:tcW w:w="635" w:type="dxa"/>
            <w:tcBorders>
              <w:top w:val="nil"/>
              <w:left w:val="nil"/>
              <w:bottom w:val="nil"/>
              <w:right w:val="nil"/>
            </w:tcBorders>
            <w:shd w:val="clear" w:color="auto" w:fill="auto"/>
            <w:vAlign w:val="center"/>
            <w:hideMark/>
          </w:tcPr>
          <w:p w14:paraId="613EEB7F" w14:textId="77777777" w:rsidR="00C45D5B" w:rsidRPr="00B75CC9" w:rsidRDefault="00C45D5B" w:rsidP="00CF774B">
            <w:pPr>
              <w:jc w:val="center"/>
              <w:rPr>
                <w:rFonts w:cs="Times New Roman"/>
                <w:sz w:val="18"/>
                <w:szCs w:val="18"/>
              </w:rPr>
            </w:pPr>
          </w:p>
        </w:tc>
        <w:tc>
          <w:tcPr>
            <w:tcW w:w="795" w:type="dxa"/>
            <w:tcBorders>
              <w:top w:val="nil"/>
              <w:left w:val="nil"/>
              <w:bottom w:val="nil"/>
              <w:right w:val="nil"/>
            </w:tcBorders>
            <w:shd w:val="clear" w:color="auto" w:fill="auto"/>
            <w:vAlign w:val="center"/>
            <w:hideMark/>
          </w:tcPr>
          <w:p w14:paraId="45DD4ED6" w14:textId="77777777" w:rsidR="00C45D5B" w:rsidRPr="00B75CC9" w:rsidRDefault="00C45D5B" w:rsidP="00CF774B">
            <w:pPr>
              <w:jc w:val="center"/>
              <w:rPr>
                <w:rFonts w:cs="Times New Roman"/>
                <w:sz w:val="18"/>
                <w:szCs w:val="18"/>
              </w:rPr>
            </w:pPr>
          </w:p>
        </w:tc>
        <w:tc>
          <w:tcPr>
            <w:tcW w:w="659" w:type="dxa"/>
            <w:tcBorders>
              <w:top w:val="nil"/>
              <w:left w:val="nil"/>
              <w:bottom w:val="nil"/>
              <w:right w:val="nil"/>
            </w:tcBorders>
            <w:shd w:val="clear" w:color="auto" w:fill="auto"/>
            <w:vAlign w:val="center"/>
            <w:hideMark/>
          </w:tcPr>
          <w:p w14:paraId="56265091" w14:textId="77777777" w:rsidR="00C45D5B" w:rsidRPr="00B75CC9" w:rsidRDefault="00C45D5B" w:rsidP="00CF774B">
            <w:pPr>
              <w:jc w:val="center"/>
              <w:rPr>
                <w:rFonts w:cs="Times New Roman"/>
                <w:sz w:val="18"/>
                <w:szCs w:val="18"/>
              </w:rPr>
            </w:pPr>
          </w:p>
        </w:tc>
      </w:tr>
      <w:tr w:rsidR="00C45D5B" w:rsidRPr="00B75CC9" w14:paraId="2E3431EB" w14:textId="77777777" w:rsidTr="00CF774B">
        <w:trPr>
          <w:trHeight w:val="173"/>
          <w:jc w:val="center"/>
        </w:trPr>
        <w:tc>
          <w:tcPr>
            <w:tcW w:w="4920" w:type="dxa"/>
            <w:tcBorders>
              <w:top w:val="nil"/>
              <w:left w:val="nil"/>
              <w:bottom w:val="nil"/>
              <w:right w:val="nil"/>
            </w:tcBorders>
            <w:shd w:val="clear" w:color="auto" w:fill="auto"/>
            <w:noWrap/>
            <w:vAlign w:val="center"/>
            <w:hideMark/>
          </w:tcPr>
          <w:p w14:paraId="3676C5FF" w14:textId="77777777" w:rsidR="00C45D5B" w:rsidRPr="00B75CC9" w:rsidRDefault="00C45D5B" w:rsidP="00CF774B">
            <w:pPr>
              <w:ind w:firstLineChars="100" w:firstLine="180"/>
              <w:rPr>
                <w:rFonts w:cs="Times New Roman"/>
                <w:color w:val="000000"/>
                <w:sz w:val="18"/>
                <w:szCs w:val="18"/>
              </w:rPr>
            </w:pPr>
            <w:r w:rsidRPr="00B75CC9">
              <w:rPr>
                <w:rFonts w:cs="Times New Roman"/>
                <w:color w:val="000000"/>
                <w:sz w:val="18"/>
                <w:szCs w:val="18"/>
              </w:rPr>
              <w:t>- Rozdiely medzi cash a akruálom</w:t>
            </w:r>
          </w:p>
        </w:tc>
        <w:tc>
          <w:tcPr>
            <w:tcW w:w="488" w:type="dxa"/>
            <w:tcBorders>
              <w:top w:val="nil"/>
              <w:left w:val="nil"/>
              <w:bottom w:val="nil"/>
              <w:right w:val="nil"/>
            </w:tcBorders>
            <w:shd w:val="clear" w:color="auto" w:fill="auto"/>
            <w:noWrap/>
            <w:vAlign w:val="center"/>
            <w:hideMark/>
          </w:tcPr>
          <w:p w14:paraId="05969411" w14:textId="77777777" w:rsidR="00C45D5B" w:rsidRPr="00B75CC9" w:rsidRDefault="00C45D5B" w:rsidP="00CF774B">
            <w:pPr>
              <w:ind w:firstLineChars="100" w:firstLine="180"/>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7CBB0E23" w14:textId="77777777" w:rsidR="00C45D5B" w:rsidRPr="00B75CC9" w:rsidRDefault="00C45D5B" w:rsidP="00CF774B">
            <w:pPr>
              <w:jc w:val="center"/>
              <w:rPr>
                <w:rFonts w:cs="Times New Roman"/>
                <w:color w:val="000000"/>
                <w:sz w:val="18"/>
                <w:szCs w:val="18"/>
              </w:rPr>
            </w:pPr>
            <w:r w:rsidRPr="00B75CC9">
              <w:rPr>
                <w:color w:val="000000"/>
                <w:sz w:val="18"/>
                <w:szCs w:val="18"/>
              </w:rPr>
              <w:t>-2,0</w:t>
            </w:r>
          </w:p>
        </w:tc>
        <w:tc>
          <w:tcPr>
            <w:tcW w:w="637" w:type="dxa"/>
            <w:tcBorders>
              <w:top w:val="nil"/>
              <w:left w:val="nil"/>
              <w:bottom w:val="nil"/>
              <w:right w:val="nil"/>
            </w:tcBorders>
            <w:shd w:val="clear" w:color="auto" w:fill="auto"/>
            <w:vAlign w:val="center"/>
            <w:hideMark/>
          </w:tcPr>
          <w:p w14:paraId="2F1A5D3C" w14:textId="77777777" w:rsidR="00C45D5B" w:rsidRPr="00B75CC9" w:rsidRDefault="00C45D5B" w:rsidP="00CF774B">
            <w:pPr>
              <w:jc w:val="center"/>
              <w:rPr>
                <w:rFonts w:cs="Times New Roman"/>
                <w:color w:val="000000"/>
                <w:sz w:val="18"/>
                <w:szCs w:val="18"/>
              </w:rPr>
            </w:pPr>
            <w:r w:rsidRPr="00B75CC9">
              <w:rPr>
                <w:color w:val="000000"/>
                <w:sz w:val="18"/>
                <w:szCs w:val="18"/>
              </w:rPr>
              <w:t>0,2</w:t>
            </w:r>
          </w:p>
        </w:tc>
        <w:tc>
          <w:tcPr>
            <w:tcW w:w="635" w:type="dxa"/>
            <w:tcBorders>
              <w:top w:val="nil"/>
              <w:left w:val="nil"/>
              <w:bottom w:val="nil"/>
              <w:right w:val="nil"/>
            </w:tcBorders>
            <w:shd w:val="clear" w:color="auto" w:fill="auto"/>
            <w:vAlign w:val="center"/>
            <w:hideMark/>
          </w:tcPr>
          <w:p w14:paraId="21779ED7" w14:textId="77777777" w:rsidR="00C45D5B" w:rsidRPr="00B75CC9" w:rsidRDefault="00C45D5B" w:rsidP="00CF774B">
            <w:pPr>
              <w:jc w:val="center"/>
              <w:rPr>
                <w:rFonts w:cs="Times New Roman"/>
                <w:color w:val="000000"/>
                <w:sz w:val="18"/>
                <w:szCs w:val="18"/>
              </w:rPr>
            </w:pPr>
            <w:r w:rsidRPr="00B75CC9">
              <w:rPr>
                <w:color w:val="000000"/>
                <w:sz w:val="18"/>
                <w:szCs w:val="18"/>
              </w:rPr>
              <w:t>-0,3</w:t>
            </w:r>
          </w:p>
        </w:tc>
        <w:tc>
          <w:tcPr>
            <w:tcW w:w="795" w:type="dxa"/>
            <w:tcBorders>
              <w:top w:val="nil"/>
              <w:left w:val="nil"/>
              <w:bottom w:val="nil"/>
              <w:right w:val="nil"/>
            </w:tcBorders>
            <w:shd w:val="clear" w:color="auto" w:fill="auto"/>
            <w:vAlign w:val="center"/>
            <w:hideMark/>
          </w:tcPr>
          <w:p w14:paraId="051561FF" w14:textId="77777777" w:rsidR="00C45D5B" w:rsidRPr="00B75CC9" w:rsidRDefault="00C45D5B" w:rsidP="00CF774B">
            <w:pPr>
              <w:jc w:val="center"/>
              <w:rPr>
                <w:rFonts w:cs="Times New Roman"/>
                <w:color w:val="000000"/>
                <w:sz w:val="18"/>
                <w:szCs w:val="18"/>
              </w:rPr>
            </w:pPr>
            <w:r w:rsidRPr="00B75CC9">
              <w:rPr>
                <w:color w:val="000000"/>
                <w:sz w:val="18"/>
                <w:szCs w:val="18"/>
              </w:rPr>
              <w:t>-0,8</w:t>
            </w:r>
          </w:p>
        </w:tc>
        <w:tc>
          <w:tcPr>
            <w:tcW w:w="659" w:type="dxa"/>
            <w:tcBorders>
              <w:top w:val="nil"/>
              <w:left w:val="nil"/>
              <w:bottom w:val="nil"/>
              <w:right w:val="nil"/>
            </w:tcBorders>
            <w:shd w:val="clear" w:color="auto" w:fill="auto"/>
            <w:vAlign w:val="center"/>
            <w:hideMark/>
          </w:tcPr>
          <w:p w14:paraId="205D167B" w14:textId="77777777" w:rsidR="00C45D5B" w:rsidRPr="00B75CC9" w:rsidRDefault="00C45D5B" w:rsidP="00CF774B">
            <w:pPr>
              <w:jc w:val="center"/>
              <w:rPr>
                <w:rFonts w:cs="Times New Roman"/>
                <w:color w:val="000000"/>
                <w:sz w:val="18"/>
                <w:szCs w:val="18"/>
              </w:rPr>
            </w:pPr>
            <w:r w:rsidRPr="00B75CC9">
              <w:rPr>
                <w:color w:val="000000"/>
                <w:sz w:val="18"/>
                <w:szCs w:val="18"/>
              </w:rPr>
              <w:t>-1,1</w:t>
            </w:r>
          </w:p>
        </w:tc>
      </w:tr>
      <w:tr w:rsidR="00C45D5B" w:rsidRPr="00B75CC9" w14:paraId="35247BDE" w14:textId="77777777" w:rsidTr="00CF774B">
        <w:trPr>
          <w:trHeight w:val="173"/>
          <w:jc w:val="center"/>
        </w:trPr>
        <w:tc>
          <w:tcPr>
            <w:tcW w:w="4920" w:type="dxa"/>
            <w:tcBorders>
              <w:top w:val="nil"/>
              <w:left w:val="nil"/>
              <w:bottom w:val="nil"/>
              <w:right w:val="nil"/>
            </w:tcBorders>
            <w:shd w:val="clear" w:color="auto" w:fill="auto"/>
            <w:noWrap/>
            <w:vAlign w:val="center"/>
            <w:hideMark/>
          </w:tcPr>
          <w:p w14:paraId="236BD7EB" w14:textId="77777777" w:rsidR="00C45D5B" w:rsidRPr="00B75CC9" w:rsidRDefault="00C45D5B" w:rsidP="00CF774B">
            <w:pPr>
              <w:ind w:firstLineChars="100" w:firstLine="180"/>
              <w:rPr>
                <w:rFonts w:cs="Times New Roman"/>
                <w:color w:val="000000"/>
                <w:sz w:val="18"/>
                <w:szCs w:val="18"/>
              </w:rPr>
            </w:pPr>
            <w:r w:rsidRPr="00B75CC9">
              <w:rPr>
                <w:rFonts w:cs="Times New Roman"/>
                <w:color w:val="000000"/>
                <w:sz w:val="18"/>
                <w:szCs w:val="18"/>
              </w:rPr>
              <w:t>- Čistý nárast finančných aktív</w:t>
            </w:r>
          </w:p>
        </w:tc>
        <w:tc>
          <w:tcPr>
            <w:tcW w:w="488" w:type="dxa"/>
            <w:tcBorders>
              <w:top w:val="nil"/>
              <w:left w:val="nil"/>
              <w:bottom w:val="nil"/>
              <w:right w:val="nil"/>
            </w:tcBorders>
            <w:shd w:val="clear" w:color="auto" w:fill="auto"/>
            <w:noWrap/>
            <w:vAlign w:val="center"/>
            <w:hideMark/>
          </w:tcPr>
          <w:p w14:paraId="7B471A26" w14:textId="77777777" w:rsidR="00C45D5B" w:rsidRPr="00B75CC9" w:rsidRDefault="00C45D5B" w:rsidP="00CF774B">
            <w:pPr>
              <w:ind w:firstLineChars="100" w:firstLine="180"/>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71C32474" w14:textId="77777777" w:rsidR="00C45D5B" w:rsidRPr="00B75CC9" w:rsidRDefault="00C45D5B" w:rsidP="00CF774B">
            <w:pPr>
              <w:jc w:val="center"/>
              <w:rPr>
                <w:rFonts w:cs="Times New Roman"/>
                <w:color w:val="000000"/>
                <w:sz w:val="18"/>
                <w:szCs w:val="18"/>
              </w:rPr>
            </w:pPr>
            <w:r w:rsidRPr="00B75CC9">
              <w:rPr>
                <w:color w:val="000000"/>
                <w:sz w:val="18"/>
                <w:szCs w:val="18"/>
              </w:rPr>
              <w:t>3,2</w:t>
            </w:r>
          </w:p>
        </w:tc>
        <w:tc>
          <w:tcPr>
            <w:tcW w:w="637" w:type="dxa"/>
            <w:tcBorders>
              <w:top w:val="nil"/>
              <w:left w:val="nil"/>
              <w:bottom w:val="nil"/>
              <w:right w:val="nil"/>
            </w:tcBorders>
            <w:shd w:val="clear" w:color="auto" w:fill="auto"/>
            <w:vAlign w:val="center"/>
            <w:hideMark/>
          </w:tcPr>
          <w:p w14:paraId="665A71B2" w14:textId="77777777" w:rsidR="00C45D5B" w:rsidRPr="00B75CC9" w:rsidRDefault="00C45D5B" w:rsidP="00CF774B">
            <w:pPr>
              <w:jc w:val="center"/>
              <w:rPr>
                <w:rFonts w:cs="Times New Roman"/>
                <w:color w:val="000000"/>
                <w:sz w:val="18"/>
                <w:szCs w:val="18"/>
              </w:rPr>
            </w:pPr>
            <w:r w:rsidRPr="00B75CC9">
              <w:rPr>
                <w:color w:val="000000"/>
                <w:sz w:val="18"/>
                <w:szCs w:val="18"/>
              </w:rPr>
              <w:t>-0,8</w:t>
            </w:r>
          </w:p>
        </w:tc>
        <w:tc>
          <w:tcPr>
            <w:tcW w:w="635" w:type="dxa"/>
            <w:tcBorders>
              <w:top w:val="nil"/>
              <w:left w:val="nil"/>
              <w:bottom w:val="nil"/>
              <w:right w:val="nil"/>
            </w:tcBorders>
            <w:shd w:val="clear" w:color="auto" w:fill="auto"/>
            <w:vAlign w:val="center"/>
            <w:hideMark/>
          </w:tcPr>
          <w:p w14:paraId="36C8A7BC" w14:textId="77777777" w:rsidR="00C45D5B" w:rsidRPr="00B75CC9" w:rsidRDefault="00C45D5B" w:rsidP="00CF774B">
            <w:pPr>
              <w:jc w:val="center"/>
              <w:rPr>
                <w:rFonts w:cs="Times New Roman"/>
                <w:color w:val="000000"/>
                <w:sz w:val="18"/>
                <w:szCs w:val="18"/>
              </w:rPr>
            </w:pPr>
            <w:r w:rsidRPr="00B75CC9">
              <w:rPr>
                <w:color w:val="000000"/>
                <w:sz w:val="18"/>
                <w:szCs w:val="18"/>
              </w:rPr>
              <w:t>-0,8</w:t>
            </w:r>
          </w:p>
        </w:tc>
        <w:tc>
          <w:tcPr>
            <w:tcW w:w="795" w:type="dxa"/>
            <w:tcBorders>
              <w:top w:val="nil"/>
              <w:left w:val="nil"/>
              <w:bottom w:val="nil"/>
              <w:right w:val="nil"/>
            </w:tcBorders>
            <w:shd w:val="clear" w:color="auto" w:fill="auto"/>
            <w:vAlign w:val="center"/>
            <w:hideMark/>
          </w:tcPr>
          <w:p w14:paraId="4AD7AA9E" w14:textId="77777777" w:rsidR="00C45D5B" w:rsidRPr="00B75CC9" w:rsidRDefault="00C45D5B" w:rsidP="00CF774B">
            <w:pPr>
              <w:jc w:val="center"/>
              <w:rPr>
                <w:rFonts w:cs="Times New Roman"/>
                <w:color w:val="000000"/>
                <w:sz w:val="18"/>
                <w:szCs w:val="18"/>
              </w:rPr>
            </w:pPr>
            <w:r w:rsidRPr="00B75CC9">
              <w:rPr>
                <w:color w:val="000000"/>
                <w:sz w:val="18"/>
                <w:szCs w:val="18"/>
              </w:rPr>
              <w:t>-0,3</w:t>
            </w:r>
          </w:p>
        </w:tc>
        <w:tc>
          <w:tcPr>
            <w:tcW w:w="659" w:type="dxa"/>
            <w:tcBorders>
              <w:top w:val="nil"/>
              <w:left w:val="nil"/>
              <w:bottom w:val="nil"/>
              <w:right w:val="nil"/>
            </w:tcBorders>
            <w:shd w:val="clear" w:color="auto" w:fill="auto"/>
            <w:vAlign w:val="center"/>
            <w:hideMark/>
          </w:tcPr>
          <w:p w14:paraId="4EB948A3" w14:textId="77777777" w:rsidR="00C45D5B" w:rsidRPr="00B75CC9" w:rsidRDefault="00C45D5B" w:rsidP="00CF774B">
            <w:pPr>
              <w:jc w:val="center"/>
              <w:rPr>
                <w:rFonts w:cs="Times New Roman"/>
                <w:color w:val="000000"/>
                <w:sz w:val="18"/>
                <w:szCs w:val="18"/>
              </w:rPr>
            </w:pPr>
            <w:r w:rsidRPr="00B75CC9">
              <w:rPr>
                <w:color w:val="000000"/>
                <w:sz w:val="18"/>
                <w:szCs w:val="18"/>
              </w:rPr>
              <w:t>-1,1</w:t>
            </w:r>
          </w:p>
        </w:tc>
      </w:tr>
      <w:tr w:rsidR="00C45D5B" w:rsidRPr="00B75CC9" w14:paraId="2B93EBA9" w14:textId="77777777" w:rsidTr="00CF774B">
        <w:trPr>
          <w:trHeight w:val="173"/>
          <w:jc w:val="center"/>
        </w:trPr>
        <w:tc>
          <w:tcPr>
            <w:tcW w:w="4920" w:type="dxa"/>
            <w:tcBorders>
              <w:top w:val="nil"/>
              <w:left w:val="nil"/>
              <w:bottom w:val="nil"/>
              <w:right w:val="nil"/>
            </w:tcBorders>
            <w:shd w:val="clear" w:color="auto" w:fill="auto"/>
            <w:noWrap/>
            <w:vAlign w:val="center"/>
            <w:hideMark/>
          </w:tcPr>
          <w:p w14:paraId="53B0C7A4" w14:textId="77777777" w:rsidR="00C45D5B" w:rsidRPr="00B75CC9" w:rsidRDefault="00C45D5B" w:rsidP="00CF774B">
            <w:pPr>
              <w:ind w:firstLineChars="100" w:firstLine="180"/>
              <w:rPr>
                <w:rFonts w:cs="Times New Roman"/>
                <w:color w:val="000000"/>
                <w:sz w:val="18"/>
                <w:szCs w:val="18"/>
              </w:rPr>
            </w:pPr>
            <w:r w:rsidRPr="00B75CC9">
              <w:rPr>
                <w:rFonts w:cs="Times New Roman"/>
                <w:color w:val="000000"/>
                <w:sz w:val="18"/>
                <w:szCs w:val="18"/>
              </w:rPr>
              <w:t xml:space="preserve">      z toho: príjmy z privatizácie</w:t>
            </w:r>
          </w:p>
        </w:tc>
        <w:tc>
          <w:tcPr>
            <w:tcW w:w="488" w:type="dxa"/>
            <w:tcBorders>
              <w:top w:val="nil"/>
              <w:left w:val="nil"/>
              <w:bottom w:val="nil"/>
              <w:right w:val="nil"/>
            </w:tcBorders>
            <w:shd w:val="clear" w:color="auto" w:fill="auto"/>
            <w:noWrap/>
            <w:vAlign w:val="center"/>
            <w:hideMark/>
          </w:tcPr>
          <w:p w14:paraId="3FE7D02B" w14:textId="77777777" w:rsidR="00C45D5B" w:rsidRPr="00B75CC9" w:rsidRDefault="00C45D5B" w:rsidP="00CF774B">
            <w:pPr>
              <w:ind w:firstLineChars="100" w:firstLine="180"/>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3B29E98C" w14:textId="77777777" w:rsidR="00C45D5B" w:rsidRPr="00B75CC9" w:rsidRDefault="00C45D5B" w:rsidP="00CF774B">
            <w:pPr>
              <w:jc w:val="center"/>
              <w:rPr>
                <w:rFonts w:cs="Times New Roman"/>
                <w:color w:val="000000"/>
                <w:sz w:val="18"/>
                <w:szCs w:val="18"/>
              </w:rPr>
            </w:pPr>
            <w:r w:rsidRPr="00B75CC9">
              <w:rPr>
                <w:color w:val="000000"/>
                <w:sz w:val="18"/>
                <w:szCs w:val="18"/>
              </w:rPr>
              <w:t>0,0</w:t>
            </w:r>
          </w:p>
        </w:tc>
        <w:tc>
          <w:tcPr>
            <w:tcW w:w="637" w:type="dxa"/>
            <w:tcBorders>
              <w:top w:val="nil"/>
              <w:left w:val="nil"/>
              <w:bottom w:val="nil"/>
              <w:right w:val="nil"/>
            </w:tcBorders>
            <w:shd w:val="clear" w:color="auto" w:fill="auto"/>
            <w:vAlign w:val="center"/>
            <w:hideMark/>
          </w:tcPr>
          <w:p w14:paraId="51F1773A" w14:textId="77777777" w:rsidR="00C45D5B" w:rsidRPr="00B75CC9" w:rsidRDefault="00C45D5B" w:rsidP="00CF774B">
            <w:pPr>
              <w:jc w:val="center"/>
              <w:rPr>
                <w:rFonts w:cs="Times New Roman"/>
                <w:color w:val="000000"/>
                <w:sz w:val="18"/>
                <w:szCs w:val="18"/>
              </w:rPr>
            </w:pPr>
            <w:r w:rsidRPr="00B75CC9">
              <w:rPr>
                <w:color w:val="000000"/>
                <w:sz w:val="18"/>
                <w:szCs w:val="18"/>
              </w:rPr>
              <w:t>0,0</w:t>
            </w:r>
          </w:p>
        </w:tc>
        <w:tc>
          <w:tcPr>
            <w:tcW w:w="635" w:type="dxa"/>
            <w:tcBorders>
              <w:top w:val="nil"/>
              <w:left w:val="nil"/>
              <w:bottom w:val="nil"/>
              <w:right w:val="nil"/>
            </w:tcBorders>
            <w:shd w:val="clear" w:color="auto" w:fill="auto"/>
            <w:vAlign w:val="center"/>
            <w:hideMark/>
          </w:tcPr>
          <w:p w14:paraId="3777BDF8" w14:textId="77777777" w:rsidR="00C45D5B" w:rsidRPr="00B75CC9" w:rsidRDefault="00C45D5B" w:rsidP="00CF774B">
            <w:pPr>
              <w:jc w:val="center"/>
              <w:rPr>
                <w:rFonts w:cs="Times New Roman"/>
                <w:color w:val="000000"/>
                <w:sz w:val="18"/>
                <w:szCs w:val="18"/>
              </w:rPr>
            </w:pPr>
            <w:r w:rsidRPr="00B75CC9">
              <w:rPr>
                <w:color w:val="000000"/>
                <w:sz w:val="18"/>
                <w:szCs w:val="18"/>
              </w:rPr>
              <w:t>0,0</w:t>
            </w:r>
          </w:p>
        </w:tc>
        <w:tc>
          <w:tcPr>
            <w:tcW w:w="795" w:type="dxa"/>
            <w:tcBorders>
              <w:top w:val="nil"/>
              <w:left w:val="nil"/>
              <w:bottom w:val="nil"/>
              <w:right w:val="nil"/>
            </w:tcBorders>
            <w:shd w:val="clear" w:color="auto" w:fill="auto"/>
            <w:vAlign w:val="center"/>
            <w:hideMark/>
          </w:tcPr>
          <w:p w14:paraId="07BF9B07" w14:textId="77777777" w:rsidR="00C45D5B" w:rsidRPr="00B75CC9" w:rsidRDefault="00C45D5B" w:rsidP="00CF774B">
            <w:pPr>
              <w:jc w:val="center"/>
              <w:rPr>
                <w:rFonts w:cs="Times New Roman"/>
                <w:color w:val="000000"/>
                <w:sz w:val="18"/>
                <w:szCs w:val="18"/>
              </w:rPr>
            </w:pPr>
            <w:r w:rsidRPr="00B75CC9">
              <w:rPr>
                <w:color w:val="000000"/>
                <w:sz w:val="18"/>
                <w:szCs w:val="18"/>
              </w:rPr>
              <w:t>0,0</w:t>
            </w:r>
          </w:p>
        </w:tc>
        <w:tc>
          <w:tcPr>
            <w:tcW w:w="659" w:type="dxa"/>
            <w:tcBorders>
              <w:top w:val="nil"/>
              <w:left w:val="nil"/>
              <w:bottom w:val="nil"/>
              <w:right w:val="nil"/>
            </w:tcBorders>
            <w:shd w:val="clear" w:color="auto" w:fill="auto"/>
            <w:vAlign w:val="center"/>
            <w:hideMark/>
          </w:tcPr>
          <w:p w14:paraId="5CAB1D67" w14:textId="77777777" w:rsidR="00C45D5B" w:rsidRPr="00B75CC9" w:rsidRDefault="00C45D5B" w:rsidP="00CF774B">
            <w:pPr>
              <w:jc w:val="center"/>
              <w:rPr>
                <w:rFonts w:cs="Times New Roman"/>
                <w:color w:val="000000"/>
                <w:sz w:val="18"/>
                <w:szCs w:val="18"/>
              </w:rPr>
            </w:pPr>
            <w:r w:rsidRPr="00B75CC9">
              <w:rPr>
                <w:color w:val="000000"/>
                <w:sz w:val="18"/>
                <w:szCs w:val="18"/>
              </w:rPr>
              <w:t>0,0</w:t>
            </w:r>
          </w:p>
        </w:tc>
      </w:tr>
      <w:tr w:rsidR="00C45D5B" w:rsidRPr="00B75CC9" w14:paraId="6FF89DCD" w14:textId="77777777" w:rsidTr="00CF774B">
        <w:trPr>
          <w:trHeight w:val="173"/>
          <w:jc w:val="center"/>
        </w:trPr>
        <w:tc>
          <w:tcPr>
            <w:tcW w:w="4920" w:type="dxa"/>
            <w:tcBorders>
              <w:top w:val="nil"/>
              <w:left w:val="nil"/>
              <w:bottom w:val="nil"/>
              <w:right w:val="nil"/>
            </w:tcBorders>
            <w:shd w:val="clear" w:color="auto" w:fill="auto"/>
            <w:noWrap/>
            <w:vAlign w:val="center"/>
            <w:hideMark/>
          </w:tcPr>
          <w:p w14:paraId="64C473CE" w14:textId="77777777" w:rsidR="00C45D5B" w:rsidRPr="00B75CC9" w:rsidRDefault="00C45D5B" w:rsidP="00CF774B">
            <w:pPr>
              <w:ind w:firstLineChars="100" w:firstLine="180"/>
              <w:rPr>
                <w:rFonts w:cs="Times New Roman"/>
                <w:color w:val="000000"/>
                <w:sz w:val="18"/>
                <w:szCs w:val="18"/>
              </w:rPr>
            </w:pPr>
            <w:r w:rsidRPr="00B75CC9">
              <w:rPr>
                <w:rFonts w:cs="Times New Roman"/>
                <w:color w:val="000000"/>
                <w:sz w:val="18"/>
                <w:szCs w:val="18"/>
              </w:rPr>
              <w:t>- Efekty zhodnotenia a iné</w:t>
            </w:r>
          </w:p>
        </w:tc>
        <w:tc>
          <w:tcPr>
            <w:tcW w:w="488" w:type="dxa"/>
            <w:tcBorders>
              <w:top w:val="nil"/>
              <w:left w:val="nil"/>
              <w:bottom w:val="nil"/>
              <w:right w:val="nil"/>
            </w:tcBorders>
            <w:shd w:val="clear" w:color="auto" w:fill="auto"/>
            <w:noWrap/>
            <w:vAlign w:val="center"/>
            <w:hideMark/>
          </w:tcPr>
          <w:p w14:paraId="5F9B95A1" w14:textId="77777777" w:rsidR="00C45D5B" w:rsidRPr="00B75CC9" w:rsidRDefault="00C45D5B" w:rsidP="00CF774B">
            <w:pPr>
              <w:ind w:firstLineChars="100" w:firstLine="180"/>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6EC81BA0" w14:textId="77777777" w:rsidR="00C45D5B" w:rsidRPr="00B75CC9" w:rsidRDefault="00C45D5B" w:rsidP="00CF774B">
            <w:pPr>
              <w:jc w:val="center"/>
              <w:rPr>
                <w:rFonts w:cs="Times New Roman"/>
                <w:color w:val="000000"/>
                <w:sz w:val="18"/>
                <w:szCs w:val="18"/>
              </w:rPr>
            </w:pPr>
            <w:r w:rsidRPr="00B75CC9">
              <w:rPr>
                <w:color w:val="000000"/>
                <w:sz w:val="18"/>
                <w:szCs w:val="18"/>
              </w:rPr>
              <w:t>-0,8</w:t>
            </w:r>
          </w:p>
        </w:tc>
        <w:tc>
          <w:tcPr>
            <w:tcW w:w="637" w:type="dxa"/>
            <w:tcBorders>
              <w:top w:val="nil"/>
              <w:left w:val="nil"/>
              <w:bottom w:val="nil"/>
              <w:right w:val="nil"/>
            </w:tcBorders>
            <w:shd w:val="clear" w:color="auto" w:fill="auto"/>
            <w:vAlign w:val="center"/>
            <w:hideMark/>
          </w:tcPr>
          <w:p w14:paraId="0DD8B6AC" w14:textId="77777777" w:rsidR="00C45D5B" w:rsidRPr="00B75CC9" w:rsidRDefault="00C45D5B" w:rsidP="00CF774B">
            <w:pPr>
              <w:jc w:val="center"/>
              <w:rPr>
                <w:rFonts w:cs="Times New Roman"/>
                <w:color w:val="000000"/>
                <w:sz w:val="18"/>
                <w:szCs w:val="18"/>
              </w:rPr>
            </w:pPr>
            <w:r w:rsidRPr="00B75CC9">
              <w:rPr>
                <w:color w:val="000000"/>
                <w:sz w:val="18"/>
                <w:szCs w:val="18"/>
              </w:rPr>
              <w:t>-0,5</w:t>
            </w:r>
          </w:p>
        </w:tc>
        <w:tc>
          <w:tcPr>
            <w:tcW w:w="635" w:type="dxa"/>
            <w:tcBorders>
              <w:top w:val="nil"/>
              <w:left w:val="nil"/>
              <w:bottom w:val="nil"/>
              <w:right w:val="nil"/>
            </w:tcBorders>
            <w:shd w:val="clear" w:color="auto" w:fill="auto"/>
            <w:vAlign w:val="center"/>
            <w:hideMark/>
          </w:tcPr>
          <w:p w14:paraId="4DE4AD8A" w14:textId="77777777" w:rsidR="00C45D5B" w:rsidRPr="00B75CC9" w:rsidRDefault="00C45D5B" w:rsidP="00CF774B">
            <w:pPr>
              <w:jc w:val="center"/>
              <w:rPr>
                <w:rFonts w:cs="Times New Roman"/>
                <w:color w:val="000000"/>
                <w:sz w:val="18"/>
                <w:szCs w:val="18"/>
              </w:rPr>
            </w:pPr>
            <w:r w:rsidRPr="00B75CC9">
              <w:rPr>
                <w:color w:val="000000"/>
                <w:sz w:val="18"/>
                <w:szCs w:val="18"/>
              </w:rPr>
              <w:t>0,2</w:t>
            </w:r>
          </w:p>
        </w:tc>
        <w:tc>
          <w:tcPr>
            <w:tcW w:w="795" w:type="dxa"/>
            <w:tcBorders>
              <w:top w:val="nil"/>
              <w:left w:val="nil"/>
              <w:bottom w:val="nil"/>
              <w:right w:val="nil"/>
            </w:tcBorders>
            <w:shd w:val="clear" w:color="auto" w:fill="auto"/>
            <w:vAlign w:val="center"/>
            <w:hideMark/>
          </w:tcPr>
          <w:p w14:paraId="58E264CB" w14:textId="77777777" w:rsidR="00C45D5B" w:rsidRPr="00B75CC9" w:rsidRDefault="00C45D5B" w:rsidP="00CF774B">
            <w:pPr>
              <w:jc w:val="center"/>
              <w:rPr>
                <w:rFonts w:cs="Times New Roman"/>
                <w:color w:val="000000"/>
                <w:sz w:val="18"/>
                <w:szCs w:val="18"/>
              </w:rPr>
            </w:pPr>
            <w:r w:rsidRPr="00B75CC9">
              <w:rPr>
                <w:color w:val="000000"/>
                <w:sz w:val="18"/>
                <w:szCs w:val="18"/>
              </w:rPr>
              <w:t>0,3</w:t>
            </w:r>
          </w:p>
        </w:tc>
        <w:tc>
          <w:tcPr>
            <w:tcW w:w="659" w:type="dxa"/>
            <w:tcBorders>
              <w:top w:val="nil"/>
              <w:left w:val="nil"/>
              <w:bottom w:val="nil"/>
              <w:right w:val="nil"/>
            </w:tcBorders>
            <w:shd w:val="clear" w:color="auto" w:fill="auto"/>
            <w:vAlign w:val="center"/>
            <w:hideMark/>
          </w:tcPr>
          <w:p w14:paraId="00419B8A" w14:textId="77777777" w:rsidR="00C45D5B" w:rsidRPr="00B75CC9" w:rsidRDefault="00C45D5B" w:rsidP="00CF774B">
            <w:pPr>
              <w:jc w:val="center"/>
              <w:rPr>
                <w:rFonts w:cs="Times New Roman"/>
                <w:color w:val="000000"/>
                <w:sz w:val="18"/>
                <w:szCs w:val="18"/>
              </w:rPr>
            </w:pPr>
            <w:r w:rsidRPr="00B75CC9">
              <w:rPr>
                <w:color w:val="000000"/>
                <w:sz w:val="18"/>
                <w:szCs w:val="18"/>
              </w:rPr>
              <w:t>0,0</w:t>
            </w:r>
          </w:p>
        </w:tc>
      </w:tr>
      <w:tr w:rsidR="00C45D5B" w:rsidRPr="00B75CC9" w14:paraId="638D554A" w14:textId="77777777" w:rsidTr="00CF774B">
        <w:trPr>
          <w:trHeight w:val="173"/>
          <w:jc w:val="center"/>
        </w:trPr>
        <w:tc>
          <w:tcPr>
            <w:tcW w:w="4920" w:type="dxa"/>
            <w:tcBorders>
              <w:top w:val="nil"/>
              <w:left w:val="nil"/>
              <w:bottom w:val="single" w:sz="4" w:space="0" w:color="auto"/>
              <w:right w:val="nil"/>
            </w:tcBorders>
            <w:shd w:val="clear" w:color="auto" w:fill="auto"/>
            <w:noWrap/>
            <w:vAlign w:val="center"/>
            <w:hideMark/>
          </w:tcPr>
          <w:p w14:paraId="2FCAA2CF" w14:textId="77777777" w:rsidR="00C45D5B" w:rsidRPr="00B75CC9" w:rsidRDefault="00C45D5B" w:rsidP="00CF774B">
            <w:pPr>
              <w:rPr>
                <w:rFonts w:cs="Times New Roman"/>
                <w:color w:val="000000"/>
                <w:sz w:val="18"/>
                <w:szCs w:val="18"/>
              </w:rPr>
            </w:pPr>
            <w:r w:rsidRPr="00B75CC9">
              <w:rPr>
                <w:rFonts w:cs="Times New Roman"/>
                <w:color w:val="000000"/>
                <w:sz w:val="18"/>
                <w:szCs w:val="18"/>
              </w:rPr>
              <w:t>p. m. Implicitná úroková miera</w:t>
            </w:r>
          </w:p>
        </w:tc>
        <w:tc>
          <w:tcPr>
            <w:tcW w:w="488" w:type="dxa"/>
            <w:tcBorders>
              <w:top w:val="nil"/>
              <w:left w:val="nil"/>
              <w:bottom w:val="single" w:sz="4" w:space="0" w:color="auto"/>
              <w:right w:val="nil"/>
            </w:tcBorders>
            <w:shd w:val="clear" w:color="auto" w:fill="auto"/>
            <w:noWrap/>
            <w:vAlign w:val="center"/>
            <w:hideMark/>
          </w:tcPr>
          <w:p w14:paraId="0BD49F44"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76EEB2CA" w14:textId="77777777" w:rsidR="00C45D5B" w:rsidRPr="00B75CC9" w:rsidRDefault="00C45D5B" w:rsidP="00CF774B">
            <w:pPr>
              <w:jc w:val="center"/>
              <w:rPr>
                <w:rFonts w:cs="Times New Roman"/>
                <w:color w:val="000000"/>
                <w:sz w:val="18"/>
                <w:szCs w:val="18"/>
              </w:rPr>
            </w:pPr>
            <w:r w:rsidRPr="00B75CC9">
              <w:rPr>
                <w:color w:val="000000"/>
                <w:sz w:val="18"/>
                <w:szCs w:val="18"/>
              </w:rPr>
              <w:t>2,0</w:t>
            </w:r>
          </w:p>
        </w:tc>
        <w:tc>
          <w:tcPr>
            <w:tcW w:w="637" w:type="dxa"/>
            <w:tcBorders>
              <w:top w:val="nil"/>
              <w:left w:val="nil"/>
              <w:bottom w:val="nil"/>
              <w:right w:val="nil"/>
            </w:tcBorders>
            <w:shd w:val="clear" w:color="auto" w:fill="auto"/>
            <w:vAlign w:val="center"/>
            <w:hideMark/>
          </w:tcPr>
          <w:p w14:paraId="3E4DED56" w14:textId="77777777" w:rsidR="00C45D5B" w:rsidRPr="00B75CC9" w:rsidRDefault="00C45D5B" w:rsidP="00CF774B">
            <w:pPr>
              <w:jc w:val="center"/>
              <w:rPr>
                <w:rFonts w:cs="Times New Roman"/>
                <w:color w:val="000000"/>
                <w:sz w:val="18"/>
                <w:szCs w:val="18"/>
              </w:rPr>
            </w:pPr>
            <w:r w:rsidRPr="00B75CC9">
              <w:rPr>
                <w:color w:val="000000"/>
                <w:sz w:val="18"/>
                <w:szCs w:val="18"/>
              </w:rPr>
              <w:t>1,5</w:t>
            </w:r>
          </w:p>
        </w:tc>
        <w:tc>
          <w:tcPr>
            <w:tcW w:w="635" w:type="dxa"/>
            <w:tcBorders>
              <w:top w:val="nil"/>
              <w:left w:val="nil"/>
              <w:bottom w:val="nil"/>
              <w:right w:val="nil"/>
            </w:tcBorders>
            <w:shd w:val="clear" w:color="auto" w:fill="auto"/>
            <w:vAlign w:val="center"/>
            <w:hideMark/>
          </w:tcPr>
          <w:p w14:paraId="4E96E31E" w14:textId="77777777" w:rsidR="00C45D5B" w:rsidRPr="00B75CC9" w:rsidRDefault="00C45D5B" w:rsidP="00CF774B">
            <w:pPr>
              <w:jc w:val="center"/>
              <w:rPr>
                <w:rFonts w:cs="Times New Roman"/>
                <w:color w:val="000000"/>
                <w:sz w:val="18"/>
                <w:szCs w:val="18"/>
              </w:rPr>
            </w:pPr>
            <w:r w:rsidRPr="00B75CC9">
              <w:rPr>
                <w:color w:val="000000"/>
                <w:sz w:val="18"/>
                <w:szCs w:val="18"/>
              </w:rPr>
              <w:t>1,5</w:t>
            </w:r>
          </w:p>
        </w:tc>
        <w:tc>
          <w:tcPr>
            <w:tcW w:w="795" w:type="dxa"/>
            <w:tcBorders>
              <w:top w:val="nil"/>
              <w:left w:val="nil"/>
              <w:bottom w:val="nil"/>
              <w:right w:val="nil"/>
            </w:tcBorders>
            <w:shd w:val="clear" w:color="auto" w:fill="auto"/>
            <w:vAlign w:val="center"/>
            <w:hideMark/>
          </w:tcPr>
          <w:p w14:paraId="0D93DECD" w14:textId="77777777" w:rsidR="00C45D5B" w:rsidRPr="00B75CC9" w:rsidRDefault="00C45D5B" w:rsidP="00CF774B">
            <w:pPr>
              <w:jc w:val="center"/>
              <w:rPr>
                <w:rFonts w:cs="Times New Roman"/>
                <w:color w:val="000000"/>
                <w:sz w:val="18"/>
                <w:szCs w:val="18"/>
              </w:rPr>
            </w:pPr>
            <w:r w:rsidRPr="00B75CC9">
              <w:rPr>
                <w:color w:val="000000"/>
                <w:sz w:val="18"/>
                <w:szCs w:val="18"/>
              </w:rPr>
              <w:t>1,7</w:t>
            </w:r>
          </w:p>
        </w:tc>
        <w:tc>
          <w:tcPr>
            <w:tcW w:w="659" w:type="dxa"/>
            <w:tcBorders>
              <w:top w:val="nil"/>
              <w:left w:val="nil"/>
              <w:bottom w:val="nil"/>
              <w:right w:val="nil"/>
            </w:tcBorders>
            <w:shd w:val="clear" w:color="auto" w:fill="auto"/>
            <w:vAlign w:val="center"/>
            <w:hideMark/>
          </w:tcPr>
          <w:p w14:paraId="7CD71D56" w14:textId="77777777" w:rsidR="00C45D5B" w:rsidRPr="00B75CC9" w:rsidRDefault="00C45D5B" w:rsidP="00CF774B">
            <w:pPr>
              <w:jc w:val="center"/>
              <w:rPr>
                <w:rFonts w:cs="Times New Roman"/>
                <w:color w:val="000000"/>
                <w:sz w:val="18"/>
                <w:szCs w:val="18"/>
              </w:rPr>
            </w:pPr>
            <w:r w:rsidRPr="00B75CC9">
              <w:rPr>
                <w:color w:val="000000"/>
                <w:sz w:val="18"/>
                <w:szCs w:val="18"/>
              </w:rPr>
              <w:t>1,8</w:t>
            </w:r>
          </w:p>
        </w:tc>
      </w:tr>
      <w:tr w:rsidR="00C45D5B" w:rsidRPr="00B75CC9" w14:paraId="600F6EF4" w14:textId="77777777" w:rsidTr="00CF774B">
        <w:trPr>
          <w:trHeight w:val="173"/>
          <w:jc w:val="center"/>
        </w:trPr>
        <w:tc>
          <w:tcPr>
            <w:tcW w:w="8413" w:type="dxa"/>
            <w:gridSpan w:val="6"/>
            <w:tcBorders>
              <w:top w:val="single" w:sz="4" w:space="0" w:color="auto"/>
              <w:left w:val="nil"/>
              <w:bottom w:val="single" w:sz="6" w:space="0" w:color="auto"/>
              <w:right w:val="nil"/>
            </w:tcBorders>
            <w:shd w:val="clear" w:color="auto" w:fill="auto"/>
            <w:vAlign w:val="center"/>
            <w:hideMark/>
          </w:tcPr>
          <w:p w14:paraId="400DEB33" w14:textId="77777777" w:rsidR="00C45D5B" w:rsidRPr="00B75CC9" w:rsidRDefault="00C45D5B" w:rsidP="00CF774B">
            <w:pPr>
              <w:jc w:val="center"/>
              <w:rPr>
                <w:rFonts w:cs="Times New Roman"/>
                <w:b/>
                <w:bCs/>
                <w:color w:val="000000"/>
                <w:sz w:val="18"/>
                <w:szCs w:val="18"/>
              </w:rPr>
            </w:pPr>
            <w:r w:rsidRPr="00B75CC9">
              <w:rPr>
                <w:rFonts w:cs="Times New Roman"/>
                <w:b/>
                <w:bCs/>
                <w:color w:val="000000"/>
                <w:sz w:val="18"/>
                <w:szCs w:val="18"/>
              </w:rPr>
              <w:t>Iné relevantné faktory</w:t>
            </w:r>
          </w:p>
        </w:tc>
        <w:tc>
          <w:tcPr>
            <w:tcW w:w="659" w:type="dxa"/>
            <w:tcBorders>
              <w:top w:val="single" w:sz="4" w:space="0" w:color="auto"/>
              <w:left w:val="nil"/>
              <w:bottom w:val="single" w:sz="6" w:space="0" w:color="auto"/>
              <w:right w:val="nil"/>
            </w:tcBorders>
            <w:shd w:val="clear" w:color="auto" w:fill="auto"/>
            <w:vAlign w:val="center"/>
            <w:hideMark/>
          </w:tcPr>
          <w:p w14:paraId="7104CBE8" w14:textId="77777777" w:rsidR="00C45D5B" w:rsidRPr="00B75CC9" w:rsidRDefault="00C45D5B" w:rsidP="00CF774B">
            <w:pPr>
              <w:jc w:val="center"/>
              <w:rPr>
                <w:rFonts w:cs="Times New Roman"/>
                <w:b/>
                <w:bCs/>
                <w:color w:val="000000"/>
                <w:sz w:val="18"/>
                <w:szCs w:val="18"/>
              </w:rPr>
            </w:pPr>
          </w:p>
        </w:tc>
      </w:tr>
      <w:tr w:rsidR="00C45D5B" w:rsidRPr="00B75CC9" w14:paraId="67136E21" w14:textId="77777777" w:rsidTr="00CF774B">
        <w:trPr>
          <w:trHeight w:val="173"/>
          <w:jc w:val="center"/>
        </w:trPr>
        <w:tc>
          <w:tcPr>
            <w:tcW w:w="4920" w:type="dxa"/>
            <w:tcBorders>
              <w:top w:val="single" w:sz="6" w:space="0" w:color="auto"/>
              <w:left w:val="nil"/>
              <w:bottom w:val="nil"/>
              <w:right w:val="nil"/>
            </w:tcBorders>
            <w:shd w:val="clear" w:color="auto" w:fill="auto"/>
            <w:noWrap/>
            <w:vAlign w:val="center"/>
            <w:hideMark/>
          </w:tcPr>
          <w:p w14:paraId="4B20613B" w14:textId="77777777" w:rsidR="00C45D5B" w:rsidRPr="00B75CC9" w:rsidRDefault="00C45D5B" w:rsidP="00CF774B">
            <w:pPr>
              <w:rPr>
                <w:rFonts w:cs="Times New Roman"/>
                <w:color w:val="000000"/>
                <w:sz w:val="18"/>
                <w:szCs w:val="18"/>
              </w:rPr>
            </w:pPr>
            <w:r w:rsidRPr="00B75CC9">
              <w:rPr>
                <w:rFonts w:cs="Times New Roman"/>
                <w:color w:val="000000"/>
                <w:sz w:val="18"/>
                <w:szCs w:val="18"/>
              </w:rPr>
              <w:t>6. Likvidné finančné aktíva</w:t>
            </w:r>
          </w:p>
        </w:tc>
        <w:tc>
          <w:tcPr>
            <w:tcW w:w="488" w:type="dxa"/>
            <w:tcBorders>
              <w:top w:val="single" w:sz="6" w:space="0" w:color="auto"/>
              <w:left w:val="nil"/>
              <w:bottom w:val="nil"/>
              <w:right w:val="nil"/>
            </w:tcBorders>
            <w:shd w:val="clear" w:color="auto" w:fill="auto"/>
            <w:noWrap/>
            <w:vAlign w:val="bottom"/>
            <w:hideMark/>
          </w:tcPr>
          <w:p w14:paraId="343EDF10"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noWrap/>
            <w:vAlign w:val="center"/>
            <w:hideMark/>
          </w:tcPr>
          <w:p w14:paraId="6B003F5A" w14:textId="77777777" w:rsidR="00C45D5B" w:rsidRPr="00B75CC9" w:rsidRDefault="00C45D5B" w:rsidP="00CF774B">
            <w:pPr>
              <w:jc w:val="center"/>
              <w:rPr>
                <w:rFonts w:cs="Times New Roman"/>
                <w:color w:val="000000"/>
                <w:sz w:val="18"/>
                <w:szCs w:val="18"/>
              </w:rPr>
            </w:pPr>
            <w:r w:rsidRPr="00B75CC9">
              <w:rPr>
                <w:color w:val="000000"/>
                <w:sz w:val="18"/>
                <w:szCs w:val="18"/>
              </w:rPr>
              <w:t>11,5</w:t>
            </w:r>
          </w:p>
        </w:tc>
        <w:tc>
          <w:tcPr>
            <w:tcW w:w="637" w:type="dxa"/>
            <w:tcBorders>
              <w:top w:val="nil"/>
              <w:left w:val="nil"/>
              <w:bottom w:val="nil"/>
              <w:right w:val="nil"/>
            </w:tcBorders>
            <w:shd w:val="clear" w:color="auto" w:fill="auto"/>
            <w:noWrap/>
            <w:vAlign w:val="center"/>
            <w:hideMark/>
          </w:tcPr>
          <w:p w14:paraId="038B5809" w14:textId="77777777" w:rsidR="00C45D5B" w:rsidRPr="00B75CC9" w:rsidRDefault="00C45D5B" w:rsidP="00CF774B">
            <w:pPr>
              <w:jc w:val="center"/>
              <w:rPr>
                <w:rFonts w:cs="Times New Roman"/>
                <w:color w:val="000000"/>
                <w:sz w:val="18"/>
                <w:szCs w:val="18"/>
              </w:rPr>
            </w:pPr>
            <w:r w:rsidRPr="00B75CC9">
              <w:rPr>
                <w:color w:val="000000"/>
                <w:sz w:val="18"/>
                <w:szCs w:val="18"/>
              </w:rPr>
              <w:t>9,7</w:t>
            </w:r>
          </w:p>
        </w:tc>
        <w:tc>
          <w:tcPr>
            <w:tcW w:w="635" w:type="dxa"/>
            <w:tcBorders>
              <w:top w:val="nil"/>
              <w:left w:val="nil"/>
              <w:bottom w:val="nil"/>
              <w:right w:val="nil"/>
            </w:tcBorders>
            <w:shd w:val="clear" w:color="auto" w:fill="auto"/>
            <w:noWrap/>
            <w:vAlign w:val="center"/>
            <w:hideMark/>
          </w:tcPr>
          <w:p w14:paraId="13BCF9F5" w14:textId="77777777" w:rsidR="00C45D5B" w:rsidRPr="00B75CC9" w:rsidRDefault="00C45D5B" w:rsidP="00CF774B">
            <w:pPr>
              <w:jc w:val="center"/>
              <w:rPr>
                <w:rFonts w:cs="Times New Roman"/>
                <w:color w:val="000000"/>
                <w:sz w:val="18"/>
                <w:szCs w:val="18"/>
              </w:rPr>
            </w:pPr>
            <w:r w:rsidRPr="00B75CC9">
              <w:rPr>
                <w:color w:val="000000"/>
                <w:sz w:val="18"/>
                <w:szCs w:val="18"/>
              </w:rPr>
              <w:t>8,0</w:t>
            </w:r>
          </w:p>
        </w:tc>
        <w:tc>
          <w:tcPr>
            <w:tcW w:w="795" w:type="dxa"/>
            <w:tcBorders>
              <w:top w:val="nil"/>
              <w:left w:val="nil"/>
              <w:bottom w:val="nil"/>
              <w:right w:val="nil"/>
            </w:tcBorders>
            <w:shd w:val="clear" w:color="auto" w:fill="auto"/>
            <w:noWrap/>
            <w:vAlign w:val="center"/>
            <w:hideMark/>
          </w:tcPr>
          <w:p w14:paraId="53CDF7AE" w14:textId="77777777" w:rsidR="00C45D5B" w:rsidRPr="00B75CC9" w:rsidRDefault="00C45D5B" w:rsidP="00CF774B">
            <w:pPr>
              <w:jc w:val="center"/>
              <w:rPr>
                <w:rFonts w:cs="Times New Roman"/>
                <w:color w:val="000000"/>
                <w:sz w:val="18"/>
                <w:szCs w:val="18"/>
              </w:rPr>
            </w:pPr>
            <w:r w:rsidRPr="00B75CC9">
              <w:rPr>
                <w:color w:val="000000"/>
                <w:sz w:val="18"/>
                <w:szCs w:val="18"/>
              </w:rPr>
              <w:t>7,4</w:t>
            </w:r>
          </w:p>
        </w:tc>
        <w:tc>
          <w:tcPr>
            <w:tcW w:w="659" w:type="dxa"/>
            <w:tcBorders>
              <w:top w:val="nil"/>
              <w:left w:val="nil"/>
              <w:bottom w:val="nil"/>
              <w:right w:val="nil"/>
            </w:tcBorders>
            <w:shd w:val="clear" w:color="auto" w:fill="auto"/>
            <w:noWrap/>
            <w:vAlign w:val="center"/>
            <w:hideMark/>
          </w:tcPr>
          <w:p w14:paraId="1FA3B996" w14:textId="77777777" w:rsidR="00C45D5B" w:rsidRPr="00B75CC9" w:rsidRDefault="00C45D5B" w:rsidP="00CF774B">
            <w:pPr>
              <w:jc w:val="center"/>
              <w:rPr>
                <w:rFonts w:cs="Times New Roman"/>
                <w:color w:val="000000"/>
                <w:sz w:val="18"/>
                <w:szCs w:val="18"/>
              </w:rPr>
            </w:pPr>
            <w:r w:rsidRPr="00B75CC9">
              <w:rPr>
                <w:color w:val="000000"/>
                <w:sz w:val="18"/>
                <w:szCs w:val="18"/>
              </w:rPr>
              <w:t>6,0</w:t>
            </w:r>
          </w:p>
        </w:tc>
      </w:tr>
      <w:tr w:rsidR="00C45D5B" w:rsidRPr="00B75CC9" w14:paraId="52745F73" w14:textId="77777777" w:rsidTr="00CF774B">
        <w:trPr>
          <w:trHeight w:val="173"/>
          <w:jc w:val="center"/>
        </w:trPr>
        <w:tc>
          <w:tcPr>
            <w:tcW w:w="4920" w:type="dxa"/>
            <w:tcBorders>
              <w:top w:val="nil"/>
              <w:left w:val="nil"/>
              <w:bottom w:val="nil"/>
              <w:right w:val="nil"/>
            </w:tcBorders>
            <w:shd w:val="clear" w:color="auto" w:fill="auto"/>
            <w:vAlign w:val="center"/>
            <w:hideMark/>
          </w:tcPr>
          <w:p w14:paraId="6F74E27E" w14:textId="77777777" w:rsidR="00C45D5B" w:rsidRPr="00B75CC9" w:rsidRDefault="00C45D5B" w:rsidP="00CF774B">
            <w:pPr>
              <w:rPr>
                <w:rFonts w:cs="Times New Roman"/>
                <w:color w:val="000000"/>
                <w:sz w:val="18"/>
                <w:szCs w:val="18"/>
              </w:rPr>
            </w:pPr>
            <w:r w:rsidRPr="00B75CC9">
              <w:rPr>
                <w:rFonts w:cs="Times New Roman"/>
                <w:color w:val="000000"/>
                <w:sz w:val="18"/>
                <w:szCs w:val="18"/>
              </w:rPr>
              <w:t>7. Čistý finančný dlh (1-6)</w:t>
            </w:r>
          </w:p>
        </w:tc>
        <w:tc>
          <w:tcPr>
            <w:tcW w:w="488" w:type="dxa"/>
            <w:tcBorders>
              <w:top w:val="nil"/>
              <w:left w:val="nil"/>
              <w:bottom w:val="nil"/>
              <w:right w:val="nil"/>
            </w:tcBorders>
            <w:shd w:val="clear" w:color="auto" w:fill="auto"/>
            <w:vAlign w:val="center"/>
            <w:hideMark/>
          </w:tcPr>
          <w:p w14:paraId="7221FB4C" w14:textId="77777777" w:rsidR="00C45D5B" w:rsidRPr="00B75CC9" w:rsidRDefault="00C45D5B" w:rsidP="00CF774B">
            <w:pPr>
              <w:rPr>
                <w:rFonts w:cs="Times New Roman"/>
                <w:color w:val="000000"/>
                <w:sz w:val="18"/>
                <w:szCs w:val="18"/>
              </w:rPr>
            </w:pPr>
          </w:p>
        </w:tc>
        <w:tc>
          <w:tcPr>
            <w:tcW w:w="938" w:type="dxa"/>
            <w:tcBorders>
              <w:top w:val="nil"/>
              <w:left w:val="nil"/>
              <w:bottom w:val="nil"/>
              <w:right w:val="nil"/>
            </w:tcBorders>
            <w:shd w:val="clear" w:color="auto" w:fill="auto"/>
            <w:vAlign w:val="center"/>
            <w:hideMark/>
          </w:tcPr>
          <w:p w14:paraId="1CB298CF" w14:textId="77777777" w:rsidR="00C45D5B" w:rsidRPr="00B75CC9" w:rsidRDefault="00C45D5B" w:rsidP="00CF774B">
            <w:pPr>
              <w:jc w:val="center"/>
              <w:rPr>
                <w:rFonts w:cs="Times New Roman"/>
                <w:color w:val="000000"/>
                <w:sz w:val="18"/>
                <w:szCs w:val="18"/>
              </w:rPr>
            </w:pPr>
            <w:r w:rsidRPr="00B75CC9">
              <w:rPr>
                <w:color w:val="000000"/>
                <w:sz w:val="18"/>
                <w:szCs w:val="18"/>
              </w:rPr>
              <w:t>51,5</w:t>
            </w:r>
          </w:p>
        </w:tc>
        <w:tc>
          <w:tcPr>
            <w:tcW w:w="637" w:type="dxa"/>
            <w:tcBorders>
              <w:top w:val="nil"/>
              <w:left w:val="nil"/>
              <w:bottom w:val="nil"/>
              <w:right w:val="nil"/>
            </w:tcBorders>
            <w:shd w:val="clear" w:color="auto" w:fill="auto"/>
            <w:vAlign w:val="center"/>
            <w:hideMark/>
          </w:tcPr>
          <w:p w14:paraId="0A9CFCF7" w14:textId="77777777" w:rsidR="00C45D5B" w:rsidRPr="00B75CC9" w:rsidRDefault="00C45D5B" w:rsidP="00CF774B">
            <w:pPr>
              <w:jc w:val="center"/>
              <w:rPr>
                <w:rFonts w:cs="Times New Roman"/>
                <w:color w:val="000000"/>
                <w:sz w:val="18"/>
                <w:szCs w:val="18"/>
              </w:rPr>
            </w:pPr>
            <w:r w:rsidRPr="00B75CC9">
              <w:rPr>
                <w:color w:val="000000"/>
                <w:sz w:val="18"/>
                <w:szCs w:val="18"/>
              </w:rPr>
              <w:t>51,9</w:t>
            </w:r>
          </w:p>
        </w:tc>
        <w:tc>
          <w:tcPr>
            <w:tcW w:w="635" w:type="dxa"/>
            <w:tcBorders>
              <w:top w:val="nil"/>
              <w:left w:val="nil"/>
              <w:bottom w:val="nil"/>
              <w:right w:val="nil"/>
            </w:tcBorders>
            <w:shd w:val="clear" w:color="auto" w:fill="auto"/>
            <w:vAlign w:val="center"/>
            <w:hideMark/>
          </w:tcPr>
          <w:p w14:paraId="43A1594F" w14:textId="77777777" w:rsidR="00C45D5B" w:rsidRPr="00B75CC9" w:rsidRDefault="00C45D5B" w:rsidP="00CF774B">
            <w:pPr>
              <w:jc w:val="center"/>
              <w:rPr>
                <w:rFonts w:cs="Times New Roman"/>
                <w:color w:val="000000"/>
                <w:sz w:val="18"/>
                <w:szCs w:val="18"/>
              </w:rPr>
            </w:pPr>
            <w:r w:rsidRPr="00B75CC9">
              <w:rPr>
                <w:color w:val="000000"/>
                <w:sz w:val="18"/>
                <w:szCs w:val="18"/>
              </w:rPr>
              <w:t>50,0</w:t>
            </w:r>
          </w:p>
        </w:tc>
        <w:tc>
          <w:tcPr>
            <w:tcW w:w="795" w:type="dxa"/>
            <w:tcBorders>
              <w:top w:val="nil"/>
              <w:left w:val="nil"/>
              <w:bottom w:val="nil"/>
              <w:right w:val="nil"/>
            </w:tcBorders>
            <w:shd w:val="clear" w:color="auto" w:fill="auto"/>
            <w:vAlign w:val="center"/>
            <w:hideMark/>
          </w:tcPr>
          <w:p w14:paraId="1FEC13C7" w14:textId="77777777" w:rsidR="00C45D5B" w:rsidRPr="00B75CC9" w:rsidRDefault="00C45D5B" w:rsidP="00CF774B">
            <w:pPr>
              <w:jc w:val="center"/>
              <w:rPr>
                <w:rFonts w:cs="Times New Roman"/>
                <w:color w:val="000000"/>
                <w:sz w:val="18"/>
                <w:szCs w:val="18"/>
              </w:rPr>
            </w:pPr>
            <w:r w:rsidRPr="00B75CC9">
              <w:rPr>
                <w:color w:val="000000"/>
                <w:sz w:val="18"/>
                <w:szCs w:val="18"/>
              </w:rPr>
              <w:t>50,8</w:t>
            </w:r>
          </w:p>
        </w:tc>
        <w:tc>
          <w:tcPr>
            <w:tcW w:w="659" w:type="dxa"/>
            <w:tcBorders>
              <w:top w:val="nil"/>
              <w:left w:val="nil"/>
              <w:bottom w:val="nil"/>
              <w:right w:val="nil"/>
            </w:tcBorders>
            <w:shd w:val="clear" w:color="auto" w:fill="auto"/>
            <w:vAlign w:val="center"/>
            <w:hideMark/>
          </w:tcPr>
          <w:p w14:paraId="3EBF783C" w14:textId="77777777" w:rsidR="00C45D5B" w:rsidRPr="00B75CC9" w:rsidRDefault="00C45D5B" w:rsidP="00CF774B">
            <w:pPr>
              <w:jc w:val="center"/>
              <w:rPr>
                <w:rFonts w:cs="Times New Roman"/>
                <w:color w:val="000000"/>
                <w:sz w:val="18"/>
                <w:szCs w:val="18"/>
              </w:rPr>
            </w:pPr>
            <w:r w:rsidRPr="00B75CC9">
              <w:rPr>
                <w:color w:val="000000"/>
                <w:sz w:val="18"/>
                <w:szCs w:val="18"/>
              </w:rPr>
              <w:t>51,3</w:t>
            </w:r>
          </w:p>
        </w:tc>
      </w:tr>
      <w:tr w:rsidR="00C45D5B" w:rsidRPr="00B75CC9" w14:paraId="2336BB64" w14:textId="77777777" w:rsidTr="00CF774B">
        <w:trPr>
          <w:trHeight w:val="173"/>
          <w:jc w:val="center"/>
        </w:trPr>
        <w:tc>
          <w:tcPr>
            <w:tcW w:w="5408" w:type="dxa"/>
            <w:gridSpan w:val="2"/>
            <w:tcBorders>
              <w:top w:val="nil"/>
              <w:left w:val="nil"/>
              <w:bottom w:val="nil"/>
              <w:right w:val="nil"/>
            </w:tcBorders>
            <w:shd w:val="clear" w:color="auto" w:fill="auto"/>
            <w:vAlign w:val="center"/>
            <w:hideMark/>
          </w:tcPr>
          <w:p w14:paraId="557EADD2" w14:textId="77777777" w:rsidR="00C45D5B" w:rsidRPr="00B75CC9" w:rsidRDefault="00C45D5B" w:rsidP="00CF774B">
            <w:pPr>
              <w:rPr>
                <w:rFonts w:cs="Times New Roman"/>
                <w:color w:val="000000"/>
                <w:sz w:val="18"/>
                <w:szCs w:val="18"/>
              </w:rPr>
            </w:pPr>
            <w:r w:rsidRPr="00B75CC9">
              <w:rPr>
                <w:rFonts w:cs="Times New Roman"/>
                <w:color w:val="000000"/>
                <w:sz w:val="18"/>
                <w:szCs w:val="18"/>
              </w:rPr>
              <w:t>8. Splátky dlhu (existujúce dlhopisy) od konca predchádzajúceho roka</w:t>
            </w:r>
          </w:p>
        </w:tc>
        <w:tc>
          <w:tcPr>
            <w:tcW w:w="938" w:type="dxa"/>
            <w:tcBorders>
              <w:top w:val="nil"/>
              <w:left w:val="nil"/>
              <w:bottom w:val="nil"/>
              <w:right w:val="nil"/>
            </w:tcBorders>
            <w:shd w:val="clear" w:color="auto" w:fill="auto"/>
            <w:vAlign w:val="center"/>
          </w:tcPr>
          <w:p w14:paraId="77DF3278" w14:textId="77777777" w:rsidR="00C45D5B" w:rsidRPr="00B75CC9" w:rsidRDefault="00C45D5B" w:rsidP="00CF774B">
            <w:pPr>
              <w:jc w:val="center"/>
              <w:rPr>
                <w:rFonts w:cs="Times New Roman"/>
                <w:color w:val="000000"/>
                <w:sz w:val="18"/>
                <w:szCs w:val="18"/>
              </w:rPr>
            </w:pPr>
            <w:r w:rsidRPr="00B75CC9">
              <w:rPr>
                <w:color w:val="000000"/>
                <w:sz w:val="18"/>
                <w:szCs w:val="18"/>
              </w:rPr>
              <w:t>2,7</w:t>
            </w:r>
          </w:p>
        </w:tc>
        <w:tc>
          <w:tcPr>
            <w:tcW w:w="637" w:type="dxa"/>
            <w:tcBorders>
              <w:top w:val="nil"/>
              <w:left w:val="nil"/>
              <w:bottom w:val="nil"/>
              <w:right w:val="nil"/>
            </w:tcBorders>
            <w:shd w:val="clear" w:color="auto" w:fill="auto"/>
            <w:vAlign w:val="center"/>
          </w:tcPr>
          <w:p w14:paraId="48A015FC" w14:textId="77777777" w:rsidR="00C45D5B" w:rsidRPr="00B75CC9" w:rsidRDefault="00C45D5B" w:rsidP="00CF774B">
            <w:pPr>
              <w:jc w:val="center"/>
              <w:rPr>
                <w:rFonts w:cs="Times New Roman"/>
                <w:color w:val="000000"/>
                <w:sz w:val="18"/>
                <w:szCs w:val="18"/>
              </w:rPr>
            </w:pPr>
            <w:r w:rsidRPr="00B75CC9">
              <w:rPr>
                <w:color w:val="000000"/>
                <w:sz w:val="18"/>
                <w:szCs w:val="18"/>
              </w:rPr>
              <w:t>1,2</w:t>
            </w:r>
          </w:p>
        </w:tc>
        <w:tc>
          <w:tcPr>
            <w:tcW w:w="635" w:type="dxa"/>
            <w:tcBorders>
              <w:top w:val="nil"/>
              <w:left w:val="nil"/>
              <w:bottom w:val="nil"/>
              <w:right w:val="nil"/>
            </w:tcBorders>
            <w:shd w:val="clear" w:color="auto" w:fill="auto"/>
            <w:vAlign w:val="center"/>
          </w:tcPr>
          <w:p w14:paraId="40785012" w14:textId="77777777" w:rsidR="00C45D5B" w:rsidRPr="00B75CC9" w:rsidRDefault="00C45D5B" w:rsidP="00CF774B">
            <w:pPr>
              <w:jc w:val="center"/>
              <w:rPr>
                <w:rFonts w:cs="Times New Roman"/>
                <w:color w:val="000000"/>
                <w:sz w:val="18"/>
                <w:szCs w:val="18"/>
              </w:rPr>
            </w:pPr>
            <w:r w:rsidRPr="00B75CC9">
              <w:rPr>
                <w:color w:val="000000"/>
                <w:sz w:val="18"/>
                <w:szCs w:val="18"/>
              </w:rPr>
              <w:t>3,9</w:t>
            </w:r>
          </w:p>
        </w:tc>
        <w:tc>
          <w:tcPr>
            <w:tcW w:w="795" w:type="dxa"/>
            <w:tcBorders>
              <w:top w:val="nil"/>
              <w:left w:val="nil"/>
              <w:bottom w:val="nil"/>
              <w:right w:val="nil"/>
            </w:tcBorders>
            <w:shd w:val="clear" w:color="auto" w:fill="auto"/>
            <w:vAlign w:val="center"/>
          </w:tcPr>
          <w:p w14:paraId="62A48F1D" w14:textId="77777777" w:rsidR="00C45D5B" w:rsidRPr="00B75CC9" w:rsidRDefault="00C45D5B" w:rsidP="00CF774B">
            <w:pPr>
              <w:jc w:val="center"/>
              <w:rPr>
                <w:rFonts w:cs="Times New Roman"/>
                <w:color w:val="000000"/>
                <w:sz w:val="18"/>
                <w:szCs w:val="18"/>
              </w:rPr>
            </w:pPr>
            <w:r w:rsidRPr="00B75CC9">
              <w:rPr>
                <w:color w:val="000000"/>
                <w:sz w:val="18"/>
                <w:szCs w:val="18"/>
              </w:rPr>
              <w:t>4,1</w:t>
            </w:r>
          </w:p>
        </w:tc>
        <w:tc>
          <w:tcPr>
            <w:tcW w:w="659" w:type="dxa"/>
            <w:tcBorders>
              <w:top w:val="nil"/>
              <w:left w:val="nil"/>
              <w:bottom w:val="nil"/>
              <w:right w:val="nil"/>
            </w:tcBorders>
            <w:shd w:val="clear" w:color="auto" w:fill="auto"/>
            <w:vAlign w:val="center"/>
          </w:tcPr>
          <w:p w14:paraId="5E133DCD" w14:textId="77777777" w:rsidR="00C45D5B" w:rsidRPr="00B75CC9" w:rsidRDefault="00C45D5B" w:rsidP="00CF774B">
            <w:pPr>
              <w:jc w:val="center"/>
              <w:rPr>
                <w:rFonts w:cs="Times New Roman"/>
                <w:color w:val="000000"/>
                <w:sz w:val="18"/>
                <w:szCs w:val="18"/>
              </w:rPr>
            </w:pPr>
            <w:r w:rsidRPr="00B75CC9">
              <w:rPr>
                <w:color w:val="000000"/>
                <w:sz w:val="18"/>
                <w:szCs w:val="18"/>
              </w:rPr>
              <w:t>5,0</w:t>
            </w:r>
          </w:p>
        </w:tc>
      </w:tr>
      <w:tr w:rsidR="00C45D5B" w:rsidRPr="00B75CC9" w14:paraId="644DC7C3" w14:textId="77777777" w:rsidTr="00CF774B">
        <w:trPr>
          <w:trHeight w:val="173"/>
          <w:jc w:val="center"/>
        </w:trPr>
        <w:tc>
          <w:tcPr>
            <w:tcW w:w="5408" w:type="dxa"/>
            <w:gridSpan w:val="2"/>
            <w:tcBorders>
              <w:top w:val="nil"/>
              <w:left w:val="nil"/>
              <w:right w:val="nil"/>
            </w:tcBorders>
            <w:shd w:val="clear" w:color="auto" w:fill="auto"/>
            <w:vAlign w:val="center"/>
            <w:hideMark/>
          </w:tcPr>
          <w:p w14:paraId="05BF9D9C" w14:textId="77777777" w:rsidR="00C45D5B" w:rsidRPr="00B75CC9" w:rsidRDefault="00C45D5B" w:rsidP="00CF774B">
            <w:pPr>
              <w:rPr>
                <w:rFonts w:cs="Times New Roman"/>
                <w:color w:val="000000"/>
                <w:sz w:val="18"/>
                <w:szCs w:val="18"/>
              </w:rPr>
            </w:pPr>
            <w:r w:rsidRPr="00B75CC9">
              <w:rPr>
                <w:rFonts w:cs="Times New Roman"/>
                <w:color w:val="000000"/>
                <w:sz w:val="18"/>
                <w:szCs w:val="18"/>
              </w:rPr>
              <w:t>9. Podiel dlhu denominovaného v zahraničnej mene</w:t>
            </w:r>
          </w:p>
        </w:tc>
        <w:tc>
          <w:tcPr>
            <w:tcW w:w="938" w:type="dxa"/>
            <w:tcBorders>
              <w:top w:val="nil"/>
              <w:left w:val="nil"/>
              <w:right w:val="nil"/>
            </w:tcBorders>
            <w:shd w:val="clear" w:color="auto" w:fill="auto"/>
            <w:vAlign w:val="center"/>
          </w:tcPr>
          <w:p w14:paraId="230E1894" w14:textId="77777777" w:rsidR="00C45D5B" w:rsidRPr="00B75CC9" w:rsidRDefault="00C45D5B" w:rsidP="00CF774B">
            <w:pPr>
              <w:jc w:val="center"/>
              <w:rPr>
                <w:rFonts w:cs="Times New Roman"/>
                <w:color w:val="000000"/>
                <w:sz w:val="18"/>
                <w:szCs w:val="18"/>
              </w:rPr>
            </w:pPr>
            <w:r w:rsidRPr="00B75CC9">
              <w:rPr>
                <w:color w:val="000000"/>
                <w:sz w:val="18"/>
                <w:szCs w:val="18"/>
              </w:rPr>
              <w:t>3,1</w:t>
            </w:r>
          </w:p>
        </w:tc>
        <w:tc>
          <w:tcPr>
            <w:tcW w:w="637" w:type="dxa"/>
            <w:tcBorders>
              <w:top w:val="nil"/>
              <w:left w:val="nil"/>
              <w:bottom w:val="nil"/>
              <w:right w:val="nil"/>
            </w:tcBorders>
            <w:shd w:val="clear" w:color="auto" w:fill="auto"/>
            <w:vAlign w:val="center"/>
          </w:tcPr>
          <w:p w14:paraId="6ED1B45D" w14:textId="77777777" w:rsidR="00C45D5B" w:rsidRPr="00B75CC9" w:rsidRDefault="00C45D5B" w:rsidP="00CF774B">
            <w:pPr>
              <w:jc w:val="center"/>
              <w:rPr>
                <w:rFonts w:cs="Times New Roman"/>
                <w:color w:val="000000"/>
                <w:sz w:val="18"/>
                <w:szCs w:val="18"/>
              </w:rPr>
            </w:pPr>
            <w:r w:rsidRPr="00B75CC9">
              <w:rPr>
                <w:color w:val="000000"/>
                <w:sz w:val="18"/>
                <w:szCs w:val="18"/>
              </w:rPr>
              <w:t>0,9</w:t>
            </w:r>
          </w:p>
        </w:tc>
        <w:tc>
          <w:tcPr>
            <w:tcW w:w="635" w:type="dxa"/>
            <w:tcBorders>
              <w:top w:val="nil"/>
              <w:left w:val="nil"/>
              <w:bottom w:val="nil"/>
              <w:right w:val="nil"/>
            </w:tcBorders>
            <w:shd w:val="clear" w:color="auto" w:fill="auto"/>
            <w:vAlign w:val="center"/>
          </w:tcPr>
          <w:p w14:paraId="7E014260" w14:textId="77777777" w:rsidR="00C45D5B" w:rsidRPr="00B75CC9" w:rsidRDefault="00C45D5B" w:rsidP="00CF774B">
            <w:pPr>
              <w:jc w:val="center"/>
              <w:rPr>
                <w:rFonts w:cs="Times New Roman"/>
                <w:color w:val="000000"/>
                <w:sz w:val="18"/>
                <w:szCs w:val="18"/>
              </w:rPr>
            </w:pPr>
            <w:r w:rsidRPr="00B75CC9">
              <w:rPr>
                <w:color w:val="000000"/>
                <w:sz w:val="18"/>
                <w:szCs w:val="18"/>
              </w:rPr>
              <w:t>0,6</w:t>
            </w:r>
          </w:p>
        </w:tc>
        <w:tc>
          <w:tcPr>
            <w:tcW w:w="795" w:type="dxa"/>
            <w:tcBorders>
              <w:top w:val="nil"/>
              <w:left w:val="nil"/>
              <w:bottom w:val="nil"/>
              <w:right w:val="nil"/>
            </w:tcBorders>
            <w:shd w:val="clear" w:color="auto" w:fill="auto"/>
            <w:vAlign w:val="center"/>
          </w:tcPr>
          <w:p w14:paraId="115C60FA" w14:textId="77777777" w:rsidR="00C45D5B" w:rsidRPr="00B75CC9" w:rsidRDefault="00C45D5B" w:rsidP="00CF774B">
            <w:pPr>
              <w:jc w:val="center"/>
              <w:rPr>
                <w:rFonts w:cs="Times New Roman"/>
                <w:color w:val="000000"/>
                <w:sz w:val="18"/>
                <w:szCs w:val="18"/>
              </w:rPr>
            </w:pPr>
            <w:r w:rsidRPr="00B75CC9">
              <w:rPr>
                <w:color w:val="000000"/>
                <w:sz w:val="18"/>
                <w:szCs w:val="18"/>
              </w:rPr>
              <w:t>0,4</w:t>
            </w:r>
          </w:p>
        </w:tc>
        <w:tc>
          <w:tcPr>
            <w:tcW w:w="659" w:type="dxa"/>
            <w:tcBorders>
              <w:top w:val="nil"/>
              <w:left w:val="nil"/>
              <w:bottom w:val="nil"/>
              <w:right w:val="nil"/>
            </w:tcBorders>
            <w:shd w:val="clear" w:color="auto" w:fill="auto"/>
            <w:vAlign w:val="center"/>
          </w:tcPr>
          <w:p w14:paraId="2001134A" w14:textId="77777777" w:rsidR="00C45D5B" w:rsidRPr="00B75CC9" w:rsidRDefault="00C45D5B" w:rsidP="00CF774B">
            <w:pPr>
              <w:jc w:val="center"/>
              <w:rPr>
                <w:rFonts w:cs="Times New Roman"/>
                <w:color w:val="000000"/>
                <w:sz w:val="18"/>
                <w:szCs w:val="18"/>
              </w:rPr>
            </w:pPr>
            <w:r w:rsidRPr="00B75CC9">
              <w:rPr>
                <w:color w:val="000000"/>
                <w:sz w:val="18"/>
                <w:szCs w:val="18"/>
              </w:rPr>
              <w:t>0,4</w:t>
            </w:r>
          </w:p>
        </w:tc>
      </w:tr>
      <w:tr w:rsidR="00C45D5B" w:rsidRPr="00B75CC9" w14:paraId="404FBEBA" w14:textId="77777777" w:rsidTr="00CF774B">
        <w:trPr>
          <w:trHeight w:val="173"/>
          <w:jc w:val="center"/>
        </w:trPr>
        <w:tc>
          <w:tcPr>
            <w:tcW w:w="4920" w:type="dxa"/>
            <w:tcBorders>
              <w:top w:val="nil"/>
              <w:left w:val="nil"/>
              <w:bottom w:val="single" w:sz="8" w:space="0" w:color="auto"/>
              <w:right w:val="nil"/>
            </w:tcBorders>
            <w:shd w:val="clear" w:color="auto" w:fill="auto"/>
            <w:vAlign w:val="center"/>
            <w:hideMark/>
          </w:tcPr>
          <w:p w14:paraId="16F5616E" w14:textId="77777777" w:rsidR="00C45D5B" w:rsidRPr="00B75CC9" w:rsidRDefault="00C45D5B" w:rsidP="00CF774B">
            <w:pPr>
              <w:rPr>
                <w:rFonts w:cs="Times New Roman"/>
                <w:color w:val="000000"/>
                <w:sz w:val="18"/>
                <w:szCs w:val="18"/>
              </w:rPr>
            </w:pPr>
            <w:r w:rsidRPr="00B75CC9">
              <w:rPr>
                <w:rFonts w:cs="Times New Roman"/>
                <w:color w:val="000000"/>
                <w:sz w:val="18"/>
                <w:szCs w:val="18"/>
              </w:rPr>
              <w:t>10. Priemerná splatnosť</w:t>
            </w:r>
          </w:p>
        </w:tc>
        <w:tc>
          <w:tcPr>
            <w:tcW w:w="488" w:type="dxa"/>
            <w:tcBorders>
              <w:top w:val="nil"/>
              <w:left w:val="nil"/>
              <w:bottom w:val="single" w:sz="8" w:space="0" w:color="auto"/>
              <w:right w:val="nil"/>
            </w:tcBorders>
            <w:shd w:val="clear" w:color="auto" w:fill="auto"/>
          </w:tcPr>
          <w:p w14:paraId="5EA7676A" w14:textId="77777777" w:rsidR="00C45D5B" w:rsidRPr="00B75CC9" w:rsidRDefault="00C45D5B" w:rsidP="00CF774B">
            <w:pPr>
              <w:rPr>
                <w:rFonts w:cs="Times New Roman"/>
                <w:color w:val="000000"/>
                <w:sz w:val="18"/>
                <w:szCs w:val="18"/>
              </w:rPr>
            </w:pPr>
          </w:p>
        </w:tc>
        <w:tc>
          <w:tcPr>
            <w:tcW w:w="938" w:type="dxa"/>
            <w:tcBorders>
              <w:top w:val="nil"/>
              <w:left w:val="nil"/>
              <w:bottom w:val="single" w:sz="4" w:space="0" w:color="auto"/>
              <w:right w:val="nil"/>
            </w:tcBorders>
            <w:shd w:val="clear" w:color="auto" w:fill="auto"/>
            <w:vAlign w:val="center"/>
          </w:tcPr>
          <w:p w14:paraId="57373F06" w14:textId="77777777" w:rsidR="00C45D5B" w:rsidRPr="00B75CC9" w:rsidRDefault="00C45D5B" w:rsidP="00CF774B">
            <w:pPr>
              <w:jc w:val="center"/>
              <w:rPr>
                <w:rFonts w:cs="Times New Roman"/>
                <w:color w:val="000000"/>
                <w:sz w:val="18"/>
                <w:szCs w:val="18"/>
              </w:rPr>
            </w:pPr>
            <w:r w:rsidRPr="00B75CC9">
              <w:rPr>
                <w:color w:val="000000"/>
                <w:sz w:val="18"/>
                <w:szCs w:val="18"/>
              </w:rPr>
              <w:t>8,9</w:t>
            </w:r>
          </w:p>
        </w:tc>
        <w:tc>
          <w:tcPr>
            <w:tcW w:w="637" w:type="dxa"/>
            <w:tcBorders>
              <w:top w:val="nil"/>
              <w:left w:val="nil"/>
              <w:bottom w:val="single" w:sz="4" w:space="0" w:color="auto"/>
              <w:right w:val="nil"/>
            </w:tcBorders>
            <w:shd w:val="clear" w:color="auto" w:fill="auto"/>
            <w:vAlign w:val="center"/>
          </w:tcPr>
          <w:p w14:paraId="7D79AA22" w14:textId="77777777" w:rsidR="00C45D5B" w:rsidRPr="00B75CC9" w:rsidRDefault="00C45D5B" w:rsidP="00CF774B">
            <w:pPr>
              <w:jc w:val="center"/>
              <w:rPr>
                <w:rFonts w:cs="Times New Roman"/>
                <w:color w:val="000000"/>
                <w:sz w:val="18"/>
                <w:szCs w:val="18"/>
              </w:rPr>
            </w:pPr>
            <w:r w:rsidRPr="00B75CC9">
              <w:rPr>
                <w:color w:val="000000"/>
                <w:sz w:val="18"/>
                <w:szCs w:val="18"/>
              </w:rPr>
              <w:t>8,5</w:t>
            </w:r>
          </w:p>
        </w:tc>
        <w:tc>
          <w:tcPr>
            <w:tcW w:w="635" w:type="dxa"/>
            <w:tcBorders>
              <w:top w:val="nil"/>
              <w:left w:val="nil"/>
              <w:bottom w:val="single" w:sz="4" w:space="0" w:color="auto"/>
              <w:right w:val="nil"/>
            </w:tcBorders>
            <w:shd w:val="clear" w:color="auto" w:fill="auto"/>
            <w:vAlign w:val="center"/>
          </w:tcPr>
          <w:p w14:paraId="3F80DC34" w14:textId="77777777" w:rsidR="00C45D5B" w:rsidRPr="00B75CC9" w:rsidRDefault="00C45D5B" w:rsidP="00CF774B">
            <w:pPr>
              <w:jc w:val="center"/>
              <w:rPr>
                <w:rFonts w:cs="Times New Roman"/>
                <w:color w:val="000000"/>
                <w:sz w:val="18"/>
                <w:szCs w:val="18"/>
              </w:rPr>
            </w:pPr>
            <w:r w:rsidRPr="00B75CC9">
              <w:rPr>
                <w:color w:val="000000"/>
                <w:sz w:val="18"/>
                <w:szCs w:val="18"/>
              </w:rPr>
              <w:t>8,5</w:t>
            </w:r>
          </w:p>
        </w:tc>
        <w:tc>
          <w:tcPr>
            <w:tcW w:w="795" w:type="dxa"/>
            <w:tcBorders>
              <w:top w:val="nil"/>
              <w:left w:val="nil"/>
              <w:bottom w:val="single" w:sz="4" w:space="0" w:color="auto"/>
              <w:right w:val="nil"/>
            </w:tcBorders>
            <w:shd w:val="clear" w:color="auto" w:fill="auto"/>
            <w:vAlign w:val="center"/>
          </w:tcPr>
          <w:p w14:paraId="4D8C887D" w14:textId="77777777" w:rsidR="00C45D5B" w:rsidRPr="00B75CC9" w:rsidRDefault="00C45D5B" w:rsidP="00CF774B">
            <w:pPr>
              <w:jc w:val="center"/>
              <w:rPr>
                <w:rFonts w:cs="Times New Roman"/>
                <w:color w:val="000000"/>
                <w:sz w:val="18"/>
                <w:szCs w:val="18"/>
              </w:rPr>
            </w:pPr>
            <w:r w:rsidRPr="00B75CC9">
              <w:rPr>
                <w:color w:val="000000"/>
                <w:sz w:val="18"/>
                <w:szCs w:val="18"/>
              </w:rPr>
              <w:t>8,5</w:t>
            </w:r>
          </w:p>
        </w:tc>
        <w:tc>
          <w:tcPr>
            <w:tcW w:w="659" w:type="dxa"/>
            <w:tcBorders>
              <w:top w:val="nil"/>
              <w:left w:val="nil"/>
              <w:bottom w:val="single" w:sz="4" w:space="0" w:color="auto"/>
              <w:right w:val="nil"/>
            </w:tcBorders>
            <w:shd w:val="clear" w:color="auto" w:fill="auto"/>
            <w:vAlign w:val="center"/>
          </w:tcPr>
          <w:p w14:paraId="235CF5D5" w14:textId="77777777" w:rsidR="00C45D5B" w:rsidRPr="00B75CC9" w:rsidRDefault="00C45D5B" w:rsidP="00CF774B">
            <w:pPr>
              <w:jc w:val="center"/>
              <w:rPr>
                <w:rFonts w:cs="Times New Roman"/>
                <w:color w:val="000000"/>
                <w:sz w:val="18"/>
                <w:szCs w:val="18"/>
              </w:rPr>
            </w:pPr>
            <w:r w:rsidRPr="00B75CC9">
              <w:rPr>
                <w:color w:val="000000"/>
                <w:sz w:val="18"/>
                <w:szCs w:val="18"/>
              </w:rPr>
              <w:t>8,3</w:t>
            </w:r>
          </w:p>
        </w:tc>
      </w:tr>
      <w:tr w:rsidR="00C45D5B" w:rsidRPr="00AB54ED" w14:paraId="221529C7" w14:textId="77777777" w:rsidTr="00CF774B">
        <w:trPr>
          <w:gridAfter w:val="1"/>
          <w:wAfter w:w="659" w:type="dxa"/>
          <w:trHeight w:val="139"/>
          <w:jc w:val="center"/>
        </w:trPr>
        <w:tc>
          <w:tcPr>
            <w:tcW w:w="8413" w:type="dxa"/>
            <w:gridSpan w:val="6"/>
            <w:tcBorders>
              <w:top w:val="nil"/>
              <w:left w:val="nil"/>
              <w:right w:val="nil"/>
            </w:tcBorders>
            <w:shd w:val="clear" w:color="auto" w:fill="auto"/>
            <w:vAlign w:val="center"/>
          </w:tcPr>
          <w:p w14:paraId="4E54B0F3" w14:textId="77777777" w:rsidR="00C45D5B" w:rsidRPr="00B75CC9" w:rsidRDefault="00C45D5B" w:rsidP="00CF774B">
            <w:pPr>
              <w:rPr>
                <w:rFonts w:cs="Times New Roman"/>
                <w:i/>
                <w:color w:val="000000"/>
                <w:sz w:val="18"/>
                <w:szCs w:val="18"/>
              </w:rPr>
            </w:pPr>
          </w:p>
        </w:tc>
      </w:tr>
    </w:tbl>
    <w:p w14:paraId="20F0866B" w14:textId="77777777" w:rsidR="00C45D5B" w:rsidRPr="00AB54ED" w:rsidRDefault="00C45D5B" w:rsidP="00C45D5B">
      <w:pPr>
        <w:rPr>
          <w:rFonts w:cs="Arial"/>
          <w:b/>
          <w:bCs/>
          <w:color w:val="2C9ADC" w:themeColor="accent1"/>
          <w:sz w:val="18"/>
          <w:szCs w:val="18"/>
          <w:highlight w:val="yellow"/>
        </w:rPr>
      </w:pPr>
    </w:p>
    <w:p w14:paraId="46618984" w14:textId="77777777" w:rsidR="00C45D5B" w:rsidRPr="00AB54ED" w:rsidRDefault="00C45D5B" w:rsidP="00C45D5B">
      <w:pPr>
        <w:rPr>
          <w:rFonts w:cs="Arial"/>
          <w:b/>
          <w:bCs/>
          <w:color w:val="2C9ADC" w:themeColor="accent1"/>
          <w:sz w:val="18"/>
          <w:szCs w:val="18"/>
          <w:highlight w:val="yellow"/>
        </w:rPr>
      </w:pPr>
    </w:p>
    <w:tbl>
      <w:tblPr>
        <w:tblW w:w="9100" w:type="dxa"/>
        <w:tblCellMar>
          <w:left w:w="70" w:type="dxa"/>
          <w:right w:w="70" w:type="dxa"/>
        </w:tblCellMar>
        <w:tblLook w:val="04A0" w:firstRow="1" w:lastRow="0" w:firstColumn="1" w:lastColumn="0" w:noHBand="0" w:noVBand="1"/>
      </w:tblPr>
      <w:tblGrid>
        <w:gridCol w:w="2880"/>
        <w:gridCol w:w="360"/>
        <w:gridCol w:w="458"/>
        <w:gridCol w:w="502"/>
        <w:gridCol w:w="384"/>
        <w:gridCol w:w="576"/>
        <w:gridCol w:w="328"/>
        <w:gridCol w:w="632"/>
        <w:gridCol w:w="271"/>
        <w:gridCol w:w="689"/>
        <w:gridCol w:w="214"/>
        <w:gridCol w:w="746"/>
        <w:gridCol w:w="157"/>
        <w:gridCol w:w="803"/>
        <w:gridCol w:w="100"/>
      </w:tblGrid>
      <w:tr w:rsidR="00C45D5B" w:rsidRPr="006401D1" w14:paraId="00872BB2" w14:textId="77777777" w:rsidTr="00CF774B">
        <w:trPr>
          <w:gridAfter w:val="1"/>
          <w:wAfter w:w="100" w:type="dxa"/>
          <w:trHeight w:val="283"/>
        </w:trPr>
        <w:tc>
          <w:tcPr>
            <w:tcW w:w="6120" w:type="dxa"/>
            <w:gridSpan w:val="8"/>
            <w:tcBorders>
              <w:top w:val="nil"/>
              <w:left w:val="nil"/>
              <w:bottom w:val="single" w:sz="8" w:space="0" w:color="auto"/>
              <w:right w:val="nil"/>
            </w:tcBorders>
            <w:shd w:val="clear" w:color="auto" w:fill="auto"/>
            <w:noWrap/>
            <w:vAlign w:val="bottom"/>
            <w:hideMark/>
          </w:tcPr>
          <w:p w14:paraId="26E57435" w14:textId="1CA7C0C1" w:rsidR="00C45D5B" w:rsidRPr="006401D1" w:rsidRDefault="00C45D5B" w:rsidP="00CF774B">
            <w:pPr>
              <w:rPr>
                <w:rFonts w:eastAsiaTheme="minorHAnsi"/>
                <w:b/>
                <w:color w:val="2C9ADC"/>
                <w:sz w:val="20"/>
                <w:szCs w:val="18"/>
                <w:lang w:eastAsia="en-US"/>
              </w:rPr>
            </w:pPr>
            <w:bookmarkStart w:id="255" w:name="_Toc480905419"/>
            <w:bookmarkStart w:id="256" w:name="_Toc6314226"/>
            <w:bookmarkStart w:id="257" w:name="_Toc71622466"/>
            <w:bookmarkStart w:id="258" w:name="_Toc101880707"/>
            <w:r w:rsidRPr="006401D1">
              <w:rPr>
                <w:rFonts w:eastAsiaTheme="minorHAnsi"/>
                <w:b/>
                <w:color w:val="2C9ADC"/>
                <w:sz w:val="20"/>
                <w:szCs w:val="18"/>
                <w:lang w:eastAsia="en-US"/>
              </w:rPr>
              <w:t xml:space="preserve">TABUĽKA </w:t>
            </w:r>
            <w:r w:rsidRPr="006401D1">
              <w:rPr>
                <w:rFonts w:eastAsiaTheme="minorHAnsi"/>
                <w:b/>
                <w:color w:val="2C9ADC"/>
                <w:sz w:val="20"/>
                <w:szCs w:val="18"/>
                <w:lang w:eastAsia="en-US"/>
              </w:rPr>
              <w:fldChar w:fldCharType="begin"/>
            </w:r>
            <w:r w:rsidRPr="006401D1">
              <w:rPr>
                <w:rFonts w:eastAsiaTheme="minorHAnsi"/>
                <w:b/>
                <w:color w:val="2C9ADC"/>
                <w:sz w:val="20"/>
                <w:szCs w:val="18"/>
                <w:lang w:eastAsia="en-US"/>
              </w:rPr>
              <w:instrText xml:space="preserve"> SEQ TABUĽKA \* ARABIC </w:instrText>
            </w:r>
            <w:r w:rsidRPr="006401D1">
              <w:rPr>
                <w:rFonts w:eastAsiaTheme="minorHAnsi"/>
                <w:b/>
                <w:color w:val="2C9ADC"/>
                <w:sz w:val="20"/>
                <w:szCs w:val="18"/>
                <w:lang w:eastAsia="en-US"/>
              </w:rPr>
              <w:fldChar w:fldCharType="separate"/>
            </w:r>
            <w:r w:rsidR="005D3280">
              <w:rPr>
                <w:rFonts w:eastAsiaTheme="minorHAnsi"/>
                <w:b/>
                <w:noProof/>
                <w:color w:val="2C9ADC"/>
                <w:sz w:val="20"/>
                <w:szCs w:val="18"/>
                <w:lang w:eastAsia="en-US"/>
              </w:rPr>
              <w:t>28</w:t>
            </w:r>
            <w:r w:rsidRPr="006401D1">
              <w:rPr>
                <w:rFonts w:eastAsiaTheme="minorHAnsi"/>
                <w:b/>
                <w:color w:val="2C9ADC"/>
                <w:sz w:val="20"/>
                <w:szCs w:val="18"/>
                <w:lang w:eastAsia="en-US"/>
              </w:rPr>
              <w:fldChar w:fldCharType="end"/>
            </w:r>
            <w:r w:rsidRPr="006401D1">
              <w:rPr>
                <w:rFonts w:eastAsiaTheme="minorHAnsi"/>
                <w:b/>
                <w:color w:val="2C9ADC"/>
                <w:sz w:val="20"/>
                <w:szCs w:val="18"/>
                <w:lang w:eastAsia="en-US"/>
              </w:rPr>
              <w:t xml:space="preserve"> (Tabuľka 5) </w:t>
            </w:r>
            <w:r w:rsidRPr="006401D1">
              <w:rPr>
                <w:rFonts w:eastAsiaTheme="minorHAnsi"/>
                <w:b/>
                <w:color w:val="2C9ADC"/>
                <w:sz w:val="20"/>
                <w:szCs w:val="20"/>
                <w:lang w:eastAsia="en-US"/>
              </w:rPr>
              <w:t>–</w:t>
            </w:r>
            <w:r w:rsidRPr="006401D1">
              <w:rPr>
                <w:rFonts w:eastAsiaTheme="minorHAnsi"/>
                <w:b/>
                <w:color w:val="2C9ADC"/>
                <w:sz w:val="20"/>
                <w:szCs w:val="18"/>
                <w:lang w:eastAsia="en-US"/>
              </w:rPr>
              <w:t xml:space="preserve"> Cyklický vývoj</w:t>
            </w:r>
            <w:bookmarkEnd w:id="255"/>
            <w:bookmarkEnd w:id="256"/>
            <w:bookmarkEnd w:id="257"/>
            <w:bookmarkEnd w:id="258"/>
          </w:p>
        </w:tc>
        <w:tc>
          <w:tcPr>
            <w:tcW w:w="2880" w:type="dxa"/>
            <w:gridSpan w:val="6"/>
            <w:tcBorders>
              <w:top w:val="nil"/>
              <w:left w:val="nil"/>
              <w:bottom w:val="single" w:sz="8" w:space="0" w:color="auto"/>
              <w:right w:val="nil"/>
            </w:tcBorders>
            <w:shd w:val="clear" w:color="auto" w:fill="auto"/>
            <w:noWrap/>
            <w:vAlign w:val="bottom"/>
            <w:hideMark/>
          </w:tcPr>
          <w:p w14:paraId="4BA7D445" w14:textId="77777777" w:rsidR="00C45D5B" w:rsidRPr="006401D1" w:rsidRDefault="00C45D5B" w:rsidP="00CF774B">
            <w:pPr>
              <w:rPr>
                <w:rFonts w:eastAsiaTheme="minorHAnsi"/>
                <w:b/>
                <w:color w:val="2C9ADC"/>
                <w:sz w:val="18"/>
                <w:szCs w:val="18"/>
                <w:lang w:eastAsia="en-US"/>
              </w:rPr>
            </w:pPr>
            <w:r w:rsidRPr="006401D1">
              <w:rPr>
                <w:rFonts w:eastAsiaTheme="minorHAnsi"/>
                <w:b/>
                <w:color w:val="2C9ADC"/>
                <w:sz w:val="18"/>
                <w:szCs w:val="18"/>
                <w:lang w:eastAsia="en-US"/>
              </w:rPr>
              <w:t> </w:t>
            </w:r>
          </w:p>
        </w:tc>
      </w:tr>
      <w:tr w:rsidR="00C45D5B" w:rsidRPr="006401D1" w14:paraId="64DA5DE2" w14:textId="77777777" w:rsidTr="00CF774B">
        <w:trPr>
          <w:gridAfter w:val="1"/>
          <w:wAfter w:w="100" w:type="dxa"/>
          <w:trHeight w:val="283"/>
        </w:trPr>
        <w:tc>
          <w:tcPr>
            <w:tcW w:w="3240" w:type="dxa"/>
            <w:gridSpan w:val="2"/>
            <w:tcBorders>
              <w:top w:val="nil"/>
              <w:left w:val="nil"/>
              <w:bottom w:val="nil"/>
              <w:right w:val="nil"/>
            </w:tcBorders>
            <w:shd w:val="clear" w:color="auto" w:fill="auto"/>
            <w:vAlign w:val="center"/>
            <w:hideMark/>
          </w:tcPr>
          <w:p w14:paraId="5CA3E9DC" w14:textId="77777777" w:rsidR="00C45D5B" w:rsidRPr="006401D1" w:rsidRDefault="00C45D5B" w:rsidP="00CF774B">
            <w:pPr>
              <w:jc w:val="center"/>
              <w:rPr>
                <w:rFonts w:cs="Times New Roman"/>
                <w:sz w:val="18"/>
                <w:szCs w:val="18"/>
              </w:rPr>
            </w:pPr>
            <w:r w:rsidRPr="006401D1">
              <w:rPr>
                <w:rFonts w:cs="Times New Roman"/>
                <w:sz w:val="18"/>
                <w:szCs w:val="18"/>
              </w:rPr>
              <w:t>(% HDP)</w:t>
            </w:r>
          </w:p>
        </w:tc>
        <w:tc>
          <w:tcPr>
            <w:tcW w:w="960" w:type="dxa"/>
            <w:gridSpan w:val="2"/>
            <w:tcBorders>
              <w:top w:val="nil"/>
              <w:left w:val="nil"/>
              <w:bottom w:val="nil"/>
              <w:right w:val="nil"/>
            </w:tcBorders>
            <w:shd w:val="clear" w:color="auto" w:fill="auto"/>
            <w:vAlign w:val="center"/>
            <w:hideMark/>
          </w:tcPr>
          <w:p w14:paraId="174F7E7C" w14:textId="77777777" w:rsidR="00C45D5B" w:rsidRPr="006401D1" w:rsidRDefault="00C45D5B" w:rsidP="00CF774B">
            <w:pPr>
              <w:jc w:val="center"/>
              <w:rPr>
                <w:rFonts w:cs="Times New Roman"/>
                <w:sz w:val="18"/>
                <w:szCs w:val="18"/>
              </w:rPr>
            </w:pPr>
            <w:r w:rsidRPr="006401D1">
              <w:rPr>
                <w:rFonts w:cs="Times New Roman"/>
                <w:sz w:val="18"/>
                <w:szCs w:val="18"/>
              </w:rPr>
              <w:t>ESA kód</w:t>
            </w:r>
          </w:p>
        </w:tc>
        <w:tc>
          <w:tcPr>
            <w:tcW w:w="960" w:type="dxa"/>
            <w:gridSpan w:val="2"/>
            <w:tcBorders>
              <w:top w:val="nil"/>
              <w:left w:val="nil"/>
              <w:bottom w:val="single" w:sz="4" w:space="0" w:color="auto"/>
              <w:right w:val="nil"/>
            </w:tcBorders>
            <w:shd w:val="clear" w:color="auto" w:fill="auto"/>
            <w:vAlign w:val="bottom"/>
            <w:hideMark/>
          </w:tcPr>
          <w:p w14:paraId="5FB406A7"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2021</w:t>
            </w:r>
          </w:p>
        </w:tc>
        <w:tc>
          <w:tcPr>
            <w:tcW w:w="960" w:type="dxa"/>
            <w:gridSpan w:val="2"/>
            <w:tcBorders>
              <w:top w:val="nil"/>
              <w:left w:val="nil"/>
              <w:bottom w:val="single" w:sz="4" w:space="0" w:color="auto"/>
              <w:right w:val="nil"/>
            </w:tcBorders>
            <w:shd w:val="clear" w:color="auto" w:fill="auto"/>
            <w:vAlign w:val="bottom"/>
            <w:hideMark/>
          </w:tcPr>
          <w:p w14:paraId="187029EF"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2022</w:t>
            </w:r>
          </w:p>
        </w:tc>
        <w:tc>
          <w:tcPr>
            <w:tcW w:w="960" w:type="dxa"/>
            <w:gridSpan w:val="2"/>
            <w:tcBorders>
              <w:top w:val="nil"/>
              <w:left w:val="nil"/>
              <w:bottom w:val="single" w:sz="4" w:space="0" w:color="auto"/>
              <w:right w:val="nil"/>
            </w:tcBorders>
            <w:shd w:val="clear" w:color="auto" w:fill="auto"/>
            <w:vAlign w:val="bottom"/>
            <w:hideMark/>
          </w:tcPr>
          <w:p w14:paraId="22057391"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2023</w:t>
            </w:r>
          </w:p>
        </w:tc>
        <w:tc>
          <w:tcPr>
            <w:tcW w:w="960" w:type="dxa"/>
            <w:gridSpan w:val="2"/>
            <w:tcBorders>
              <w:top w:val="nil"/>
              <w:left w:val="nil"/>
              <w:bottom w:val="single" w:sz="4" w:space="0" w:color="auto"/>
              <w:right w:val="nil"/>
            </w:tcBorders>
            <w:shd w:val="clear" w:color="auto" w:fill="auto"/>
            <w:vAlign w:val="bottom"/>
            <w:hideMark/>
          </w:tcPr>
          <w:p w14:paraId="462F4EED"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2024</w:t>
            </w:r>
          </w:p>
        </w:tc>
        <w:tc>
          <w:tcPr>
            <w:tcW w:w="960" w:type="dxa"/>
            <w:gridSpan w:val="2"/>
            <w:tcBorders>
              <w:top w:val="nil"/>
              <w:left w:val="nil"/>
              <w:bottom w:val="single" w:sz="4" w:space="0" w:color="auto"/>
              <w:right w:val="nil"/>
            </w:tcBorders>
            <w:shd w:val="clear" w:color="auto" w:fill="auto"/>
            <w:vAlign w:val="bottom"/>
            <w:hideMark/>
          </w:tcPr>
          <w:p w14:paraId="1FF3BE5B"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2025</w:t>
            </w:r>
          </w:p>
        </w:tc>
      </w:tr>
      <w:tr w:rsidR="00C45D5B" w:rsidRPr="006401D1" w14:paraId="129BB6F3" w14:textId="77777777" w:rsidTr="00CF774B">
        <w:trPr>
          <w:gridAfter w:val="1"/>
          <w:wAfter w:w="100" w:type="dxa"/>
          <w:trHeight w:val="283"/>
        </w:trPr>
        <w:tc>
          <w:tcPr>
            <w:tcW w:w="3240" w:type="dxa"/>
            <w:gridSpan w:val="2"/>
            <w:tcBorders>
              <w:top w:val="single" w:sz="4" w:space="0" w:color="auto"/>
              <w:left w:val="nil"/>
              <w:bottom w:val="nil"/>
              <w:right w:val="nil"/>
            </w:tcBorders>
            <w:shd w:val="clear" w:color="000000" w:fill="FFFFFF"/>
            <w:vAlign w:val="center"/>
            <w:hideMark/>
          </w:tcPr>
          <w:p w14:paraId="2850831E" w14:textId="77777777" w:rsidR="00C45D5B" w:rsidRPr="006401D1" w:rsidRDefault="00C45D5B" w:rsidP="00CF774B">
            <w:pPr>
              <w:rPr>
                <w:rFonts w:cs="Times New Roman"/>
                <w:sz w:val="18"/>
                <w:szCs w:val="18"/>
              </w:rPr>
            </w:pPr>
            <w:r w:rsidRPr="006401D1">
              <w:rPr>
                <w:rFonts w:cs="Times New Roman"/>
                <w:sz w:val="18"/>
                <w:szCs w:val="18"/>
              </w:rPr>
              <w:t>1. Reálny rast HDP (%)</w:t>
            </w:r>
          </w:p>
        </w:tc>
        <w:tc>
          <w:tcPr>
            <w:tcW w:w="960" w:type="dxa"/>
            <w:gridSpan w:val="2"/>
            <w:tcBorders>
              <w:top w:val="single" w:sz="4" w:space="0" w:color="auto"/>
              <w:left w:val="nil"/>
              <w:bottom w:val="nil"/>
              <w:right w:val="nil"/>
            </w:tcBorders>
            <w:shd w:val="clear" w:color="000000" w:fill="FFFFFF"/>
            <w:vAlign w:val="center"/>
            <w:hideMark/>
          </w:tcPr>
          <w:p w14:paraId="33C2CB79"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center"/>
            <w:hideMark/>
          </w:tcPr>
          <w:p w14:paraId="5304B5ED" w14:textId="77777777" w:rsidR="00C45D5B" w:rsidRPr="006401D1" w:rsidRDefault="00C45D5B" w:rsidP="00CF774B">
            <w:pPr>
              <w:jc w:val="center"/>
              <w:rPr>
                <w:rFonts w:cs="Times New Roman"/>
                <w:color w:val="000000"/>
                <w:sz w:val="18"/>
                <w:szCs w:val="18"/>
              </w:rPr>
            </w:pPr>
            <w:r w:rsidRPr="006401D1">
              <w:rPr>
                <w:color w:val="000000"/>
                <w:sz w:val="18"/>
                <w:szCs w:val="18"/>
              </w:rPr>
              <w:t>3,0</w:t>
            </w:r>
          </w:p>
        </w:tc>
        <w:tc>
          <w:tcPr>
            <w:tcW w:w="960" w:type="dxa"/>
            <w:gridSpan w:val="2"/>
            <w:tcBorders>
              <w:top w:val="nil"/>
              <w:left w:val="nil"/>
              <w:bottom w:val="nil"/>
              <w:right w:val="nil"/>
            </w:tcBorders>
            <w:shd w:val="clear" w:color="auto" w:fill="auto"/>
            <w:vAlign w:val="center"/>
            <w:hideMark/>
          </w:tcPr>
          <w:p w14:paraId="76C41E2F" w14:textId="77777777" w:rsidR="00C45D5B" w:rsidRPr="006401D1" w:rsidRDefault="00C45D5B" w:rsidP="00CF774B">
            <w:pPr>
              <w:jc w:val="center"/>
              <w:rPr>
                <w:rFonts w:cs="Times New Roman"/>
                <w:color w:val="000000"/>
                <w:sz w:val="18"/>
                <w:szCs w:val="18"/>
              </w:rPr>
            </w:pPr>
            <w:r w:rsidRPr="006401D1">
              <w:rPr>
                <w:color w:val="000000"/>
                <w:sz w:val="18"/>
                <w:szCs w:val="18"/>
              </w:rPr>
              <w:t>2,1</w:t>
            </w:r>
          </w:p>
        </w:tc>
        <w:tc>
          <w:tcPr>
            <w:tcW w:w="960" w:type="dxa"/>
            <w:gridSpan w:val="2"/>
            <w:tcBorders>
              <w:top w:val="nil"/>
              <w:left w:val="nil"/>
              <w:bottom w:val="nil"/>
              <w:right w:val="nil"/>
            </w:tcBorders>
            <w:shd w:val="clear" w:color="auto" w:fill="auto"/>
            <w:vAlign w:val="center"/>
            <w:hideMark/>
          </w:tcPr>
          <w:p w14:paraId="5CC6F027" w14:textId="77777777" w:rsidR="00C45D5B" w:rsidRPr="006401D1" w:rsidRDefault="00C45D5B" w:rsidP="00CF774B">
            <w:pPr>
              <w:jc w:val="center"/>
              <w:rPr>
                <w:rFonts w:cs="Times New Roman"/>
                <w:color w:val="000000"/>
                <w:sz w:val="18"/>
                <w:szCs w:val="18"/>
              </w:rPr>
            </w:pPr>
            <w:r w:rsidRPr="006401D1">
              <w:rPr>
                <w:color w:val="000000"/>
                <w:sz w:val="18"/>
                <w:szCs w:val="18"/>
              </w:rPr>
              <w:t>5,3</w:t>
            </w:r>
          </w:p>
        </w:tc>
        <w:tc>
          <w:tcPr>
            <w:tcW w:w="960" w:type="dxa"/>
            <w:gridSpan w:val="2"/>
            <w:tcBorders>
              <w:top w:val="nil"/>
              <w:left w:val="nil"/>
              <w:bottom w:val="nil"/>
              <w:right w:val="nil"/>
            </w:tcBorders>
            <w:shd w:val="clear" w:color="auto" w:fill="auto"/>
            <w:vAlign w:val="center"/>
            <w:hideMark/>
          </w:tcPr>
          <w:p w14:paraId="56F7E467" w14:textId="77777777" w:rsidR="00C45D5B" w:rsidRPr="006401D1" w:rsidRDefault="00C45D5B" w:rsidP="00CF774B">
            <w:pPr>
              <w:jc w:val="center"/>
              <w:rPr>
                <w:rFonts w:cs="Times New Roman"/>
                <w:color w:val="000000"/>
                <w:sz w:val="18"/>
                <w:szCs w:val="18"/>
              </w:rPr>
            </w:pPr>
            <w:r w:rsidRPr="006401D1">
              <w:rPr>
                <w:color w:val="000000"/>
                <w:sz w:val="18"/>
                <w:szCs w:val="18"/>
              </w:rPr>
              <w:t>1,8</w:t>
            </w:r>
          </w:p>
        </w:tc>
        <w:tc>
          <w:tcPr>
            <w:tcW w:w="960" w:type="dxa"/>
            <w:gridSpan w:val="2"/>
            <w:tcBorders>
              <w:top w:val="nil"/>
              <w:left w:val="nil"/>
              <w:bottom w:val="nil"/>
              <w:right w:val="nil"/>
            </w:tcBorders>
            <w:shd w:val="clear" w:color="auto" w:fill="auto"/>
            <w:vAlign w:val="center"/>
            <w:hideMark/>
          </w:tcPr>
          <w:p w14:paraId="7F023442" w14:textId="77777777" w:rsidR="00C45D5B" w:rsidRPr="006401D1" w:rsidRDefault="00C45D5B" w:rsidP="00CF774B">
            <w:pPr>
              <w:jc w:val="center"/>
              <w:rPr>
                <w:rFonts w:cs="Times New Roman"/>
                <w:color w:val="000000"/>
                <w:sz w:val="18"/>
                <w:szCs w:val="18"/>
              </w:rPr>
            </w:pPr>
            <w:r w:rsidRPr="006401D1">
              <w:rPr>
                <w:color w:val="000000"/>
                <w:sz w:val="18"/>
                <w:szCs w:val="18"/>
              </w:rPr>
              <w:t>1,8</w:t>
            </w:r>
          </w:p>
        </w:tc>
      </w:tr>
      <w:tr w:rsidR="00C45D5B" w:rsidRPr="006401D1" w14:paraId="12C81AAC"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7AC63C33" w14:textId="77777777" w:rsidR="00C45D5B" w:rsidRPr="006401D1" w:rsidRDefault="00C45D5B" w:rsidP="00CF774B">
            <w:pPr>
              <w:rPr>
                <w:rFonts w:cs="Times New Roman"/>
                <w:sz w:val="18"/>
                <w:szCs w:val="18"/>
              </w:rPr>
            </w:pPr>
            <w:r w:rsidRPr="006401D1">
              <w:rPr>
                <w:rFonts w:cs="Times New Roman"/>
                <w:sz w:val="18"/>
                <w:szCs w:val="18"/>
              </w:rPr>
              <w:t>2. Čisté pôžičky verejnej správy*</w:t>
            </w:r>
          </w:p>
        </w:tc>
        <w:tc>
          <w:tcPr>
            <w:tcW w:w="960" w:type="dxa"/>
            <w:gridSpan w:val="2"/>
            <w:tcBorders>
              <w:top w:val="nil"/>
              <w:left w:val="nil"/>
              <w:bottom w:val="nil"/>
              <w:right w:val="nil"/>
            </w:tcBorders>
            <w:shd w:val="clear" w:color="000000" w:fill="FFFFFF"/>
            <w:vAlign w:val="center"/>
            <w:hideMark/>
          </w:tcPr>
          <w:p w14:paraId="22006C03" w14:textId="77777777" w:rsidR="00C45D5B" w:rsidRPr="006401D1" w:rsidRDefault="00C45D5B" w:rsidP="00CF774B">
            <w:pPr>
              <w:jc w:val="center"/>
              <w:rPr>
                <w:rFonts w:cs="Times New Roman"/>
                <w:sz w:val="18"/>
                <w:szCs w:val="18"/>
              </w:rPr>
            </w:pPr>
            <w:r w:rsidRPr="006401D1">
              <w:rPr>
                <w:rFonts w:cs="Times New Roman"/>
                <w:sz w:val="18"/>
                <w:szCs w:val="18"/>
              </w:rPr>
              <w:t>B.9</w:t>
            </w:r>
          </w:p>
        </w:tc>
        <w:tc>
          <w:tcPr>
            <w:tcW w:w="960" w:type="dxa"/>
            <w:gridSpan w:val="2"/>
            <w:tcBorders>
              <w:top w:val="nil"/>
              <w:left w:val="nil"/>
              <w:bottom w:val="nil"/>
              <w:right w:val="nil"/>
            </w:tcBorders>
            <w:shd w:val="clear" w:color="auto" w:fill="auto"/>
            <w:vAlign w:val="center"/>
            <w:hideMark/>
          </w:tcPr>
          <w:p w14:paraId="053C6FC2" w14:textId="77777777" w:rsidR="00C45D5B" w:rsidRPr="006401D1" w:rsidRDefault="00C45D5B" w:rsidP="00CF774B">
            <w:pPr>
              <w:jc w:val="center"/>
              <w:rPr>
                <w:rFonts w:cs="Times New Roman"/>
                <w:color w:val="000000"/>
                <w:sz w:val="18"/>
                <w:szCs w:val="18"/>
              </w:rPr>
            </w:pPr>
            <w:r w:rsidRPr="006401D1">
              <w:rPr>
                <w:color w:val="000000"/>
                <w:sz w:val="18"/>
                <w:szCs w:val="18"/>
              </w:rPr>
              <w:t>-6,2</w:t>
            </w:r>
          </w:p>
        </w:tc>
        <w:tc>
          <w:tcPr>
            <w:tcW w:w="960" w:type="dxa"/>
            <w:gridSpan w:val="2"/>
            <w:tcBorders>
              <w:top w:val="nil"/>
              <w:left w:val="nil"/>
              <w:bottom w:val="nil"/>
              <w:right w:val="nil"/>
            </w:tcBorders>
            <w:shd w:val="clear" w:color="auto" w:fill="auto"/>
            <w:vAlign w:val="center"/>
            <w:hideMark/>
          </w:tcPr>
          <w:p w14:paraId="7A980F95" w14:textId="77777777" w:rsidR="00C45D5B" w:rsidRPr="006401D1" w:rsidRDefault="00C45D5B" w:rsidP="00CF774B">
            <w:pPr>
              <w:jc w:val="center"/>
              <w:rPr>
                <w:rFonts w:cs="Times New Roman"/>
                <w:color w:val="000000"/>
                <w:sz w:val="18"/>
                <w:szCs w:val="18"/>
              </w:rPr>
            </w:pPr>
            <w:r w:rsidRPr="006401D1">
              <w:rPr>
                <w:color w:val="000000"/>
                <w:sz w:val="18"/>
                <w:szCs w:val="18"/>
              </w:rPr>
              <w:t>-5,1</w:t>
            </w:r>
          </w:p>
        </w:tc>
        <w:tc>
          <w:tcPr>
            <w:tcW w:w="960" w:type="dxa"/>
            <w:gridSpan w:val="2"/>
            <w:tcBorders>
              <w:top w:val="nil"/>
              <w:left w:val="nil"/>
              <w:bottom w:val="nil"/>
              <w:right w:val="nil"/>
            </w:tcBorders>
            <w:shd w:val="clear" w:color="auto" w:fill="auto"/>
            <w:vAlign w:val="center"/>
            <w:hideMark/>
          </w:tcPr>
          <w:p w14:paraId="369ACA7B" w14:textId="77777777" w:rsidR="00C45D5B" w:rsidRPr="006401D1" w:rsidRDefault="00C45D5B" w:rsidP="00CF774B">
            <w:pPr>
              <w:jc w:val="center"/>
              <w:rPr>
                <w:rFonts w:cs="Times New Roman"/>
                <w:color w:val="000000"/>
                <w:sz w:val="18"/>
                <w:szCs w:val="18"/>
              </w:rPr>
            </w:pPr>
            <w:r w:rsidRPr="006401D1">
              <w:rPr>
                <w:color w:val="000000"/>
                <w:sz w:val="18"/>
                <w:szCs w:val="18"/>
              </w:rPr>
              <w:t>-2,4</w:t>
            </w:r>
          </w:p>
        </w:tc>
        <w:tc>
          <w:tcPr>
            <w:tcW w:w="960" w:type="dxa"/>
            <w:gridSpan w:val="2"/>
            <w:tcBorders>
              <w:top w:val="nil"/>
              <w:left w:val="nil"/>
              <w:bottom w:val="nil"/>
              <w:right w:val="nil"/>
            </w:tcBorders>
            <w:shd w:val="clear" w:color="auto" w:fill="auto"/>
            <w:vAlign w:val="center"/>
            <w:hideMark/>
          </w:tcPr>
          <w:p w14:paraId="6B569431" w14:textId="77777777" w:rsidR="00C45D5B" w:rsidRPr="006401D1" w:rsidRDefault="00C45D5B" w:rsidP="00CF774B">
            <w:pPr>
              <w:jc w:val="center"/>
              <w:rPr>
                <w:rFonts w:cs="Times New Roman"/>
                <w:color w:val="000000"/>
                <w:sz w:val="18"/>
                <w:szCs w:val="18"/>
              </w:rPr>
            </w:pPr>
            <w:r w:rsidRPr="006401D1">
              <w:rPr>
                <w:color w:val="000000"/>
                <w:sz w:val="18"/>
                <w:szCs w:val="18"/>
              </w:rPr>
              <w:t>-2,3</w:t>
            </w:r>
          </w:p>
        </w:tc>
        <w:tc>
          <w:tcPr>
            <w:tcW w:w="960" w:type="dxa"/>
            <w:gridSpan w:val="2"/>
            <w:tcBorders>
              <w:top w:val="nil"/>
              <w:left w:val="nil"/>
              <w:bottom w:val="nil"/>
              <w:right w:val="nil"/>
            </w:tcBorders>
            <w:shd w:val="clear" w:color="auto" w:fill="auto"/>
            <w:vAlign w:val="center"/>
            <w:hideMark/>
          </w:tcPr>
          <w:p w14:paraId="73800EE3" w14:textId="77777777" w:rsidR="00C45D5B" w:rsidRPr="006401D1" w:rsidRDefault="00C45D5B" w:rsidP="00CF774B">
            <w:pPr>
              <w:jc w:val="center"/>
              <w:rPr>
                <w:rFonts w:cs="Times New Roman"/>
                <w:color w:val="000000"/>
                <w:sz w:val="18"/>
                <w:szCs w:val="18"/>
              </w:rPr>
            </w:pPr>
            <w:r w:rsidRPr="006401D1">
              <w:rPr>
                <w:color w:val="000000"/>
                <w:sz w:val="18"/>
                <w:szCs w:val="18"/>
              </w:rPr>
              <w:t>-2,0</w:t>
            </w:r>
          </w:p>
        </w:tc>
      </w:tr>
      <w:tr w:rsidR="00C45D5B" w:rsidRPr="006401D1" w14:paraId="59E67EF7"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21B3E3DF" w14:textId="77777777" w:rsidR="00C45D5B" w:rsidRPr="006401D1" w:rsidRDefault="00C45D5B" w:rsidP="00CF774B">
            <w:pPr>
              <w:rPr>
                <w:rFonts w:cs="Times New Roman"/>
                <w:sz w:val="18"/>
                <w:szCs w:val="18"/>
              </w:rPr>
            </w:pPr>
            <w:r w:rsidRPr="006401D1">
              <w:rPr>
                <w:rFonts w:cs="Times New Roman"/>
                <w:sz w:val="18"/>
                <w:szCs w:val="18"/>
              </w:rPr>
              <w:t>3. Úrokové náklady</w:t>
            </w:r>
          </w:p>
        </w:tc>
        <w:tc>
          <w:tcPr>
            <w:tcW w:w="960" w:type="dxa"/>
            <w:gridSpan w:val="2"/>
            <w:tcBorders>
              <w:top w:val="nil"/>
              <w:left w:val="nil"/>
              <w:bottom w:val="nil"/>
              <w:right w:val="nil"/>
            </w:tcBorders>
            <w:shd w:val="clear" w:color="000000" w:fill="FFFFFF"/>
            <w:vAlign w:val="center"/>
            <w:hideMark/>
          </w:tcPr>
          <w:p w14:paraId="0D399C02" w14:textId="77777777" w:rsidR="00C45D5B" w:rsidRPr="006401D1" w:rsidRDefault="00C45D5B" w:rsidP="00CF774B">
            <w:pPr>
              <w:jc w:val="center"/>
              <w:rPr>
                <w:rFonts w:cs="Times New Roman"/>
                <w:sz w:val="18"/>
                <w:szCs w:val="18"/>
              </w:rPr>
            </w:pPr>
            <w:r w:rsidRPr="006401D1">
              <w:rPr>
                <w:rFonts w:cs="Times New Roman"/>
                <w:sz w:val="18"/>
                <w:szCs w:val="18"/>
              </w:rPr>
              <w:t>D.41</w:t>
            </w:r>
          </w:p>
        </w:tc>
        <w:tc>
          <w:tcPr>
            <w:tcW w:w="960" w:type="dxa"/>
            <w:gridSpan w:val="2"/>
            <w:tcBorders>
              <w:top w:val="nil"/>
              <w:left w:val="nil"/>
              <w:bottom w:val="nil"/>
              <w:right w:val="nil"/>
            </w:tcBorders>
            <w:shd w:val="clear" w:color="auto" w:fill="auto"/>
            <w:vAlign w:val="bottom"/>
            <w:hideMark/>
          </w:tcPr>
          <w:p w14:paraId="7622C2D4" w14:textId="77777777" w:rsidR="00C45D5B" w:rsidRPr="006401D1" w:rsidRDefault="00C45D5B" w:rsidP="00CF774B">
            <w:pPr>
              <w:jc w:val="center"/>
              <w:rPr>
                <w:rFonts w:cs="Times New Roman"/>
                <w:color w:val="000000"/>
                <w:sz w:val="18"/>
                <w:szCs w:val="18"/>
              </w:rPr>
            </w:pPr>
            <w:r w:rsidRPr="006401D1">
              <w:rPr>
                <w:color w:val="000000"/>
                <w:sz w:val="18"/>
                <w:szCs w:val="18"/>
              </w:rPr>
              <w:t>1,1</w:t>
            </w:r>
          </w:p>
        </w:tc>
        <w:tc>
          <w:tcPr>
            <w:tcW w:w="960" w:type="dxa"/>
            <w:gridSpan w:val="2"/>
            <w:tcBorders>
              <w:top w:val="nil"/>
              <w:left w:val="nil"/>
              <w:bottom w:val="nil"/>
              <w:right w:val="nil"/>
            </w:tcBorders>
            <w:shd w:val="clear" w:color="auto" w:fill="auto"/>
            <w:vAlign w:val="bottom"/>
            <w:hideMark/>
          </w:tcPr>
          <w:p w14:paraId="2E993182" w14:textId="77777777" w:rsidR="00C45D5B" w:rsidRPr="006401D1" w:rsidRDefault="00C45D5B" w:rsidP="00CF774B">
            <w:pPr>
              <w:jc w:val="center"/>
              <w:rPr>
                <w:rFonts w:cs="Times New Roman"/>
                <w:color w:val="000000"/>
                <w:sz w:val="18"/>
                <w:szCs w:val="18"/>
              </w:rPr>
            </w:pPr>
            <w:r w:rsidRPr="006401D1">
              <w:rPr>
                <w:color w:val="000000"/>
                <w:sz w:val="18"/>
                <w:szCs w:val="18"/>
              </w:rPr>
              <w:t>0,8</w:t>
            </w:r>
          </w:p>
        </w:tc>
        <w:tc>
          <w:tcPr>
            <w:tcW w:w="960" w:type="dxa"/>
            <w:gridSpan w:val="2"/>
            <w:tcBorders>
              <w:top w:val="nil"/>
              <w:left w:val="nil"/>
              <w:bottom w:val="nil"/>
              <w:right w:val="nil"/>
            </w:tcBorders>
            <w:shd w:val="clear" w:color="auto" w:fill="auto"/>
            <w:vAlign w:val="bottom"/>
            <w:hideMark/>
          </w:tcPr>
          <w:p w14:paraId="460D10AF" w14:textId="77777777" w:rsidR="00C45D5B" w:rsidRPr="006401D1" w:rsidRDefault="00C45D5B" w:rsidP="00CF774B">
            <w:pPr>
              <w:jc w:val="center"/>
              <w:rPr>
                <w:rFonts w:cs="Times New Roman"/>
                <w:color w:val="000000"/>
                <w:sz w:val="18"/>
                <w:szCs w:val="18"/>
              </w:rPr>
            </w:pPr>
            <w:r w:rsidRPr="006401D1">
              <w:rPr>
                <w:color w:val="000000"/>
                <w:sz w:val="18"/>
                <w:szCs w:val="18"/>
              </w:rPr>
              <w:t>0,8</w:t>
            </w:r>
          </w:p>
        </w:tc>
        <w:tc>
          <w:tcPr>
            <w:tcW w:w="960" w:type="dxa"/>
            <w:gridSpan w:val="2"/>
            <w:tcBorders>
              <w:top w:val="nil"/>
              <w:left w:val="nil"/>
              <w:bottom w:val="nil"/>
              <w:right w:val="nil"/>
            </w:tcBorders>
            <w:shd w:val="clear" w:color="auto" w:fill="auto"/>
            <w:vAlign w:val="bottom"/>
            <w:hideMark/>
          </w:tcPr>
          <w:p w14:paraId="7E45D5D9" w14:textId="77777777" w:rsidR="00C45D5B" w:rsidRPr="006401D1" w:rsidRDefault="00C45D5B" w:rsidP="00CF774B">
            <w:pPr>
              <w:jc w:val="center"/>
              <w:rPr>
                <w:rFonts w:cs="Times New Roman"/>
                <w:color w:val="000000"/>
                <w:sz w:val="18"/>
                <w:szCs w:val="18"/>
              </w:rPr>
            </w:pPr>
            <w:r w:rsidRPr="006401D1">
              <w:rPr>
                <w:color w:val="000000"/>
                <w:sz w:val="18"/>
                <w:szCs w:val="18"/>
              </w:rPr>
              <w:t>0,9</w:t>
            </w:r>
          </w:p>
        </w:tc>
        <w:tc>
          <w:tcPr>
            <w:tcW w:w="960" w:type="dxa"/>
            <w:gridSpan w:val="2"/>
            <w:tcBorders>
              <w:top w:val="nil"/>
              <w:left w:val="nil"/>
              <w:bottom w:val="nil"/>
              <w:right w:val="nil"/>
            </w:tcBorders>
            <w:shd w:val="clear" w:color="auto" w:fill="auto"/>
            <w:vAlign w:val="bottom"/>
            <w:hideMark/>
          </w:tcPr>
          <w:p w14:paraId="5829E296" w14:textId="77777777" w:rsidR="00C45D5B" w:rsidRPr="006401D1" w:rsidRDefault="00C45D5B" w:rsidP="00CF774B">
            <w:pPr>
              <w:jc w:val="center"/>
              <w:rPr>
                <w:rFonts w:cs="Times New Roman"/>
                <w:color w:val="000000"/>
                <w:sz w:val="18"/>
                <w:szCs w:val="18"/>
              </w:rPr>
            </w:pPr>
            <w:r w:rsidRPr="006401D1">
              <w:rPr>
                <w:color w:val="000000"/>
                <w:sz w:val="18"/>
                <w:szCs w:val="18"/>
              </w:rPr>
              <w:t>1,0</w:t>
            </w:r>
          </w:p>
        </w:tc>
      </w:tr>
      <w:tr w:rsidR="00C45D5B" w:rsidRPr="006401D1" w14:paraId="749069FA"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7AA1A7D6" w14:textId="77777777" w:rsidR="00C45D5B" w:rsidRPr="006401D1" w:rsidRDefault="00C45D5B" w:rsidP="00CF774B">
            <w:pPr>
              <w:rPr>
                <w:rFonts w:cs="Times New Roman"/>
                <w:sz w:val="18"/>
                <w:szCs w:val="18"/>
              </w:rPr>
            </w:pPr>
            <w:r w:rsidRPr="006401D1">
              <w:rPr>
                <w:rFonts w:cs="Times New Roman"/>
                <w:sz w:val="18"/>
                <w:szCs w:val="18"/>
              </w:rPr>
              <w:t>4. Jednorazové a dočasné opatrenia</w:t>
            </w:r>
          </w:p>
        </w:tc>
        <w:tc>
          <w:tcPr>
            <w:tcW w:w="960" w:type="dxa"/>
            <w:gridSpan w:val="2"/>
            <w:tcBorders>
              <w:top w:val="nil"/>
              <w:left w:val="nil"/>
              <w:bottom w:val="nil"/>
              <w:right w:val="nil"/>
            </w:tcBorders>
            <w:shd w:val="clear" w:color="000000" w:fill="FFFFFF"/>
            <w:vAlign w:val="center"/>
            <w:hideMark/>
          </w:tcPr>
          <w:p w14:paraId="26B0C257" w14:textId="77777777" w:rsidR="00C45D5B" w:rsidRPr="006401D1" w:rsidRDefault="00C45D5B" w:rsidP="00CF774B">
            <w:pPr>
              <w:jc w:val="center"/>
              <w:rPr>
                <w:rFonts w:cs="Times New Roman"/>
                <w:sz w:val="18"/>
                <w:szCs w:val="18"/>
              </w:rPr>
            </w:pPr>
            <w:r w:rsidRPr="006401D1">
              <w:rPr>
                <w:rFonts w:cs="Times New Roman"/>
                <w:sz w:val="18"/>
                <w:szCs w:val="18"/>
                <w:vertAlign w:val="superscript"/>
              </w:rPr>
              <w:t>[1]</w:t>
            </w:r>
          </w:p>
        </w:tc>
        <w:tc>
          <w:tcPr>
            <w:tcW w:w="960" w:type="dxa"/>
            <w:gridSpan w:val="2"/>
            <w:tcBorders>
              <w:top w:val="nil"/>
              <w:left w:val="nil"/>
              <w:bottom w:val="nil"/>
              <w:right w:val="nil"/>
            </w:tcBorders>
            <w:shd w:val="clear" w:color="auto" w:fill="auto"/>
            <w:vAlign w:val="bottom"/>
            <w:hideMark/>
          </w:tcPr>
          <w:p w14:paraId="661C5859" w14:textId="77777777" w:rsidR="00C45D5B" w:rsidRPr="006401D1" w:rsidRDefault="00C45D5B" w:rsidP="00CF774B">
            <w:pPr>
              <w:jc w:val="center"/>
              <w:rPr>
                <w:rFonts w:cs="Times New Roman"/>
                <w:color w:val="000000"/>
                <w:sz w:val="18"/>
                <w:szCs w:val="18"/>
              </w:rPr>
            </w:pPr>
            <w:r w:rsidRPr="006401D1">
              <w:rPr>
                <w:color w:val="000000"/>
                <w:sz w:val="18"/>
                <w:szCs w:val="18"/>
              </w:rPr>
              <w:t>-3,5</w:t>
            </w:r>
          </w:p>
        </w:tc>
        <w:tc>
          <w:tcPr>
            <w:tcW w:w="960" w:type="dxa"/>
            <w:gridSpan w:val="2"/>
            <w:tcBorders>
              <w:top w:val="nil"/>
              <w:left w:val="nil"/>
              <w:bottom w:val="nil"/>
              <w:right w:val="nil"/>
            </w:tcBorders>
            <w:shd w:val="clear" w:color="auto" w:fill="auto"/>
            <w:vAlign w:val="bottom"/>
            <w:hideMark/>
          </w:tcPr>
          <w:p w14:paraId="687638E1" w14:textId="77777777" w:rsidR="00C45D5B" w:rsidRPr="006401D1" w:rsidRDefault="00C45D5B" w:rsidP="00CF774B">
            <w:pPr>
              <w:jc w:val="center"/>
              <w:rPr>
                <w:rFonts w:cs="Times New Roman"/>
                <w:color w:val="000000"/>
                <w:sz w:val="18"/>
                <w:szCs w:val="18"/>
              </w:rPr>
            </w:pPr>
            <w:r w:rsidRPr="006401D1">
              <w:rPr>
                <w:color w:val="000000"/>
                <w:sz w:val="18"/>
                <w:szCs w:val="18"/>
              </w:rPr>
              <w:t>-1,0</w:t>
            </w:r>
          </w:p>
        </w:tc>
        <w:tc>
          <w:tcPr>
            <w:tcW w:w="960" w:type="dxa"/>
            <w:gridSpan w:val="2"/>
            <w:tcBorders>
              <w:top w:val="nil"/>
              <w:left w:val="nil"/>
              <w:bottom w:val="nil"/>
              <w:right w:val="nil"/>
            </w:tcBorders>
            <w:shd w:val="clear" w:color="auto" w:fill="auto"/>
            <w:vAlign w:val="bottom"/>
            <w:hideMark/>
          </w:tcPr>
          <w:p w14:paraId="1A70F4D2"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c>
          <w:tcPr>
            <w:tcW w:w="960" w:type="dxa"/>
            <w:gridSpan w:val="2"/>
            <w:tcBorders>
              <w:top w:val="nil"/>
              <w:left w:val="nil"/>
              <w:bottom w:val="nil"/>
              <w:right w:val="nil"/>
            </w:tcBorders>
            <w:shd w:val="clear" w:color="auto" w:fill="auto"/>
            <w:vAlign w:val="bottom"/>
            <w:hideMark/>
          </w:tcPr>
          <w:p w14:paraId="7A6CD109"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c>
          <w:tcPr>
            <w:tcW w:w="960" w:type="dxa"/>
            <w:gridSpan w:val="2"/>
            <w:tcBorders>
              <w:top w:val="nil"/>
              <w:left w:val="nil"/>
              <w:bottom w:val="nil"/>
              <w:right w:val="nil"/>
            </w:tcBorders>
            <w:shd w:val="clear" w:color="auto" w:fill="auto"/>
            <w:vAlign w:val="bottom"/>
            <w:hideMark/>
          </w:tcPr>
          <w:p w14:paraId="3B9C41AD"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r>
      <w:tr w:rsidR="00C45D5B" w:rsidRPr="006401D1" w14:paraId="0B0C8C2E"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633E9DBF" w14:textId="77777777" w:rsidR="00C45D5B" w:rsidRPr="006401D1" w:rsidRDefault="00C45D5B" w:rsidP="00CF774B">
            <w:pPr>
              <w:ind w:firstLineChars="100" w:firstLine="180"/>
              <w:rPr>
                <w:rFonts w:cs="Times New Roman"/>
                <w:sz w:val="18"/>
                <w:szCs w:val="18"/>
              </w:rPr>
            </w:pPr>
            <w:r w:rsidRPr="006401D1">
              <w:rPr>
                <w:rFonts w:cs="Times New Roman"/>
                <w:sz w:val="18"/>
                <w:szCs w:val="18"/>
              </w:rPr>
              <w:t>Z toho:</w:t>
            </w:r>
          </w:p>
        </w:tc>
        <w:tc>
          <w:tcPr>
            <w:tcW w:w="960" w:type="dxa"/>
            <w:gridSpan w:val="2"/>
            <w:tcBorders>
              <w:top w:val="nil"/>
              <w:left w:val="nil"/>
              <w:bottom w:val="nil"/>
              <w:right w:val="nil"/>
            </w:tcBorders>
            <w:shd w:val="clear" w:color="000000" w:fill="FFFFFF"/>
            <w:vAlign w:val="center"/>
            <w:hideMark/>
          </w:tcPr>
          <w:p w14:paraId="74368106"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tcPr>
          <w:p w14:paraId="6A00BECF"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tcPr>
          <w:p w14:paraId="39A50050" w14:textId="77777777" w:rsidR="00C45D5B" w:rsidRPr="006401D1" w:rsidRDefault="00C45D5B" w:rsidP="00CF774B">
            <w:pPr>
              <w:jc w:val="center"/>
              <w:rPr>
                <w:rFonts w:ascii="Times New Roman" w:hAnsi="Times New Roman" w:cs="Times New Roman"/>
                <w:sz w:val="18"/>
                <w:szCs w:val="18"/>
              </w:rPr>
            </w:pPr>
          </w:p>
        </w:tc>
        <w:tc>
          <w:tcPr>
            <w:tcW w:w="960" w:type="dxa"/>
            <w:gridSpan w:val="2"/>
            <w:tcBorders>
              <w:top w:val="nil"/>
              <w:left w:val="nil"/>
              <w:bottom w:val="nil"/>
              <w:right w:val="nil"/>
            </w:tcBorders>
            <w:shd w:val="clear" w:color="auto" w:fill="auto"/>
            <w:vAlign w:val="bottom"/>
          </w:tcPr>
          <w:p w14:paraId="0A09D33C" w14:textId="77777777" w:rsidR="00C45D5B" w:rsidRPr="006401D1" w:rsidRDefault="00C45D5B" w:rsidP="00CF774B">
            <w:pPr>
              <w:jc w:val="center"/>
              <w:rPr>
                <w:rFonts w:ascii="Times New Roman" w:hAnsi="Times New Roman" w:cs="Times New Roman"/>
                <w:sz w:val="18"/>
                <w:szCs w:val="18"/>
              </w:rPr>
            </w:pPr>
          </w:p>
        </w:tc>
        <w:tc>
          <w:tcPr>
            <w:tcW w:w="960" w:type="dxa"/>
            <w:gridSpan w:val="2"/>
            <w:tcBorders>
              <w:top w:val="nil"/>
              <w:left w:val="nil"/>
              <w:bottom w:val="nil"/>
              <w:right w:val="nil"/>
            </w:tcBorders>
            <w:shd w:val="clear" w:color="auto" w:fill="auto"/>
            <w:vAlign w:val="bottom"/>
          </w:tcPr>
          <w:p w14:paraId="35F953ED" w14:textId="77777777" w:rsidR="00C45D5B" w:rsidRPr="006401D1" w:rsidRDefault="00C45D5B" w:rsidP="00CF774B">
            <w:pPr>
              <w:jc w:val="center"/>
              <w:rPr>
                <w:rFonts w:ascii="Times New Roman" w:hAnsi="Times New Roman" w:cs="Times New Roman"/>
                <w:sz w:val="18"/>
                <w:szCs w:val="18"/>
              </w:rPr>
            </w:pPr>
          </w:p>
        </w:tc>
        <w:tc>
          <w:tcPr>
            <w:tcW w:w="960" w:type="dxa"/>
            <w:gridSpan w:val="2"/>
            <w:tcBorders>
              <w:top w:val="nil"/>
              <w:left w:val="nil"/>
              <w:bottom w:val="nil"/>
              <w:right w:val="nil"/>
            </w:tcBorders>
            <w:shd w:val="clear" w:color="auto" w:fill="auto"/>
            <w:vAlign w:val="bottom"/>
          </w:tcPr>
          <w:p w14:paraId="39158E9A" w14:textId="77777777" w:rsidR="00C45D5B" w:rsidRPr="006401D1" w:rsidRDefault="00C45D5B" w:rsidP="00CF774B">
            <w:pPr>
              <w:jc w:val="center"/>
              <w:rPr>
                <w:rFonts w:ascii="Times New Roman" w:hAnsi="Times New Roman" w:cs="Times New Roman"/>
                <w:sz w:val="18"/>
                <w:szCs w:val="18"/>
              </w:rPr>
            </w:pPr>
          </w:p>
        </w:tc>
      </w:tr>
      <w:tr w:rsidR="00C45D5B" w:rsidRPr="006401D1" w14:paraId="090CC9EB"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7B6A7934" w14:textId="77777777" w:rsidR="00C45D5B" w:rsidRPr="006401D1" w:rsidRDefault="00C45D5B" w:rsidP="00CF774B">
            <w:pPr>
              <w:ind w:firstLineChars="100" w:firstLine="180"/>
              <w:rPr>
                <w:rFonts w:cs="Times New Roman"/>
                <w:sz w:val="18"/>
                <w:szCs w:val="18"/>
              </w:rPr>
            </w:pPr>
            <w:r w:rsidRPr="006401D1">
              <w:rPr>
                <w:rFonts w:cs="Times New Roman"/>
                <w:sz w:val="18"/>
                <w:szCs w:val="18"/>
              </w:rPr>
              <w:t>Opatrenia na príjmovej strane - verejná správa</w:t>
            </w:r>
          </w:p>
        </w:tc>
        <w:tc>
          <w:tcPr>
            <w:tcW w:w="960" w:type="dxa"/>
            <w:gridSpan w:val="2"/>
            <w:tcBorders>
              <w:top w:val="nil"/>
              <w:left w:val="nil"/>
              <w:bottom w:val="nil"/>
              <w:right w:val="nil"/>
            </w:tcBorders>
            <w:shd w:val="clear" w:color="000000" w:fill="FFFFFF"/>
            <w:vAlign w:val="center"/>
            <w:hideMark/>
          </w:tcPr>
          <w:p w14:paraId="3EB8BE72"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hideMark/>
          </w:tcPr>
          <w:p w14:paraId="506EED4F" w14:textId="77777777" w:rsidR="00C45D5B" w:rsidRPr="006401D1" w:rsidRDefault="00C45D5B" w:rsidP="00CF774B">
            <w:pPr>
              <w:jc w:val="center"/>
              <w:rPr>
                <w:rFonts w:cs="Times New Roman"/>
                <w:color w:val="000000"/>
                <w:sz w:val="18"/>
                <w:szCs w:val="18"/>
              </w:rPr>
            </w:pPr>
            <w:r w:rsidRPr="006401D1">
              <w:rPr>
                <w:color w:val="000000"/>
                <w:sz w:val="18"/>
                <w:szCs w:val="18"/>
              </w:rPr>
              <w:t>0,1</w:t>
            </w:r>
          </w:p>
        </w:tc>
        <w:tc>
          <w:tcPr>
            <w:tcW w:w="960" w:type="dxa"/>
            <w:gridSpan w:val="2"/>
            <w:tcBorders>
              <w:top w:val="nil"/>
              <w:left w:val="nil"/>
              <w:bottom w:val="nil"/>
              <w:right w:val="nil"/>
            </w:tcBorders>
            <w:shd w:val="clear" w:color="auto" w:fill="auto"/>
            <w:vAlign w:val="bottom"/>
            <w:hideMark/>
          </w:tcPr>
          <w:p w14:paraId="4A92DDFE"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c>
          <w:tcPr>
            <w:tcW w:w="960" w:type="dxa"/>
            <w:gridSpan w:val="2"/>
            <w:tcBorders>
              <w:top w:val="nil"/>
              <w:left w:val="nil"/>
              <w:bottom w:val="nil"/>
              <w:right w:val="nil"/>
            </w:tcBorders>
            <w:shd w:val="clear" w:color="auto" w:fill="auto"/>
            <w:vAlign w:val="bottom"/>
            <w:hideMark/>
          </w:tcPr>
          <w:p w14:paraId="7F5B417F"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c>
          <w:tcPr>
            <w:tcW w:w="960" w:type="dxa"/>
            <w:gridSpan w:val="2"/>
            <w:tcBorders>
              <w:top w:val="nil"/>
              <w:left w:val="nil"/>
              <w:bottom w:val="nil"/>
              <w:right w:val="nil"/>
            </w:tcBorders>
            <w:shd w:val="clear" w:color="auto" w:fill="auto"/>
            <w:vAlign w:val="bottom"/>
            <w:hideMark/>
          </w:tcPr>
          <w:p w14:paraId="6AEC9860"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c>
          <w:tcPr>
            <w:tcW w:w="960" w:type="dxa"/>
            <w:gridSpan w:val="2"/>
            <w:tcBorders>
              <w:top w:val="nil"/>
              <w:left w:val="nil"/>
              <w:bottom w:val="nil"/>
              <w:right w:val="nil"/>
            </w:tcBorders>
            <w:shd w:val="clear" w:color="auto" w:fill="auto"/>
            <w:vAlign w:val="bottom"/>
            <w:hideMark/>
          </w:tcPr>
          <w:p w14:paraId="119E82CE"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r>
      <w:tr w:rsidR="00C45D5B" w:rsidRPr="006401D1" w14:paraId="17AE0936"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4AAAEEDF" w14:textId="77777777" w:rsidR="00C45D5B" w:rsidRPr="006401D1" w:rsidRDefault="00C45D5B" w:rsidP="00CF774B">
            <w:pPr>
              <w:ind w:firstLineChars="100" w:firstLine="180"/>
              <w:rPr>
                <w:rFonts w:cs="Times New Roman"/>
                <w:sz w:val="18"/>
                <w:szCs w:val="18"/>
              </w:rPr>
            </w:pPr>
            <w:r w:rsidRPr="006401D1">
              <w:rPr>
                <w:rFonts w:cs="Times New Roman"/>
                <w:sz w:val="18"/>
                <w:szCs w:val="18"/>
              </w:rPr>
              <w:t>Opatrenia na výdavkovej strane - verejná správa</w:t>
            </w:r>
          </w:p>
        </w:tc>
        <w:tc>
          <w:tcPr>
            <w:tcW w:w="960" w:type="dxa"/>
            <w:gridSpan w:val="2"/>
            <w:tcBorders>
              <w:top w:val="nil"/>
              <w:left w:val="nil"/>
              <w:bottom w:val="nil"/>
              <w:right w:val="nil"/>
            </w:tcBorders>
            <w:shd w:val="clear" w:color="000000" w:fill="FFFFFF"/>
            <w:vAlign w:val="center"/>
            <w:hideMark/>
          </w:tcPr>
          <w:p w14:paraId="1A9ACB30"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hideMark/>
          </w:tcPr>
          <w:p w14:paraId="3F71B2AD" w14:textId="77777777" w:rsidR="00C45D5B" w:rsidRPr="006401D1" w:rsidRDefault="00C45D5B" w:rsidP="00CF774B">
            <w:pPr>
              <w:jc w:val="center"/>
              <w:rPr>
                <w:rFonts w:cs="Times New Roman"/>
                <w:color w:val="000000"/>
                <w:sz w:val="18"/>
                <w:szCs w:val="18"/>
              </w:rPr>
            </w:pPr>
            <w:r w:rsidRPr="006401D1">
              <w:rPr>
                <w:color w:val="000000"/>
                <w:sz w:val="18"/>
                <w:szCs w:val="18"/>
              </w:rPr>
              <w:t>-3,4</w:t>
            </w:r>
          </w:p>
        </w:tc>
        <w:tc>
          <w:tcPr>
            <w:tcW w:w="960" w:type="dxa"/>
            <w:gridSpan w:val="2"/>
            <w:tcBorders>
              <w:top w:val="nil"/>
              <w:left w:val="nil"/>
              <w:bottom w:val="nil"/>
              <w:right w:val="nil"/>
            </w:tcBorders>
            <w:shd w:val="clear" w:color="auto" w:fill="auto"/>
            <w:vAlign w:val="bottom"/>
            <w:hideMark/>
          </w:tcPr>
          <w:p w14:paraId="07E06035" w14:textId="77777777" w:rsidR="00C45D5B" w:rsidRPr="006401D1" w:rsidRDefault="00C45D5B" w:rsidP="00CF774B">
            <w:pPr>
              <w:jc w:val="center"/>
              <w:rPr>
                <w:rFonts w:cs="Times New Roman"/>
                <w:color w:val="000000"/>
                <w:sz w:val="18"/>
                <w:szCs w:val="18"/>
              </w:rPr>
            </w:pPr>
            <w:r w:rsidRPr="006401D1">
              <w:rPr>
                <w:color w:val="000000"/>
                <w:sz w:val="18"/>
                <w:szCs w:val="18"/>
              </w:rPr>
              <w:t>-1,0</w:t>
            </w:r>
          </w:p>
        </w:tc>
        <w:tc>
          <w:tcPr>
            <w:tcW w:w="960" w:type="dxa"/>
            <w:gridSpan w:val="2"/>
            <w:tcBorders>
              <w:top w:val="nil"/>
              <w:left w:val="nil"/>
              <w:bottom w:val="nil"/>
              <w:right w:val="nil"/>
            </w:tcBorders>
            <w:shd w:val="clear" w:color="auto" w:fill="auto"/>
            <w:vAlign w:val="bottom"/>
            <w:hideMark/>
          </w:tcPr>
          <w:p w14:paraId="45D77E10"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c>
          <w:tcPr>
            <w:tcW w:w="960" w:type="dxa"/>
            <w:gridSpan w:val="2"/>
            <w:tcBorders>
              <w:top w:val="nil"/>
              <w:left w:val="nil"/>
              <w:bottom w:val="nil"/>
              <w:right w:val="nil"/>
            </w:tcBorders>
            <w:shd w:val="clear" w:color="auto" w:fill="auto"/>
            <w:vAlign w:val="bottom"/>
            <w:hideMark/>
          </w:tcPr>
          <w:p w14:paraId="770BF71D"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c>
          <w:tcPr>
            <w:tcW w:w="960" w:type="dxa"/>
            <w:gridSpan w:val="2"/>
            <w:tcBorders>
              <w:top w:val="nil"/>
              <w:left w:val="nil"/>
              <w:bottom w:val="nil"/>
              <w:right w:val="nil"/>
            </w:tcBorders>
            <w:shd w:val="clear" w:color="auto" w:fill="auto"/>
            <w:vAlign w:val="bottom"/>
            <w:hideMark/>
          </w:tcPr>
          <w:p w14:paraId="2114026E"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r>
      <w:tr w:rsidR="00C45D5B" w:rsidRPr="006401D1" w14:paraId="212DAE25" w14:textId="77777777" w:rsidTr="00CF774B">
        <w:trPr>
          <w:gridAfter w:val="1"/>
          <w:wAfter w:w="100" w:type="dxa"/>
          <w:trHeight w:val="283"/>
        </w:trPr>
        <w:tc>
          <w:tcPr>
            <w:tcW w:w="3240" w:type="dxa"/>
            <w:gridSpan w:val="2"/>
            <w:tcBorders>
              <w:top w:val="nil"/>
              <w:left w:val="nil"/>
              <w:bottom w:val="nil"/>
              <w:right w:val="nil"/>
            </w:tcBorders>
            <w:shd w:val="clear" w:color="auto" w:fill="auto"/>
            <w:vAlign w:val="center"/>
            <w:hideMark/>
          </w:tcPr>
          <w:p w14:paraId="0AA40887" w14:textId="77777777" w:rsidR="00C45D5B" w:rsidRPr="006401D1" w:rsidRDefault="00C45D5B" w:rsidP="00CF774B">
            <w:pPr>
              <w:rPr>
                <w:rFonts w:cs="Times New Roman"/>
                <w:sz w:val="18"/>
                <w:szCs w:val="18"/>
              </w:rPr>
            </w:pPr>
            <w:r w:rsidRPr="006401D1">
              <w:rPr>
                <w:rFonts w:cs="Times New Roman"/>
                <w:sz w:val="18"/>
                <w:szCs w:val="18"/>
              </w:rPr>
              <w:t>5. Rast potenciálneho HDP (%)</w:t>
            </w:r>
          </w:p>
        </w:tc>
        <w:tc>
          <w:tcPr>
            <w:tcW w:w="960" w:type="dxa"/>
            <w:gridSpan w:val="2"/>
            <w:tcBorders>
              <w:top w:val="nil"/>
              <w:left w:val="nil"/>
              <w:bottom w:val="nil"/>
              <w:right w:val="nil"/>
            </w:tcBorders>
            <w:shd w:val="clear" w:color="auto" w:fill="auto"/>
            <w:vAlign w:val="center"/>
            <w:hideMark/>
          </w:tcPr>
          <w:p w14:paraId="51E7E774"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hideMark/>
          </w:tcPr>
          <w:p w14:paraId="48A720C3" w14:textId="77777777" w:rsidR="00C45D5B" w:rsidRPr="006401D1" w:rsidRDefault="00C45D5B" w:rsidP="00CF774B">
            <w:pPr>
              <w:jc w:val="center"/>
              <w:rPr>
                <w:rFonts w:cs="Times New Roman"/>
                <w:color w:val="000000"/>
                <w:sz w:val="18"/>
                <w:szCs w:val="18"/>
              </w:rPr>
            </w:pPr>
            <w:r w:rsidRPr="006401D1">
              <w:rPr>
                <w:color w:val="000000"/>
                <w:sz w:val="18"/>
                <w:szCs w:val="18"/>
              </w:rPr>
              <w:t>1,3</w:t>
            </w:r>
          </w:p>
        </w:tc>
        <w:tc>
          <w:tcPr>
            <w:tcW w:w="960" w:type="dxa"/>
            <w:gridSpan w:val="2"/>
            <w:tcBorders>
              <w:top w:val="nil"/>
              <w:left w:val="nil"/>
              <w:bottom w:val="nil"/>
              <w:right w:val="nil"/>
            </w:tcBorders>
            <w:shd w:val="clear" w:color="auto" w:fill="auto"/>
            <w:vAlign w:val="bottom"/>
            <w:hideMark/>
          </w:tcPr>
          <w:p w14:paraId="4EA0A797" w14:textId="77777777" w:rsidR="00C45D5B" w:rsidRPr="006401D1" w:rsidRDefault="00C45D5B" w:rsidP="00CF774B">
            <w:pPr>
              <w:jc w:val="center"/>
              <w:rPr>
                <w:rFonts w:cs="Times New Roman"/>
                <w:color w:val="000000"/>
                <w:sz w:val="18"/>
                <w:szCs w:val="18"/>
              </w:rPr>
            </w:pPr>
            <w:r w:rsidRPr="006401D1">
              <w:rPr>
                <w:color w:val="000000"/>
                <w:sz w:val="18"/>
                <w:szCs w:val="18"/>
              </w:rPr>
              <w:t>1,4</w:t>
            </w:r>
          </w:p>
        </w:tc>
        <w:tc>
          <w:tcPr>
            <w:tcW w:w="960" w:type="dxa"/>
            <w:gridSpan w:val="2"/>
            <w:tcBorders>
              <w:top w:val="nil"/>
              <w:left w:val="nil"/>
              <w:bottom w:val="nil"/>
              <w:right w:val="nil"/>
            </w:tcBorders>
            <w:shd w:val="clear" w:color="auto" w:fill="auto"/>
            <w:vAlign w:val="bottom"/>
            <w:hideMark/>
          </w:tcPr>
          <w:p w14:paraId="044A2207" w14:textId="77777777" w:rsidR="00C45D5B" w:rsidRPr="006401D1" w:rsidRDefault="00C45D5B" w:rsidP="00CF774B">
            <w:pPr>
              <w:jc w:val="center"/>
              <w:rPr>
                <w:rFonts w:cs="Times New Roman"/>
                <w:color w:val="000000"/>
                <w:sz w:val="18"/>
                <w:szCs w:val="18"/>
              </w:rPr>
            </w:pPr>
            <w:r w:rsidRPr="006401D1">
              <w:rPr>
                <w:color w:val="000000"/>
                <w:sz w:val="18"/>
                <w:szCs w:val="18"/>
              </w:rPr>
              <w:t>2,8</w:t>
            </w:r>
          </w:p>
        </w:tc>
        <w:tc>
          <w:tcPr>
            <w:tcW w:w="960" w:type="dxa"/>
            <w:gridSpan w:val="2"/>
            <w:tcBorders>
              <w:top w:val="nil"/>
              <w:left w:val="nil"/>
              <w:bottom w:val="nil"/>
              <w:right w:val="nil"/>
            </w:tcBorders>
            <w:shd w:val="clear" w:color="auto" w:fill="auto"/>
            <w:vAlign w:val="bottom"/>
            <w:hideMark/>
          </w:tcPr>
          <w:p w14:paraId="2B0815AD" w14:textId="77777777" w:rsidR="00C45D5B" w:rsidRPr="006401D1" w:rsidRDefault="00C45D5B" w:rsidP="00CF774B">
            <w:pPr>
              <w:jc w:val="center"/>
              <w:rPr>
                <w:rFonts w:cs="Times New Roman"/>
                <w:color w:val="000000"/>
                <w:sz w:val="18"/>
                <w:szCs w:val="18"/>
              </w:rPr>
            </w:pPr>
            <w:r w:rsidRPr="006401D1">
              <w:rPr>
                <w:color w:val="000000"/>
                <w:sz w:val="18"/>
                <w:szCs w:val="18"/>
              </w:rPr>
              <w:t>2,9</w:t>
            </w:r>
          </w:p>
        </w:tc>
        <w:tc>
          <w:tcPr>
            <w:tcW w:w="960" w:type="dxa"/>
            <w:gridSpan w:val="2"/>
            <w:tcBorders>
              <w:top w:val="nil"/>
              <w:left w:val="nil"/>
              <w:bottom w:val="nil"/>
              <w:right w:val="nil"/>
            </w:tcBorders>
            <w:shd w:val="clear" w:color="auto" w:fill="auto"/>
            <w:vAlign w:val="bottom"/>
            <w:hideMark/>
          </w:tcPr>
          <w:p w14:paraId="70344AFD" w14:textId="77777777" w:rsidR="00C45D5B" w:rsidRPr="006401D1" w:rsidRDefault="00C45D5B" w:rsidP="00CF774B">
            <w:pPr>
              <w:jc w:val="center"/>
              <w:rPr>
                <w:rFonts w:cs="Times New Roman"/>
                <w:color w:val="000000"/>
                <w:sz w:val="18"/>
                <w:szCs w:val="18"/>
              </w:rPr>
            </w:pPr>
            <w:r w:rsidRPr="006401D1">
              <w:rPr>
                <w:color w:val="000000"/>
                <w:sz w:val="18"/>
                <w:szCs w:val="18"/>
              </w:rPr>
              <w:t>2,3</w:t>
            </w:r>
          </w:p>
        </w:tc>
      </w:tr>
      <w:tr w:rsidR="00C45D5B" w:rsidRPr="006401D1" w14:paraId="33DABE45" w14:textId="77777777" w:rsidTr="00CF774B">
        <w:trPr>
          <w:gridAfter w:val="1"/>
          <w:wAfter w:w="100" w:type="dxa"/>
          <w:trHeight w:val="283"/>
        </w:trPr>
        <w:tc>
          <w:tcPr>
            <w:tcW w:w="3240" w:type="dxa"/>
            <w:gridSpan w:val="2"/>
            <w:tcBorders>
              <w:top w:val="nil"/>
              <w:left w:val="nil"/>
              <w:bottom w:val="nil"/>
              <w:right w:val="nil"/>
            </w:tcBorders>
            <w:shd w:val="clear" w:color="auto" w:fill="auto"/>
            <w:vAlign w:val="center"/>
            <w:hideMark/>
          </w:tcPr>
          <w:p w14:paraId="707E7A02" w14:textId="77777777" w:rsidR="00C45D5B" w:rsidRPr="006401D1" w:rsidRDefault="00C45D5B" w:rsidP="00CF774B">
            <w:pPr>
              <w:ind w:firstLineChars="200" w:firstLine="360"/>
              <w:rPr>
                <w:rFonts w:cs="Times New Roman"/>
                <w:sz w:val="18"/>
                <w:szCs w:val="18"/>
              </w:rPr>
            </w:pPr>
            <w:r w:rsidRPr="006401D1">
              <w:rPr>
                <w:rFonts w:cs="Times New Roman"/>
                <w:sz w:val="18"/>
                <w:szCs w:val="18"/>
              </w:rPr>
              <w:t>príspevky:</w:t>
            </w:r>
          </w:p>
        </w:tc>
        <w:tc>
          <w:tcPr>
            <w:tcW w:w="960" w:type="dxa"/>
            <w:gridSpan w:val="2"/>
            <w:tcBorders>
              <w:top w:val="nil"/>
              <w:left w:val="nil"/>
              <w:bottom w:val="nil"/>
              <w:right w:val="nil"/>
            </w:tcBorders>
            <w:shd w:val="clear" w:color="auto" w:fill="auto"/>
            <w:vAlign w:val="center"/>
            <w:hideMark/>
          </w:tcPr>
          <w:p w14:paraId="3F1BA440"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hideMark/>
          </w:tcPr>
          <w:p w14:paraId="2278F91A" w14:textId="77777777" w:rsidR="00C45D5B" w:rsidRPr="006401D1" w:rsidRDefault="00C45D5B" w:rsidP="00CF774B">
            <w:pPr>
              <w:jc w:val="center"/>
              <w:rPr>
                <w:rFonts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5F929B9" w14:textId="77777777" w:rsidR="00C45D5B" w:rsidRPr="006401D1" w:rsidRDefault="00C45D5B" w:rsidP="00CF774B">
            <w:pPr>
              <w:jc w:val="center"/>
              <w:rPr>
                <w:rFonts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12C2586E" w14:textId="77777777" w:rsidR="00C45D5B" w:rsidRPr="006401D1" w:rsidRDefault="00C45D5B" w:rsidP="00CF774B">
            <w:pPr>
              <w:jc w:val="center"/>
              <w:rPr>
                <w:rFonts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44C72C9B" w14:textId="77777777" w:rsidR="00C45D5B" w:rsidRPr="006401D1" w:rsidRDefault="00C45D5B" w:rsidP="00CF774B">
            <w:pPr>
              <w:jc w:val="center"/>
              <w:rPr>
                <w:rFonts w:cs="Times New Roman"/>
                <w:color w:val="000000"/>
                <w:sz w:val="18"/>
                <w:szCs w:val="18"/>
              </w:rPr>
            </w:pPr>
          </w:p>
        </w:tc>
        <w:tc>
          <w:tcPr>
            <w:tcW w:w="960" w:type="dxa"/>
            <w:gridSpan w:val="2"/>
            <w:tcBorders>
              <w:top w:val="nil"/>
              <w:left w:val="nil"/>
              <w:bottom w:val="nil"/>
              <w:right w:val="nil"/>
            </w:tcBorders>
            <w:shd w:val="clear" w:color="auto" w:fill="auto"/>
            <w:vAlign w:val="bottom"/>
            <w:hideMark/>
          </w:tcPr>
          <w:p w14:paraId="28071C70" w14:textId="77777777" w:rsidR="00C45D5B" w:rsidRPr="006401D1" w:rsidRDefault="00C45D5B" w:rsidP="00CF774B">
            <w:pPr>
              <w:jc w:val="center"/>
              <w:rPr>
                <w:rFonts w:cs="Times New Roman"/>
                <w:color w:val="000000"/>
                <w:sz w:val="18"/>
                <w:szCs w:val="18"/>
              </w:rPr>
            </w:pPr>
          </w:p>
        </w:tc>
      </w:tr>
      <w:tr w:rsidR="00C45D5B" w:rsidRPr="006401D1" w14:paraId="2818C533" w14:textId="77777777" w:rsidTr="00CF774B">
        <w:trPr>
          <w:gridAfter w:val="1"/>
          <w:wAfter w:w="100" w:type="dxa"/>
          <w:trHeight w:val="283"/>
        </w:trPr>
        <w:tc>
          <w:tcPr>
            <w:tcW w:w="3240" w:type="dxa"/>
            <w:gridSpan w:val="2"/>
            <w:tcBorders>
              <w:top w:val="nil"/>
              <w:left w:val="nil"/>
              <w:bottom w:val="nil"/>
              <w:right w:val="nil"/>
            </w:tcBorders>
            <w:shd w:val="clear" w:color="auto" w:fill="auto"/>
            <w:vAlign w:val="center"/>
            <w:hideMark/>
          </w:tcPr>
          <w:p w14:paraId="69C21EC7" w14:textId="77777777" w:rsidR="00C45D5B" w:rsidRPr="006401D1" w:rsidRDefault="00C45D5B" w:rsidP="00CF774B">
            <w:pPr>
              <w:ind w:firstLineChars="400" w:firstLine="720"/>
              <w:rPr>
                <w:rFonts w:cs="Times New Roman"/>
                <w:sz w:val="18"/>
                <w:szCs w:val="18"/>
              </w:rPr>
            </w:pPr>
            <w:r w:rsidRPr="006401D1">
              <w:rPr>
                <w:rFonts w:cs="Times New Roman"/>
                <w:sz w:val="18"/>
                <w:szCs w:val="18"/>
              </w:rPr>
              <w:t>- pracovná sila</w:t>
            </w:r>
          </w:p>
        </w:tc>
        <w:tc>
          <w:tcPr>
            <w:tcW w:w="960" w:type="dxa"/>
            <w:gridSpan w:val="2"/>
            <w:tcBorders>
              <w:top w:val="nil"/>
              <w:left w:val="nil"/>
              <w:bottom w:val="nil"/>
              <w:right w:val="nil"/>
            </w:tcBorders>
            <w:shd w:val="clear" w:color="auto" w:fill="auto"/>
            <w:vAlign w:val="center"/>
            <w:hideMark/>
          </w:tcPr>
          <w:p w14:paraId="57239D98"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hideMark/>
          </w:tcPr>
          <w:p w14:paraId="0C61C03D" w14:textId="77777777" w:rsidR="00C45D5B" w:rsidRPr="006401D1" w:rsidRDefault="00C45D5B" w:rsidP="00CF774B">
            <w:pPr>
              <w:jc w:val="center"/>
              <w:rPr>
                <w:rFonts w:cs="Times New Roman"/>
                <w:color w:val="000000"/>
                <w:sz w:val="18"/>
                <w:szCs w:val="18"/>
              </w:rPr>
            </w:pPr>
            <w:r w:rsidRPr="006401D1">
              <w:rPr>
                <w:color w:val="000000"/>
                <w:sz w:val="18"/>
                <w:szCs w:val="18"/>
              </w:rPr>
              <w:t>-0,2</w:t>
            </w:r>
          </w:p>
        </w:tc>
        <w:tc>
          <w:tcPr>
            <w:tcW w:w="960" w:type="dxa"/>
            <w:gridSpan w:val="2"/>
            <w:tcBorders>
              <w:top w:val="nil"/>
              <w:left w:val="nil"/>
              <w:bottom w:val="nil"/>
              <w:right w:val="nil"/>
            </w:tcBorders>
            <w:shd w:val="clear" w:color="auto" w:fill="auto"/>
            <w:vAlign w:val="bottom"/>
            <w:hideMark/>
          </w:tcPr>
          <w:p w14:paraId="1D18ACD8" w14:textId="77777777" w:rsidR="00C45D5B" w:rsidRPr="006401D1" w:rsidRDefault="00C45D5B" w:rsidP="00CF774B">
            <w:pPr>
              <w:jc w:val="center"/>
              <w:rPr>
                <w:rFonts w:cs="Times New Roman"/>
                <w:color w:val="000000"/>
                <w:sz w:val="18"/>
                <w:szCs w:val="18"/>
              </w:rPr>
            </w:pPr>
            <w:r w:rsidRPr="006401D1">
              <w:rPr>
                <w:color w:val="000000"/>
                <w:sz w:val="18"/>
                <w:szCs w:val="18"/>
              </w:rPr>
              <w:t>-0,1</w:t>
            </w:r>
          </w:p>
        </w:tc>
        <w:tc>
          <w:tcPr>
            <w:tcW w:w="960" w:type="dxa"/>
            <w:gridSpan w:val="2"/>
            <w:tcBorders>
              <w:top w:val="nil"/>
              <w:left w:val="nil"/>
              <w:bottom w:val="nil"/>
              <w:right w:val="nil"/>
            </w:tcBorders>
            <w:shd w:val="clear" w:color="auto" w:fill="auto"/>
            <w:vAlign w:val="bottom"/>
            <w:hideMark/>
          </w:tcPr>
          <w:p w14:paraId="56AB9549" w14:textId="77777777" w:rsidR="00C45D5B" w:rsidRPr="006401D1" w:rsidRDefault="00C45D5B" w:rsidP="00CF774B">
            <w:pPr>
              <w:jc w:val="center"/>
              <w:rPr>
                <w:rFonts w:cs="Times New Roman"/>
                <w:color w:val="000000"/>
                <w:sz w:val="18"/>
                <w:szCs w:val="18"/>
              </w:rPr>
            </w:pPr>
            <w:r w:rsidRPr="006401D1">
              <w:rPr>
                <w:color w:val="000000"/>
                <w:sz w:val="18"/>
                <w:szCs w:val="18"/>
              </w:rPr>
              <w:t>-0,1</w:t>
            </w:r>
          </w:p>
        </w:tc>
        <w:tc>
          <w:tcPr>
            <w:tcW w:w="960" w:type="dxa"/>
            <w:gridSpan w:val="2"/>
            <w:tcBorders>
              <w:top w:val="nil"/>
              <w:left w:val="nil"/>
              <w:bottom w:val="nil"/>
              <w:right w:val="nil"/>
            </w:tcBorders>
            <w:shd w:val="clear" w:color="auto" w:fill="auto"/>
            <w:vAlign w:val="bottom"/>
            <w:hideMark/>
          </w:tcPr>
          <w:p w14:paraId="0F8B01EA" w14:textId="77777777" w:rsidR="00C45D5B" w:rsidRPr="006401D1" w:rsidRDefault="00C45D5B" w:rsidP="00CF774B">
            <w:pPr>
              <w:jc w:val="center"/>
              <w:rPr>
                <w:rFonts w:cs="Times New Roman"/>
                <w:color w:val="000000"/>
                <w:sz w:val="18"/>
                <w:szCs w:val="18"/>
              </w:rPr>
            </w:pPr>
            <w:r w:rsidRPr="006401D1">
              <w:rPr>
                <w:color w:val="000000"/>
                <w:sz w:val="18"/>
                <w:szCs w:val="18"/>
              </w:rPr>
              <w:t>-0,2</w:t>
            </w:r>
          </w:p>
        </w:tc>
        <w:tc>
          <w:tcPr>
            <w:tcW w:w="960" w:type="dxa"/>
            <w:gridSpan w:val="2"/>
            <w:tcBorders>
              <w:top w:val="nil"/>
              <w:left w:val="nil"/>
              <w:bottom w:val="nil"/>
              <w:right w:val="nil"/>
            </w:tcBorders>
            <w:shd w:val="clear" w:color="auto" w:fill="auto"/>
            <w:vAlign w:val="bottom"/>
            <w:hideMark/>
          </w:tcPr>
          <w:p w14:paraId="62D5332A" w14:textId="77777777" w:rsidR="00C45D5B" w:rsidRPr="006401D1" w:rsidRDefault="00C45D5B" w:rsidP="00CF774B">
            <w:pPr>
              <w:jc w:val="center"/>
              <w:rPr>
                <w:rFonts w:cs="Times New Roman"/>
                <w:color w:val="000000"/>
                <w:sz w:val="18"/>
                <w:szCs w:val="18"/>
              </w:rPr>
            </w:pPr>
            <w:r w:rsidRPr="006401D1">
              <w:rPr>
                <w:color w:val="000000"/>
                <w:sz w:val="18"/>
                <w:szCs w:val="18"/>
              </w:rPr>
              <w:t>-0,2</w:t>
            </w:r>
          </w:p>
        </w:tc>
      </w:tr>
      <w:tr w:rsidR="00C45D5B" w:rsidRPr="006401D1" w14:paraId="3405CE6C" w14:textId="77777777" w:rsidTr="00CF774B">
        <w:trPr>
          <w:gridAfter w:val="1"/>
          <w:wAfter w:w="100" w:type="dxa"/>
          <w:trHeight w:val="283"/>
        </w:trPr>
        <w:tc>
          <w:tcPr>
            <w:tcW w:w="3240" w:type="dxa"/>
            <w:gridSpan w:val="2"/>
            <w:tcBorders>
              <w:top w:val="nil"/>
              <w:left w:val="nil"/>
              <w:bottom w:val="nil"/>
              <w:right w:val="nil"/>
            </w:tcBorders>
            <w:shd w:val="clear" w:color="auto" w:fill="auto"/>
            <w:vAlign w:val="center"/>
            <w:hideMark/>
          </w:tcPr>
          <w:p w14:paraId="5952016E" w14:textId="77777777" w:rsidR="00C45D5B" w:rsidRPr="006401D1" w:rsidRDefault="00C45D5B" w:rsidP="00CF774B">
            <w:pPr>
              <w:ind w:firstLineChars="400" w:firstLine="720"/>
              <w:rPr>
                <w:rFonts w:cs="Times New Roman"/>
                <w:sz w:val="18"/>
                <w:szCs w:val="18"/>
              </w:rPr>
            </w:pPr>
            <w:r w:rsidRPr="006401D1">
              <w:rPr>
                <w:rFonts w:cs="Times New Roman"/>
                <w:sz w:val="18"/>
                <w:szCs w:val="18"/>
              </w:rPr>
              <w:t>- kapitál</w:t>
            </w:r>
          </w:p>
        </w:tc>
        <w:tc>
          <w:tcPr>
            <w:tcW w:w="960" w:type="dxa"/>
            <w:gridSpan w:val="2"/>
            <w:tcBorders>
              <w:top w:val="nil"/>
              <w:left w:val="nil"/>
              <w:bottom w:val="nil"/>
              <w:right w:val="nil"/>
            </w:tcBorders>
            <w:shd w:val="clear" w:color="auto" w:fill="auto"/>
            <w:vAlign w:val="center"/>
            <w:hideMark/>
          </w:tcPr>
          <w:p w14:paraId="3A0DB2E0"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hideMark/>
          </w:tcPr>
          <w:p w14:paraId="3A941404" w14:textId="77777777" w:rsidR="00C45D5B" w:rsidRPr="006401D1" w:rsidRDefault="00C45D5B" w:rsidP="00CF774B">
            <w:pPr>
              <w:jc w:val="center"/>
              <w:rPr>
                <w:rFonts w:cs="Times New Roman"/>
                <w:color w:val="000000"/>
                <w:sz w:val="18"/>
                <w:szCs w:val="18"/>
              </w:rPr>
            </w:pPr>
            <w:r w:rsidRPr="006401D1">
              <w:rPr>
                <w:color w:val="000000"/>
                <w:sz w:val="18"/>
                <w:szCs w:val="18"/>
              </w:rPr>
              <w:t>0,5</w:t>
            </w:r>
          </w:p>
        </w:tc>
        <w:tc>
          <w:tcPr>
            <w:tcW w:w="960" w:type="dxa"/>
            <w:gridSpan w:val="2"/>
            <w:tcBorders>
              <w:top w:val="nil"/>
              <w:left w:val="nil"/>
              <w:bottom w:val="nil"/>
              <w:right w:val="nil"/>
            </w:tcBorders>
            <w:shd w:val="clear" w:color="auto" w:fill="auto"/>
            <w:vAlign w:val="bottom"/>
            <w:hideMark/>
          </w:tcPr>
          <w:p w14:paraId="5DD0B2B8" w14:textId="77777777" w:rsidR="00C45D5B" w:rsidRPr="006401D1" w:rsidRDefault="00C45D5B" w:rsidP="00CF774B">
            <w:pPr>
              <w:jc w:val="center"/>
              <w:rPr>
                <w:rFonts w:cs="Times New Roman"/>
                <w:color w:val="000000"/>
                <w:sz w:val="18"/>
                <w:szCs w:val="18"/>
              </w:rPr>
            </w:pPr>
            <w:r w:rsidRPr="006401D1">
              <w:rPr>
                <w:color w:val="000000"/>
                <w:sz w:val="18"/>
                <w:szCs w:val="18"/>
              </w:rPr>
              <w:t>0,7</w:t>
            </w:r>
          </w:p>
        </w:tc>
        <w:tc>
          <w:tcPr>
            <w:tcW w:w="960" w:type="dxa"/>
            <w:gridSpan w:val="2"/>
            <w:tcBorders>
              <w:top w:val="nil"/>
              <w:left w:val="nil"/>
              <w:bottom w:val="nil"/>
              <w:right w:val="nil"/>
            </w:tcBorders>
            <w:shd w:val="clear" w:color="auto" w:fill="auto"/>
            <w:vAlign w:val="bottom"/>
            <w:hideMark/>
          </w:tcPr>
          <w:p w14:paraId="2A6531CF" w14:textId="77777777" w:rsidR="00C45D5B" w:rsidRPr="006401D1" w:rsidRDefault="00C45D5B" w:rsidP="00CF774B">
            <w:pPr>
              <w:jc w:val="center"/>
              <w:rPr>
                <w:rFonts w:cs="Times New Roman"/>
                <w:color w:val="000000"/>
                <w:sz w:val="18"/>
                <w:szCs w:val="18"/>
              </w:rPr>
            </w:pPr>
            <w:r w:rsidRPr="006401D1">
              <w:rPr>
                <w:color w:val="000000"/>
                <w:sz w:val="18"/>
                <w:szCs w:val="18"/>
              </w:rPr>
              <w:t>1,1</w:t>
            </w:r>
          </w:p>
        </w:tc>
        <w:tc>
          <w:tcPr>
            <w:tcW w:w="960" w:type="dxa"/>
            <w:gridSpan w:val="2"/>
            <w:tcBorders>
              <w:top w:val="nil"/>
              <w:left w:val="nil"/>
              <w:bottom w:val="nil"/>
              <w:right w:val="nil"/>
            </w:tcBorders>
            <w:shd w:val="clear" w:color="auto" w:fill="auto"/>
            <w:vAlign w:val="bottom"/>
            <w:hideMark/>
          </w:tcPr>
          <w:p w14:paraId="07349A6F" w14:textId="77777777" w:rsidR="00C45D5B" w:rsidRPr="006401D1" w:rsidRDefault="00C45D5B" w:rsidP="00CF774B">
            <w:pPr>
              <w:jc w:val="center"/>
              <w:rPr>
                <w:rFonts w:cs="Times New Roman"/>
                <w:color w:val="000000"/>
                <w:sz w:val="18"/>
                <w:szCs w:val="18"/>
              </w:rPr>
            </w:pPr>
            <w:r w:rsidRPr="006401D1">
              <w:rPr>
                <w:color w:val="000000"/>
                <w:sz w:val="18"/>
                <w:szCs w:val="18"/>
              </w:rPr>
              <w:t>1,3</w:t>
            </w:r>
          </w:p>
        </w:tc>
        <w:tc>
          <w:tcPr>
            <w:tcW w:w="960" w:type="dxa"/>
            <w:gridSpan w:val="2"/>
            <w:tcBorders>
              <w:top w:val="nil"/>
              <w:left w:val="nil"/>
              <w:bottom w:val="nil"/>
              <w:right w:val="nil"/>
            </w:tcBorders>
            <w:shd w:val="clear" w:color="auto" w:fill="auto"/>
            <w:vAlign w:val="bottom"/>
            <w:hideMark/>
          </w:tcPr>
          <w:p w14:paraId="08154BB3" w14:textId="77777777" w:rsidR="00C45D5B" w:rsidRPr="006401D1" w:rsidRDefault="00C45D5B" w:rsidP="00CF774B">
            <w:pPr>
              <w:jc w:val="center"/>
              <w:rPr>
                <w:rFonts w:cs="Times New Roman"/>
                <w:color w:val="000000"/>
                <w:sz w:val="18"/>
                <w:szCs w:val="18"/>
              </w:rPr>
            </w:pPr>
            <w:r w:rsidRPr="006401D1">
              <w:rPr>
                <w:color w:val="000000"/>
                <w:sz w:val="18"/>
                <w:szCs w:val="18"/>
              </w:rPr>
              <w:t>1,1</w:t>
            </w:r>
          </w:p>
        </w:tc>
      </w:tr>
      <w:tr w:rsidR="00C45D5B" w:rsidRPr="006401D1" w14:paraId="2058A47F" w14:textId="77777777" w:rsidTr="00CF774B">
        <w:trPr>
          <w:gridAfter w:val="1"/>
          <w:wAfter w:w="100" w:type="dxa"/>
          <w:trHeight w:val="283"/>
        </w:trPr>
        <w:tc>
          <w:tcPr>
            <w:tcW w:w="3240" w:type="dxa"/>
            <w:gridSpan w:val="2"/>
            <w:tcBorders>
              <w:top w:val="nil"/>
              <w:left w:val="nil"/>
              <w:bottom w:val="nil"/>
              <w:right w:val="nil"/>
            </w:tcBorders>
            <w:shd w:val="clear" w:color="auto" w:fill="auto"/>
            <w:vAlign w:val="center"/>
            <w:hideMark/>
          </w:tcPr>
          <w:p w14:paraId="5DCCC825" w14:textId="77777777" w:rsidR="00C45D5B" w:rsidRPr="006401D1" w:rsidRDefault="00C45D5B" w:rsidP="00CF774B">
            <w:pPr>
              <w:ind w:firstLineChars="400" w:firstLine="720"/>
              <w:rPr>
                <w:rFonts w:cs="Times New Roman"/>
                <w:sz w:val="18"/>
                <w:szCs w:val="18"/>
              </w:rPr>
            </w:pPr>
            <w:r w:rsidRPr="006401D1">
              <w:rPr>
                <w:rFonts w:cs="Times New Roman"/>
                <w:sz w:val="18"/>
                <w:szCs w:val="18"/>
              </w:rPr>
              <w:t>- celková produktivita faktorov</w:t>
            </w:r>
          </w:p>
        </w:tc>
        <w:tc>
          <w:tcPr>
            <w:tcW w:w="960" w:type="dxa"/>
            <w:gridSpan w:val="2"/>
            <w:tcBorders>
              <w:top w:val="nil"/>
              <w:left w:val="nil"/>
              <w:bottom w:val="nil"/>
              <w:right w:val="nil"/>
            </w:tcBorders>
            <w:shd w:val="clear" w:color="auto" w:fill="auto"/>
            <w:vAlign w:val="center"/>
            <w:hideMark/>
          </w:tcPr>
          <w:p w14:paraId="14271527"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bottom"/>
            <w:hideMark/>
          </w:tcPr>
          <w:p w14:paraId="3A632740" w14:textId="77777777" w:rsidR="00C45D5B" w:rsidRPr="006401D1" w:rsidRDefault="00C45D5B" w:rsidP="00CF774B">
            <w:pPr>
              <w:jc w:val="center"/>
              <w:rPr>
                <w:rFonts w:cs="Times New Roman"/>
                <w:color w:val="000000"/>
                <w:sz w:val="18"/>
                <w:szCs w:val="18"/>
              </w:rPr>
            </w:pPr>
            <w:r w:rsidRPr="006401D1">
              <w:rPr>
                <w:color w:val="000000"/>
                <w:sz w:val="18"/>
                <w:szCs w:val="18"/>
              </w:rPr>
              <w:t>1,0</w:t>
            </w:r>
          </w:p>
        </w:tc>
        <w:tc>
          <w:tcPr>
            <w:tcW w:w="960" w:type="dxa"/>
            <w:gridSpan w:val="2"/>
            <w:tcBorders>
              <w:top w:val="nil"/>
              <w:left w:val="nil"/>
              <w:bottom w:val="nil"/>
              <w:right w:val="nil"/>
            </w:tcBorders>
            <w:shd w:val="clear" w:color="auto" w:fill="auto"/>
            <w:vAlign w:val="bottom"/>
            <w:hideMark/>
          </w:tcPr>
          <w:p w14:paraId="08E590EE" w14:textId="77777777" w:rsidR="00C45D5B" w:rsidRPr="006401D1" w:rsidRDefault="00C45D5B" w:rsidP="00CF774B">
            <w:pPr>
              <w:jc w:val="center"/>
              <w:rPr>
                <w:rFonts w:cs="Times New Roman"/>
                <w:color w:val="000000"/>
                <w:sz w:val="18"/>
                <w:szCs w:val="18"/>
              </w:rPr>
            </w:pPr>
            <w:r w:rsidRPr="006401D1">
              <w:rPr>
                <w:color w:val="000000"/>
                <w:sz w:val="18"/>
                <w:szCs w:val="18"/>
              </w:rPr>
              <w:t>0,8</w:t>
            </w:r>
          </w:p>
        </w:tc>
        <w:tc>
          <w:tcPr>
            <w:tcW w:w="960" w:type="dxa"/>
            <w:gridSpan w:val="2"/>
            <w:tcBorders>
              <w:top w:val="nil"/>
              <w:left w:val="nil"/>
              <w:bottom w:val="nil"/>
              <w:right w:val="nil"/>
            </w:tcBorders>
            <w:shd w:val="clear" w:color="auto" w:fill="auto"/>
            <w:vAlign w:val="bottom"/>
            <w:hideMark/>
          </w:tcPr>
          <w:p w14:paraId="69F5A34B" w14:textId="77777777" w:rsidR="00C45D5B" w:rsidRPr="006401D1" w:rsidRDefault="00C45D5B" w:rsidP="00CF774B">
            <w:pPr>
              <w:jc w:val="center"/>
              <w:rPr>
                <w:rFonts w:cs="Times New Roman"/>
                <w:color w:val="000000"/>
                <w:sz w:val="18"/>
                <w:szCs w:val="18"/>
              </w:rPr>
            </w:pPr>
            <w:r w:rsidRPr="006401D1">
              <w:rPr>
                <w:color w:val="000000"/>
                <w:sz w:val="18"/>
                <w:szCs w:val="18"/>
              </w:rPr>
              <w:t>1,7</w:t>
            </w:r>
          </w:p>
        </w:tc>
        <w:tc>
          <w:tcPr>
            <w:tcW w:w="960" w:type="dxa"/>
            <w:gridSpan w:val="2"/>
            <w:tcBorders>
              <w:top w:val="nil"/>
              <w:left w:val="nil"/>
              <w:bottom w:val="nil"/>
              <w:right w:val="nil"/>
            </w:tcBorders>
            <w:shd w:val="clear" w:color="auto" w:fill="auto"/>
            <w:vAlign w:val="bottom"/>
            <w:hideMark/>
          </w:tcPr>
          <w:p w14:paraId="0F86743A" w14:textId="77777777" w:rsidR="00C45D5B" w:rsidRPr="006401D1" w:rsidRDefault="00C45D5B" w:rsidP="00CF774B">
            <w:pPr>
              <w:jc w:val="center"/>
              <w:rPr>
                <w:rFonts w:cs="Times New Roman"/>
                <w:color w:val="000000"/>
                <w:sz w:val="18"/>
                <w:szCs w:val="18"/>
              </w:rPr>
            </w:pPr>
            <w:r w:rsidRPr="006401D1">
              <w:rPr>
                <w:color w:val="000000"/>
                <w:sz w:val="18"/>
                <w:szCs w:val="18"/>
              </w:rPr>
              <w:t>1,8</w:t>
            </w:r>
          </w:p>
        </w:tc>
        <w:tc>
          <w:tcPr>
            <w:tcW w:w="960" w:type="dxa"/>
            <w:gridSpan w:val="2"/>
            <w:tcBorders>
              <w:top w:val="nil"/>
              <w:left w:val="nil"/>
              <w:bottom w:val="nil"/>
              <w:right w:val="nil"/>
            </w:tcBorders>
            <w:shd w:val="clear" w:color="auto" w:fill="auto"/>
            <w:vAlign w:val="bottom"/>
            <w:hideMark/>
          </w:tcPr>
          <w:p w14:paraId="342591D7" w14:textId="77777777" w:rsidR="00C45D5B" w:rsidRPr="006401D1" w:rsidRDefault="00C45D5B" w:rsidP="00CF774B">
            <w:pPr>
              <w:jc w:val="center"/>
              <w:rPr>
                <w:rFonts w:cs="Times New Roman"/>
                <w:color w:val="000000"/>
                <w:sz w:val="18"/>
                <w:szCs w:val="18"/>
              </w:rPr>
            </w:pPr>
            <w:r w:rsidRPr="006401D1">
              <w:rPr>
                <w:color w:val="000000"/>
                <w:sz w:val="18"/>
                <w:szCs w:val="18"/>
              </w:rPr>
              <w:t>1,4</w:t>
            </w:r>
          </w:p>
        </w:tc>
      </w:tr>
      <w:tr w:rsidR="00C45D5B" w:rsidRPr="006401D1" w14:paraId="4598CC64"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03AB693E" w14:textId="77777777" w:rsidR="00C45D5B" w:rsidRPr="006401D1" w:rsidRDefault="00C45D5B" w:rsidP="00CF774B">
            <w:pPr>
              <w:rPr>
                <w:rFonts w:cs="Times New Roman"/>
                <w:sz w:val="18"/>
                <w:szCs w:val="18"/>
              </w:rPr>
            </w:pPr>
            <w:r w:rsidRPr="006401D1">
              <w:rPr>
                <w:rFonts w:cs="Times New Roman"/>
                <w:sz w:val="18"/>
                <w:szCs w:val="18"/>
              </w:rPr>
              <w:t>6. Produkčná medzera</w:t>
            </w:r>
          </w:p>
        </w:tc>
        <w:tc>
          <w:tcPr>
            <w:tcW w:w="960" w:type="dxa"/>
            <w:gridSpan w:val="2"/>
            <w:tcBorders>
              <w:top w:val="nil"/>
              <w:left w:val="nil"/>
              <w:bottom w:val="nil"/>
              <w:right w:val="nil"/>
            </w:tcBorders>
            <w:shd w:val="clear" w:color="000000" w:fill="FFFFFF"/>
            <w:vAlign w:val="center"/>
            <w:hideMark/>
          </w:tcPr>
          <w:p w14:paraId="61F11F7A"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center"/>
            <w:hideMark/>
          </w:tcPr>
          <w:p w14:paraId="7A516EBF" w14:textId="77777777" w:rsidR="00C45D5B" w:rsidRPr="006401D1" w:rsidRDefault="00C45D5B" w:rsidP="00CF774B">
            <w:pPr>
              <w:jc w:val="center"/>
              <w:rPr>
                <w:rFonts w:cs="Times New Roman"/>
                <w:color w:val="000000"/>
                <w:sz w:val="18"/>
                <w:szCs w:val="18"/>
              </w:rPr>
            </w:pPr>
            <w:r w:rsidRPr="006401D1">
              <w:rPr>
                <w:color w:val="000000"/>
                <w:sz w:val="18"/>
                <w:szCs w:val="18"/>
              </w:rPr>
              <w:t>-1,6</w:t>
            </w:r>
          </w:p>
        </w:tc>
        <w:tc>
          <w:tcPr>
            <w:tcW w:w="960" w:type="dxa"/>
            <w:gridSpan w:val="2"/>
            <w:tcBorders>
              <w:top w:val="nil"/>
              <w:left w:val="nil"/>
              <w:bottom w:val="nil"/>
              <w:right w:val="nil"/>
            </w:tcBorders>
            <w:shd w:val="clear" w:color="auto" w:fill="auto"/>
            <w:vAlign w:val="center"/>
            <w:hideMark/>
          </w:tcPr>
          <w:p w14:paraId="21129704" w14:textId="77777777" w:rsidR="00C45D5B" w:rsidRPr="006401D1" w:rsidRDefault="00C45D5B" w:rsidP="00CF774B">
            <w:pPr>
              <w:jc w:val="center"/>
              <w:rPr>
                <w:rFonts w:cs="Times New Roman"/>
                <w:color w:val="000000"/>
                <w:sz w:val="18"/>
                <w:szCs w:val="18"/>
              </w:rPr>
            </w:pPr>
            <w:r w:rsidRPr="006401D1">
              <w:rPr>
                <w:color w:val="000000"/>
                <w:sz w:val="18"/>
                <w:szCs w:val="18"/>
              </w:rPr>
              <w:t>-0,9</w:t>
            </w:r>
          </w:p>
        </w:tc>
        <w:tc>
          <w:tcPr>
            <w:tcW w:w="960" w:type="dxa"/>
            <w:gridSpan w:val="2"/>
            <w:tcBorders>
              <w:top w:val="nil"/>
              <w:left w:val="nil"/>
              <w:bottom w:val="nil"/>
              <w:right w:val="nil"/>
            </w:tcBorders>
            <w:shd w:val="clear" w:color="auto" w:fill="auto"/>
            <w:vAlign w:val="center"/>
            <w:hideMark/>
          </w:tcPr>
          <w:p w14:paraId="61383138" w14:textId="77777777" w:rsidR="00C45D5B" w:rsidRPr="006401D1" w:rsidRDefault="00C45D5B" w:rsidP="00CF774B">
            <w:pPr>
              <w:jc w:val="center"/>
              <w:rPr>
                <w:rFonts w:cs="Times New Roman"/>
                <w:color w:val="000000"/>
                <w:sz w:val="18"/>
                <w:szCs w:val="18"/>
              </w:rPr>
            </w:pPr>
            <w:r w:rsidRPr="006401D1">
              <w:rPr>
                <w:color w:val="000000"/>
                <w:sz w:val="18"/>
                <w:szCs w:val="18"/>
              </w:rPr>
              <w:t>1,6</w:t>
            </w:r>
          </w:p>
        </w:tc>
        <w:tc>
          <w:tcPr>
            <w:tcW w:w="960" w:type="dxa"/>
            <w:gridSpan w:val="2"/>
            <w:tcBorders>
              <w:top w:val="nil"/>
              <w:left w:val="nil"/>
              <w:bottom w:val="nil"/>
              <w:right w:val="nil"/>
            </w:tcBorders>
            <w:shd w:val="clear" w:color="auto" w:fill="auto"/>
            <w:vAlign w:val="center"/>
            <w:hideMark/>
          </w:tcPr>
          <w:p w14:paraId="43C51719" w14:textId="77777777" w:rsidR="00C45D5B" w:rsidRPr="006401D1" w:rsidRDefault="00C45D5B" w:rsidP="00CF774B">
            <w:pPr>
              <w:jc w:val="center"/>
              <w:rPr>
                <w:rFonts w:cs="Times New Roman"/>
                <w:color w:val="000000"/>
                <w:sz w:val="18"/>
                <w:szCs w:val="18"/>
              </w:rPr>
            </w:pPr>
            <w:r w:rsidRPr="006401D1">
              <w:rPr>
                <w:color w:val="000000"/>
                <w:sz w:val="18"/>
                <w:szCs w:val="18"/>
              </w:rPr>
              <w:t>0,5</w:t>
            </w:r>
          </w:p>
        </w:tc>
        <w:tc>
          <w:tcPr>
            <w:tcW w:w="960" w:type="dxa"/>
            <w:gridSpan w:val="2"/>
            <w:tcBorders>
              <w:top w:val="nil"/>
              <w:left w:val="nil"/>
              <w:bottom w:val="nil"/>
              <w:right w:val="nil"/>
            </w:tcBorders>
            <w:shd w:val="clear" w:color="auto" w:fill="auto"/>
            <w:vAlign w:val="center"/>
            <w:hideMark/>
          </w:tcPr>
          <w:p w14:paraId="7B13E72E" w14:textId="77777777" w:rsidR="00C45D5B" w:rsidRPr="006401D1" w:rsidRDefault="00C45D5B" w:rsidP="00CF774B">
            <w:pPr>
              <w:jc w:val="center"/>
              <w:rPr>
                <w:rFonts w:cs="Times New Roman"/>
                <w:color w:val="000000"/>
                <w:sz w:val="18"/>
                <w:szCs w:val="18"/>
              </w:rPr>
            </w:pPr>
            <w:r w:rsidRPr="006401D1">
              <w:rPr>
                <w:color w:val="000000"/>
                <w:sz w:val="18"/>
                <w:szCs w:val="18"/>
              </w:rPr>
              <w:t>-0,1</w:t>
            </w:r>
          </w:p>
        </w:tc>
      </w:tr>
      <w:tr w:rsidR="00C45D5B" w:rsidRPr="006401D1" w14:paraId="47E485D5"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11E5FBC3" w14:textId="77777777" w:rsidR="00C45D5B" w:rsidRPr="006401D1" w:rsidRDefault="00C45D5B" w:rsidP="00CF774B">
            <w:pPr>
              <w:rPr>
                <w:rFonts w:cs="Times New Roman"/>
                <w:sz w:val="18"/>
                <w:szCs w:val="18"/>
              </w:rPr>
            </w:pPr>
            <w:r w:rsidRPr="006401D1">
              <w:rPr>
                <w:rFonts w:cs="Times New Roman"/>
                <w:sz w:val="18"/>
                <w:szCs w:val="18"/>
              </w:rPr>
              <w:t>7. Cyklická zložka rozpočtu</w:t>
            </w:r>
          </w:p>
        </w:tc>
        <w:tc>
          <w:tcPr>
            <w:tcW w:w="960" w:type="dxa"/>
            <w:gridSpan w:val="2"/>
            <w:tcBorders>
              <w:top w:val="nil"/>
              <w:left w:val="nil"/>
              <w:bottom w:val="nil"/>
              <w:right w:val="nil"/>
            </w:tcBorders>
            <w:shd w:val="clear" w:color="000000" w:fill="FFFFFF"/>
            <w:vAlign w:val="center"/>
            <w:hideMark/>
          </w:tcPr>
          <w:p w14:paraId="3EF81CBD"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center"/>
            <w:hideMark/>
          </w:tcPr>
          <w:p w14:paraId="4F7361A4" w14:textId="77777777" w:rsidR="00C45D5B" w:rsidRPr="006401D1" w:rsidRDefault="00C45D5B" w:rsidP="00CF774B">
            <w:pPr>
              <w:jc w:val="center"/>
              <w:rPr>
                <w:rFonts w:cs="Times New Roman"/>
                <w:color w:val="000000"/>
                <w:sz w:val="18"/>
                <w:szCs w:val="18"/>
              </w:rPr>
            </w:pPr>
            <w:r w:rsidRPr="006401D1">
              <w:rPr>
                <w:color w:val="000000"/>
                <w:sz w:val="18"/>
                <w:szCs w:val="18"/>
              </w:rPr>
              <w:t>-0,6</w:t>
            </w:r>
          </w:p>
        </w:tc>
        <w:tc>
          <w:tcPr>
            <w:tcW w:w="960" w:type="dxa"/>
            <w:gridSpan w:val="2"/>
            <w:tcBorders>
              <w:top w:val="nil"/>
              <w:left w:val="nil"/>
              <w:bottom w:val="nil"/>
              <w:right w:val="nil"/>
            </w:tcBorders>
            <w:shd w:val="clear" w:color="auto" w:fill="auto"/>
            <w:vAlign w:val="center"/>
            <w:hideMark/>
          </w:tcPr>
          <w:p w14:paraId="1875A866" w14:textId="77777777" w:rsidR="00C45D5B" w:rsidRPr="006401D1" w:rsidRDefault="00C45D5B" w:rsidP="00CF774B">
            <w:pPr>
              <w:jc w:val="center"/>
              <w:rPr>
                <w:rFonts w:cs="Times New Roman"/>
                <w:color w:val="000000"/>
                <w:sz w:val="18"/>
                <w:szCs w:val="18"/>
              </w:rPr>
            </w:pPr>
            <w:r w:rsidRPr="006401D1">
              <w:rPr>
                <w:color w:val="000000"/>
                <w:sz w:val="18"/>
                <w:szCs w:val="18"/>
              </w:rPr>
              <w:t>-0,3</w:t>
            </w:r>
          </w:p>
        </w:tc>
        <w:tc>
          <w:tcPr>
            <w:tcW w:w="960" w:type="dxa"/>
            <w:gridSpan w:val="2"/>
            <w:tcBorders>
              <w:top w:val="nil"/>
              <w:left w:val="nil"/>
              <w:bottom w:val="nil"/>
              <w:right w:val="nil"/>
            </w:tcBorders>
            <w:shd w:val="clear" w:color="auto" w:fill="auto"/>
            <w:vAlign w:val="center"/>
            <w:hideMark/>
          </w:tcPr>
          <w:p w14:paraId="74CA0008" w14:textId="77777777" w:rsidR="00C45D5B" w:rsidRPr="006401D1" w:rsidRDefault="00C45D5B" w:rsidP="00CF774B">
            <w:pPr>
              <w:jc w:val="center"/>
              <w:rPr>
                <w:rFonts w:cs="Times New Roman"/>
                <w:color w:val="000000"/>
                <w:sz w:val="18"/>
                <w:szCs w:val="18"/>
              </w:rPr>
            </w:pPr>
            <w:r w:rsidRPr="006401D1">
              <w:rPr>
                <w:color w:val="000000"/>
                <w:sz w:val="18"/>
                <w:szCs w:val="18"/>
              </w:rPr>
              <w:t>0,6</w:t>
            </w:r>
          </w:p>
        </w:tc>
        <w:tc>
          <w:tcPr>
            <w:tcW w:w="960" w:type="dxa"/>
            <w:gridSpan w:val="2"/>
            <w:tcBorders>
              <w:top w:val="nil"/>
              <w:left w:val="nil"/>
              <w:bottom w:val="nil"/>
              <w:right w:val="nil"/>
            </w:tcBorders>
            <w:shd w:val="clear" w:color="auto" w:fill="auto"/>
            <w:vAlign w:val="center"/>
            <w:hideMark/>
          </w:tcPr>
          <w:p w14:paraId="04702ED7" w14:textId="77777777" w:rsidR="00C45D5B" w:rsidRPr="006401D1" w:rsidRDefault="00C45D5B" w:rsidP="00CF774B">
            <w:pPr>
              <w:jc w:val="center"/>
              <w:rPr>
                <w:rFonts w:cs="Times New Roman"/>
                <w:color w:val="000000"/>
                <w:sz w:val="18"/>
                <w:szCs w:val="18"/>
              </w:rPr>
            </w:pPr>
            <w:r w:rsidRPr="006401D1">
              <w:rPr>
                <w:color w:val="000000"/>
                <w:sz w:val="18"/>
                <w:szCs w:val="18"/>
              </w:rPr>
              <w:t>0,2</w:t>
            </w:r>
          </w:p>
        </w:tc>
        <w:tc>
          <w:tcPr>
            <w:tcW w:w="960" w:type="dxa"/>
            <w:gridSpan w:val="2"/>
            <w:tcBorders>
              <w:top w:val="nil"/>
              <w:left w:val="nil"/>
              <w:bottom w:val="nil"/>
              <w:right w:val="nil"/>
            </w:tcBorders>
            <w:shd w:val="clear" w:color="auto" w:fill="auto"/>
            <w:vAlign w:val="center"/>
            <w:hideMark/>
          </w:tcPr>
          <w:p w14:paraId="5EC1B25D" w14:textId="77777777" w:rsidR="00C45D5B" w:rsidRPr="006401D1" w:rsidRDefault="00C45D5B" w:rsidP="00CF774B">
            <w:pPr>
              <w:jc w:val="center"/>
              <w:rPr>
                <w:rFonts w:cs="Times New Roman"/>
                <w:color w:val="000000"/>
                <w:sz w:val="18"/>
                <w:szCs w:val="18"/>
              </w:rPr>
            </w:pPr>
            <w:r w:rsidRPr="006401D1">
              <w:rPr>
                <w:color w:val="000000"/>
                <w:sz w:val="18"/>
                <w:szCs w:val="18"/>
              </w:rPr>
              <w:t>0,0</w:t>
            </w:r>
          </w:p>
        </w:tc>
      </w:tr>
      <w:tr w:rsidR="00C45D5B" w:rsidRPr="006401D1" w14:paraId="0D98CB2D" w14:textId="77777777" w:rsidTr="00CF774B">
        <w:trPr>
          <w:gridAfter w:val="1"/>
          <w:wAfter w:w="100" w:type="dxa"/>
          <w:trHeight w:val="283"/>
        </w:trPr>
        <w:tc>
          <w:tcPr>
            <w:tcW w:w="3240" w:type="dxa"/>
            <w:gridSpan w:val="2"/>
            <w:tcBorders>
              <w:top w:val="nil"/>
              <w:left w:val="nil"/>
              <w:bottom w:val="nil"/>
              <w:right w:val="nil"/>
            </w:tcBorders>
            <w:shd w:val="clear" w:color="000000" w:fill="FFFFFF"/>
            <w:vAlign w:val="center"/>
            <w:hideMark/>
          </w:tcPr>
          <w:p w14:paraId="24EF135F" w14:textId="77777777" w:rsidR="00C45D5B" w:rsidRPr="006401D1" w:rsidRDefault="00C45D5B" w:rsidP="00CF774B">
            <w:pPr>
              <w:rPr>
                <w:rFonts w:cs="Times New Roman"/>
                <w:sz w:val="18"/>
                <w:szCs w:val="18"/>
              </w:rPr>
            </w:pPr>
            <w:r w:rsidRPr="006401D1">
              <w:rPr>
                <w:rFonts w:cs="Times New Roman"/>
                <w:sz w:val="18"/>
                <w:szCs w:val="18"/>
              </w:rPr>
              <w:t>8. Cyklicky upravené saldo (2 - 7)</w:t>
            </w:r>
          </w:p>
        </w:tc>
        <w:tc>
          <w:tcPr>
            <w:tcW w:w="960" w:type="dxa"/>
            <w:gridSpan w:val="2"/>
            <w:tcBorders>
              <w:top w:val="nil"/>
              <w:left w:val="nil"/>
              <w:bottom w:val="nil"/>
              <w:right w:val="nil"/>
            </w:tcBorders>
            <w:shd w:val="clear" w:color="000000" w:fill="FFFFFF"/>
            <w:vAlign w:val="center"/>
            <w:hideMark/>
          </w:tcPr>
          <w:p w14:paraId="02C6F8EF"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center"/>
            <w:hideMark/>
          </w:tcPr>
          <w:p w14:paraId="26489F00" w14:textId="77777777" w:rsidR="00C45D5B" w:rsidRPr="006401D1" w:rsidRDefault="00C45D5B" w:rsidP="00CF774B">
            <w:pPr>
              <w:jc w:val="center"/>
              <w:rPr>
                <w:rFonts w:cs="Times New Roman"/>
                <w:color w:val="000000"/>
                <w:sz w:val="18"/>
                <w:szCs w:val="18"/>
              </w:rPr>
            </w:pPr>
            <w:r w:rsidRPr="006401D1">
              <w:rPr>
                <w:color w:val="000000"/>
                <w:sz w:val="18"/>
                <w:szCs w:val="18"/>
              </w:rPr>
              <w:t>-5,6</w:t>
            </w:r>
          </w:p>
        </w:tc>
        <w:tc>
          <w:tcPr>
            <w:tcW w:w="960" w:type="dxa"/>
            <w:gridSpan w:val="2"/>
            <w:tcBorders>
              <w:top w:val="nil"/>
              <w:left w:val="nil"/>
              <w:bottom w:val="nil"/>
              <w:right w:val="nil"/>
            </w:tcBorders>
            <w:shd w:val="clear" w:color="auto" w:fill="auto"/>
            <w:vAlign w:val="center"/>
            <w:hideMark/>
          </w:tcPr>
          <w:p w14:paraId="4B0882FE" w14:textId="77777777" w:rsidR="00C45D5B" w:rsidRPr="006401D1" w:rsidRDefault="00C45D5B" w:rsidP="00CF774B">
            <w:pPr>
              <w:jc w:val="center"/>
              <w:rPr>
                <w:rFonts w:cs="Times New Roman"/>
                <w:color w:val="000000"/>
                <w:sz w:val="18"/>
                <w:szCs w:val="18"/>
              </w:rPr>
            </w:pPr>
            <w:r w:rsidRPr="006401D1">
              <w:rPr>
                <w:color w:val="000000"/>
                <w:sz w:val="18"/>
                <w:szCs w:val="18"/>
              </w:rPr>
              <w:t>-4,7</w:t>
            </w:r>
          </w:p>
        </w:tc>
        <w:tc>
          <w:tcPr>
            <w:tcW w:w="960" w:type="dxa"/>
            <w:gridSpan w:val="2"/>
            <w:tcBorders>
              <w:top w:val="nil"/>
              <w:left w:val="nil"/>
              <w:bottom w:val="nil"/>
              <w:right w:val="nil"/>
            </w:tcBorders>
            <w:shd w:val="clear" w:color="auto" w:fill="auto"/>
            <w:vAlign w:val="center"/>
            <w:hideMark/>
          </w:tcPr>
          <w:p w14:paraId="20961966" w14:textId="77777777" w:rsidR="00C45D5B" w:rsidRPr="006401D1" w:rsidRDefault="00C45D5B" w:rsidP="00CF774B">
            <w:pPr>
              <w:jc w:val="center"/>
              <w:rPr>
                <w:rFonts w:cs="Times New Roman"/>
                <w:color w:val="000000"/>
                <w:sz w:val="18"/>
                <w:szCs w:val="18"/>
              </w:rPr>
            </w:pPr>
            <w:r w:rsidRPr="006401D1">
              <w:rPr>
                <w:color w:val="000000"/>
                <w:sz w:val="18"/>
                <w:szCs w:val="18"/>
              </w:rPr>
              <w:t>-3,0</w:t>
            </w:r>
          </w:p>
        </w:tc>
        <w:tc>
          <w:tcPr>
            <w:tcW w:w="960" w:type="dxa"/>
            <w:gridSpan w:val="2"/>
            <w:tcBorders>
              <w:top w:val="nil"/>
              <w:left w:val="nil"/>
              <w:bottom w:val="nil"/>
              <w:right w:val="nil"/>
            </w:tcBorders>
            <w:shd w:val="clear" w:color="auto" w:fill="auto"/>
            <w:vAlign w:val="center"/>
            <w:hideMark/>
          </w:tcPr>
          <w:p w14:paraId="395930B4" w14:textId="77777777" w:rsidR="00C45D5B" w:rsidRPr="006401D1" w:rsidRDefault="00C45D5B" w:rsidP="00CF774B">
            <w:pPr>
              <w:jc w:val="center"/>
              <w:rPr>
                <w:rFonts w:cs="Times New Roman"/>
                <w:color w:val="000000"/>
                <w:sz w:val="18"/>
                <w:szCs w:val="18"/>
              </w:rPr>
            </w:pPr>
            <w:r w:rsidRPr="006401D1">
              <w:rPr>
                <w:color w:val="000000"/>
                <w:sz w:val="18"/>
                <w:szCs w:val="18"/>
              </w:rPr>
              <w:t>-2,5</w:t>
            </w:r>
          </w:p>
        </w:tc>
        <w:tc>
          <w:tcPr>
            <w:tcW w:w="960" w:type="dxa"/>
            <w:gridSpan w:val="2"/>
            <w:tcBorders>
              <w:top w:val="nil"/>
              <w:left w:val="nil"/>
              <w:bottom w:val="nil"/>
              <w:right w:val="nil"/>
            </w:tcBorders>
            <w:shd w:val="clear" w:color="auto" w:fill="auto"/>
            <w:vAlign w:val="center"/>
            <w:hideMark/>
          </w:tcPr>
          <w:p w14:paraId="2DAE2A48" w14:textId="77777777" w:rsidR="00C45D5B" w:rsidRPr="006401D1" w:rsidRDefault="00C45D5B" w:rsidP="00CF774B">
            <w:pPr>
              <w:jc w:val="center"/>
              <w:rPr>
                <w:rFonts w:cs="Times New Roman"/>
                <w:color w:val="000000"/>
                <w:sz w:val="18"/>
                <w:szCs w:val="18"/>
              </w:rPr>
            </w:pPr>
            <w:r w:rsidRPr="006401D1">
              <w:rPr>
                <w:color w:val="000000"/>
                <w:sz w:val="18"/>
                <w:szCs w:val="18"/>
              </w:rPr>
              <w:t>-2,0</w:t>
            </w:r>
          </w:p>
        </w:tc>
      </w:tr>
      <w:tr w:rsidR="00C45D5B" w:rsidRPr="006401D1" w14:paraId="454C8660" w14:textId="77777777" w:rsidTr="00CF774B">
        <w:trPr>
          <w:gridAfter w:val="1"/>
          <w:wAfter w:w="100" w:type="dxa"/>
          <w:trHeight w:val="283"/>
        </w:trPr>
        <w:tc>
          <w:tcPr>
            <w:tcW w:w="3240" w:type="dxa"/>
            <w:gridSpan w:val="2"/>
            <w:tcBorders>
              <w:top w:val="nil"/>
              <w:left w:val="nil"/>
              <w:right w:val="nil"/>
            </w:tcBorders>
            <w:shd w:val="clear" w:color="000000" w:fill="FFFFFF"/>
            <w:vAlign w:val="center"/>
            <w:hideMark/>
          </w:tcPr>
          <w:p w14:paraId="39B7279C" w14:textId="77777777" w:rsidR="00C45D5B" w:rsidRPr="006401D1" w:rsidRDefault="00C45D5B" w:rsidP="00CF774B">
            <w:pPr>
              <w:rPr>
                <w:rFonts w:cs="Times New Roman"/>
                <w:sz w:val="18"/>
                <w:szCs w:val="18"/>
              </w:rPr>
            </w:pPr>
            <w:r w:rsidRPr="006401D1">
              <w:rPr>
                <w:rFonts w:cs="Times New Roman"/>
                <w:sz w:val="18"/>
                <w:szCs w:val="18"/>
              </w:rPr>
              <w:t>9. Cyklicky upravené primárne saldo (8 + 3)</w:t>
            </w:r>
          </w:p>
        </w:tc>
        <w:tc>
          <w:tcPr>
            <w:tcW w:w="960" w:type="dxa"/>
            <w:gridSpan w:val="2"/>
            <w:tcBorders>
              <w:top w:val="nil"/>
              <w:left w:val="nil"/>
              <w:right w:val="nil"/>
            </w:tcBorders>
            <w:shd w:val="clear" w:color="000000" w:fill="FFFFFF"/>
            <w:vAlign w:val="center"/>
            <w:hideMark/>
          </w:tcPr>
          <w:p w14:paraId="4277503B" w14:textId="77777777" w:rsidR="00C45D5B" w:rsidRPr="006401D1" w:rsidRDefault="00C45D5B" w:rsidP="00CF774B">
            <w:pPr>
              <w:jc w:val="center"/>
              <w:rPr>
                <w:rFonts w:cs="Times New Roman"/>
                <w:sz w:val="18"/>
                <w:szCs w:val="18"/>
              </w:rPr>
            </w:pPr>
          </w:p>
        </w:tc>
        <w:tc>
          <w:tcPr>
            <w:tcW w:w="960" w:type="dxa"/>
            <w:gridSpan w:val="2"/>
            <w:tcBorders>
              <w:top w:val="nil"/>
              <w:left w:val="nil"/>
              <w:bottom w:val="nil"/>
              <w:right w:val="nil"/>
            </w:tcBorders>
            <w:shd w:val="clear" w:color="auto" w:fill="auto"/>
            <w:vAlign w:val="center"/>
            <w:hideMark/>
          </w:tcPr>
          <w:p w14:paraId="764DC8FD" w14:textId="77777777" w:rsidR="00C45D5B" w:rsidRPr="006401D1" w:rsidRDefault="00C45D5B" w:rsidP="00CF774B">
            <w:pPr>
              <w:jc w:val="center"/>
              <w:rPr>
                <w:rFonts w:cs="Times New Roman"/>
                <w:color w:val="000000"/>
                <w:sz w:val="18"/>
                <w:szCs w:val="18"/>
              </w:rPr>
            </w:pPr>
            <w:r w:rsidRPr="006401D1">
              <w:rPr>
                <w:color w:val="000000"/>
                <w:sz w:val="18"/>
                <w:szCs w:val="18"/>
              </w:rPr>
              <w:t>-4,4</w:t>
            </w:r>
          </w:p>
        </w:tc>
        <w:tc>
          <w:tcPr>
            <w:tcW w:w="960" w:type="dxa"/>
            <w:gridSpan w:val="2"/>
            <w:tcBorders>
              <w:top w:val="nil"/>
              <w:left w:val="nil"/>
              <w:bottom w:val="nil"/>
              <w:right w:val="nil"/>
            </w:tcBorders>
            <w:shd w:val="clear" w:color="auto" w:fill="auto"/>
            <w:vAlign w:val="center"/>
            <w:hideMark/>
          </w:tcPr>
          <w:p w14:paraId="21247EC8" w14:textId="77777777" w:rsidR="00C45D5B" w:rsidRPr="006401D1" w:rsidRDefault="00C45D5B" w:rsidP="00CF774B">
            <w:pPr>
              <w:jc w:val="center"/>
              <w:rPr>
                <w:rFonts w:cs="Times New Roman"/>
                <w:color w:val="000000"/>
                <w:sz w:val="18"/>
                <w:szCs w:val="18"/>
              </w:rPr>
            </w:pPr>
            <w:r w:rsidRPr="006401D1">
              <w:rPr>
                <w:color w:val="000000"/>
                <w:sz w:val="18"/>
                <w:szCs w:val="18"/>
              </w:rPr>
              <w:t>-3,9</w:t>
            </w:r>
          </w:p>
        </w:tc>
        <w:tc>
          <w:tcPr>
            <w:tcW w:w="960" w:type="dxa"/>
            <w:gridSpan w:val="2"/>
            <w:tcBorders>
              <w:top w:val="nil"/>
              <w:left w:val="nil"/>
              <w:bottom w:val="nil"/>
              <w:right w:val="nil"/>
            </w:tcBorders>
            <w:shd w:val="clear" w:color="auto" w:fill="auto"/>
            <w:vAlign w:val="center"/>
            <w:hideMark/>
          </w:tcPr>
          <w:p w14:paraId="102095A7" w14:textId="77777777" w:rsidR="00C45D5B" w:rsidRPr="006401D1" w:rsidRDefault="00C45D5B" w:rsidP="00CF774B">
            <w:pPr>
              <w:jc w:val="center"/>
              <w:rPr>
                <w:rFonts w:cs="Times New Roman"/>
                <w:color w:val="000000"/>
                <w:sz w:val="18"/>
                <w:szCs w:val="18"/>
              </w:rPr>
            </w:pPr>
            <w:r w:rsidRPr="006401D1">
              <w:rPr>
                <w:color w:val="000000"/>
                <w:sz w:val="18"/>
                <w:szCs w:val="18"/>
              </w:rPr>
              <w:t>-2,2</w:t>
            </w:r>
          </w:p>
        </w:tc>
        <w:tc>
          <w:tcPr>
            <w:tcW w:w="960" w:type="dxa"/>
            <w:gridSpan w:val="2"/>
            <w:tcBorders>
              <w:top w:val="nil"/>
              <w:left w:val="nil"/>
              <w:bottom w:val="nil"/>
              <w:right w:val="nil"/>
            </w:tcBorders>
            <w:shd w:val="clear" w:color="auto" w:fill="auto"/>
            <w:vAlign w:val="center"/>
            <w:hideMark/>
          </w:tcPr>
          <w:p w14:paraId="4D19D6B9" w14:textId="77777777" w:rsidR="00C45D5B" w:rsidRPr="006401D1" w:rsidRDefault="00C45D5B" w:rsidP="00CF774B">
            <w:pPr>
              <w:jc w:val="center"/>
              <w:rPr>
                <w:rFonts w:cs="Times New Roman"/>
                <w:color w:val="000000"/>
                <w:sz w:val="18"/>
                <w:szCs w:val="18"/>
              </w:rPr>
            </w:pPr>
            <w:r w:rsidRPr="006401D1">
              <w:rPr>
                <w:color w:val="000000"/>
                <w:sz w:val="18"/>
                <w:szCs w:val="18"/>
              </w:rPr>
              <w:t>-1,6</w:t>
            </w:r>
          </w:p>
        </w:tc>
        <w:tc>
          <w:tcPr>
            <w:tcW w:w="960" w:type="dxa"/>
            <w:gridSpan w:val="2"/>
            <w:tcBorders>
              <w:top w:val="nil"/>
              <w:left w:val="nil"/>
              <w:bottom w:val="nil"/>
              <w:right w:val="nil"/>
            </w:tcBorders>
            <w:shd w:val="clear" w:color="auto" w:fill="auto"/>
            <w:vAlign w:val="center"/>
            <w:hideMark/>
          </w:tcPr>
          <w:p w14:paraId="734F53BE" w14:textId="77777777" w:rsidR="00C45D5B" w:rsidRPr="006401D1" w:rsidRDefault="00C45D5B" w:rsidP="00CF774B">
            <w:pPr>
              <w:jc w:val="center"/>
              <w:rPr>
                <w:rFonts w:cs="Times New Roman"/>
                <w:color w:val="000000"/>
                <w:sz w:val="18"/>
                <w:szCs w:val="18"/>
              </w:rPr>
            </w:pPr>
            <w:r w:rsidRPr="006401D1">
              <w:rPr>
                <w:color w:val="000000"/>
                <w:sz w:val="18"/>
                <w:szCs w:val="18"/>
              </w:rPr>
              <w:t>-1,0</w:t>
            </w:r>
          </w:p>
        </w:tc>
      </w:tr>
      <w:tr w:rsidR="00C45D5B" w:rsidRPr="006401D1" w14:paraId="25842280" w14:textId="77777777" w:rsidTr="00CF774B">
        <w:trPr>
          <w:gridAfter w:val="1"/>
          <w:wAfter w:w="100" w:type="dxa"/>
          <w:trHeight w:val="283"/>
        </w:trPr>
        <w:tc>
          <w:tcPr>
            <w:tcW w:w="3240" w:type="dxa"/>
            <w:gridSpan w:val="2"/>
            <w:tcBorders>
              <w:top w:val="nil"/>
              <w:left w:val="nil"/>
              <w:bottom w:val="single" w:sz="8" w:space="0" w:color="auto"/>
              <w:right w:val="nil"/>
            </w:tcBorders>
            <w:shd w:val="clear" w:color="000000" w:fill="FFFFFF"/>
            <w:vAlign w:val="center"/>
            <w:hideMark/>
          </w:tcPr>
          <w:p w14:paraId="23CBEF83" w14:textId="77777777" w:rsidR="00C45D5B" w:rsidRPr="006401D1" w:rsidRDefault="00C45D5B" w:rsidP="00CF774B">
            <w:pPr>
              <w:rPr>
                <w:rFonts w:cs="Times New Roman"/>
                <w:sz w:val="18"/>
                <w:szCs w:val="18"/>
              </w:rPr>
            </w:pPr>
            <w:r w:rsidRPr="006401D1">
              <w:rPr>
                <w:rFonts w:cs="Times New Roman"/>
                <w:sz w:val="18"/>
                <w:szCs w:val="18"/>
              </w:rPr>
              <w:t>10. Štrukturálne saldo (8 - 4)</w:t>
            </w:r>
          </w:p>
        </w:tc>
        <w:tc>
          <w:tcPr>
            <w:tcW w:w="960" w:type="dxa"/>
            <w:gridSpan w:val="2"/>
            <w:tcBorders>
              <w:top w:val="nil"/>
              <w:left w:val="nil"/>
              <w:bottom w:val="single" w:sz="8" w:space="0" w:color="auto"/>
              <w:right w:val="nil"/>
            </w:tcBorders>
            <w:shd w:val="clear" w:color="000000" w:fill="FFFFFF"/>
            <w:vAlign w:val="center"/>
            <w:hideMark/>
          </w:tcPr>
          <w:p w14:paraId="61B037E0" w14:textId="77777777" w:rsidR="00C45D5B" w:rsidRPr="006401D1" w:rsidRDefault="00C45D5B" w:rsidP="00CF774B">
            <w:pPr>
              <w:jc w:val="center"/>
              <w:rPr>
                <w:rFonts w:cs="Times New Roman"/>
                <w:sz w:val="18"/>
                <w:szCs w:val="18"/>
              </w:rPr>
            </w:pPr>
          </w:p>
        </w:tc>
        <w:tc>
          <w:tcPr>
            <w:tcW w:w="960" w:type="dxa"/>
            <w:gridSpan w:val="2"/>
            <w:tcBorders>
              <w:top w:val="nil"/>
              <w:left w:val="nil"/>
              <w:bottom w:val="single" w:sz="4" w:space="0" w:color="auto"/>
              <w:right w:val="nil"/>
            </w:tcBorders>
            <w:shd w:val="clear" w:color="auto" w:fill="auto"/>
            <w:vAlign w:val="center"/>
            <w:hideMark/>
          </w:tcPr>
          <w:p w14:paraId="405C6A8F" w14:textId="77777777" w:rsidR="00C45D5B" w:rsidRPr="006401D1" w:rsidRDefault="00C45D5B" w:rsidP="00CF774B">
            <w:pPr>
              <w:jc w:val="center"/>
              <w:rPr>
                <w:rFonts w:cs="Times New Roman"/>
                <w:color w:val="000000"/>
                <w:sz w:val="18"/>
                <w:szCs w:val="18"/>
              </w:rPr>
            </w:pPr>
            <w:r>
              <w:rPr>
                <w:color w:val="000000"/>
                <w:sz w:val="18"/>
                <w:szCs w:val="18"/>
              </w:rPr>
              <w:t>-2,1</w:t>
            </w:r>
          </w:p>
        </w:tc>
        <w:tc>
          <w:tcPr>
            <w:tcW w:w="960" w:type="dxa"/>
            <w:gridSpan w:val="2"/>
            <w:tcBorders>
              <w:top w:val="nil"/>
              <w:left w:val="nil"/>
              <w:bottom w:val="single" w:sz="4" w:space="0" w:color="auto"/>
              <w:right w:val="nil"/>
            </w:tcBorders>
            <w:shd w:val="clear" w:color="auto" w:fill="auto"/>
            <w:vAlign w:val="center"/>
            <w:hideMark/>
          </w:tcPr>
          <w:p w14:paraId="3470D627" w14:textId="77777777" w:rsidR="00C45D5B" w:rsidRPr="006401D1" w:rsidRDefault="00C45D5B" w:rsidP="00CF774B">
            <w:pPr>
              <w:jc w:val="center"/>
              <w:rPr>
                <w:rFonts w:cs="Times New Roman"/>
                <w:color w:val="000000"/>
                <w:sz w:val="18"/>
                <w:szCs w:val="18"/>
              </w:rPr>
            </w:pPr>
            <w:r>
              <w:rPr>
                <w:color w:val="000000"/>
                <w:sz w:val="18"/>
                <w:szCs w:val="18"/>
              </w:rPr>
              <w:t>-3,8</w:t>
            </w:r>
          </w:p>
        </w:tc>
        <w:tc>
          <w:tcPr>
            <w:tcW w:w="960" w:type="dxa"/>
            <w:gridSpan w:val="2"/>
            <w:tcBorders>
              <w:top w:val="nil"/>
              <w:left w:val="nil"/>
              <w:bottom w:val="single" w:sz="4" w:space="0" w:color="auto"/>
              <w:right w:val="nil"/>
            </w:tcBorders>
            <w:shd w:val="clear" w:color="auto" w:fill="auto"/>
            <w:vAlign w:val="center"/>
            <w:hideMark/>
          </w:tcPr>
          <w:p w14:paraId="67D466B7" w14:textId="77777777" w:rsidR="00C45D5B" w:rsidRPr="006401D1" w:rsidRDefault="00C45D5B" w:rsidP="00CF774B">
            <w:pPr>
              <w:jc w:val="center"/>
              <w:rPr>
                <w:rFonts w:cs="Times New Roman"/>
                <w:color w:val="000000"/>
                <w:sz w:val="18"/>
                <w:szCs w:val="18"/>
              </w:rPr>
            </w:pPr>
            <w:r>
              <w:rPr>
                <w:color w:val="000000"/>
                <w:sz w:val="18"/>
                <w:szCs w:val="18"/>
              </w:rPr>
              <w:t>-3,0</w:t>
            </w:r>
          </w:p>
        </w:tc>
        <w:tc>
          <w:tcPr>
            <w:tcW w:w="960" w:type="dxa"/>
            <w:gridSpan w:val="2"/>
            <w:tcBorders>
              <w:top w:val="nil"/>
              <w:left w:val="nil"/>
              <w:bottom w:val="single" w:sz="4" w:space="0" w:color="auto"/>
              <w:right w:val="nil"/>
            </w:tcBorders>
            <w:shd w:val="clear" w:color="auto" w:fill="auto"/>
            <w:vAlign w:val="center"/>
            <w:hideMark/>
          </w:tcPr>
          <w:p w14:paraId="5A755E6F" w14:textId="77777777" w:rsidR="00C45D5B" w:rsidRPr="006401D1" w:rsidRDefault="00C45D5B" w:rsidP="00CF774B">
            <w:pPr>
              <w:jc w:val="center"/>
              <w:rPr>
                <w:rFonts w:cs="Times New Roman"/>
                <w:color w:val="000000"/>
                <w:sz w:val="18"/>
                <w:szCs w:val="18"/>
              </w:rPr>
            </w:pPr>
            <w:r>
              <w:rPr>
                <w:color w:val="000000"/>
                <w:sz w:val="18"/>
                <w:szCs w:val="18"/>
              </w:rPr>
              <w:t>-2,5</w:t>
            </w:r>
          </w:p>
        </w:tc>
        <w:tc>
          <w:tcPr>
            <w:tcW w:w="960" w:type="dxa"/>
            <w:gridSpan w:val="2"/>
            <w:tcBorders>
              <w:top w:val="nil"/>
              <w:left w:val="nil"/>
              <w:bottom w:val="single" w:sz="4" w:space="0" w:color="auto"/>
              <w:right w:val="nil"/>
            </w:tcBorders>
            <w:shd w:val="clear" w:color="auto" w:fill="auto"/>
            <w:vAlign w:val="center"/>
            <w:hideMark/>
          </w:tcPr>
          <w:p w14:paraId="63B4AE00" w14:textId="77777777" w:rsidR="00C45D5B" w:rsidRPr="006401D1" w:rsidRDefault="00C45D5B" w:rsidP="00CF774B">
            <w:pPr>
              <w:jc w:val="center"/>
              <w:rPr>
                <w:rFonts w:cs="Times New Roman"/>
                <w:color w:val="000000"/>
                <w:sz w:val="18"/>
                <w:szCs w:val="18"/>
              </w:rPr>
            </w:pPr>
            <w:r>
              <w:rPr>
                <w:color w:val="000000"/>
                <w:sz w:val="18"/>
                <w:szCs w:val="18"/>
              </w:rPr>
              <w:t>-2,0</w:t>
            </w:r>
          </w:p>
        </w:tc>
      </w:tr>
      <w:tr w:rsidR="00C45D5B" w:rsidRPr="006401D1" w14:paraId="1590854B" w14:textId="77777777" w:rsidTr="00CF774B">
        <w:trPr>
          <w:gridAfter w:val="1"/>
          <w:wAfter w:w="100" w:type="dxa"/>
          <w:trHeight w:val="283"/>
        </w:trPr>
        <w:tc>
          <w:tcPr>
            <w:tcW w:w="7080" w:type="dxa"/>
            <w:gridSpan w:val="10"/>
            <w:tcBorders>
              <w:top w:val="single" w:sz="8" w:space="0" w:color="auto"/>
              <w:left w:val="nil"/>
              <w:bottom w:val="nil"/>
              <w:right w:val="nil"/>
            </w:tcBorders>
            <w:shd w:val="clear" w:color="000000" w:fill="FFFFFF"/>
            <w:vAlign w:val="bottom"/>
            <w:hideMark/>
          </w:tcPr>
          <w:p w14:paraId="592C3C93" w14:textId="77777777" w:rsidR="00C45D5B" w:rsidRPr="006401D1" w:rsidRDefault="00C45D5B" w:rsidP="00CF774B">
            <w:pPr>
              <w:rPr>
                <w:rFonts w:cs="Times New Roman"/>
                <w:sz w:val="16"/>
                <w:szCs w:val="18"/>
              </w:rPr>
            </w:pPr>
            <w:r w:rsidRPr="006401D1">
              <w:rPr>
                <w:rFonts w:cs="Times New Roman"/>
                <w:sz w:val="16"/>
                <w:szCs w:val="18"/>
              </w:rPr>
              <w:t>[1] Kladné znamienko predstavuje pozitívny vplyv jednorazového opatrenia na saldo VS</w:t>
            </w:r>
          </w:p>
        </w:tc>
        <w:tc>
          <w:tcPr>
            <w:tcW w:w="1920" w:type="dxa"/>
            <w:gridSpan w:val="4"/>
            <w:tcBorders>
              <w:top w:val="single" w:sz="8" w:space="0" w:color="auto"/>
              <w:left w:val="nil"/>
              <w:bottom w:val="nil"/>
              <w:right w:val="nil"/>
            </w:tcBorders>
            <w:shd w:val="clear" w:color="000000" w:fill="FFFFFF"/>
            <w:noWrap/>
            <w:vAlign w:val="bottom"/>
            <w:hideMark/>
          </w:tcPr>
          <w:p w14:paraId="111CB676" w14:textId="77777777" w:rsidR="00C45D5B" w:rsidRPr="006401D1" w:rsidRDefault="00C45D5B" w:rsidP="00CF774B">
            <w:pPr>
              <w:jc w:val="right"/>
              <w:rPr>
                <w:rFonts w:cs="Times New Roman"/>
                <w:i/>
                <w:iCs/>
                <w:sz w:val="18"/>
                <w:szCs w:val="18"/>
              </w:rPr>
            </w:pPr>
            <w:r w:rsidRPr="006401D1">
              <w:rPr>
                <w:rFonts w:cs="Times New Roman"/>
                <w:i/>
                <w:iCs/>
                <w:sz w:val="16"/>
                <w:szCs w:val="18"/>
              </w:rPr>
              <w:t>Zdroj: MF SR</w:t>
            </w:r>
          </w:p>
        </w:tc>
      </w:tr>
      <w:tr w:rsidR="00C45D5B" w:rsidRPr="006401D1" w14:paraId="78C0FA6C" w14:textId="77777777" w:rsidTr="00CF774B">
        <w:trPr>
          <w:gridAfter w:val="1"/>
          <w:wAfter w:w="100" w:type="dxa"/>
          <w:trHeight w:val="283"/>
        </w:trPr>
        <w:tc>
          <w:tcPr>
            <w:tcW w:w="5160" w:type="dxa"/>
            <w:gridSpan w:val="6"/>
            <w:tcBorders>
              <w:top w:val="nil"/>
              <w:left w:val="nil"/>
              <w:bottom w:val="nil"/>
              <w:right w:val="nil"/>
            </w:tcBorders>
            <w:shd w:val="clear" w:color="000000" w:fill="FFFFFF"/>
            <w:hideMark/>
          </w:tcPr>
          <w:p w14:paraId="6456391A" w14:textId="04FB41CB" w:rsidR="00C45D5B" w:rsidRPr="006401D1" w:rsidRDefault="00C45D5B" w:rsidP="00CF774B">
            <w:pPr>
              <w:rPr>
                <w:rFonts w:cs="Times New Roman"/>
                <w:sz w:val="16"/>
                <w:szCs w:val="18"/>
              </w:rPr>
            </w:pPr>
            <w:r w:rsidRPr="006401D1">
              <w:rPr>
                <w:rFonts w:cs="Times New Roman"/>
                <w:sz w:val="16"/>
                <w:szCs w:val="18"/>
              </w:rPr>
              <w:t>* Pre rok 202</w:t>
            </w:r>
            <w:r w:rsidR="00206E5B">
              <w:rPr>
                <w:rFonts w:cs="Times New Roman"/>
                <w:sz w:val="16"/>
                <w:szCs w:val="18"/>
              </w:rPr>
              <w:t>2</w:t>
            </w:r>
            <w:r w:rsidRPr="006401D1">
              <w:rPr>
                <w:rFonts w:cs="Times New Roman"/>
                <w:sz w:val="16"/>
                <w:szCs w:val="18"/>
              </w:rPr>
              <w:t xml:space="preserve"> uvádzame očakávanú skutočnosť.</w:t>
            </w:r>
          </w:p>
          <w:p w14:paraId="5AD996C0" w14:textId="77777777" w:rsidR="00C45D5B" w:rsidRPr="006401D1" w:rsidRDefault="00C45D5B" w:rsidP="00CF774B">
            <w:pPr>
              <w:rPr>
                <w:rFonts w:cs="Times New Roman"/>
                <w:sz w:val="18"/>
                <w:szCs w:val="18"/>
              </w:rPr>
            </w:pPr>
          </w:p>
          <w:p w14:paraId="68792AB3" w14:textId="77777777" w:rsidR="00C45D5B" w:rsidRPr="006401D1" w:rsidRDefault="00C45D5B" w:rsidP="00CF774B">
            <w:pPr>
              <w:rPr>
                <w:rFonts w:ascii="Times New Roman" w:hAnsi="Times New Roman" w:cs="Times New Roman"/>
                <w:sz w:val="18"/>
                <w:szCs w:val="18"/>
              </w:rPr>
            </w:pPr>
          </w:p>
        </w:tc>
        <w:tc>
          <w:tcPr>
            <w:tcW w:w="960" w:type="dxa"/>
            <w:gridSpan w:val="2"/>
            <w:tcBorders>
              <w:top w:val="nil"/>
              <w:left w:val="nil"/>
              <w:bottom w:val="nil"/>
              <w:right w:val="nil"/>
            </w:tcBorders>
            <w:shd w:val="clear" w:color="auto" w:fill="auto"/>
            <w:noWrap/>
            <w:vAlign w:val="bottom"/>
            <w:hideMark/>
          </w:tcPr>
          <w:p w14:paraId="0B6804E6" w14:textId="77777777" w:rsidR="00C45D5B" w:rsidRPr="006401D1" w:rsidRDefault="00C45D5B" w:rsidP="00CF774B">
            <w:pPr>
              <w:rPr>
                <w:rFonts w:ascii="Times New Roman" w:hAnsi="Times New Roman" w:cs="Times New Roman"/>
                <w:sz w:val="18"/>
                <w:szCs w:val="18"/>
              </w:rPr>
            </w:pPr>
          </w:p>
        </w:tc>
        <w:tc>
          <w:tcPr>
            <w:tcW w:w="960" w:type="dxa"/>
            <w:gridSpan w:val="2"/>
            <w:tcBorders>
              <w:top w:val="nil"/>
              <w:left w:val="nil"/>
              <w:bottom w:val="nil"/>
              <w:right w:val="nil"/>
            </w:tcBorders>
            <w:shd w:val="clear" w:color="auto" w:fill="auto"/>
            <w:noWrap/>
            <w:vAlign w:val="bottom"/>
            <w:hideMark/>
          </w:tcPr>
          <w:p w14:paraId="3090A64D" w14:textId="77777777" w:rsidR="00C45D5B" w:rsidRPr="006401D1" w:rsidRDefault="00C45D5B" w:rsidP="00CF774B">
            <w:pPr>
              <w:rPr>
                <w:rFonts w:ascii="Times New Roman" w:hAnsi="Times New Roman" w:cs="Times New Roman"/>
                <w:sz w:val="18"/>
                <w:szCs w:val="18"/>
              </w:rPr>
            </w:pPr>
          </w:p>
        </w:tc>
        <w:tc>
          <w:tcPr>
            <w:tcW w:w="960" w:type="dxa"/>
            <w:gridSpan w:val="2"/>
            <w:tcBorders>
              <w:top w:val="nil"/>
              <w:left w:val="nil"/>
              <w:bottom w:val="nil"/>
              <w:right w:val="nil"/>
            </w:tcBorders>
            <w:shd w:val="clear" w:color="auto" w:fill="auto"/>
            <w:noWrap/>
            <w:vAlign w:val="bottom"/>
            <w:hideMark/>
          </w:tcPr>
          <w:p w14:paraId="38489B09" w14:textId="77777777" w:rsidR="00C45D5B" w:rsidRPr="006401D1" w:rsidRDefault="00C45D5B" w:rsidP="00CF774B">
            <w:pPr>
              <w:rPr>
                <w:rFonts w:ascii="Times New Roman" w:hAnsi="Times New Roman" w:cs="Times New Roman"/>
                <w:sz w:val="18"/>
                <w:szCs w:val="18"/>
              </w:rPr>
            </w:pPr>
          </w:p>
        </w:tc>
        <w:tc>
          <w:tcPr>
            <w:tcW w:w="960" w:type="dxa"/>
            <w:gridSpan w:val="2"/>
            <w:tcBorders>
              <w:top w:val="nil"/>
              <w:left w:val="nil"/>
              <w:bottom w:val="nil"/>
              <w:right w:val="nil"/>
            </w:tcBorders>
            <w:shd w:val="clear" w:color="auto" w:fill="auto"/>
            <w:noWrap/>
            <w:vAlign w:val="bottom"/>
            <w:hideMark/>
          </w:tcPr>
          <w:p w14:paraId="5470718C" w14:textId="77777777" w:rsidR="00C45D5B" w:rsidRPr="006401D1" w:rsidRDefault="00C45D5B" w:rsidP="00CF774B">
            <w:pPr>
              <w:rPr>
                <w:rFonts w:ascii="Times New Roman" w:hAnsi="Times New Roman" w:cs="Times New Roman"/>
                <w:sz w:val="18"/>
                <w:szCs w:val="18"/>
              </w:rPr>
            </w:pPr>
          </w:p>
        </w:tc>
      </w:tr>
      <w:tr w:rsidR="00C45D5B" w:rsidRPr="006401D1" w14:paraId="16386957" w14:textId="77777777" w:rsidTr="00CF774B">
        <w:trPr>
          <w:trHeight w:val="283"/>
        </w:trPr>
        <w:tc>
          <w:tcPr>
            <w:tcW w:w="9100" w:type="dxa"/>
            <w:gridSpan w:val="15"/>
            <w:tcBorders>
              <w:top w:val="nil"/>
              <w:left w:val="nil"/>
              <w:bottom w:val="single" w:sz="8" w:space="0" w:color="auto"/>
              <w:right w:val="nil"/>
            </w:tcBorders>
            <w:shd w:val="clear" w:color="auto" w:fill="auto"/>
            <w:noWrap/>
            <w:vAlign w:val="bottom"/>
            <w:hideMark/>
          </w:tcPr>
          <w:p w14:paraId="1E53F706" w14:textId="6DB9D801" w:rsidR="00C45D5B" w:rsidRPr="006401D1" w:rsidRDefault="00C45D5B" w:rsidP="00CF774B">
            <w:pPr>
              <w:rPr>
                <w:rFonts w:eastAsiaTheme="minorHAnsi"/>
                <w:b/>
                <w:color w:val="2C9ADC"/>
                <w:sz w:val="18"/>
                <w:szCs w:val="18"/>
                <w:lang w:eastAsia="en-US"/>
              </w:rPr>
            </w:pPr>
            <w:bookmarkStart w:id="259" w:name="RANGE!A3"/>
            <w:bookmarkStart w:id="260" w:name="_Toc480905420"/>
            <w:bookmarkStart w:id="261" w:name="_Toc6314227"/>
            <w:bookmarkStart w:id="262" w:name="_Toc71622467"/>
            <w:bookmarkStart w:id="263" w:name="_Toc101880708"/>
            <w:r w:rsidRPr="006401D1">
              <w:rPr>
                <w:rFonts w:eastAsiaTheme="minorHAnsi"/>
                <w:b/>
                <w:color w:val="2C9ADC"/>
                <w:sz w:val="20"/>
                <w:szCs w:val="18"/>
                <w:lang w:eastAsia="en-US"/>
              </w:rPr>
              <w:t xml:space="preserve">TABUĽKA </w:t>
            </w:r>
            <w:r w:rsidRPr="006401D1">
              <w:rPr>
                <w:rFonts w:eastAsiaTheme="minorHAnsi"/>
                <w:b/>
                <w:color w:val="2C9ADC"/>
                <w:sz w:val="20"/>
                <w:szCs w:val="18"/>
                <w:lang w:eastAsia="en-US"/>
              </w:rPr>
              <w:fldChar w:fldCharType="begin"/>
            </w:r>
            <w:r w:rsidRPr="006401D1">
              <w:rPr>
                <w:rFonts w:eastAsiaTheme="minorHAnsi"/>
                <w:b/>
                <w:color w:val="2C9ADC"/>
                <w:sz w:val="20"/>
                <w:szCs w:val="18"/>
                <w:lang w:eastAsia="en-US"/>
              </w:rPr>
              <w:instrText xml:space="preserve"> SEQ TABUĽKA \* ARABIC </w:instrText>
            </w:r>
            <w:r w:rsidRPr="006401D1">
              <w:rPr>
                <w:rFonts w:eastAsiaTheme="minorHAnsi"/>
                <w:b/>
                <w:color w:val="2C9ADC"/>
                <w:sz w:val="20"/>
                <w:szCs w:val="18"/>
                <w:lang w:eastAsia="en-US"/>
              </w:rPr>
              <w:fldChar w:fldCharType="separate"/>
            </w:r>
            <w:r w:rsidR="005D3280">
              <w:rPr>
                <w:rFonts w:eastAsiaTheme="minorHAnsi"/>
                <w:b/>
                <w:noProof/>
                <w:color w:val="2C9ADC"/>
                <w:sz w:val="20"/>
                <w:szCs w:val="18"/>
                <w:lang w:eastAsia="en-US"/>
              </w:rPr>
              <w:t>29</w:t>
            </w:r>
            <w:r w:rsidRPr="006401D1">
              <w:rPr>
                <w:rFonts w:eastAsiaTheme="minorHAnsi"/>
                <w:b/>
                <w:color w:val="2C9ADC"/>
                <w:sz w:val="20"/>
                <w:szCs w:val="18"/>
                <w:lang w:eastAsia="en-US"/>
              </w:rPr>
              <w:fldChar w:fldCharType="end"/>
            </w:r>
            <w:r w:rsidRPr="006401D1">
              <w:rPr>
                <w:rFonts w:eastAsiaTheme="minorHAnsi"/>
                <w:b/>
                <w:color w:val="2C9ADC"/>
                <w:sz w:val="20"/>
                <w:szCs w:val="18"/>
                <w:lang w:eastAsia="en-US"/>
              </w:rPr>
              <w:t xml:space="preserve"> (Tabuľka 6) </w:t>
            </w:r>
            <w:r w:rsidRPr="006401D1">
              <w:rPr>
                <w:rFonts w:eastAsiaTheme="minorHAnsi"/>
                <w:b/>
                <w:color w:val="2C9ADC"/>
                <w:sz w:val="20"/>
                <w:szCs w:val="20"/>
                <w:lang w:eastAsia="en-US"/>
              </w:rPr>
              <w:t>–</w:t>
            </w:r>
            <w:r w:rsidRPr="006401D1">
              <w:rPr>
                <w:rFonts w:eastAsiaTheme="minorHAnsi"/>
                <w:b/>
                <w:color w:val="2C9ADC"/>
                <w:sz w:val="20"/>
                <w:szCs w:val="18"/>
                <w:lang w:eastAsia="en-US"/>
              </w:rPr>
              <w:t xml:space="preserve"> Porovnanie predchádzajúcej a aktualizovanej prognózy</w:t>
            </w:r>
            <w:bookmarkEnd w:id="259"/>
            <w:bookmarkEnd w:id="260"/>
            <w:bookmarkEnd w:id="261"/>
            <w:bookmarkEnd w:id="262"/>
            <w:bookmarkEnd w:id="263"/>
            <w:r w:rsidRPr="006401D1">
              <w:rPr>
                <w:rFonts w:eastAsiaTheme="minorHAnsi"/>
                <w:b/>
                <w:color w:val="2C9ADC"/>
                <w:sz w:val="20"/>
                <w:szCs w:val="18"/>
                <w:lang w:eastAsia="en-US"/>
              </w:rPr>
              <w:t> </w:t>
            </w:r>
          </w:p>
        </w:tc>
      </w:tr>
      <w:tr w:rsidR="00C45D5B" w:rsidRPr="006401D1" w14:paraId="32B4B54A" w14:textId="77777777" w:rsidTr="00CF774B">
        <w:trPr>
          <w:trHeight w:val="283"/>
        </w:trPr>
        <w:tc>
          <w:tcPr>
            <w:tcW w:w="2880" w:type="dxa"/>
            <w:tcBorders>
              <w:top w:val="nil"/>
              <w:left w:val="nil"/>
              <w:bottom w:val="nil"/>
              <w:right w:val="nil"/>
            </w:tcBorders>
            <w:shd w:val="clear" w:color="auto" w:fill="auto"/>
            <w:vAlign w:val="center"/>
            <w:hideMark/>
          </w:tcPr>
          <w:p w14:paraId="0D2DDF03" w14:textId="77777777" w:rsidR="00C45D5B" w:rsidRPr="006401D1" w:rsidRDefault="00C45D5B" w:rsidP="00CF774B">
            <w:pPr>
              <w:rPr>
                <w:rFonts w:cs="Times New Roman"/>
                <w:b/>
                <w:bCs/>
                <w:color w:val="2C9ADC"/>
                <w:sz w:val="18"/>
                <w:szCs w:val="18"/>
              </w:rPr>
            </w:pPr>
          </w:p>
        </w:tc>
        <w:tc>
          <w:tcPr>
            <w:tcW w:w="818" w:type="dxa"/>
            <w:gridSpan w:val="2"/>
            <w:tcBorders>
              <w:top w:val="nil"/>
              <w:left w:val="nil"/>
              <w:bottom w:val="nil"/>
              <w:right w:val="nil"/>
            </w:tcBorders>
            <w:shd w:val="clear" w:color="auto" w:fill="auto"/>
            <w:vAlign w:val="center"/>
            <w:hideMark/>
          </w:tcPr>
          <w:p w14:paraId="33D1369B" w14:textId="77777777" w:rsidR="00C45D5B" w:rsidRPr="006401D1" w:rsidRDefault="00C45D5B" w:rsidP="00CF774B">
            <w:pPr>
              <w:rPr>
                <w:rFonts w:cs="Times New Roman"/>
                <w:color w:val="000000"/>
                <w:sz w:val="18"/>
                <w:szCs w:val="18"/>
              </w:rPr>
            </w:pPr>
            <w:r w:rsidRPr="006401D1">
              <w:rPr>
                <w:rFonts w:cs="Times New Roman"/>
                <w:color w:val="000000"/>
                <w:sz w:val="18"/>
                <w:szCs w:val="18"/>
              </w:rPr>
              <w:t xml:space="preserve">ESA kód </w:t>
            </w:r>
          </w:p>
        </w:tc>
        <w:tc>
          <w:tcPr>
            <w:tcW w:w="886" w:type="dxa"/>
            <w:gridSpan w:val="2"/>
            <w:tcBorders>
              <w:top w:val="nil"/>
              <w:left w:val="nil"/>
              <w:bottom w:val="nil"/>
              <w:right w:val="nil"/>
            </w:tcBorders>
            <w:shd w:val="clear" w:color="auto" w:fill="auto"/>
            <w:vAlign w:val="center"/>
          </w:tcPr>
          <w:p w14:paraId="7C289AD7" w14:textId="77777777" w:rsidR="00C45D5B" w:rsidRPr="006401D1" w:rsidRDefault="00C45D5B" w:rsidP="00CF774B">
            <w:pPr>
              <w:jc w:val="center"/>
              <w:rPr>
                <w:rFonts w:cs="Times New Roman"/>
                <w:b/>
                <w:bCs/>
                <w:color w:val="000000"/>
                <w:sz w:val="18"/>
                <w:szCs w:val="18"/>
              </w:rPr>
            </w:pPr>
          </w:p>
        </w:tc>
        <w:tc>
          <w:tcPr>
            <w:tcW w:w="904" w:type="dxa"/>
            <w:gridSpan w:val="2"/>
            <w:tcBorders>
              <w:top w:val="nil"/>
              <w:left w:val="nil"/>
              <w:bottom w:val="nil"/>
              <w:right w:val="nil"/>
            </w:tcBorders>
            <w:shd w:val="clear" w:color="auto" w:fill="auto"/>
            <w:vAlign w:val="center"/>
            <w:hideMark/>
          </w:tcPr>
          <w:p w14:paraId="3CC935B3"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2021</w:t>
            </w:r>
          </w:p>
        </w:tc>
        <w:tc>
          <w:tcPr>
            <w:tcW w:w="903" w:type="dxa"/>
            <w:gridSpan w:val="2"/>
            <w:tcBorders>
              <w:top w:val="nil"/>
              <w:left w:val="nil"/>
              <w:bottom w:val="nil"/>
              <w:right w:val="nil"/>
            </w:tcBorders>
            <w:shd w:val="clear" w:color="auto" w:fill="auto"/>
            <w:vAlign w:val="center"/>
            <w:hideMark/>
          </w:tcPr>
          <w:p w14:paraId="0E1DD6CB"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2022</w:t>
            </w:r>
          </w:p>
        </w:tc>
        <w:tc>
          <w:tcPr>
            <w:tcW w:w="903" w:type="dxa"/>
            <w:gridSpan w:val="2"/>
            <w:tcBorders>
              <w:top w:val="nil"/>
              <w:left w:val="nil"/>
              <w:bottom w:val="nil"/>
              <w:right w:val="nil"/>
            </w:tcBorders>
            <w:shd w:val="clear" w:color="auto" w:fill="auto"/>
            <w:vAlign w:val="center"/>
            <w:hideMark/>
          </w:tcPr>
          <w:p w14:paraId="29C5D728"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2023</w:t>
            </w:r>
          </w:p>
        </w:tc>
        <w:tc>
          <w:tcPr>
            <w:tcW w:w="903" w:type="dxa"/>
            <w:gridSpan w:val="2"/>
            <w:tcBorders>
              <w:top w:val="nil"/>
              <w:left w:val="nil"/>
              <w:bottom w:val="nil"/>
              <w:right w:val="nil"/>
            </w:tcBorders>
            <w:shd w:val="clear" w:color="auto" w:fill="auto"/>
            <w:vAlign w:val="center"/>
            <w:hideMark/>
          </w:tcPr>
          <w:p w14:paraId="25DBCFDB"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2024</w:t>
            </w:r>
          </w:p>
        </w:tc>
        <w:tc>
          <w:tcPr>
            <w:tcW w:w="903" w:type="dxa"/>
            <w:gridSpan w:val="2"/>
            <w:tcBorders>
              <w:top w:val="nil"/>
              <w:left w:val="nil"/>
              <w:bottom w:val="nil"/>
              <w:right w:val="nil"/>
            </w:tcBorders>
            <w:shd w:val="clear" w:color="auto" w:fill="auto"/>
            <w:vAlign w:val="center"/>
          </w:tcPr>
          <w:p w14:paraId="7CC1D27B" w14:textId="77777777" w:rsidR="00C45D5B" w:rsidRPr="006401D1" w:rsidRDefault="00C45D5B" w:rsidP="00CF774B">
            <w:pPr>
              <w:jc w:val="center"/>
              <w:rPr>
                <w:rFonts w:cs="Times New Roman"/>
                <w:b/>
                <w:bCs/>
                <w:color w:val="000000"/>
                <w:sz w:val="18"/>
                <w:szCs w:val="18"/>
              </w:rPr>
            </w:pPr>
            <w:r w:rsidRPr="006401D1">
              <w:rPr>
                <w:b/>
                <w:bCs/>
                <w:color w:val="000000"/>
                <w:sz w:val="18"/>
                <w:szCs w:val="18"/>
              </w:rPr>
              <w:t>2025</w:t>
            </w:r>
          </w:p>
        </w:tc>
      </w:tr>
      <w:tr w:rsidR="00C45D5B" w:rsidRPr="006401D1" w14:paraId="444AF27E" w14:textId="77777777" w:rsidTr="004B45DC">
        <w:trPr>
          <w:trHeight w:val="283"/>
        </w:trPr>
        <w:tc>
          <w:tcPr>
            <w:tcW w:w="2880" w:type="dxa"/>
            <w:tcBorders>
              <w:top w:val="single" w:sz="4" w:space="0" w:color="000000"/>
              <w:left w:val="nil"/>
              <w:bottom w:val="nil"/>
              <w:right w:val="nil"/>
            </w:tcBorders>
            <w:shd w:val="clear" w:color="000000" w:fill="FFFFFF"/>
            <w:vAlign w:val="center"/>
            <w:hideMark/>
          </w:tcPr>
          <w:p w14:paraId="599BB46B" w14:textId="77777777" w:rsidR="00C45D5B" w:rsidRPr="006401D1" w:rsidRDefault="00C45D5B" w:rsidP="00CF774B">
            <w:pPr>
              <w:rPr>
                <w:rFonts w:cs="Times New Roman"/>
                <w:b/>
                <w:bCs/>
                <w:color w:val="000000"/>
                <w:sz w:val="18"/>
                <w:szCs w:val="18"/>
              </w:rPr>
            </w:pPr>
            <w:r w:rsidRPr="006401D1">
              <w:rPr>
                <w:rFonts w:cs="Times New Roman"/>
                <w:b/>
                <w:bCs/>
                <w:color w:val="000000"/>
                <w:sz w:val="18"/>
                <w:szCs w:val="18"/>
              </w:rPr>
              <w:t>Reálny rast HDP (%)</w:t>
            </w:r>
          </w:p>
        </w:tc>
        <w:tc>
          <w:tcPr>
            <w:tcW w:w="818" w:type="dxa"/>
            <w:gridSpan w:val="2"/>
            <w:tcBorders>
              <w:top w:val="single" w:sz="4" w:space="0" w:color="000000"/>
              <w:left w:val="nil"/>
              <w:bottom w:val="nil"/>
              <w:right w:val="nil"/>
            </w:tcBorders>
            <w:shd w:val="clear" w:color="000000" w:fill="FFFFFF"/>
            <w:vAlign w:val="center"/>
            <w:hideMark/>
          </w:tcPr>
          <w:p w14:paraId="45655339"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 </w:t>
            </w:r>
          </w:p>
        </w:tc>
        <w:tc>
          <w:tcPr>
            <w:tcW w:w="886" w:type="dxa"/>
            <w:gridSpan w:val="2"/>
            <w:tcBorders>
              <w:top w:val="single" w:sz="4" w:space="0" w:color="000000"/>
              <w:left w:val="nil"/>
              <w:bottom w:val="nil"/>
              <w:right w:val="nil"/>
            </w:tcBorders>
            <w:shd w:val="clear" w:color="auto" w:fill="auto"/>
            <w:vAlign w:val="center"/>
          </w:tcPr>
          <w:p w14:paraId="5B369031" w14:textId="77777777" w:rsidR="00C45D5B" w:rsidRPr="006401D1" w:rsidRDefault="00C45D5B" w:rsidP="004B45DC">
            <w:pPr>
              <w:jc w:val="center"/>
              <w:rPr>
                <w:rFonts w:cs="Times New Roman"/>
                <w:color w:val="000000"/>
                <w:sz w:val="18"/>
                <w:szCs w:val="18"/>
              </w:rPr>
            </w:pPr>
          </w:p>
        </w:tc>
        <w:tc>
          <w:tcPr>
            <w:tcW w:w="904" w:type="dxa"/>
            <w:gridSpan w:val="2"/>
            <w:tcBorders>
              <w:top w:val="single" w:sz="4" w:space="0" w:color="000000"/>
              <w:left w:val="nil"/>
              <w:bottom w:val="nil"/>
              <w:right w:val="nil"/>
            </w:tcBorders>
            <w:shd w:val="clear" w:color="auto" w:fill="auto"/>
            <w:vAlign w:val="center"/>
            <w:hideMark/>
          </w:tcPr>
          <w:p w14:paraId="57468383" w14:textId="77777777" w:rsidR="00C45D5B" w:rsidRPr="006401D1" w:rsidRDefault="00C45D5B" w:rsidP="004B45DC">
            <w:pPr>
              <w:jc w:val="center"/>
              <w:rPr>
                <w:rFonts w:cs="Times New Roman"/>
                <w:color w:val="000000"/>
                <w:sz w:val="18"/>
                <w:szCs w:val="18"/>
              </w:rPr>
            </w:pPr>
          </w:p>
        </w:tc>
        <w:tc>
          <w:tcPr>
            <w:tcW w:w="903" w:type="dxa"/>
            <w:gridSpan w:val="2"/>
            <w:tcBorders>
              <w:top w:val="single" w:sz="4" w:space="0" w:color="000000"/>
              <w:left w:val="nil"/>
              <w:bottom w:val="nil"/>
              <w:right w:val="nil"/>
            </w:tcBorders>
            <w:shd w:val="clear" w:color="auto" w:fill="auto"/>
            <w:vAlign w:val="center"/>
            <w:hideMark/>
          </w:tcPr>
          <w:p w14:paraId="47301F04" w14:textId="77777777" w:rsidR="00C45D5B" w:rsidRPr="006401D1" w:rsidRDefault="00C45D5B" w:rsidP="004B45DC">
            <w:pPr>
              <w:jc w:val="center"/>
              <w:rPr>
                <w:rFonts w:cs="Times New Roman"/>
                <w:color w:val="000000"/>
                <w:sz w:val="18"/>
                <w:szCs w:val="18"/>
              </w:rPr>
            </w:pPr>
          </w:p>
        </w:tc>
        <w:tc>
          <w:tcPr>
            <w:tcW w:w="903" w:type="dxa"/>
            <w:gridSpan w:val="2"/>
            <w:tcBorders>
              <w:top w:val="single" w:sz="4" w:space="0" w:color="000000"/>
              <w:left w:val="nil"/>
              <w:bottom w:val="nil"/>
              <w:right w:val="nil"/>
            </w:tcBorders>
            <w:shd w:val="clear" w:color="auto" w:fill="auto"/>
            <w:noWrap/>
            <w:vAlign w:val="center"/>
            <w:hideMark/>
          </w:tcPr>
          <w:p w14:paraId="1C22C1E9" w14:textId="77777777" w:rsidR="00C45D5B" w:rsidRPr="006401D1" w:rsidRDefault="00C45D5B" w:rsidP="004B45DC">
            <w:pPr>
              <w:jc w:val="center"/>
              <w:rPr>
                <w:rFonts w:cs="Times New Roman"/>
                <w:color w:val="000000"/>
                <w:sz w:val="18"/>
                <w:szCs w:val="18"/>
              </w:rPr>
            </w:pPr>
          </w:p>
        </w:tc>
        <w:tc>
          <w:tcPr>
            <w:tcW w:w="903" w:type="dxa"/>
            <w:gridSpan w:val="2"/>
            <w:tcBorders>
              <w:top w:val="single" w:sz="4" w:space="0" w:color="000000"/>
              <w:left w:val="nil"/>
              <w:bottom w:val="nil"/>
              <w:right w:val="nil"/>
            </w:tcBorders>
            <w:shd w:val="clear" w:color="auto" w:fill="auto"/>
            <w:noWrap/>
            <w:vAlign w:val="center"/>
            <w:hideMark/>
          </w:tcPr>
          <w:p w14:paraId="7C75B8DE" w14:textId="77777777" w:rsidR="00C45D5B" w:rsidRPr="006401D1" w:rsidRDefault="00C45D5B" w:rsidP="004B45DC">
            <w:pPr>
              <w:jc w:val="center"/>
              <w:rPr>
                <w:rFonts w:cs="Times New Roman"/>
                <w:color w:val="000000"/>
                <w:sz w:val="18"/>
                <w:szCs w:val="18"/>
              </w:rPr>
            </w:pPr>
          </w:p>
        </w:tc>
        <w:tc>
          <w:tcPr>
            <w:tcW w:w="903" w:type="dxa"/>
            <w:gridSpan w:val="2"/>
            <w:tcBorders>
              <w:top w:val="single" w:sz="4" w:space="0" w:color="000000"/>
              <w:left w:val="nil"/>
              <w:bottom w:val="nil"/>
              <w:right w:val="nil"/>
            </w:tcBorders>
            <w:shd w:val="clear" w:color="auto" w:fill="auto"/>
            <w:noWrap/>
            <w:vAlign w:val="center"/>
          </w:tcPr>
          <w:p w14:paraId="4B4229D0" w14:textId="77777777" w:rsidR="00C45D5B" w:rsidRPr="006401D1" w:rsidRDefault="00C45D5B" w:rsidP="004B45DC">
            <w:pPr>
              <w:jc w:val="center"/>
              <w:rPr>
                <w:rFonts w:cs="Times New Roman"/>
                <w:color w:val="000000"/>
                <w:sz w:val="18"/>
                <w:szCs w:val="18"/>
              </w:rPr>
            </w:pPr>
          </w:p>
        </w:tc>
      </w:tr>
      <w:tr w:rsidR="00C45D5B" w:rsidRPr="006401D1" w14:paraId="77E59488" w14:textId="77777777" w:rsidTr="004B45DC">
        <w:trPr>
          <w:trHeight w:val="283"/>
        </w:trPr>
        <w:tc>
          <w:tcPr>
            <w:tcW w:w="2880" w:type="dxa"/>
            <w:tcBorders>
              <w:top w:val="nil"/>
              <w:left w:val="nil"/>
              <w:bottom w:val="nil"/>
              <w:right w:val="nil"/>
            </w:tcBorders>
            <w:shd w:val="clear" w:color="000000" w:fill="FFFFFF"/>
            <w:vAlign w:val="center"/>
            <w:hideMark/>
          </w:tcPr>
          <w:p w14:paraId="0A45B520"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Predchádzajúca aktualizácia*</w:t>
            </w:r>
          </w:p>
        </w:tc>
        <w:tc>
          <w:tcPr>
            <w:tcW w:w="818" w:type="dxa"/>
            <w:gridSpan w:val="2"/>
            <w:tcBorders>
              <w:top w:val="nil"/>
              <w:left w:val="nil"/>
              <w:bottom w:val="nil"/>
              <w:right w:val="nil"/>
            </w:tcBorders>
            <w:shd w:val="clear" w:color="000000" w:fill="FFFFFF"/>
            <w:vAlign w:val="center"/>
            <w:hideMark/>
          </w:tcPr>
          <w:p w14:paraId="2F424EF0" w14:textId="77777777" w:rsidR="00C45D5B" w:rsidRPr="006401D1" w:rsidRDefault="00C45D5B" w:rsidP="00CF774B">
            <w:pP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vAlign w:val="center"/>
          </w:tcPr>
          <w:p w14:paraId="1DDB1D83" w14:textId="77777777" w:rsidR="00C45D5B" w:rsidRPr="006401D1" w:rsidRDefault="00C45D5B" w:rsidP="004B45DC">
            <w:pPr>
              <w:jc w:val="center"/>
              <w:rPr>
                <w:rFonts w:cs="Times New Roman"/>
                <w:color w:val="000000"/>
                <w:sz w:val="18"/>
                <w:szCs w:val="18"/>
              </w:rPr>
            </w:pPr>
          </w:p>
        </w:tc>
        <w:tc>
          <w:tcPr>
            <w:tcW w:w="904" w:type="dxa"/>
            <w:gridSpan w:val="2"/>
            <w:tcBorders>
              <w:top w:val="nil"/>
              <w:left w:val="nil"/>
              <w:bottom w:val="nil"/>
              <w:right w:val="nil"/>
            </w:tcBorders>
            <w:shd w:val="clear" w:color="auto" w:fill="auto"/>
            <w:vAlign w:val="center"/>
            <w:hideMark/>
          </w:tcPr>
          <w:p w14:paraId="7A07F9A3" w14:textId="77777777" w:rsidR="00C45D5B" w:rsidRPr="006401D1" w:rsidRDefault="00C45D5B" w:rsidP="004B45DC">
            <w:pPr>
              <w:jc w:val="center"/>
              <w:rPr>
                <w:rFonts w:cs="Times New Roman"/>
                <w:color w:val="000000"/>
                <w:sz w:val="18"/>
                <w:szCs w:val="18"/>
              </w:rPr>
            </w:pPr>
            <w:r w:rsidRPr="006401D1">
              <w:rPr>
                <w:color w:val="000000"/>
                <w:sz w:val="18"/>
                <w:szCs w:val="18"/>
              </w:rPr>
              <w:t>3,3</w:t>
            </w:r>
          </w:p>
        </w:tc>
        <w:tc>
          <w:tcPr>
            <w:tcW w:w="903" w:type="dxa"/>
            <w:gridSpan w:val="2"/>
            <w:tcBorders>
              <w:top w:val="nil"/>
              <w:left w:val="nil"/>
              <w:bottom w:val="nil"/>
              <w:right w:val="nil"/>
            </w:tcBorders>
            <w:shd w:val="clear" w:color="auto" w:fill="auto"/>
            <w:vAlign w:val="center"/>
            <w:hideMark/>
          </w:tcPr>
          <w:p w14:paraId="1F00D442" w14:textId="77777777" w:rsidR="00C45D5B" w:rsidRPr="006401D1" w:rsidRDefault="00C45D5B" w:rsidP="004B45DC">
            <w:pPr>
              <w:jc w:val="center"/>
              <w:rPr>
                <w:rFonts w:cs="Times New Roman"/>
                <w:color w:val="000000"/>
                <w:sz w:val="18"/>
                <w:szCs w:val="18"/>
              </w:rPr>
            </w:pPr>
            <w:r w:rsidRPr="006401D1">
              <w:rPr>
                <w:color w:val="000000"/>
                <w:sz w:val="18"/>
                <w:szCs w:val="18"/>
              </w:rPr>
              <w:t>6,3</w:t>
            </w:r>
          </w:p>
        </w:tc>
        <w:tc>
          <w:tcPr>
            <w:tcW w:w="903" w:type="dxa"/>
            <w:gridSpan w:val="2"/>
            <w:tcBorders>
              <w:top w:val="nil"/>
              <w:left w:val="nil"/>
              <w:bottom w:val="nil"/>
              <w:right w:val="nil"/>
            </w:tcBorders>
            <w:shd w:val="clear" w:color="auto" w:fill="auto"/>
            <w:vAlign w:val="center"/>
            <w:hideMark/>
          </w:tcPr>
          <w:p w14:paraId="7DDBAD22" w14:textId="77777777" w:rsidR="00C45D5B" w:rsidRPr="006401D1" w:rsidRDefault="00C45D5B" w:rsidP="004B45DC">
            <w:pPr>
              <w:jc w:val="center"/>
              <w:rPr>
                <w:rFonts w:cs="Times New Roman"/>
                <w:color w:val="000000"/>
                <w:sz w:val="18"/>
                <w:szCs w:val="18"/>
              </w:rPr>
            </w:pPr>
            <w:r w:rsidRPr="006401D1">
              <w:rPr>
                <w:color w:val="000000"/>
                <w:sz w:val="18"/>
                <w:szCs w:val="18"/>
              </w:rPr>
              <w:t>2,8</w:t>
            </w:r>
          </w:p>
        </w:tc>
        <w:tc>
          <w:tcPr>
            <w:tcW w:w="903" w:type="dxa"/>
            <w:gridSpan w:val="2"/>
            <w:tcBorders>
              <w:top w:val="nil"/>
              <w:left w:val="nil"/>
              <w:bottom w:val="nil"/>
              <w:right w:val="nil"/>
            </w:tcBorders>
            <w:shd w:val="clear" w:color="auto" w:fill="auto"/>
            <w:vAlign w:val="center"/>
            <w:hideMark/>
          </w:tcPr>
          <w:p w14:paraId="6F8DE44A" w14:textId="77777777" w:rsidR="00C45D5B" w:rsidRPr="006401D1" w:rsidRDefault="00C45D5B" w:rsidP="004B45DC">
            <w:pPr>
              <w:jc w:val="center"/>
              <w:rPr>
                <w:rFonts w:cs="Times New Roman"/>
                <w:color w:val="000000"/>
                <w:sz w:val="18"/>
                <w:szCs w:val="18"/>
              </w:rPr>
            </w:pPr>
            <w:r w:rsidRPr="006401D1">
              <w:rPr>
                <w:color w:val="000000"/>
                <w:sz w:val="18"/>
                <w:szCs w:val="18"/>
              </w:rPr>
              <w:t>0,3</w:t>
            </w:r>
          </w:p>
        </w:tc>
        <w:tc>
          <w:tcPr>
            <w:tcW w:w="903" w:type="dxa"/>
            <w:gridSpan w:val="2"/>
            <w:tcBorders>
              <w:top w:val="nil"/>
              <w:left w:val="nil"/>
              <w:bottom w:val="nil"/>
              <w:right w:val="nil"/>
            </w:tcBorders>
            <w:shd w:val="clear" w:color="auto" w:fill="auto"/>
            <w:vAlign w:val="center"/>
          </w:tcPr>
          <w:p w14:paraId="317BDD4D" w14:textId="77777777" w:rsidR="00C45D5B" w:rsidRPr="006401D1" w:rsidRDefault="00C45D5B" w:rsidP="004B45DC">
            <w:pPr>
              <w:jc w:val="center"/>
              <w:rPr>
                <w:rFonts w:cs="Times New Roman"/>
                <w:color w:val="000000"/>
                <w:sz w:val="18"/>
                <w:szCs w:val="18"/>
              </w:rPr>
            </w:pPr>
            <w:r w:rsidRPr="006401D1">
              <w:rPr>
                <w:color w:val="000000"/>
                <w:sz w:val="18"/>
                <w:szCs w:val="18"/>
              </w:rPr>
              <w:t>-</w:t>
            </w:r>
          </w:p>
        </w:tc>
      </w:tr>
      <w:tr w:rsidR="00C45D5B" w:rsidRPr="006401D1" w14:paraId="358C4BDE" w14:textId="77777777" w:rsidTr="004B45DC">
        <w:trPr>
          <w:trHeight w:val="283"/>
        </w:trPr>
        <w:tc>
          <w:tcPr>
            <w:tcW w:w="2880" w:type="dxa"/>
            <w:tcBorders>
              <w:top w:val="nil"/>
              <w:left w:val="nil"/>
              <w:bottom w:val="nil"/>
              <w:right w:val="nil"/>
            </w:tcBorders>
            <w:shd w:val="clear" w:color="000000" w:fill="FFFFFF"/>
            <w:vAlign w:val="center"/>
            <w:hideMark/>
          </w:tcPr>
          <w:p w14:paraId="3D802323"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Skutočnosť a súčasná aktualizácia</w:t>
            </w:r>
          </w:p>
        </w:tc>
        <w:tc>
          <w:tcPr>
            <w:tcW w:w="818" w:type="dxa"/>
            <w:gridSpan w:val="2"/>
            <w:tcBorders>
              <w:top w:val="nil"/>
              <w:left w:val="nil"/>
              <w:bottom w:val="nil"/>
              <w:right w:val="nil"/>
            </w:tcBorders>
            <w:shd w:val="clear" w:color="000000" w:fill="FFFFFF"/>
            <w:noWrap/>
            <w:vAlign w:val="center"/>
            <w:hideMark/>
          </w:tcPr>
          <w:p w14:paraId="77D0C7C2" w14:textId="77777777" w:rsidR="00C45D5B" w:rsidRPr="006401D1" w:rsidRDefault="00C45D5B" w:rsidP="00CF774B">
            <w:pP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noWrap/>
            <w:vAlign w:val="center"/>
          </w:tcPr>
          <w:p w14:paraId="1F8C59B6" w14:textId="77777777" w:rsidR="00C45D5B" w:rsidRPr="006401D1" w:rsidRDefault="00C45D5B" w:rsidP="004B45DC">
            <w:pPr>
              <w:jc w:val="center"/>
              <w:rPr>
                <w:rFonts w:cs="Times New Roman"/>
                <w:color w:val="000000"/>
                <w:sz w:val="18"/>
                <w:szCs w:val="18"/>
              </w:rPr>
            </w:pPr>
          </w:p>
        </w:tc>
        <w:tc>
          <w:tcPr>
            <w:tcW w:w="904" w:type="dxa"/>
            <w:gridSpan w:val="2"/>
            <w:tcBorders>
              <w:top w:val="nil"/>
              <w:left w:val="nil"/>
              <w:bottom w:val="nil"/>
              <w:right w:val="nil"/>
            </w:tcBorders>
            <w:shd w:val="clear" w:color="auto" w:fill="auto"/>
            <w:noWrap/>
            <w:vAlign w:val="center"/>
            <w:hideMark/>
          </w:tcPr>
          <w:p w14:paraId="665A54E3" w14:textId="77777777" w:rsidR="00C45D5B" w:rsidRPr="006401D1" w:rsidRDefault="00C45D5B" w:rsidP="004B45DC">
            <w:pPr>
              <w:jc w:val="center"/>
              <w:rPr>
                <w:rFonts w:cs="Times New Roman"/>
                <w:color w:val="000000"/>
                <w:sz w:val="18"/>
                <w:szCs w:val="18"/>
              </w:rPr>
            </w:pPr>
            <w:r w:rsidRPr="006401D1">
              <w:rPr>
                <w:color w:val="000000"/>
                <w:sz w:val="18"/>
                <w:szCs w:val="18"/>
              </w:rPr>
              <w:t>3</w:t>
            </w:r>
          </w:p>
        </w:tc>
        <w:tc>
          <w:tcPr>
            <w:tcW w:w="903" w:type="dxa"/>
            <w:gridSpan w:val="2"/>
            <w:tcBorders>
              <w:top w:val="nil"/>
              <w:left w:val="nil"/>
              <w:bottom w:val="nil"/>
              <w:right w:val="nil"/>
            </w:tcBorders>
            <w:shd w:val="clear" w:color="auto" w:fill="auto"/>
            <w:noWrap/>
            <w:vAlign w:val="center"/>
            <w:hideMark/>
          </w:tcPr>
          <w:p w14:paraId="32776407" w14:textId="77777777" w:rsidR="00C45D5B" w:rsidRPr="006401D1" w:rsidRDefault="00C45D5B" w:rsidP="004B45DC">
            <w:pPr>
              <w:jc w:val="center"/>
              <w:rPr>
                <w:rFonts w:cs="Times New Roman"/>
                <w:color w:val="000000"/>
                <w:sz w:val="18"/>
                <w:szCs w:val="18"/>
              </w:rPr>
            </w:pPr>
            <w:r w:rsidRPr="006401D1">
              <w:rPr>
                <w:color w:val="000000"/>
                <w:sz w:val="18"/>
                <w:szCs w:val="18"/>
              </w:rPr>
              <w:t>2,1</w:t>
            </w:r>
          </w:p>
        </w:tc>
        <w:tc>
          <w:tcPr>
            <w:tcW w:w="903" w:type="dxa"/>
            <w:gridSpan w:val="2"/>
            <w:tcBorders>
              <w:top w:val="nil"/>
              <w:left w:val="nil"/>
              <w:bottom w:val="nil"/>
              <w:right w:val="nil"/>
            </w:tcBorders>
            <w:shd w:val="clear" w:color="auto" w:fill="auto"/>
            <w:noWrap/>
            <w:vAlign w:val="center"/>
            <w:hideMark/>
          </w:tcPr>
          <w:p w14:paraId="29453909" w14:textId="77777777" w:rsidR="00C45D5B" w:rsidRPr="006401D1" w:rsidRDefault="00C45D5B" w:rsidP="004B45DC">
            <w:pPr>
              <w:jc w:val="center"/>
              <w:rPr>
                <w:rFonts w:cs="Times New Roman"/>
                <w:color w:val="000000"/>
                <w:sz w:val="18"/>
                <w:szCs w:val="18"/>
              </w:rPr>
            </w:pPr>
            <w:r w:rsidRPr="006401D1">
              <w:rPr>
                <w:color w:val="000000"/>
                <w:sz w:val="18"/>
                <w:szCs w:val="18"/>
              </w:rPr>
              <w:t>5,3</w:t>
            </w:r>
          </w:p>
        </w:tc>
        <w:tc>
          <w:tcPr>
            <w:tcW w:w="903" w:type="dxa"/>
            <w:gridSpan w:val="2"/>
            <w:tcBorders>
              <w:top w:val="nil"/>
              <w:left w:val="nil"/>
              <w:bottom w:val="nil"/>
              <w:right w:val="nil"/>
            </w:tcBorders>
            <w:shd w:val="clear" w:color="auto" w:fill="auto"/>
            <w:noWrap/>
            <w:vAlign w:val="center"/>
            <w:hideMark/>
          </w:tcPr>
          <w:p w14:paraId="5FA9D59A" w14:textId="77777777" w:rsidR="00C45D5B" w:rsidRPr="006401D1" w:rsidRDefault="00C45D5B" w:rsidP="004B45DC">
            <w:pPr>
              <w:jc w:val="center"/>
              <w:rPr>
                <w:rFonts w:cs="Times New Roman"/>
                <w:color w:val="000000"/>
                <w:sz w:val="18"/>
                <w:szCs w:val="18"/>
              </w:rPr>
            </w:pPr>
            <w:r w:rsidRPr="006401D1">
              <w:rPr>
                <w:color w:val="000000"/>
                <w:sz w:val="18"/>
                <w:szCs w:val="18"/>
              </w:rPr>
              <w:t>1,8</w:t>
            </w:r>
          </w:p>
        </w:tc>
        <w:tc>
          <w:tcPr>
            <w:tcW w:w="903" w:type="dxa"/>
            <w:gridSpan w:val="2"/>
            <w:tcBorders>
              <w:top w:val="nil"/>
              <w:left w:val="nil"/>
              <w:bottom w:val="nil"/>
              <w:right w:val="nil"/>
            </w:tcBorders>
            <w:shd w:val="clear" w:color="auto" w:fill="auto"/>
            <w:noWrap/>
            <w:vAlign w:val="center"/>
          </w:tcPr>
          <w:p w14:paraId="11744BCA" w14:textId="77777777" w:rsidR="00C45D5B" w:rsidRPr="006401D1" w:rsidRDefault="00C45D5B" w:rsidP="004B45DC">
            <w:pPr>
              <w:jc w:val="center"/>
              <w:rPr>
                <w:rFonts w:cs="Times New Roman"/>
                <w:color w:val="000000"/>
                <w:sz w:val="18"/>
                <w:szCs w:val="18"/>
              </w:rPr>
            </w:pPr>
            <w:r w:rsidRPr="006401D1">
              <w:rPr>
                <w:color w:val="000000"/>
                <w:sz w:val="18"/>
                <w:szCs w:val="18"/>
              </w:rPr>
              <w:t>1,8</w:t>
            </w:r>
          </w:p>
        </w:tc>
      </w:tr>
      <w:tr w:rsidR="00C45D5B" w:rsidRPr="006401D1" w14:paraId="42727E2F" w14:textId="77777777" w:rsidTr="004B45DC">
        <w:trPr>
          <w:trHeight w:val="283"/>
        </w:trPr>
        <w:tc>
          <w:tcPr>
            <w:tcW w:w="2880" w:type="dxa"/>
            <w:tcBorders>
              <w:top w:val="nil"/>
              <w:left w:val="nil"/>
              <w:bottom w:val="single" w:sz="4" w:space="0" w:color="auto"/>
              <w:right w:val="nil"/>
            </w:tcBorders>
            <w:shd w:val="clear" w:color="000000" w:fill="FFFFFF"/>
            <w:vAlign w:val="center"/>
            <w:hideMark/>
          </w:tcPr>
          <w:p w14:paraId="62474210"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Rozdiel</w:t>
            </w:r>
          </w:p>
        </w:tc>
        <w:tc>
          <w:tcPr>
            <w:tcW w:w="818" w:type="dxa"/>
            <w:gridSpan w:val="2"/>
            <w:tcBorders>
              <w:top w:val="nil"/>
              <w:left w:val="nil"/>
              <w:bottom w:val="single" w:sz="4" w:space="0" w:color="auto"/>
              <w:right w:val="nil"/>
            </w:tcBorders>
            <w:shd w:val="clear" w:color="000000" w:fill="FFFFFF"/>
            <w:vAlign w:val="center"/>
            <w:hideMark/>
          </w:tcPr>
          <w:p w14:paraId="62BE456A" w14:textId="77777777" w:rsidR="00C45D5B" w:rsidRPr="006401D1" w:rsidRDefault="00C45D5B" w:rsidP="00CF774B">
            <w:pP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vAlign w:val="center"/>
          </w:tcPr>
          <w:p w14:paraId="3879D909" w14:textId="77777777" w:rsidR="00C45D5B" w:rsidRPr="006401D1" w:rsidRDefault="00C45D5B" w:rsidP="004B45DC">
            <w:pPr>
              <w:jc w:val="center"/>
              <w:rPr>
                <w:rFonts w:cs="Times New Roman"/>
                <w:color w:val="000000"/>
                <w:sz w:val="18"/>
                <w:szCs w:val="18"/>
              </w:rPr>
            </w:pPr>
          </w:p>
        </w:tc>
        <w:tc>
          <w:tcPr>
            <w:tcW w:w="904" w:type="dxa"/>
            <w:gridSpan w:val="2"/>
            <w:tcBorders>
              <w:top w:val="nil"/>
              <w:left w:val="nil"/>
              <w:bottom w:val="nil"/>
              <w:right w:val="nil"/>
            </w:tcBorders>
            <w:shd w:val="clear" w:color="auto" w:fill="auto"/>
            <w:vAlign w:val="center"/>
            <w:hideMark/>
          </w:tcPr>
          <w:p w14:paraId="35880CD4" w14:textId="77777777" w:rsidR="00C45D5B" w:rsidRPr="006401D1" w:rsidRDefault="00C45D5B" w:rsidP="004B45DC">
            <w:pPr>
              <w:jc w:val="center"/>
              <w:rPr>
                <w:rFonts w:cs="Times New Roman"/>
                <w:color w:val="000000"/>
                <w:sz w:val="18"/>
                <w:szCs w:val="18"/>
              </w:rPr>
            </w:pPr>
            <w:r w:rsidRPr="006401D1">
              <w:rPr>
                <w:color w:val="000000"/>
                <w:sz w:val="18"/>
                <w:szCs w:val="18"/>
              </w:rPr>
              <w:t>-0,3</w:t>
            </w:r>
          </w:p>
        </w:tc>
        <w:tc>
          <w:tcPr>
            <w:tcW w:w="903" w:type="dxa"/>
            <w:gridSpan w:val="2"/>
            <w:tcBorders>
              <w:top w:val="nil"/>
              <w:left w:val="nil"/>
              <w:bottom w:val="nil"/>
              <w:right w:val="nil"/>
            </w:tcBorders>
            <w:shd w:val="clear" w:color="auto" w:fill="auto"/>
            <w:vAlign w:val="center"/>
            <w:hideMark/>
          </w:tcPr>
          <w:p w14:paraId="3F6103B2" w14:textId="77777777" w:rsidR="00C45D5B" w:rsidRPr="006401D1" w:rsidRDefault="00C45D5B" w:rsidP="004B45DC">
            <w:pPr>
              <w:jc w:val="center"/>
              <w:rPr>
                <w:rFonts w:cs="Times New Roman"/>
                <w:color w:val="000000"/>
                <w:sz w:val="18"/>
                <w:szCs w:val="18"/>
              </w:rPr>
            </w:pPr>
            <w:r w:rsidRPr="006401D1">
              <w:rPr>
                <w:color w:val="000000"/>
                <w:sz w:val="18"/>
                <w:szCs w:val="18"/>
              </w:rPr>
              <w:t>-4,2</w:t>
            </w:r>
          </w:p>
        </w:tc>
        <w:tc>
          <w:tcPr>
            <w:tcW w:w="903" w:type="dxa"/>
            <w:gridSpan w:val="2"/>
            <w:tcBorders>
              <w:top w:val="nil"/>
              <w:left w:val="nil"/>
              <w:bottom w:val="nil"/>
              <w:right w:val="nil"/>
            </w:tcBorders>
            <w:shd w:val="clear" w:color="auto" w:fill="auto"/>
            <w:vAlign w:val="center"/>
            <w:hideMark/>
          </w:tcPr>
          <w:p w14:paraId="07D7A5F9" w14:textId="77777777" w:rsidR="00C45D5B" w:rsidRPr="006401D1" w:rsidRDefault="00C45D5B" w:rsidP="004B45DC">
            <w:pPr>
              <w:jc w:val="center"/>
              <w:rPr>
                <w:rFonts w:cs="Times New Roman"/>
                <w:color w:val="000000"/>
                <w:sz w:val="18"/>
                <w:szCs w:val="18"/>
              </w:rPr>
            </w:pPr>
            <w:r w:rsidRPr="006401D1">
              <w:rPr>
                <w:color w:val="000000"/>
                <w:sz w:val="18"/>
                <w:szCs w:val="18"/>
              </w:rPr>
              <w:t>2,5</w:t>
            </w:r>
          </w:p>
        </w:tc>
        <w:tc>
          <w:tcPr>
            <w:tcW w:w="903" w:type="dxa"/>
            <w:gridSpan w:val="2"/>
            <w:tcBorders>
              <w:top w:val="nil"/>
              <w:left w:val="nil"/>
              <w:bottom w:val="nil"/>
              <w:right w:val="nil"/>
            </w:tcBorders>
            <w:shd w:val="clear" w:color="auto" w:fill="auto"/>
            <w:vAlign w:val="center"/>
            <w:hideMark/>
          </w:tcPr>
          <w:p w14:paraId="770700EB" w14:textId="77777777" w:rsidR="00C45D5B" w:rsidRPr="006401D1" w:rsidRDefault="00C45D5B" w:rsidP="004B45DC">
            <w:pPr>
              <w:jc w:val="center"/>
              <w:rPr>
                <w:rFonts w:cs="Times New Roman"/>
                <w:color w:val="000000"/>
                <w:sz w:val="18"/>
                <w:szCs w:val="18"/>
              </w:rPr>
            </w:pPr>
            <w:r w:rsidRPr="006401D1">
              <w:rPr>
                <w:color w:val="000000"/>
                <w:sz w:val="18"/>
                <w:szCs w:val="18"/>
              </w:rPr>
              <w:t>1,5</w:t>
            </w:r>
          </w:p>
        </w:tc>
        <w:tc>
          <w:tcPr>
            <w:tcW w:w="903" w:type="dxa"/>
            <w:gridSpan w:val="2"/>
            <w:tcBorders>
              <w:top w:val="nil"/>
              <w:left w:val="nil"/>
              <w:bottom w:val="nil"/>
              <w:right w:val="nil"/>
            </w:tcBorders>
            <w:shd w:val="clear" w:color="auto" w:fill="auto"/>
            <w:vAlign w:val="center"/>
          </w:tcPr>
          <w:p w14:paraId="62BB31CD" w14:textId="77777777" w:rsidR="00C45D5B" w:rsidRPr="006401D1" w:rsidRDefault="00C45D5B" w:rsidP="004B45DC">
            <w:pPr>
              <w:jc w:val="center"/>
              <w:rPr>
                <w:rFonts w:cs="Times New Roman"/>
                <w:color w:val="000000"/>
                <w:sz w:val="18"/>
                <w:szCs w:val="18"/>
              </w:rPr>
            </w:pPr>
            <w:r w:rsidRPr="006401D1">
              <w:rPr>
                <w:color w:val="000000"/>
                <w:sz w:val="18"/>
                <w:szCs w:val="18"/>
              </w:rPr>
              <w:t>-</w:t>
            </w:r>
          </w:p>
        </w:tc>
      </w:tr>
      <w:tr w:rsidR="00C45D5B" w:rsidRPr="006401D1" w14:paraId="1104BC5F" w14:textId="77777777" w:rsidTr="00CF774B">
        <w:trPr>
          <w:trHeight w:val="283"/>
        </w:trPr>
        <w:tc>
          <w:tcPr>
            <w:tcW w:w="2880" w:type="dxa"/>
            <w:tcBorders>
              <w:top w:val="nil"/>
              <w:left w:val="nil"/>
              <w:bottom w:val="nil"/>
              <w:right w:val="nil"/>
            </w:tcBorders>
            <w:shd w:val="clear" w:color="000000" w:fill="FFFFFF"/>
            <w:noWrap/>
            <w:vAlign w:val="center"/>
            <w:hideMark/>
          </w:tcPr>
          <w:p w14:paraId="3D5F9C74" w14:textId="77777777" w:rsidR="00C45D5B" w:rsidRPr="006401D1" w:rsidRDefault="00C45D5B" w:rsidP="00CF774B">
            <w:pPr>
              <w:rPr>
                <w:rFonts w:cs="Times New Roman"/>
                <w:b/>
                <w:bCs/>
                <w:color w:val="000000"/>
                <w:sz w:val="18"/>
                <w:szCs w:val="18"/>
              </w:rPr>
            </w:pPr>
            <w:r w:rsidRPr="006401D1">
              <w:rPr>
                <w:rFonts w:cs="Times New Roman"/>
                <w:b/>
                <w:bCs/>
                <w:color w:val="000000"/>
                <w:sz w:val="18"/>
                <w:szCs w:val="18"/>
              </w:rPr>
              <w:t>Saldo verejnej správy (% HDP)</w:t>
            </w:r>
          </w:p>
        </w:tc>
        <w:tc>
          <w:tcPr>
            <w:tcW w:w="818" w:type="dxa"/>
            <w:gridSpan w:val="2"/>
            <w:tcBorders>
              <w:top w:val="nil"/>
              <w:left w:val="nil"/>
              <w:bottom w:val="nil"/>
              <w:right w:val="nil"/>
            </w:tcBorders>
            <w:shd w:val="clear" w:color="000000" w:fill="FFFFFF"/>
            <w:vAlign w:val="center"/>
            <w:hideMark/>
          </w:tcPr>
          <w:p w14:paraId="1801DDA4"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EDP B.9</w:t>
            </w:r>
          </w:p>
        </w:tc>
        <w:tc>
          <w:tcPr>
            <w:tcW w:w="886" w:type="dxa"/>
            <w:gridSpan w:val="2"/>
            <w:tcBorders>
              <w:top w:val="single" w:sz="4" w:space="0" w:color="auto"/>
              <w:left w:val="nil"/>
              <w:bottom w:val="nil"/>
              <w:right w:val="nil"/>
            </w:tcBorders>
            <w:shd w:val="clear" w:color="auto" w:fill="auto"/>
            <w:vAlign w:val="center"/>
          </w:tcPr>
          <w:p w14:paraId="1AA0ABB4" w14:textId="77777777" w:rsidR="00C45D5B" w:rsidRPr="006401D1" w:rsidRDefault="00C45D5B" w:rsidP="00CF774B">
            <w:pPr>
              <w:jc w:val="center"/>
              <w:rPr>
                <w:rFonts w:cs="Times New Roman"/>
                <w:color w:val="000000"/>
                <w:sz w:val="18"/>
                <w:szCs w:val="18"/>
              </w:rPr>
            </w:pPr>
          </w:p>
        </w:tc>
        <w:tc>
          <w:tcPr>
            <w:tcW w:w="904" w:type="dxa"/>
            <w:gridSpan w:val="2"/>
            <w:tcBorders>
              <w:top w:val="single" w:sz="4" w:space="0" w:color="auto"/>
              <w:left w:val="nil"/>
              <w:bottom w:val="nil"/>
              <w:right w:val="nil"/>
            </w:tcBorders>
            <w:shd w:val="clear" w:color="auto" w:fill="auto"/>
            <w:vAlign w:val="center"/>
            <w:hideMark/>
          </w:tcPr>
          <w:p w14:paraId="20E7EB0A"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vAlign w:val="center"/>
            <w:hideMark/>
          </w:tcPr>
          <w:p w14:paraId="7C309F84"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noWrap/>
            <w:vAlign w:val="center"/>
            <w:hideMark/>
          </w:tcPr>
          <w:p w14:paraId="706496B1"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noWrap/>
            <w:vAlign w:val="center"/>
            <w:hideMark/>
          </w:tcPr>
          <w:p w14:paraId="5DF5FB5C"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noWrap/>
            <w:vAlign w:val="center"/>
          </w:tcPr>
          <w:p w14:paraId="40B8EA63" w14:textId="77777777" w:rsidR="00C45D5B" w:rsidRPr="006401D1" w:rsidRDefault="00C45D5B" w:rsidP="00CF774B">
            <w:pPr>
              <w:jc w:val="center"/>
              <w:rPr>
                <w:rFonts w:cs="Times New Roman"/>
                <w:color w:val="000000"/>
                <w:sz w:val="18"/>
                <w:szCs w:val="18"/>
              </w:rPr>
            </w:pPr>
          </w:p>
        </w:tc>
      </w:tr>
      <w:tr w:rsidR="00C45D5B" w:rsidRPr="006401D1" w14:paraId="1C2D916F" w14:textId="77777777" w:rsidTr="00CF774B">
        <w:trPr>
          <w:trHeight w:val="283"/>
        </w:trPr>
        <w:tc>
          <w:tcPr>
            <w:tcW w:w="2880" w:type="dxa"/>
            <w:tcBorders>
              <w:top w:val="nil"/>
              <w:left w:val="nil"/>
              <w:bottom w:val="nil"/>
              <w:right w:val="nil"/>
            </w:tcBorders>
            <w:shd w:val="clear" w:color="000000" w:fill="FFFFFF"/>
            <w:vAlign w:val="center"/>
            <w:hideMark/>
          </w:tcPr>
          <w:p w14:paraId="7DBB4B45"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Predchádzajúca aktualizácia*</w:t>
            </w:r>
          </w:p>
        </w:tc>
        <w:tc>
          <w:tcPr>
            <w:tcW w:w="818" w:type="dxa"/>
            <w:gridSpan w:val="2"/>
            <w:tcBorders>
              <w:top w:val="nil"/>
              <w:left w:val="nil"/>
              <w:bottom w:val="nil"/>
              <w:right w:val="nil"/>
            </w:tcBorders>
            <w:shd w:val="clear" w:color="000000" w:fill="FFFFFF"/>
            <w:noWrap/>
            <w:vAlign w:val="bottom"/>
            <w:hideMark/>
          </w:tcPr>
          <w:p w14:paraId="15439034" w14:textId="77777777" w:rsidR="00C45D5B" w:rsidRPr="006401D1" w:rsidRDefault="00C45D5B" w:rsidP="00CF774B">
            <w:pP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noWrap/>
          </w:tcPr>
          <w:p w14:paraId="5BFFD15D" w14:textId="77777777" w:rsidR="00C45D5B" w:rsidRPr="006401D1" w:rsidRDefault="00C45D5B" w:rsidP="00CF774B">
            <w:pPr>
              <w:jc w:val="center"/>
              <w:rPr>
                <w:rFonts w:cs="Times New Roman"/>
                <w:color w:val="000000"/>
                <w:sz w:val="18"/>
                <w:szCs w:val="18"/>
              </w:rPr>
            </w:pPr>
          </w:p>
        </w:tc>
        <w:tc>
          <w:tcPr>
            <w:tcW w:w="904" w:type="dxa"/>
            <w:gridSpan w:val="2"/>
            <w:tcBorders>
              <w:top w:val="nil"/>
              <w:left w:val="nil"/>
              <w:bottom w:val="nil"/>
              <w:right w:val="nil"/>
            </w:tcBorders>
            <w:shd w:val="clear" w:color="auto" w:fill="auto"/>
            <w:noWrap/>
            <w:vAlign w:val="center"/>
            <w:hideMark/>
          </w:tcPr>
          <w:p w14:paraId="000FB8A7" w14:textId="77777777" w:rsidR="00C45D5B" w:rsidRPr="006401D1" w:rsidRDefault="00C45D5B" w:rsidP="00CF774B">
            <w:pPr>
              <w:jc w:val="center"/>
              <w:rPr>
                <w:rFonts w:cs="Times New Roman"/>
                <w:color w:val="000000"/>
                <w:sz w:val="18"/>
                <w:szCs w:val="18"/>
              </w:rPr>
            </w:pPr>
            <w:r w:rsidRPr="006401D1">
              <w:rPr>
                <w:color w:val="000000"/>
                <w:sz w:val="18"/>
                <w:szCs w:val="18"/>
              </w:rPr>
              <w:t>-9,9</w:t>
            </w:r>
          </w:p>
        </w:tc>
        <w:tc>
          <w:tcPr>
            <w:tcW w:w="903" w:type="dxa"/>
            <w:gridSpan w:val="2"/>
            <w:tcBorders>
              <w:top w:val="nil"/>
              <w:left w:val="nil"/>
              <w:bottom w:val="nil"/>
              <w:right w:val="nil"/>
            </w:tcBorders>
            <w:shd w:val="clear" w:color="auto" w:fill="auto"/>
            <w:noWrap/>
            <w:vAlign w:val="center"/>
            <w:hideMark/>
          </w:tcPr>
          <w:p w14:paraId="762B864D" w14:textId="77777777" w:rsidR="00C45D5B" w:rsidRPr="006401D1" w:rsidRDefault="00C45D5B" w:rsidP="00CF774B">
            <w:pPr>
              <w:jc w:val="center"/>
              <w:rPr>
                <w:rFonts w:cs="Times New Roman"/>
                <w:color w:val="000000"/>
                <w:sz w:val="18"/>
                <w:szCs w:val="18"/>
              </w:rPr>
            </w:pPr>
            <w:r w:rsidRPr="006401D1">
              <w:rPr>
                <w:color w:val="000000"/>
                <w:sz w:val="18"/>
                <w:szCs w:val="18"/>
              </w:rPr>
              <w:t>-5,1</w:t>
            </w:r>
          </w:p>
        </w:tc>
        <w:tc>
          <w:tcPr>
            <w:tcW w:w="903" w:type="dxa"/>
            <w:gridSpan w:val="2"/>
            <w:tcBorders>
              <w:top w:val="nil"/>
              <w:left w:val="nil"/>
              <w:bottom w:val="nil"/>
              <w:right w:val="nil"/>
            </w:tcBorders>
            <w:shd w:val="clear" w:color="auto" w:fill="auto"/>
            <w:noWrap/>
            <w:vAlign w:val="center"/>
            <w:hideMark/>
          </w:tcPr>
          <w:p w14:paraId="7ECC3B8B" w14:textId="77777777" w:rsidR="00C45D5B" w:rsidRPr="006401D1" w:rsidRDefault="00C45D5B" w:rsidP="00CF774B">
            <w:pPr>
              <w:jc w:val="center"/>
              <w:rPr>
                <w:rFonts w:cs="Times New Roman"/>
                <w:color w:val="000000"/>
                <w:sz w:val="18"/>
                <w:szCs w:val="18"/>
              </w:rPr>
            </w:pPr>
            <w:r w:rsidRPr="006401D1">
              <w:rPr>
                <w:color w:val="000000"/>
                <w:sz w:val="18"/>
                <w:szCs w:val="18"/>
              </w:rPr>
              <w:t>-4,1</w:t>
            </w:r>
          </w:p>
        </w:tc>
        <w:tc>
          <w:tcPr>
            <w:tcW w:w="903" w:type="dxa"/>
            <w:gridSpan w:val="2"/>
            <w:tcBorders>
              <w:top w:val="nil"/>
              <w:left w:val="nil"/>
              <w:bottom w:val="nil"/>
              <w:right w:val="nil"/>
            </w:tcBorders>
            <w:shd w:val="clear" w:color="auto" w:fill="auto"/>
            <w:noWrap/>
            <w:vAlign w:val="center"/>
            <w:hideMark/>
          </w:tcPr>
          <w:p w14:paraId="7C154FFC" w14:textId="77777777" w:rsidR="00C45D5B" w:rsidRPr="006401D1" w:rsidRDefault="00C45D5B" w:rsidP="00CF774B">
            <w:pPr>
              <w:jc w:val="center"/>
              <w:rPr>
                <w:rFonts w:cs="Times New Roman"/>
                <w:color w:val="000000"/>
                <w:sz w:val="18"/>
                <w:szCs w:val="18"/>
              </w:rPr>
            </w:pPr>
            <w:r w:rsidRPr="006401D1">
              <w:rPr>
                <w:color w:val="000000"/>
                <w:sz w:val="18"/>
                <w:szCs w:val="18"/>
              </w:rPr>
              <w:t>-3,8</w:t>
            </w:r>
          </w:p>
        </w:tc>
        <w:tc>
          <w:tcPr>
            <w:tcW w:w="903" w:type="dxa"/>
            <w:gridSpan w:val="2"/>
            <w:tcBorders>
              <w:top w:val="nil"/>
              <w:left w:val="nil"/>
              <w:bottom w:val="nil"/>
              <w:right w:val="nil"/>
            </w:tcBorders>
            <w:shd w:val="clear" w:color="auto" w:fill="auto"/>
            <w:vAlign w:val="center"/>
          </w:tcPr>
          <w:p w14:paraId="58AA6690" w14:textId="77777777" w:rsidR="00C45D5B" w:rsidRPr="006401D1" w:rsidRDefault="00C45D5B" w:rsidP="00CF774B">
            <w:pPr>
              <w:jc w:val="center"/>
              <w:rPr>
                <w:rFonts w:cs="Times New Roman"/>
                <w:color w:val="000000"/>
                <w:sz w:val="18"/>
                <w:szCs w:val="18"/>
              </w:rPr>
            </w:pPr>
            <w:r w:rsidRPr="006401D1">
              <w:rPr>
                <w:color w:val="000000"/>
                <w:sz w:val="18"/>
                <w:szCs w:val="18"/>
              </w:rPr>
              <w:t>-</w:t>
            </w:r>
          </w:p>
        </w:tc>
      </w:tr>
      <w:tr w:rsidR="00C45D5B" w:rsidRPr="006401D1" w14:paraId="4A156817" w14:textId="77777777" w:rsidTr="00CF774B">
        <w:trPr>
          <w:trHeight w:val="283"/>
        </w:trPr>
        <w:tc>
          <w:tcPr>
            <w:tcW w:w="2880" w:type="dxa"/>
            <w:tcBorders>
              <w:top w:val="nil"/>
              <w:left w:val="nil"/>
              <w:bottom w:val="nil"/>
              <w:right w:val="nil"/>
            </w:tcBorders>
            <w:shd w:val="clear" w:color="000000" w:fill="FFFFFF"/>
            <w:vAlign w:val="center"/>
            <w:hideMark/>
          </w:tcPr>
          <w:p w14:paraId="1B31111D"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Skutočnosť a súčasná aktualizácia**</w:t>
            </w:r>
          </w:p>
        </w:tc>
        <w:tc>
          <w:tcPr>
            <w:tcW w:w="818" w:type="dxa"/>
            <w:gridSpan w:val="2"/>
            <w:tcBorders>
              <w:top w:val="nil"/>
              <w:left w:val="nil"/>
              <w:bottom w:val="nil"/>
              <w:right w:val="nil"/>
            </w:tcBorders>
            <w:shd w:val="clear" w:color="000000" w:fill="FFFFFF"/>
            <w:noWrap/>
            <w:vAlign w:val="bottom"/>
            <w:hideMark/>
          </w:tcPr>
          <w:p w14:paraId="446A4B71" w14:textId="77777777" w:rsidR="00C45D5B" w:rsidRPr="006401D1" w:rsidRDefault="00C45D5B" w:rsidP="00CF774B">
            <w:pP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noWrap/>
          </w:tcPr>
          <w:p w14:paraId="3CDD19F3" w14:textId="77777777" w:rsidR="00C45D5B" w:rsidRPr="006401D1" w:rsidRDefault="00C45D5B" w:rsidP="00CF774B">
            <w:pPr>
              <w:jc w:val="center"/>
              <w:rPr>
                <w:rFonts w:cs="Times New Roman"/>
                <w:color w:val="000000"/>
                <w:sz w:val="18"/>
                <w:szCs w:val="18"/>
              </w:rPr>
            </w:pPr>
          </w:p>
        </w:tc>
        <w:tc>
          <w:tcPr>
            <w:tcW w:w="904" w:type="dxa"/>
            <w:gridSpan w:val="2"/>
            <w:tcBorders>
              <w:top w:val="nil"/>
              <w:left w:val="nil"/>
              <w:bottom w:val="nil"/>
              <w:right w:val="nil"/>
            </w:tcBorders>
            <w:shd w:val="clear" w:color="auto" w:fill="auto"/>
            <w:noWrap/>
            <w:vAlign w:val="center"/>
            <w:hideMark/>
          </w:tcPr>
          <w:p w14:paraId="09394856" w14:textId="77777777" w:rsidR="00C45D5B" w:rsidRPr="006401D1" w:rsidRDefault="00C45D5B" w:rsidP="00CF774B">
            <w:pPr>
              <w:jc w:val="center"/>
              <w:rPr>
                <w:rFonts w:cs="Times New Roman"/>
                <w:color w:val="000000"/>
                <w:sz w:val="18"/>
                <w:szCs w:val="18"/>
              </w:rPr>
            </w:pPr>
            <w:r>
              <w:rPr>
                <w:color w:val="000000"/>
                <w:sz w:val="18"/>
                <w:szCs w:val="18"/>
              </w:rPr>
              <w:t>-6,2</w:t>
            </w:r>
          </w:p>
        </w:tc>
        <w:tc>
          <w:tcPr>
            <w:tcW w:w="903" w:type="dxa"/>
            <w:gridSpan w:val="2"/>
            <w:tcBorders>
              <w:top w:val="nil"/>
              <w:left w:val="nil"/>
              <w:bottom w:val="nil"/>
              <w:right w:val="nil"/>
            </w:tcBorders>
            <w:shd w:val="clear" w:color="auto" w:fill="auto"/>
            <w:noWrap/>
            <w:vAlign w:val="center"/>
            <w:hideMark/>
          </w:tcPr>
          <w:p w14:paraId="7598C289" w14:textId="77777777" w:rsidR="00C45D5B" w:rsidRPr="006401D1" w:rsidRDefault="00C45D5B" w:rsidP="00CF774B">
            <w:pPr>
              <w:jc w:val="center"/>
              <w:rPr>
                <w:rFonts w:cs="Times New Roman"/>
                <w:color w:val="000000"/>
                <w:sz w:val="18"/>
                <w:szCs w:val="18"/>
              </w:rPr>
            </w:pPr>
            <w:r>
              <w:rPr>
                <w:color w:val="000000"/>
                <w:sz w:val="18"/>
                <w:szCs w:val="18"/>
              </w:rPr>
              <w:t>-5,1</w:t>
            </w:r>
          </w:p>
        </w:tc>
        <w:tc>
          <w:tcPr>
            <w:tcW w:w="903" w:type="dxa"/>
            <w:gridSpan w:val="2"/>
            <w:tcBorders>
              <w:top w:val="nil"/>
              <w:left w:val="nil"/>
              <w:bottom w:val="nil"/>
              <w:right w:val="nil"/>
            </w:tcBorders>
            <w:shd w:val="clear" w:color="auto" w:fill="auto"/>
            <w:noWrap/>
            <w:vAlign w:val="center"/>
            <w:hideMark/>
          </w:tcPr>
          <w:p w14:paraId="006C03ED" w14:textId="77777777" w:rsidR="00C45D5B" w:rsidRPr="006401D1" w:rsidRDefault="00C45D5B" w:rsidP="00CF774B">
            <w:pPr>
              <w:jc w:val="center"/>
              <w:rPr>
                <w:rFonts w:cs="Times New Roman"/>
                <w:color w:val="000000"/>
                <w:sz w:val="18"/>
                <w:szCs w:val="18"/>
              </w:rPr>
            </w:pPr>
            <w:r>
              <w:rPr>
                <w:color w:val="000000"/>
                <w:sz w:val="18"/>
                <w:szCs w:val="18"/>
              </w:rPr>
              <w:t>-2,4</w:t>
            </w:r>
          </w:p>
        </w:tc>
        <w:tc>
          <w:tcPr>
            <w:tcW w:w="903" w:type="dxa"/>
            <w:gridSpan w:val="2"/>
            <w:tcBorders>
              <w:top w:val="nil"/>
              <w:left w:val="nil"/>
              <w:bottom w:val="nil"/>
              <w:right w:val="nil"/>
            </w:tcBorders>
            <w:shd w:val="clear" w:color="auto" w:fill="auto"/>
            <w:noWrap/>
            <w:vAlign w:val="center"/>
            <w:hideMark/>
          </w:tcPr>
          <w:p w14:paraId="4ADF3BD7" w14:textId="77777777" w:rsidR="00C45D5B" w:rsidRPr="006401D1" w:rsidRDefault="00C45D5B" w:rsidP="00CF774B">
            <w:pPr>
              <w:jc w:val="center"/>
              <w:rPr>
                <w:rFonts w:cs="Times New Roman"/>
                <w:color w:val="000000"/>
                <w:sz w:val="18"/>
                <w:szCs w:val="18"/>
              </w:rPr>
            </w:pPr>
            <w:r>
              <w:rPr>
                <w:color w:val="000000"/>
                <w:sz w:val="18"/>
                <w:szCs w:val="18"/>
              </w:rPr>
              <w:t>-2,3</w:t>
            </w:r>
          </w:p>
        </w:tc>
        <w:tc>
          <w:tcPr>
            <w:tcW w:w="903" w:type="dxa"/>
            <w:gridSpan w:val="2"/>
            <w:tcBorders>
              <w:top w:val="nil"/>
              <w:left w:val="nil"/>
              <w:bottom w:val="nil"/>
              <w:right w:val="nil"/>
            </w:tcBorders>
            <w:shd w:val="clear" w:color="auto" w:fill="auto"/>
            <w:noWrap/>
            <w:vAlign w:val="center"/>
          </w:tcPr>
          <w:p w14:paraId="71078F67" w14:textId="77777777" w:rsidR="00C45D5B" w:rsidRPr="006401D1" w:rsidRDefault="00C45D5B" w:rsidP="00CF774B">
            <w:pPr>
              <w:jc w:val="center"/>
              <w:rPr>
                <w:rFonts w:cs="Times New Roman"/>
                <w:color w:val="000000"/>
                <w:sz w:val="18"/>
                <w:szCs w:val="18"/>
              </w:rPr>
            </w:pPr>
            <w:r>
              <w:rPr>
                <w:color w:val="000000"/>
                <w:sz w:val="18"/>
                <w:szCs w:val="18"/>
              </w:rPr>
              <w:t>-2,0</w:t>
            </w:r>
          </w:p>
        </w:tc>
      </w:tr>
      <w:tr w:rsidR="00C45D5B" w:rsidRPr="006401D1" w14:paraId="2A4675ED" w14:textId="77777777" w:rsidTr="00CF774B">
        <w:trPr>
          <w:trHeight w:val="283"/>
        </w:trPr>
        <w:tc>
          <w:tcPr>
            <w:tcW w:w="2880" w:type="dxa"/>
            <w:tcBorders>
              <w:top w:val="nil"/>
              <w:left w:val="nil"/>
              <w:bottom w:val="single" w:sz="4" w:space="0" w:color="auto"/>
              <w:right w:val="nil"/>
            </w:tcBorders>
            <w:shd w:val="clear" w:color="000000" w:fill="FFFFFF"/>
            <w:vAlign w:val="center"/>
            <w:hideMark/>
          </w:tcPr>
          <w:p w14:paraId="324715FE"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Rozdiel</w:t>
            </w:r>
          </w:p>
        </w:tc>
        <w:tc>
          <w:tcPr>
            <w:tcW w:w="818" w:type="dxa"/>
            <w:gridSpan w:val="2"/>
            <w:tcBorders>
              <w:top w:val="nil"/>
              <w:left w:val="nil"/>
              <w:bottom w:val="single" w:sz="4" w:space="0" w:color="auto"/>
              <w:right w:val="nil"/>
            </w:tcBorders>
            <w:shd w:val="clear" w:color="000000" w:fill="FFFFFF"/>
            <w:vAlign w:val="center"/>
            <w:hideMark/>
          </w:tcPr>
          <w:p w14:paraId="6C2390BB"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tcPr>
          <w:p w14:paraId="2B743F82" w14:textId="77777777" w:rsidR="00C45D5B" w:rsidRPr="006401D1" w:rsidRDefault="00C45D5B" w:rsidP="00CF774B">
            <w:pPr>
              <w:jc w:val="center"/>
              <w:rPr>
                <w:rFonts w:cs="Times New Roman"/>
                <w:color w:val="000000"/>
                <w:sz w:val="18"/>
                <w:szCs w:val="18"/>
              </w:rPr>
            </w:pPr>
          </w:p>
        </w:tc>
        <w:tc>
          <w:tcPr>
            <w:tcW w:w="904" w:type="dxa"/>
            <w:gridSpan w:val="2"/>
            <w:tcBorders>
              <w:top w:val="nil"/>
              <w:left w:val="nil"/>
              <w:bottom w:val="nil"/>
              <w:right w:val="nil"/>
            </w:tcBorders>
            <w:shd w:val="clear" w:color="auto" w:fill="auto"/>
            <w:vAlign w:val="center"/>
            <w:hideMark/>
          </w:tcPr>
          <w:p w14:paraId="25B53585" w14:textId="77777777" w:rsidR="00C45D5B" w:rsidRPr="006401D1" w:rsidRDefault="00C45D5B" w:rsidP="00CF774B">
            <w:pPr>
              <w:jc w:val="center"/>
              <w:rPr>
                <w:rFonts w:cs="Times New Roman"/>
                <w:color w:val="000000"/>
                <w:sz w:val="18"/>
                <w:szCs w:val="18"/>
              </w:rPr>
            </w:pPr>
            <w:r>
              <w:rPr>
                <w:color w:val="000000"/>
                <w:sz w:val="18"/>
                <w:szCs w:val="18"/>
              </w:rPr>
              <w:t>3,7</w:t>
            </w:r>
          </w:p>
        </w:tc>
        <w:tc>
          <w:tcPr>
            <w:tcW w:w="903" w:type="dxa"/>
            <w:gridSpan w:val="2"/>
            <w:tcBorders>
              <w:top w:val="nil"/>
              <w:left w:val="nil"/>
              <w:bottom w:val="nil"/>
              <w:right w:val="nil"/>
            </w:tcBorders>
            <w:shd w:val="clear" w:color="auto" w:fill="auto"/>
            <w:vAlign w:val="center"/>
            <w:hideMark/>
          </w:tcPr>
          <w:p w14:paraId="33D2FA3F" w14:textId="77777777" w:rsidR="00C45D5B" w:rsidRPr="006401D1" w:rsidRDefault="00C45D5B" w:rsidP="00CF774B">
            <w:pPr>
              <w:jc w:val="center"/>
              <w:rPr>
                <w:rFonts w:cs="Times New Roman"/>
                <w:color w:val="000000"/>
                <w:sz w:val="18"/>
                <w:szCs w:val="18"/>
              </w:rPr>
            </w:pPr>
            <w:r>
              <w:rPr>
                <w:color w:val="000000"/>
                <w:sz w:val="18"/>
                <w:szCs w:val="18"/>
              </w:rPr>
              <w:t>0,0</w:t>
            </w:r>
          </w:p>
        </w:tc>
        <w:tc>
          <w:tcPr>
            <w:tcW w:w="903" w:type="dxa"/>
            <w:gridSpan w:val="2"/>
            <w:tcBorders>
              <w:top w:val="nil"/>
              <w:left w:val="nil"/>
              <w:bottom w:val="nil"/>
              <w:right w:val="nil"/>
            </w:tcBorders>
            <w:shd w:val="clear" w:color="auto" w:fill="auto"/>
            <w:vAlign w:val="center"/>
            <w:hideMark/>
          </w:tcPr>
          <w:p w14:paraId="3FD70EF0" w14:textId="77777777" w:rsidR="00C45D5B" w:rsidRPr="006401D1" w:rsidRDefault="00C45D5B" w:rsidP="00CF774B">
            <w:pPr>
              <w:jc w:val="center"/>
              <w:rPr>
                <w:rFonts w:cs="Times New Roman"/>
                <w:color w:val="000000"/>
                <w:sz w:val="18"/>
                <w:szCs w:val="18"/>
              </w:rPr>
            </w:pPr>
            <w:r>
              <w:rPr>
                <w:color w:val="000000"/>
                <w:sz w:val="18"/>
                <w:szCs w:val="18"/>
              </w:rPr>
              <w:t>1,7</w:t>
            </w:r>
          </w:p>
        </w:tc>
        <w:tc>
          <w:tcPr>
            <w:tcW w:w="903" w:type="dxa"/>
            <w:gridSpan w:val="2"/>
            <w:tcBorders>
              <w:top w:val="nil"/>
              <w:left w:val="nil"/>
              <w:bottom w:val="nil"/>
              <w:right w:val="nil"/>
            </w:tcBorders>
            <w:shd w:val="clear" w:color="auto" w:fill="auto"/>
            <w:vAlign w:val="center"/>
            <w:hideMark/>
          </w:tcPr>
          <w:p w14:paraId="3864F50A" w14:textId="77777777" w:rsidR="00C45D5B" w:rsidRPr="006401D1" w:rsidRDefault="00C45D5B" w:rsidP="00CF774B">
            <w:pPr>
              <w:jc w:val="center"/>
              <w:rPr>
                <w:rFonts w:cs="Times New Roman"/>
                <w:color w:val="000000"/>
                <w:sz w:val="18"/>
                <w:szCs w:val="18"/>
              </w:rPr>
            </w:pPr>
            <w:r>
              <w:rPr>
                <w:color w:val="000000"/>
                <w:sz w:val="18"/>
                <w:szCs w:val="18"/>
              </w:rPr>
              <w:t>1,5</w:t>
            </w:r>
          </w:p>
        </w:tc>
        <w:tc>
          <w:tcPr>
            <w:tcW w:w="903" w:type="dxa"/>
            <w:gridSpan w:val="2"/>
            <w:tcBorders>
              <w:top w:val="nil"/>
              <w:left w:val="nil"/>
              <w:bottom w:val="nil"/>
              <w:right w:val="nil"/>
            </w:tcBorders>
            <w:shd w:val="clear" w:color="auto" w:fill="auto"/>
            <w:vAlign w:val="center"/>
          </w:tcPr>
          <w:p w14:paraId="14195109" w14:textId="77777777" w:rsidR="00C45D5B" w:rsidRPr="006401D1" w:rsidRDefault="00C45D5B" w:rsidP="00CF774B">
            <w:pPr>
              <w:jc w:val="center"/>
              <w:rPr>
                <w:rFonts w:cs="Times New Roman"/>
                <w:color w:val="000000"/>
                <w:sz w:val="18"/>
                <w:szCs w:val="18"/>
              </w:rPr>
            </w:pPr>
            <w:r>
              <w:rPr>
                <w:color w:val="000000"/>
                <w:sz w:val="18"/>
                <w:szCs w:val="18"/>
              </w:rPr>
              <w:t>-</w:t>
            </w:r>
          </w:p>
        </w:tc>
      </w:tr>
      <w:tr w:rsidR="00C45D5B" w:rsidRPr="006401D1" w14:paraId="0DA5F301" w14:textId="77777777" w:rsidTr="00CF774B">
        <w:trPr>
          <w:trHeight w:val="283"/>
        </w:trPr>
        <w:tc>
          <w:tcPr>
            <w:tcW w:w="2880" w:type="dxa"/>
            <w:tcBorders>
              <w:top w:val="nil"/>
              <w:left w:val="nil"/>
              <w:bottom w:val="nil"/>
              <w:right w:val="nil"/>
            </w:tcBorders>
            <w:shd w:val="clear" w:color="000000" w:fill="FFFFFF"/>
            <w:vAlign w:val="center"/>
            <w:hideMark/>
          </w:tcPr>
          <w:p w14:paraId="6C26CCA7" w14:textId="77777777" w:rsidR="00C45D5B" w:rsidRPr="006401D1" w:rsidRDefault="00C45D5B" w:rsidP="00CF774B">
            <w:pPr>
              <w:rPr>
                <w:rFonts w:cs="Times New Roman"/>
                <w:b/>
                <w:bCs/>
                <w:color w:val="000000"/>
                <w:sz w:val="18"/>
                <w:szCs w:val="18"/>
              </w:rPr>
            </w:pPr>
            <w:r w:rsidRPr="006401D1">
              <w:rPr>
                <w:rFonts w:cs="Times New Roman"/>
                <w:b/>
                <w:bCs/>
                <w:color w:val="000000"/>
                <w:sz w:val="18"/>
                <w:szCs w:val="18"/>
              </w:rPr>
              <w:t>Hrubý dlh verejnej správy (% HDP)</w:t>
            </w:r>
          </w:p>
        </w:tc>
        <w:tc>
          <w:tcPr>
            <w:tcW w:w="818" w:type="dxa"/>
            <w:gridSpan w:val="2"/>
            <w:tcBorders>
              <w:top w:val="nil"/>
              <w:left w:val="nil"/>
              <w:bottom w:val="nil"/>
              <w:right w:val="nil"/>
            </w:tcBorders>
            <w:shd w:val="clear" w:color="000000" w:fill="FFFFFF"/>
            <w:vAlign w:val="center"/>
            <w:hideMark/>
          </w:tcPr>
          <w:p w14:paraId="27860E6B"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 </w:t>
            </w:r>
          </w:p>
        </w:tc>
        <w:tc>
          <w:tcPr>
            <w:tcW w:w="886" w:type="dxa"/>
            <w:gridSpan w:val="2"/>
            <w:tcBorders>
              <w:top w:val="single" w:sz="4" w:space="0" w:color="auto"/>
              <w:left w:val="nil"/>
              <w:bottom w:val="nil"/>
              <w:right w:val="nil"/>
            </w:tcBorders>
            <w:shd w:val="clear" w:color="auto" w:fill="auto"/>
            <w:vAlign w:val="center"/>
          </w:tcPr>
          <w:p w14:paraId="5CE3DA23" w14:textId="77777777" w:rsidR="00C45D5B" w:rsidRPr="006401D1" w:rsidRDefault="00C45D5B" w:rsidP="00CF774B">
            <w:pPr>
              <w:jc w:val="center"/>
              <w:rPr>
                <w:rFonts w:cs="Times New Roman"/>
                <w:color w:val="000000"/>
                <w:sz w:val="18"/>
                <w:szCs w:val="18"/>
              </w:rPr>
            </w:pPr>
          </w:p>
        </w:tc>
        <w:tc>
          <w:tcPr>
            <w:tcW w:w="904" w:type="dxa"/>
            <w:gridSpan w:val="2"/>
            <w:tcBorders>
              <w:top w:val="single" w:sz="4" w:space="0" w:color="auto"/>
              <w:left w:val="nil"/>
              <w:bottom w:val="nil"/>
              <w:right w:val="nil"/>
            </w:tcBorders>
            <w:shd w:val="clear" w:color="auto" w:fill="auto"/>
            <w:vAlign w:val="center"/>
            <w:hideMark/>
          </w:tcPr>
          <w:p w14:paraId="2C34648E"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vAlign w:val="center"/>
            <w:hideMark/>
          </w:tcPr>
          <w:p w14:paraId="71026E61"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noWrap/>
            <w:vAlign w:val="center"/>
            <w:hideMark/>
          </w:tcPr>
          <w:p w14:paraId="0551746E"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noWrap/>
            <w:vAlign w:val="center"/>
            <w:hideMark/>
          </w:tcPr>
          <w:p w14:paraId="20EC56BC" w14:textId="77777777" w:rsidR="00C45D5B" w:rsidRPr="006401D1" w:rsidRDefault="00C45D5B" w:rsidP="00CF774B">
            <w:pPr>
              <w:jc w:val="center"/>
              <w:rPr>
                <w:rFonts w:cs="Times New Roman"/>
                <w:color w:val="000000"/>
                <w:sz w:val="18"/>
                <w:szCs w:val="18"/>
              </w:rPr>
            </w:pPr>
          </w:p>
        </w:tc>
        <w:tc>
          <w:tcPr>
            <w:tcW w:w="903" w:type="dxa"/>
            <w:gridSpan w:val="2"/>
            <w:tcBorders>
              <w:top w:val="single" w:sz="4" w:space="0" w:color="auto"/>
              <w:left w:val="nil"/>
              <w:bottom w:val="nil"/>
              <w:right w:val="nil"/>
            </w:tcBorders>
            <w:shd w:val="clear" w:color="auto" w:fill="auto"/>
            <w:noWrap/>
            <w:vAlign w:val="center"/>
          </w:tcPr>
          <w:p w14:paraId="25C83BAC" w14:textId="77777777" w:rsidR="00C45D5B" w:rsidRPr="006401D1" w:rsidRDefault="00C45D5B" w:rsidP="00CF774B">
            <w:pPr>
              <w:jc w:val="center"/>
              <w:rPr>
                <w:rFonts w:cs="Times New Roman"/>
                <w:color w:val="000000"/>
                <w:sz w:val="18"/>
                <w:szCs w:val="18"/>
              </w:rPr>
            </w:pPr>
          </w:p>
        </w:tc>
      </w:tr>
      <w:tr w:rsidR="00C45D5B" w:rsidRPr="006401D1" w14:paraId="273303DE" w14:textId="77777777" w:rsidTr="00CF774B">
        <w:trPr>
          <w:trHeight w:val="283"/>
        </w:trPr>
        <w:tc>
          <w:tcPr>
            <w:tcW w:w="2880" w:type="dxa"/>
            <w:tcBorders>
              <w:top w:val="nil"/>
              <w:left w:val="nil"/>
              <w:bottom w:val="nil"/>
              <w:right w:val="nil"/>
            </w:tcBorders>
            <w:shd w:val="clear" w:color="000000" w:fill="FFFFFF"/>
            <w:vAlign w:val="center"/>
            <w:hideMark/>
          </w:tcPr>
          <w:p w14:paraId="326825B6"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Predchádzajúca aktualizácia*</w:t>
            </w:r>
          </w:p>
        </w:tc>
        <w:tc>
          <w:tcPr>
            <w:tcW w:w="818" w:type="dxa"/>
            <w:gridSpan w:val="2"/>
            <w:tcBorders>
              <w:top w:val="nil"/>
              <w:left w:val="nil"/>
              <w:bottom w:val="nil"/>
              <w:right w:val="nil"/>
            </w:tcBorders>
            <w:shd w:val="clear" w:color="000000" w:fill="FFFFFF"/>
            <w:noWrap/>
            <w:vAlign w:val="center"/>
            <w:hideMark/>
          </w:tcPr>
          <w:p w14:paraId="607B815F"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noWrap/>
          </w:tcPr>
          <w:p w14:paraId="7D1EF392" w14:textId="77777777" w:rsidR="00C45D5B" w:rsidRPr="006401D1" w:rsidRDefault="00C45D5B" w:rsidP="00CF774B">
            <w:pPr>
              <w:jc w:val="center"/>
              <w:rPr>
                <w:rFonts w:cs="Times New Roman"/>
                <w:color w:val="000000"/>
                <w:sz w:val="18"/>
                <w:szCs w:val="18"/>
              </w:rPr>
            </w:pPr>
          </w:p>
        </w:tc>
        <w:tc>
          <w:tcPr>
            <w:tcW w:w="904" w:type="dxa"/>
            <w:gridSpan w:val="2"/>
            <w:tcBorders>
              <w:top w:val="nil"/>
              <w:left w:val="nil"/>
              <w:bottom w:val="nil"/>
              <w:right w:val="nil"/>
            </w:tcBorders>
            <w:shd w:val="clear" w:color="auto" w:fill="auto"/>
            <w:noWrap/>
            <w:vAlign w:val="center"/>
            <w:hideMark/>
          </w:tcPr>
          <w:p w14:paraId="277334FB" w14:textId="77777777" w:rsidR="00C45D5B" w:rsidRPr="006401D1" w:rsidRDefault="00C45D5B" w:rsidP="00CF774B">
            <w:pPr>
              <w:jc w:val="center"/>
              <w:rPr>
                <w:rFonts w:cs="Times New Roman"/>
                <w:color w:val="000000"/>
                <w:sz w:val="18"/>
                <w:szCs w:val="18"/>
              </w:rPr>
            </w:pPr>
            <w:r w:rsidRPr="006401D1">
              <w:rPr>
                <w:color w:val="000000"/>
                <w:sz w:val="18"/>
                <w:szCs w:val="18"/>
              </w:rPr>
              <w:t>64,1</w:t>
            </w:r>
          </w:p>
        </w:tc>
        <w:tc>
          <w:tcPr>
            <w:tcW w:w="903" w:type="dxa"/>
            <w:gridSpan w:val="2"/>
            <w:tcBorders>
              <w:top w:val="nil"/>
              <w:left w:val="nil"/>
              <w:bottom w:val="nil"/>
              <w:right w:val="nil"/>
            </w:tcBorders>
            <w:shd w:val="clear" w:color="auto" w:fill="auto"/>
            <w:noWrap/>
            <w:vAlign w:val="center"/>
            <w:hideMark/>
          </w:tcPr>
          <w:p w14:paraId="09C44E4A" w14:textId="77777777" w:rsidR="00C45D5B" w:rsidRPr="006401D1" w:rsidRDefault="00C45D5B" w:rsidP="00CF774B">
            <w:pPr>
              <w:jc w:val="center"/>
              <w:rPr>
                <w:rFonts w:cs="Times New Roman"/>
                <w:color w:val="000000"/>
                <w:sz w:val="18"/>
                <w:szCs w:val="18"/>
              </w:rPr>
            </w:pPr>
            <w:r w:rsidRPr="006401D1">
              <w:rPr>
                <w:color w:val="000000"/>
                <w:sz w:val="18"/>
                <w:szCs w:val="18"/>
              </w:rPr>
              <w:t>65,5</w:t>
            </w:r>
          </w:p>
        </w:tc>
        <w:tc>
          <w:tcPr>
            <w:tcW w:w="903" w:type="dxa"/>
            <w:gridSpan w:val="2"/>
            <w:tcBorders>
              <w:top w:val="nil"/>
              <w:left w:val="nil"/>
              <w:bottom w:val="nil"/>
              <w:right w:val="nil"/>
            </w:tcBorders>
            <w:shd w:val="clear" w:color="auto" w:fill="auto"/>
            <w:noWrap/>
            <w:vAlign w:val="center"/>
            <w:hideMark/>
          </w:tcPr>
          <w:p w14:paraId="4AFC1CD6" w14:textId="77777777" w:rsidR="00C45D5B" w:rsidRPr="006401D1" w:rsidRDefault="00C45D5B" w:rsidP="00CF774B">
            <w:pPr>
              <w:jc w:val="center"/>
              <w:rPr>
                <w:rFonts w:cs="Times New Roman"/>
                <w:color w:val="000000"/>
                <w:sz w:val="18"/>
                <w:szCs w:val="18"/>
              </w:rPr>
            </w:pPr>
            <w:r w:rsidRPr="006401D1">
              <w:rPr>
                <w:color w:val="000000"/>
                <w:sz w:val="18"/>
                <w:szCs w:val="18"/>
              </w:rPr>
              <w:t>64,6</w:t>
            </w:r>
          </w:p>
        </w:tc>
        <w:tc>
          <w:tcPr>
            <w:tcW w:w="903" w:type="dxa"/>
            <w:gridSpan w:val="2"/>
            <w:tcBorders>
              <w:top w:val="nil"/>
              <w:left w:val="nil"/>
              <w:bottom w:val="nil"/>
              <w:right w:val="nil"/>
            </w:tcBorders>
            <w:shd w:val="clear" w:color="auto" w:fill="auto"/>
            <w:noWrap/>
            <w:vAlign w:val="center"/>
            <w:hideMark/>
          </w:tcPr>
          <w:p w14:paraId="44EB212C" w14:textId="77777777" w:rsidR="00C45D5B" w:rsidRPr="006401D1" w:rsidRDefault="00C45D5B" w:rsidP="00CF774B">
            <w:pPr>
              <w:jc w:val="center"/>
              <w:rPr>
                <w:rFonts w:cs="Times New Roman"/>
                <w:color w:val="000000"/>
                <w:sz w:val="18"/>
                <w:szCs w:val="18"/>
              </w:rPr>
            </w:pPr>
            <w:r w:rsidRPr="006401D1">
              <w:rPr>
                <w:color w:val="000000"/>
                <w:sz w:val="18"/>
                <w:szCs w:val="18"/>
              </w:rPr>
              <w:t>65,8</w:t>
            </w:r>
          </w:p>
        </w:tc>
        <w:tc>
          <w:tcPr>
            <w:tcW w:w="903" w:type="dxa"/>
            <w:gridSpan w:val="2"/>
            <w:tcBorders>
              <w:top w:val="nil"/>
              <w:left w:val="nil"/>
              <w:bottom w:val="nil"/>
              <w:right w:val="nil"/>
            </w:tcBorders>
            <w:shd w:val="clear" w:color="auto" w:fill="auto"/>
            <w:vAlign w:val="center"/>
          </w:tcPr>
          <w:p w14:paraId="0B647040" w14:textId="77777777" w:rsidR="00C45D5B" w:rsidRPr="006401D1" w:rsidRDefault="00C45D5B" w:rsidP="00CF774B">
            <w:pPr>
              <w:jc w:val="center"/>
              <w:rPr>
                <w:rFonts w:cs="Times New Roman"/>
                <w:color w:val="000000"/>
                <w:sz w:val="18"/>
                <w:szCs w:val="18"/>
              </w:rPr>
            </w:pPr>
            <w:r w:rsidRPr="006401D1">
              <w:rPr>
                <w:color w:val="000000"/>
                <w:sz w:val="18"/>
                <w:szCs w:val="18"/>
              </w:rPr>
              <w:t>-</w:t>
            </w:r>
          </w:p>
        </w:tc>
      </w:tr>
      <w:tr w:rsidR="00C45D5B" w:rsidRPr="006401D1" w14:paraId="60213AC6" w14:textId="77777777" w:rsidTr="00CF774B">
        <w:trPr>
          <w:trHeight w:val="283"/>
        </w:trPr>
        <w:tc>
          <w:tcPr>
            <w:tcW w:w="2880" w:type="dxa"/>
            <w:tcBorders>
              <w:top w:val="nil"/>
              <w:left w:val="nil"/>
              <w:right w:val="nil"/>
            </w:tcBorders>
            <w:shd w:val="clear" w:color="000000" w:fill="FFFFFF"/>
            <w:vAlign w:val="center"/>
            <w:hideMark/>
          </w:tcPr>
          <w:p w14:paraId="6B283376"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Skutočnosť a súčasná aktualizácia**</w:t>
            </w:r>
          </w:p>
        </w:tc>
        <w:tc>
          <w:tcPr>
            <w:tcW w:w="818" w:type="dxa"/>
            <w:gridSpan w:val="2"/>
            <w:tcBorders>
              <w:top w:val="nil"/>
              <w:left w:val="nil"/>
              <w:right w:val="nil"/>
            </w:tcBorders>
            <w:shd w:val="clear" w:color="000000" w:fill="FFFFFF"/>
            <w:noWrap/>
            <w:vAlign w:val="center"/>
            <w:hideMark/>
          </w:tcPr>
          <w:p w14:paraId="004B3194"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nil"/>
              <w:right w:val="nil"/>
            </w:tcBorders>
            <w:shd w:val="clear" w:color="auto" w:fill="auto"/>
            <w:noWrap/>
          </w:tcPr>
          <w:p w14:paraId="5FB9AA0B" w14:textId="77777777" w:rsidR="00C45D5B" w:rsidRPr="006401D1" w:rsidRDefault="00C45D5B" w:rsidP="00CF774B">
            <w:pPr>
              <w:jc w:val="center"/>
              <w:rPr>
                <w:rFonts w:cs="Times New Roman"/>
                <w:color w:val="000000"/>
                <w:sz w:val="18"/>
                <w:szCs w:val="18"/>
              </w:rPr>
            </w:pPr>
          </w:p>
        </w:tc>
        <w:tc>
          <w:tcPr>
            <w:tcW w:w="904" w:type="dxa"/>
            <w:gridSpan w:val="2"/>
            <w:tcBorders>
              <w:top w:val="nil"/>
              <w:left w:val="nil"/>
              <w:bottom w:val="nil"/>
              <w:right w:val="nil"/>
            </w:tcBorders>
            <w:shd w:val="clear" w:color="auto" w:fill="auto"/>
            <w:noWrap/>
            <w:vAlign w:val="center"/>
            <w:hideMark/>
          </w:tcPr>
          <w:p w14:paraId="70BD5970" w14:textId="77777777" w:rsidR="00C45D5B" w:rsidRPr="006401D1" w:rsidRDefault="00C45D5B" w:rsidP="00CF774B">
            <w:pPr>
              <w:jc w:val="center"/>
              <w:rPr>
                <w:rFonts w:cs="Times New Roman"/>
                <w:color w:val="000000"/>
                <w:sz w:val="18"/>
                <w:szCs w:val="18"/>
              </w:rPr>
            </w:pPr>
            <w:r w:rsidRPr="006401D1">
              <w:rPr>
                <w:color w:val="000000"/>
                <w:sz w:val="18"/>
                <w:szCs w:val="18"/>
              </w:rPr>
              <w:t>63,1</w:t>
            </w:r>
          </w:p>
        </w:tc>
        <w:tc>
          <w:tcPr>
            <w:tcW w:w="903" w:type="dxa"/>
            <w:gridSpan w:val="2"/>
            <w:tcBorders>
              <w:top w:val="nil"/>
              <w:left w:val="nil"/>
              <w:bottom w:val="nil"/>
              <w:right w:val="nil"/>
            </w:tcBorders>
            <w:shd w:val="clear" w:color="auto" w:fill="auto"/>
            <w:noWrap/>
            <w:vAlign w:val="center"/>
            <w:hideMark/>
          </w:tcPr>
          <w:p w14:paraId="2B1D0610" w14:textId="77777777" w:rsidR="00C45D5B" w:rsidRPr="006401D1" w:rsidRDefault="00C45D5B" w:rsidP="00CF774B">
            <w:pPr>
              <w:jc w:val="center"/>
              <w:rPr>
                <w:rFonts w:cs="Times New Roman"/>
                <w:color w:val="000000"/>
                <w:sz w:val="18"/>
                <w:szCs w:val="18"/>
              </w:rPr>
            </w:pPr>
            <w:r w:rsidRPr="006401D1">
              <w:rPr>
                <w:color w:val="000000"/>
                <w:sz w:val="18"/>
                <w:szCs w:val="18"/>
              </w:rPr>
              <w:t>61,6</w:t>
            </w:r>
          </w:p>
        </w:tc>
        <w:tc>
          <w:tcPr>
            <w:tcW w:w="903" w:type="dxa"/>
            <w:gridSpan w:val="2"/>
            <w:tcBorders>
              <w:top w:val="nil"/>
              <w:left w:val="nil"/>
              <w:bottom w:val="nil"/>
              <w:right w:val="nil"/>
            </w:tcBorders>
            <w:shd w:val="clear" w:color="auto" w:fill="auto"/>
            <w:noWrap/>
            <w:vAlign w:val="center"/>
            <w:hideMark/>
          </w:tcPr>
          <w:p w14:paraId="137E6EB4" w14:textId="77777777" w:rsidR="00C45D5B" w:rsidRPr="006401D1" w:rsidRDefault="00C45D5B" w:rsidP="00CF774B">
            <w:pPr>
              <w:jc w:val="center"/>
              <w:rPr>
                <w:rFonts w:cs="Times New Roman"/>
                <w:color w:val="000000"/>
                <w:sz w:val="18"/>
                <w:szCs w:val="18"/>
              </w:rPr>
            </w:pPr>
            <w:r w:rsidRPr="006401D1">
              <w:rPr>
                <w:color w:val="000000"/>
                <w:sz w:val="18"/>
                <w:szCs w:val="18"/>
              </w:rPr>
              <w:t>58,0</w:t>
            </w:r>
          </w:p>
        </w:tc>
        <w:tc>
          <w:tcPr>
            <w:tcW w:w="903" w:type="dxa"/>
            <w:gridSpan w:val="2"/>
            <w:tcBorders>
              <w:top w:val="nil"/>
              <w:left w:val="nil"/>
              <w:bottom w:val="nil"/>
              <w:right w:val="nil"/>
            </w:tcBorders>
            <w:shd w:val="clear" w:color="auto" w:fill="auto"/>
            <w:noWrap/>
            <w:vAlign w:val="center"/>
            <w:hideMark/>
          </w:tcPr>
          <w:p w14:paraId="7469AF87" w14:textId="77777777" w:rsidR="00C45D5B" w:rsidRPr="006401D1" w:rsidRDefault="00C45D5B" w:rsidP="00CF774B">
            <w:pPr>
              <w:jc w:val="center"/>
              <w:rPr>
                <w:rFonts w:cs="Times New Roman"/>
                <w:color w:val="000000"/>
                <w:sz w:val="18"/>
                <w:szCs w:val="18"/>
              </w:rPr>
            </w:pPr>
            <w:r w:rsidRPr="006401D1">
              <w:rPr>
                <w:color w:val="000000"/>
                <w:sz w:val="18"/>
                <w:szCs w:val="18"/>
              </w:rPr>
              <w:t>58,2</w:t>
            </w:r>
          </w:p>
        </w:tc>
        <w:tc>
          <w:tcPr>
            <w:tcW w:w="903" w:type="dxa"/>
            <w:gridSpan w:val="2"/>
            <w:tcBorders>
              <w:top w:val="nil"/>
              <w:left w:val="nil"/>
              <w:bottom w:val="nil"/>
              <w:right w:val="nil"/>
            </w:tcBorders>
            <w:shd w:val="clear" w:color="auto" w:fill="auto"/>
            <w:noWrap/>
            <w:vAlign w:val="center"/>
          </w:tcPr>
          <w:p w14:paraId="157FBA78" w14:textId="77777777" w:rsidR="00C45D5B" w:rsidRPr="006401D1" w:rsidRDefault="00C45D5B" w:rsidP="00CF774B">
            <w:pPr>
              <w:jc w:val="center"/>
              <w:rPr>
                <w:rFonts w:cs="Times New Roman"/>
                <w:color w:val="000000"/>
                <w:sz w:val="18"/>
                <w:szCs w:val="18"/>
              </w:rPr>
            </w:pPr>
            <w:r w:rsidRPr="006401D1">
              <w:rPr>
                <w:color w:val="000000"/>
                <w:sz w:val="18"/>
                <w:szCs w:val="18"/>
              </w:rPr>
              <w:t>57,3</w:t>
            </w:r>
          </w:p>
        </w:tc>
      </w:tr>
      <w:tr w:rsidR="00C45D5B" w:rsidRPr="006401D1" w14:paraId="2F3972B0" w14:textId="77777777" w:rsidTr="00CF774B">
        <w:trPr>
          <w:trHeight w:val="283"/>
        </w:trPr>
        <w:tc>
          <w:tcPr>
            <w:tcW w:w="2880" w:type="dxa"/>
            <w:tcBorders>
              <w:top w:val="nil"/>
              <w:left w:val="nil"/>
              <w:bottom w:val="single" w:sz="8" w:space="0" w:color="auto"/>
              <w:right w:val="nil"/>
            </w:tcBorders>
            <w:shd w:val="clear" w:color="000000" w:fill="FFFFFF"/>
            <w:vAlign w:val="center"/>
            <w:hideMark/>
          </w:tcPr>
          <w:p w14:paraId="75D8AC12" w14:textId="77777777" w:rsidR="00C45D5B" w:rsidRPr="006401D1" w:rsidRDefault="00C45D5B" w:rsidP="00CF774B">
            <w:pPr>
              <w:ind w:firstLineChars="100" w:firstLine="180"/>
              <w:rPr>
                <w:rFonts w:cs="Times New Roman"/>
                <w:color w:val="000000"/>
                <w:sz w:val="18"/>
                <w:szCs w:val="18"/>
              </w:rPr>
            </w:pPr>
            <w:r w:rsidRPr="006401D1">
              <w:rPr>
                <w:rFonts w:cs="Times New Roman"/>
                <w:color w:val="000000"/>
                <w:sz w:val="18"/>
                <w:szCs w:val="18"/>
              </w:rPr>
              <w:t>Rozdiel</w:t>
            </w:r>
          </w:p>
        </w:tc>
        <w:tc>
          <w:tcPr>
            <w:tcW w:w="818" w:type="dxa"/>
            <w:gridSpan w:val="2"/>
            <w:tcBorders>
              <w:top w:val="nil"/>
              <w:left w:val="nil"/>
              <w:bottom w:val="single" w:sz="8" w:space="0" w:color="auto"/>
              <w:right w:val="nil"/>
            </w:tcBorders>
            <w:shd w:val="clear" w:color="000000" w:fill="FFFFFF"/>
            <w:vAlign w:val="center"/>
            <w:hideMark/>
          </w:tcPr>
          <w:p w14:paraId="144E2F32" w14:textId="77777777" w:rsidR="00C45D5B" w:rsidRPr="006401D1" w:rsidRDefault="00C45D5B" w:rsidP="00CF774B">
            <w:pPr>
              <w:jc w:val="center"/>
              <w:rPr>
                <w:rFonts w:cs="Times New Roman"/>
                <w:color w:val="000000"/>
                <w:sz w:val="18"/>
                <w:szCs w:val="18"/>
              </w:rPr>
            </w:pPr>
            <w:r w:rsidRPr="006401D1">
              <w:rPr>
                <w:rFonts w:cs="Times New Roman"/>
                <w:color w:val="000000"/>
                <w:sz w:val="18"/>
                <w:szCs w:val="18"/>
              </w:rPr>
              <w:t> </w:t>
            </w:r>
          </w:p>
        </w:tc>
        <w:tc>
          <w:tcPr>
            <w:tcW w:w="886" w:type="dxa"/>
            <w:gridSpan w:val="2"/>
            <w:tcBorders>
              <w:top w:val="nil"/>
              <w:left w:val="nil"/>
              <w:bottom w:val="single" w:sz="4" w:space="0" w:color="auto"/>
              <w:right w:val="nil"/>
            </w:tcBorders>
            <w:shd w:val="clear" w:color="auto" w:fill="auto"/>
          </w:tcPr>
          <w:p w14:paraId="16753FFF" w14:textId="77777777" w:rsidR="00C45D5B" w:rsidRPr="006401D1" w:rsidRDefault="00C45D5B" w:rsidP="00CF774B">
            <w:pPr>
              <w:jc w:val="center"/>
              <w:rPr>
                <w:rFonts w:cs="Times New Roman"/>
                <w:color w:val="000000"/>
                <w:sz w:val="18"/>
                <w:szCs w:val="18"/>
              </w:rPr>
            </w:pPr>
          </w:p>
        </w:tc>
        <w:tc>
          <w:tcPr>
            <w:tcW w:w="904" w:type="dxa"/>
            <w:gridSpan w:val="2"/>
            <w:tcBorders>
              <w:top w:val="nil"/>
              <w:left w:val="nil"/>
              <w:bottom w:val="single" w:sz="4" w:space="0" w:color="auto"/>
              <w:right w:val="nil"/>
            </w:tcBorders>
            <w:shd w:val="clear" w:color="auto" w:fill="auto"/>
            <w:vAlign w:val="center"/>
            <w:hideMark/>
          </w:tcPr>
          <w:p w14:paraId="2B24E145" w14:textId="77777777" w:rsidR="00C45D5B" w:rsidRPr="006401D1" w:rsidRDefault="00C45D5B" w:rsidP="00CF774B">
            <w:pPr>
              <w:jc w:val="center"/>
              <w:rPr>
                <w:rFonts w:cs="Times New Roman"/>
                <w:color w:val="000000"/>
                <w:sz w:val="18"/>
                <w:szCs w:val="18"/>
              </w:rPr>
            </w:pPr>
            <w:r w:rsidRPr="006401D1">
              <w:rPr>
                <w:color w:val="000000"/>
                <w:sz w:val="18"/>
                <w:szCs w:val="18"/>
              </w:rPr>
              <w:t>-1,0</w:t>
            </w:r>
          </w:p>
        </w:tc>
        <w:tc>
          <w:tcPr>
            <w:tcW w:w="903" w:type="dxa"/>
            <w:gridSpan w:val="2"/>
            <w:tcBorders>
              <w:top w:val="nil"/>
              <w:left w:val="nil"/>
              <w:bottom w:val="single" w:sz="4" w:space="0" w:color="auto"/>
              <w:right w:val="nil"/>
            </w:tcBorders>
            <w:shd w:val="clear" w:color="auto" w:fill="auto"/>
            <w:vAlign w:val="center"/>
            <w:hideMark/>
          </w:tcPr>
          <w:p w14:paraId="40E2E06B" w14:textId="77777777" w:rsidR="00C45D5B" w:rsidRPr="006401D1" w:rsidRDefault="00C45D5B" w:rsidP="00CF774B">
            <w:pPr>
              <w:jc w:val="center"/>
              <w:rPr>
                <w:rFonts w:cs="Times New Roman"/>
                <w:color w:val="000000"/>
                <w:sz w:val="18"/>
                <w:szCs w:val="18"/>
              </w:rPr>
            </w:pPr>
            <w:r w:rsidRPr="006401D1">
              <w:rPr>
                <w:color w:val="000000"/>
                <w:sz w:val="18"/>
                <w:szCs w:val="18"/>
              </w:rPr>
              <w:t>-3,9</w:t>
            </w:r>
          </w:p>
        </w:tc>
        <w:tc>
          <w:tcPr>
            <w:tcW w:w="903" w:type="dxa"/>
            <w:gridSpan w:val="2"/>
            <w:tcBorders>
              <w:top w:val="nil"/>
              <w:left w:val="nil"/>
              <w:bottom w:val="single" w:sz="4" w:space="0" w:color="auto"/>
              <w:right w:val="nil"/>
            </w:tcBorders>
            <w:shd w:val="clear" w:color="auto" w:fill="auto"/>
            <w:vAlign w:val="center"/>
            <w:hideMark/>
          </w:tcPr>
          <w:p w14:paraId="5AC8463B" w14:textId="77777777" w:rsidR="00C45D5B" w:rsidRPr="006401D1" w:rsidRDefault="00C45D5B" w:rsidP="00CF774B">
            <w:pPr>
              <w:jc w:val="center"/>
              <w:rPr>
                <w:rFonts w:cs="Times New Roman"/>
                <w:color w:val="000000"/>
                <w:sz w:val="18"/>
                <w:szCs w:val="18"/>
              </w:rPr>
            </w:pPr>
            <w:r w:rsidRPr="006401D1">
              <w:rPr>
                <w:color w:val="000000"/>
                <w:sz w:val="18"/>
                <w:szCs w:val="18"/>
              </w:rPr>
              <w:t>-6,6</w:t>
            </w:r>
          </w:p>
        </w:tc>
        <w:tc>
          <w:tcPr>
            <w:tcW w:w="903" w:type="dxa"/>
            <w:gridSpan w:val="2"/>
            <w:tcBorders>
              <w:top w:val="nil"/>
              <w:left w:val="nil"/>
              <w:bottom w:val="single" w:sz="4" w:space="0" w:color="auto"/>
              <w:right w:val="nil"/>
            </w:tcBorders>
            <w:shd w:val="clear" w:color="auto" w:fill="auto"/>
            <w:vAlign w:val="center"/>
            <w:hideMark/>
          </w:tcPr>
          <w:p w14:paraId="503B2BB6" w14:textId="77777777" w:rsidR="00C45D5B" w:rsidRPr="006401D1" w:rsidRDefault="00C45D5B" w:rsidP="00CF774B">
            <w:pPr>
              <w:jc w:val="center"/>
              <w:rPr>
                <w:rFonts w:cs="Times New Roman"/>
                <w:color w:val="000000"/>
                <w:sz w:val="18"/>
                <w:szCs w:val="18"/>
              </w:rPr>
            </w:pPr>
            <w:r w:rsidRPr="006401D1">
              <w:rPr>
                <w:color w:val="000000"/>
                <w:sz w:val="18"/>
                <w:szCs w:val="18"/>
              </w:rPr>
              <w:t>-7,6</w:t>
            </w:r>
          </w:p>
        </w:tc>
        <w:tc>
          <w:tcPr>
            <w:tcW w:w="903" w:type="dxa"/>
            <w:gridSpan w:val="2"/>
            <w:tcBorders>
              <w:top w:val="nil"/>
              <w:left w:val="nil"/>
              <w:bottom w:val="nil"/>
              <w:right w:val="nil"/>
            </w:tcBorders>
            <w:shd w:val="clear" w:color="auto" w:fill="auto"/>
            <w:vAlign w:val="center"/>
          </w:tcPr>
          <w:p w14:paraId="0908BCA3" w14:textId="77777777" w:rsidR="00C45D5B" w:rsidRPr="006401D1" w:rsidRDefault="00C45D5B" w:rsidP="00CF774B">
            <w:pPr>
              <w:jc w:val="center"/>
              <w:rPr>
                <w:rFonts w:cs="Times New Roman"/>
                <w:color w:val="000000"/>
                <w:sz w:val="18"/>
                <w:szCs w:val="18"/>
              </w:rPr>
            </w:pPr>
            <w:r w:rsidRPr="006401D1">
              <w:rPr>
                <w:color w:val="000000"/>
                <w:sz w:val="18"/>
                <w:szCs w:val="18"/>
              </w:rPr>
              <w:t>-</w:t>
            </w:r>
          </w:p>
        </w:tc>
      </w:tr>
      <w:tr w:rsidR="00C45D5B" w:rsidRPr="006401D1" w14:paraId="329A7962" w14:textId="77777777" w:rsidTr="00CF774B">
        <w:trPr>
          <w:trHeight w:val="283"/>
        </w:trPr>
        <w:tc>
          <w:tcPr>
            <w:tcW w:w="4584" w:type="dxa"/>
            <w:gridSpan w:val="5"/>
            <w:tcBorders>
              <w:top w:val="single" w:sz="8" w:space="0" w:color="auto"/>
              <w:left w:val="nil"/>
              <w:bottom w:val="nil"/>
              <w:right w:val="nil"/>
            </w:tcBorders>
            <w:shd w:val="clear" w:color="auto" w:fill="auto"/>
            <w:noWrap/>
            <w:vAlign w:val="center"/>
            <w:hideMark/>
          </w:tcPr>
          <w:p w14:paraId="49F189A0" w14:textId="77777777" w:rsidR="00C45D5B" w:rsidRPr="006401D1" w:rsidRDefault="00C45D5B" w:rsidP="00CF774B">
            <w:pPr>
              <w:rPr>
                <w:rFonts w:ascii="Times New Roman" w:hAnsi="Times New Roman" w:cs="Times New Roman"/>
                <w:sz w:val="16"/>
                <w:szCs w:val="18"/>
              </w:rPr>
            </w:pPr>
            <w:r w:rsidRPr="006401D1">
              <w:rPr>
                <w:rFonts w:cs="Times New Roman"/>
                <w:i/>
                <w:iCs/>
                <w:color w:val="000000"/>
                <w:sz w:val="16"/>
                <w:szCs w:val="18"/>
              </w:rPr>
              <w:t>Pozn.: * Program stability SR na roky 2021 - 2024</w:t>
            </w:r>
          </w:p>
        </w:tc>
        <w:tc>
          <w:tcPr>
            <w:tcW w:w="904" w:type="dxa"/>
            <w:gridSpan w:val="2"/>
            <w:tcBorders>
              <w:top w:val="single" w:sz="8" w:space="0" w:color="auto"/>
              <w:left w:val="nil"/>
              <w:bottom w:val="nil"/>
              <w:right w:val="nil"/>
            </w:tcBorders>
            <w:shd w:val="clear" w:color="auto" w:fill="auto"/>
            <w:noWrap/>
            <w:vAlign w:val="center"/>
            <w:hideMark/>
          </w:tcPr>
          <w:p w14:paraId="5239A819" w14:textId="77777777" w:rsidR="00C45D5B" w:rsidRPr="006401D1" w:rsidRDefault="00C45D5B" w:rsidP="00CF774B">
            <w:pPr>
              <w:rPr>
                <w:rFonts w:ascii="Times New Roman" w:hAnsi="Times New Roman" w:cs="Times New Roman"/>
                <w:sz w:val="18"/>
                <w:szCs w:val="18"/>
              </w:rPr>
            </w:pPr>
          </w:p>
        </w:tc>
        <w:tc>
          <w:tcPr>
            <w:tcW w:w="903" w:type="dxa"/>
            <w:gridSpan w:val="2"/>
            <w:tcBorders>
              <w:top w:val="single" w:sz="8" w:space="0" w:color="auto"/>
              <w:left w:val="nil"/>
              <w:bottom w:val="nil"/>
              <w:right w:val="nil"/>
            </w:tcBorders>
            <w:shd w:val="clear" w:color="auto" w:fill="auto"/>
            <w:noWrap/>
            <w:vAlign w:val="center"/>
            <w:hideMark/>
          </w:tcPr>
          <w:p w14:paraId="08F2B348" w14:textId="77777777" w:rsidR="00C45D5B" w:rsidRPr="006401D1" w:rsidRDefault="00C45D5B" w:rsidP="00CF774B">
            <w:pPr>
              <w:rPr>
                <w:rFonts w:ascii="Times New Roman" w:hAnsi="Times New Roman" w:cs="Times New Roman"/>
                <w:sz w:val="18"/>
                <w:szCs w:val="18"/>
              </w:rPr>
            </w:pPr>
          </w:p>
        </w:tc>
        <w:tc>
          <w:tcPr>
            <w:tcW w:w="2709" w:type="dxa"/>
            <w:gridSpan w:val="6"/>
            <w:tcBorders>
              <w:top w:val="single" w:sz="8" w:space="0" w:color="auto"/>
              <w:left w:val="nil"/>
              <w:bottom w:val="nil"/>
              <w:right w:val="nil"/>
            </w:tcBorders>
            <w:shd w:val="clear" w:color="auto" w:fill="auto"/>
            <w:noWrap/>
            <w:vAlign w:val="center"/>
            <w:hideMark/>
          </w:tcPr>
          <w:p w14:paraId="61D48FB8" w14:textId="77777777" w:rsidR="00C45D5B" w:rsidRPr="006401D1" w:rsidRDefault="00C45D5B" w:rsidP="00CF774B">
            <w:pPr>
              <w:jc w:val="right"/>
              <w:rPr>
                <w:rFonts w:cs="Times New Roman"/>
                <w:i/>
                <w:iCs/>
                <w:color w:val="000000"/>
                <w:sz w:val="18"/>
                <w:szCs w:val="18"/>
              </w:rPr>
            </w:pPr>
            <w:r w:rsidRPr="006401D1">
              <w:rPr>
                <w:rFonts w:cs="Times New Roman"/>
                <w:i/>
                <w:iCs/>
                <w:color w:val="000000"/>
                <w:sz w:val="16"/>
                <w:szCs w:val="18"/>
              </w:rPr>
              <w:t>Zdroj: MF SR</w:t>
            </w:r>
          </w:p>
        </w:tc>
      </w:tr>
      <w:tr w:rsidR="00C45D5B" w:rsidRPr="00AB54ED" w14:paraId="14A1B864" w14:textId="77777777" w:rsidTr="00CF774B">
        <w:trPr>
          <w:trHeight w:val="283"/>
        </w:trPr>
        <w:tc>
          <w:tcPr>
            <w:tcW w:w="4584" w:type="dxa"/>
            <w:gridSpan w:val="5"/>
            <w:tcBorders>
              <w:top w:val="nil"/>
              <w:left w:val="nil"/>
              <w:bottom w:val="nil"/>
              <w:right w:val="nil"/>
            </w:tcBorders>
            <w:shd w:val="clear" w:color="000000" w:fill="FFFFFF"/>
            <w:hideMark/>
          </w:tcPr>
          <w:p w14:paraId="6B2F81E3" w14:textId="77777777" w:rsidR="00C45D5B" w:rsidRPr="00C61EE6" w:rsidRDefault="00C45D5B" w:rsidP="00CF774B">
            <w:pPr>
              <w:rPr>
                <w:rFonts w:ascii="Times New Roman" w:hAnsi="Times New Roman" w:cs="Times New Roman"/>
                <w:sz w:val="16"/>
                <w:szCs w:val="18"/>
              </w:rPr>
            </w:pPr>
            <w:r w:rsidRPr="006401D1">
              <w:rPr>
                <w:rFonts w:cs="Times New Roman"/>
                <w:sz w:val="16"/>
                <w:szCs w:val="18"/>
              </w:rPr>
              <w:t>** Pre rok 2022 uvádzame očakávanú skutočnosť</w:t>
            </w:r>
          </w:p>
        </w:tc>
        <w:tc>
          <w:tcPr>
            <w:tcW w:w="904" w:type="dxa"/>
            <w:gridSpan w:val="2"/>
            <w:tcBorders>
              <w:top w:val="nil"/>
              <w:left w:val="nil"/>
              <w:bottom w:val="nil"/>
              <w:right w:val="nil"/>
            </w:tcBorders>
            <w:shd w:val="clear" w:color="auto" w:fill="auto"/>
            <w:noWrap/>
            <w:vAlign w:val="bottom"/>
            <w:hideMark/>
          </w:tcPr>
          <w:p w14:paraId="1896C0C7" w14:textId="77777777" w:rsidR="00C45D5B" w:rsidRPr="00C61EE6" w:rsidRDefault="00C45D5B" w:rsidP="00CF774B">
            <w:pPr>
              <w:rPr>
                <w:rFonts w:ascii="Times New Roman" w:hAnsi="Times New Roman" w:cs="Times New Roman"/>
                <w:sz w:val="18"/>
                <w:szCs w:val="18"/>
              </w:rPr>
            </w:pPr>
          </w:p>
        </w:tc>
        <w:tc>
          <w:tcPr>
            <w:tcW w:w="903" w:type="dxa"/>
            <w:gridSpan w:val="2"/>
            <w:tcBorders>
              <w:top w:val="nil"/>
              <w:left w:val="nil"/>
              <w:bottom w:val="nil"/>
              <w:right w:val="nil"/>
            </w:tcBorders>
            <w:shd w:val="clear" w:color="auto" w:fill="auto"/>
            <w:noWrap/>
            <w:vAlign w:val="bottom"/>
            <w:hideMark/>
          </w:tcPr>
          <w:p w14:paraId="6A6E4791" w14:textId="77777777" w:rsidR="00C45D5B" w:rsidRPr="00C61EE6" w:rsidRDefault="00C45D5B" w:rsidP="00CF774B">
            <w:pPr>
              <w:rPr>
                <w:rFonts w:ascii="Times New Roman" w:hAnsi="Times New Roman" w:cs="Times New Roman"/>
                <w:sz w:val="18"/>
                <w:szCs w:val="18"/>
              </w:rPr>
            </w:pPr>
          </w:p>
        </w:tc>
        <w:tc>
          <w:tcPr>
            <w:tcW w:w="903" w:type="dxa"/>
            <w:gridSpan w:val="2"/>
            <w:tcBorders>
              <w:top w:val="nil"/>
              <w:left w:val="nil"/>
              <w:bottom w:val="nil"/>
              <w:right w:val="nil"/>
            </w:tcBorders>
            <w:shd w:val="clear" w:color="auto" w:fill="auto"/>
            <w:noWrap/>
            <w:vAlign w:val="bottom"/>
            <w:hideMark/>
          </w:tcPr>
          <w:p w14:paraId="23BC6523" w14:textId="77777777" w:rsidR="00C45D5B" w:rsidRPr="00C61EE6" w:rsidRDefault="00C45D5B" w:rsidP="00CF774B">
            <w:pPr>
              <w:rPr>
                <w:rFonts w:ascii="Times New Roman" w:hAnsi="Times New Roman" w:cs="Times New Roman"/>
                <w:sz w:val="18"/>
                <w:szCs w:val="18"/>
              </w:rPr>
            </w:pPr>
          </w:p>
        </w:tc>
        <w:tc>
          <w:tcPr>
            <w:tcW w:w="903" w:type="dxa"/>
            <w:gridSpan w:val="2"/>
            <w:tcBorders>
              <w:top w:val="nil"/>
              <w:left w:val="nil"/>
              <w:bottom w:val="nil"/>
              <w:right w:val="nil"/>
            </w:tcBorders>
            <w:shd w:val="clear" w:color="auto" w:fill="auto"/>
            <w:noWrap/>
            <w:vAlign w:val="bottom"/>
            <w:hideMark/>
          </w:tcPr>
          <w:p w14:paraId="0D80B2EE" w14:textId="77777777" w:rsidR="00C45D5B" w:rsidRPr="00C61EE6" w:rsidRDefault="00C45D5B" w:rsidP="00CF774B">
            <w:pPr>
              <w:rPr>
                <w:rFonts w:ascii="Times New Roman" w:hAnsi="Times New Roman" w:cs="Times New Roman"/>
                <w:sz w:val="18"/>
                <w:szCs w:val="18"/>
              </w:rPr>
            </w:pPr>
          </w:p>
        </w:tc>
        <w:tc>
          <w:tcPr>
            <w:tcW w:w="903" w:type="dxa"/>
            <w:gridSpan w:val="2"/>
            <w:tcBorders>
              <w:top w:val="nil"/>
              <w:left w:val="nil"/>
              <w:bottom w:val="nil"/>
              <w:right w:val="nil"/>
            </w:tcBorders>
            <w:shd w:val="clear" w:color="auto" w:fill="auto"/>
            <w:noWrap/>
            <w:vAlign w:val="bottom"/>
            <w:hideMark/>
          </w:tcPr>
          <w:p w14:paraId="1D5D0551" w14:textId="77777777" w:rsidR="00C45D5B" w:rsidRPr="00C61EE6" w:rsidRDefault="00C45D5B" w:rsidP="00CF774B">
            <w:pPr>
              <w:rPr>
                <w:rFonts w:ascii="Times New Roman" w:hAnsi="Times New Roman" w:cs="Times New Roman"/>
                <w:sz w:val="18"/>
                <w:szCs w:val="18"/>
              </w:rPr>
            </w:pPr>
          </w:p>
        </w:tc>
      </w:tr>
    </w:tbl>
    <w:p w14:paraId="1B2B7E24" w14:textId="77777777" w:rsidR="00C45D5B" w:rsidRPr="00AB54ED" w:rsidRDefault="00C45D5B" w:rsidP="00C45D5B">
      <w:pPr>
        <w:rPr>
          <w:rFonts w:cs="Arial"/>
          <w:b/>
          <w:bCs/>
          <w:color w:val="2C9ADC" w:themeColor="accent1"/>
          <w:sz w:val="18"/>
          <w:szCs w:val="18"/>
          <w:highlight w:val="yellow"/>
        </w:rPr>
      </w:pPr>
    </w:p>
    <w:tbl>
      <w:tblPr>
        <w:tblW w:w="9053" w:type="dxa"/>
        <w:tblCellMar>
          <w:left w:w="70" w:type="dxa"/>
          <w:right w:w="70" w:type="dxa"/>
        </w:tblCellMar>
        <w:tblLook w:val="04A0" w:firstRow="1" w:lastRow="0" w:firstColumn="1" w:lastColumn="0" w:noHBand="0" w:noVBand="1"/>
      </w:tblPr>
      <w:tblGrid>
        <w:gridCol w:w="5531"/>
        <w:gridCol w:w="168"/>
        <w:gridCol w:w="482"/>
        <w:gridCol w:w="470"/>
        <w:gridCol w:w="12"/>
        <w:gridCol w:w="244"/>
        <w:gridCol w:w="238"/>
        <w:gridCol w:w="231"/>
        <w:gridCol w:w="251"/>
        <w:gridCol w:w="164"/>
        <w:gridCol w:w="40"/>
        <w:gridCol w:w="344"/>
        <w:gridCol w:w="180"/>
        <w:gridCol w:w="378"/>
        <w:gridCol w:w="177"/>
        <w:gridCol w:w="49"/>
        <w:gridCol w:w="94"/>
      </w:tblGrid>
      <w:tr w:rsidR="00C45D5B" w:rsidRPr="00AB54ED" w14:paraId="1CE03FCA" w14:textId="77777777" w:rsidTr="00CF774B">
        <w:trPr>
          <w:trHeight w:val="283"/>
        </w:trPr>
        <w:tc>
          <w:tcPr>
            <w:tcW w:w="7831" w:type="dxa"/>
            <w:gridSpan w:val="11"/>
            <w:tcBorders>
              <w:top w:val="nil"/>
              <w:left w:val="nil"/>
              <w:bottom w:val="single" w:sz="8" w:space="0" w:color="auto"/>
              <w:right w:val="nil"/>
            </w:tcBorders>
            <w:shd w:val="clear" w:color="auto" w:fill="auto"/>
            <w:noWrap/>
            <w:vAlign w:val="bottom"/>
            <w:hideMark/>
          </w:tcPr>
          <w:p w14:paraId="6E92EC30" w14:textId="66BD777C" w:rsidR="00C45D5B" w:rsidRPr="00D72F49" w:rsidRDefault="00C45D5B" w:rsidP="00CF774B">
            <w:pPr>
              <w:rPr>
                <w:rFonts w:eastAsiaTheme="minorHAnsi"/>
                <w:b/>
                <w:color w:val="2C9ADC"/>
                <w:sz w:val="20"/>
                <w:szCs w:val="20"/>
                <w:lang w:eastAsia="en-US"/>
              </w:rPr>
            </w:pPr>
            <w:bookmarkStart w:id="264" w:name="_Toc480905421"/>
            <w:bookmarkStart w:id="265" w:name="_Toc6314228"/>
            <w:bookmarkStart w:id="266" w:name="_Toc71622468"/>
            <w:bookmarkStart w:id="267" w:name="_Toc101880709"/>
            <w:r w:rsidRPr="00D72F49">
              <w:rPr>
                <w:rFonts w:eastAsiaTheme="minorHAnsi"/>
                <w:b/>
                <w:color w:val="2C9ADC"/>
                <w:sz w:val="20"/>
                <w:szCs w:val="20"/>
                <w:lang w:eastAsia="en-US"/>
              </w:rPr>
              <w:t xml:space="preserve">TABUĽKA </w:t>
            </w:r>
            <w:r w:rsidRPr="00D72F49">
              <w:rPr>
                <w:rFonts w:eastAsiaTheme="minorHAnsi"/>
                <w:b/>
                <w:color w:val="2C9ADC"/>
                <w:sz w:val="20"/>
                <w:szCs w:val="20"/>
                <w:lang w:eastAsia="en-US"/>
              </w:rPr>
              <w:fldChar w:fldCharType="begin"/>
            </w:r>
            <w:r w:rsidRPr="00D72F49">
              <w:rPr>
                <w:rFonts w:eastAsiaTheme="minorHAnsi"/>
                <w:b/>
                <w:color w:val="2C9ADC"/>
                <w:sz w:val="20"/>
                <w:szCs w:val="20"/>
                <w:lang w:eastAsia="en-US"/>
              </w:rPr>
              <w:instrText xml:space="preserve"> SEQ TABUĽKA \* ARABIC </w:instrText>
            </w:r>
            <w:r w:rsidRPr="00D72F49">
              <w:rPr>
                <w:rFonts w:eastAsiaTheme="minorHAnsi"/>
                <w:b/>
                <w:color w:val="2C9ADC"/>
                <w:sz w:val="20"/>
                <w:szCs w:val="20"/>
                <w:lang w:eastAsia="en-US"/>
              </w:rPr>
              <w:fldChar w:fldCharType="separate"/>
            </w:r>
            <w:r w:rsidR="005D3280">
              <w:rPr>
                <w:rFonts w:eastAsiaTheme="minorHAnsi"/>
                <w:b/>
                <w:noProof/>
                <w:color w:val="2C9ADC"/>
                <w:sz w:val="20"/>
                <w:szCs w:val="20"/>
                <w:lang w:eastAsia="en-US"/>
              </w:rPr>
              <w:t>30</w:t>
            </w:r>
            <w:r w:rsidRPr="00D72F49">
              <w:rPr>
                <w:rFonts w:eastAsiaTheme="minorHAnsi"/>
                <w:b/>
                <w:color w:val="2C9ADC"/>
                <w:sz w:val="20"/>
                <w:szCs w:val="20"/>
                <w:lang w:eastAsia="en-US"/>
              </w:rPr>
              <w:fldChar w:fldCharType="end"/>
            </w:r>
            <w:r w:rsidRPr="00D72F49">
              <w:rPr>
                <w:rFonts w:eastAsiaTheme="minorHAnsi"/>
                <w:b/>
                <w:color w:val="2C9ADC"/>
                <w:sz w:val="20"/>
                <w:szCs w:val="20"/>
                <w:lang w:eastAsia="en-US"/>
              </w:rPr>
              <w:t xml:space="preserve"> (Tabuľka 7) – Dlhodobá udržateľnosť verejných financií (% HDP)</w:t>
            </w:r>
            <w:bookmarkEnd w:id="264"/>
            <w:bookmarkEnd w:id="265"/>
            <w:bookmarkEnd w:id="266"/>
            <w:bookmarkEnd w:id="267"/>
          </w:p>
        </w:tc>
        <w:tc>
          <w:tcPr>
            <w:tcW w:w="523" w:type="dxa"/>
            <w:gridSpan w:val="2"/>
            <w:tcBorders>
              <w:top w:val="nil"/>
              <w:left w:val="nil"/>
              <w:bottom w:val="single" w:sz="8" w:space="0" w:color="auto"/>
              <w:right w:val="nil"/>
            </w:tcBorders>
            <w:shd w:val="clear" w:color="auto" w:fill="auto"/>
            <w:noWrap/>
            <w:vAlign w:val="bottom"/>
            <w:hideMark/>
          </w:tcPr>
          <w:p w14:paraId="157BE7B9" w14:textId="77777777" w:rsidR="00C45D5B" w:rsidRPr="00D72F49" w:rsidRDefault="00C45D5B" w:rsidP="00CF774B">
            <w:pPr>
              <w:rPr>
                <w:rFonts w:eastAsiaTheme="minorHAnsi"/>
                <w:b/>
                <w:color w:val="2C9ADC"/>
                <w:sz w:val="18"/>
                <w:szCs w:val="18"/>
                <w:lang w:eastAsia="en-US"/>
              </w:rPr>
            </w:pPr>
            <w:r w:rsidRPr="00D72F49">
              <w:rPr>
                <w:rFonts w:eastAsiaTheme="minorHAnsi"/>
                <w:b/>
                <w:color w:val="2C9ADC"/>
                <w:sz w:val="18"/>
                <w:szCs w:val="18"/>
                <w:lang w:eastAsia="en-US"/>
              </w:rPr>
              <w:t> </w:t>
            </w:r>
          </w:p>
        </w:tc>
        <w:tc>
          <w:tcPr>
            <w:tcW w:w="555" w:type="dxa"/>
            <w:gridSpan w:val="2"/>
            <w:tcBorders>
              <w:top w:val="nil"/>
              <w:left w:val="nil"/>
              <w:bottom w:val="single" w:sz="8" w:space="0" w:color="auto"/>
              <w:right w:val="nil"/>
            </w:tcBorders>
          </w:tcPr>
          <w:p w14:paraId="4D756877" w14:textId="77777777" w:rsidR="00C45D5B" w:rsidRPr="00D72F49" w:rsidRDefault="00C45D5B" w:rsidP="00CF774B">
            <w:pPr>
              <w:rPr>
                <w:rFonts w:eastAsiaTheme="minorHAnsi"/>
                <w:b/>
                <w:color w:val="2C9ADC"/>
                <w:sz w:val="18"/>
                <w:szCs w:val="18"/>
                <w:lang w:eastAsia="en-US"/>
              </w:rPr>
            </w:pPr>
          </w:p>
        </w:tc>
        <w:tc>
          <w:tcPr>
            <w:tcW w:w="143" w:type="dxa"/>
            <w:gridSpan w:val="2"/>
            <w:tcBorders>
              <w:top w:val="nil"/>
              <w:left w:val="nil"/>
              <w:bottom w:val="single" w:sz="8" w:space="0" w:color="auto"/>
              <w:right w:val="nil"/>
            </w:tcBorders>
          </w:tcPr>
          <w:p w14:paraId="2C358947" w14:textId="77777777" w:rsidR="00C45D5B" w:rsidRPr="00AB54ED" w:rsidRDefault="00C45D5B" w:rsidP="00CF774B">
            <w:pPr>
              <w:rPr>
                <w:rFonts w:eastAsiaTheme="minorHAnsi"/>
                <w:b/>
                <w:color w:val="2C9ADC"/>
                <w:sz w:val="18"/>
                <w:szCs w:val="18"/>
                <w:highlight w:val="yellow"/>
                <w:lang w:eastAsia="en-US"/>
              </w:rPr>
            </w:pPr>
          </w:p>
        </w:tc>
      </w:tr>
      <w:tr w:rsidR="00C45D5B" w:rsidRPr="00AB54ED" w14:paraId="734B1D9A" w14:textId="77777777" w:rsidTr="00CF774B">
        <w:trPr>
          <w:trHeight w:val="283"/>
        </w:trPr>
        <w:tc>
          <w:tcPr>
            <w:tcW w:w="5699" w:type="dxa"/>
            <w:gridSpan w:val="2"/>
            <w:tcBorders>
              <w:top w:val="nil"/>
              <w:left w:val="nil"/>
              <w:bottom w:val="single" w:sz="4" w:space="0" w:color="auto"/>
              <w:right w:val="nil"/>
            </w:tcBorders>
            <w:shd w:val="clear" w:color="auto" w:fill="auto"/>
            <w:vAlign w:val="center"/>
            <w:hideMark/>
          </w:tcPr>
          <w:p w14:paraId="61FBD770" w14:textId="77777777" w:rsidR="00C45D5B" w:rsidRPr="00D72F49" w:rsidRDefault="00C45D5B" w:rsidP="00CF774B">
            <w:pPr>
              <w:rPr>
                <w:rFonts w:cs="Times New Roman"/>
                <w:sz w:val="18"/>
                <w:szCs w:val="18"/>
              </w:rPr>
            </w:pPr>
            <w:r w:rsidRPr="00D72F49">
              <w:rPr>
                <w:rFonts w:cs="Times New Roman"/>
                <w:sz w:val="18"/>
                <w:szCs w:val="18"/>
              </w:rPr>
              <w:t> </w:t>
            </w:r>
          </w:p>
        </w:tc>
        <w:tc>
          <w:tcPr>
            <w:tcW w:w="482" w:type="dxa"/>
            <w:tcBorders>
              <w:top w:val="single" w:sz="8" w:space="0" w:color="auto"/>
              <w:left w:val="nil"/>
              <w:bottom w:val="single" w:sz="4" w:space="0" w:color="auto"/>
              <w:right w:val="nil"/>
            </w:tcBorders>
            <w:shd w:val="clear" w:color="auto" w:fill="auto"/>
            <w:vAlign w:val="center"/>
            <w:hideMark/>
          </w:tcPr>
          <w:p w14:paraId="1584C03A" w14:textId="77777777" w:rsidR="00C45D5B" w:rsidRPr="00D72F49" w:rsidRDefault="00C45D5B" w:rsidP="00CF774B">
            <w:pPr>
              <w:jc w:val="center"/>
              <w:rPr>
                <w:rFonts w:cs="Times New Roman"/>
                <w:b/>
                <w:bCs/>
                <w:sz w:val="18"/>
                <w:szCs w:val="18"/>
              </w:rPr>
            </w:pPr>
            <w:r>
              <w:rPr>
                <w:b/>
                <w:bCs/>
                <w:sz w:val="18"/>
                <w:szCs w:val="18"/>
              </w:rPr>
              <w:t>2022</w:t>
            </w:r>
          </w:p>
        </w:tc>
        <w:tc>
          <w:tcPr>
            <w:tcW w:w="482" w:type="dxa"/>
            <w:gridSpan w:val="2"/>
            <w:tcBorders>
              <w:top w:val="single" w:sz="8" w:space="0" w:color="auto"/>
              <w:left w:val="nil"/>
              <w:bottom w:val="single" w:sz="4" w:space="0" w:color="auto"/>
              <w:right w:val="nil"/>
            </w:tcBorders>
            <w:shd w:val="clear" w:color="auto" w:fill="auto"/>
            <w:vAlign w:val="center"/>
            <w:hideMark/>
          </w:tcPr>
          <w:p w14:paraId="20CF3110" w14:textId="77777777" w:rsidR="00C45D5B" w:rsidRPr="00D72F49" w:rsidRDefault="00C45D5B" w:rsidP="00CF774B">
            <w:pPr>
              <w:jc w:val="center"/>
              <w:rPr>
                <w:rFonts w:cs="Times New Roman"/>
                <w:b/>
                <w:bCs/>
                <w:sz w:val="18"/>
                <w:szCs w:val="18"/>
              </w:rPr>
            </w:pPr>
            <w:r w:rsidRPr="00D72F49">
              <w:rPr>
                <w:b/>
                <w:bCs/>
                <w:sz w:val="18"/>
                <w:szCs w:val="18"/>
              </w:rPr>
              <w:t>2030</w:t>
            </w:r>
          </w:p>
        </w:tc>
        <w:tc>
          <w:tcPr>
            <w:tcW w:w="482" w:type="dxa"/>
            <w:gridSpan w:val="2"/>
            <w:tcBorders>
              <w:top w:val="single" w:sz="8" w:space="0" w:color="auto"/>
              <w:left w:val="nil"/>
              <w:bottom w:val="single" w:sz="4" w:space="0" w:color="auto"/>
              <w:right w:val="nil"/>
            </w:tcBorders>
            <w:shd w:val="clear" w:color="auto" w:fill="auto"/>
            <w:vAlign w:val="center"/>
            <w:hideMark/>
          </w:tcPr>
          <w:p w14:paraId="4799EAEF" w14:textId="77777777" w:rsidR="00C45D5B" w:rsidRPr="00D72F49" w:rsidRDefault="00C45D5B" w:rsidP="00CF774B">
            <w:pPr>
              <w:jc w:val="center"/>
              <w:rPr>
                <w:rFonts w:cs="Times New Roman"/>
                <w:b/>
                <w:bCs/>
                <w:sz w:val="18"/>
                <w:szCs w:val="18"/>
              </w:rPr>
            </w:pPr>
            <w:r w:rsidRPr="00D72F49">
              <w:rPr>
                <w:b/>
                <w:bCs/>
                <w:sz w:val="18"/>
                <w:szCs w:val="18"/>
              </w:rPr>
              <w:t>2040</w:t>
            </w:r>
          </w:p>
        </w:tc>
        <w:tc>
          <w:tcPr>
            <w:tcW w:w="482" w:type="dxa"/>
            <w:gridSpan w:val="2"/>
            <w:tcBorders>
              <w:top w:val="single" w:sz="2" w:space="0" w:color="FFFFFF" w:themeColor="background1"/>
              <w:left w:val="nil"/>
              <w:bottom w:val="single" w:sz="4" w:space="0" w:color="auto"/>
              <w:right w:val="nil"/>
            </w:tcBorders>
            <w:shd w:val="clear" w:color="auto" w:fill="auto"/>
            <w:vAlign w:val="center"/>
            <w:hideMark/>
          </w:tcPr>
          <w:p w14:paraId="76D6AE89" w14:textId="77777777" w:rsidR="00C45D5B" w:rsidRPr="00D72F49" w:rsidRDefault="00C45D5B" w:rsidP="00CF774B">
            <w:pPr>
              <w:jc w:val="center"/>
              <w:rPr>
                <w:rFonts w:cs="Times New Roman"/>
                <w:b/>
                <w:bCs/>
                <w:sz w:val="18"/>
                <w:szCs w:val="18"/>
              </w:rPr>
            </w:pPr>
            <w:r w:rsidRPr="00D72F49">
              <w:rPr>
                <w:b/>
                <w:bCs/>
                <w:sz w:val="18"/>
                <w:szCs w:val="18"/>
              </w:rPr>
              <w:t>2050</w:t>
            </w:r>
          </w:p>
        </w:tc>
        <w:tc>
          <w:tcPr>
            <w:tcW w:w="548" w:type="dxa"/>
            <w:gridSpan w:val="3"/>
            <w:tcBorders>
              <w:top w:val="single" w:sz="2" w:space="0" w:color="FFFFFF" w:themeColor="background1"/>
              <w:left w:val="nil"/>
              <w:bottom w:val="single" w:sz="4" w:space="0" w:color="auto"/>
              <w:right w:val="nil"/>
            </w:tcBorders>
            <w:shd w:val="clear" w:color="auto" w:fill="auto"/>
            <w:vAlign w:val="center"/>
            <w:hideMark/>
          </w:tcPr>
          <w:p w14:paraId="24F2A433" w14:textId="77777777" w:rsidR="00C45D5B" w:rsidRPr="00D72F49" w:rsidRDefault="00C45D5B" w:rsidP="00CF774B">
            <w:pPr>
              <w:jc w:val="center"/>
              <w:rPr>
                <w:rFonts w:cs="Times New Roman"/>
                <w:b/>
                <w:bCs/>
                <w:sz w:val="18"/>
                <w:szCs w:val="18"/>
              </w:rPr>
            </w:pPr>
            <w:r w:rsidRPr="00D72F49">
              <w:rPr>
                <w:b/>
                <w:bCs/>
                <w:sz w:val="18"/>
                <w:szCs w:val="18"/>
              </w:rPr>
              <w:t>2060</w:t>
            </w:r>
          </w:p>
        </w:tc>
        <w:tc>
          <w:tcPr>
            <w:tcW w:w="555" w:type="dxa"/>
            <w:gridSpan w:val="2"/>
            <w:tcBorders>
              <w:top w:val="single" w:sz="2" w:space="0" w:color="FFFFFF" w:themeColor="background1"/>
              <w:left w:val="nil"/>
              <w:bottom w:val="single" w:sz="4" w:space="0" w:color="auto"/>
              <w:right w:val="nil"/>
            </w:tcBorders>
            <w:shd w:val="clear" w:color="auto" w:fill="auto"/>
            <w:vAlign w:val="center"/>
          </w:tcPr>
          <w:p w14:paraId="0B91F7B2" w14:textId="77777777" w:rsidR="00C45D5B" w:rsidRPr="00D72F49" w:rsidRDefault="00C45D5B" w:rsidP="00CF774B">
            <w:pPr>
              <w:jc w:val="center"/>
              <w:rPr>
                <w:rFonts w:cs="Times New Roman"/>
                <w:b/>
                <w:bCs/>
                <w:sz w:val="18"/>
                <w:szCs w:val="18"/>
              </w:rPr>
            </w:pPr>
            <w:r w:rsidRPr="00D72F49">
              <w:rPr>
                <w:b/>
                <w:bCs/>
                <w:sz w:val="18"/>
                <w:szCs w:val="18"/>
              </w:rPr>
              <w:t>2070</w:t>
            </w:r>
          </w:p>
        </w:tc>
        <w:tc>
          <w:tcPr>
            <w:tcW w:w="320" w:type="dxa"/>
            <w:gridSpan w:val="3"/>
            <w:tcBorders>
              <w:top w:val="single" w:sz="2" w:space="0" w:color="FFFFFF" w:themeColor="background1"/>
              <w:left w:val="nil"/>
              <w:bottom w:val="single" w:sz="4" w:space="0" w:color="auto"/>
              <w:right w:val="nil"/>
            </w:tcBorders>
          </w:tcPr>
          <w:p w14:paraId="79D81FDB" w14:textId="77777777" w:rsidR="00C45D5B" w:rsidRPr="00AB54ED" w:rsidRDefault="00C45D5B" w:rsidP="00CF774B">
            <w:pPr>
              <w:jc w:val="center"/>
              <w:rPr>
                <w:b/>
                <w:bCs/>
                <w:sz w:val="18"/>
                <w:szCs w:val="18"/>
                <w:highlight w:val="yellow"/>
              </w:rPr>
            </w:pPr>
          </w:p>
        </w:tc>
      </w:tr>
      <w:tr w:rsidR="00C45D5B" w:rsidRPr="00AB54ED" w14:paraId="6119EA14"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23BB7F54" w14:textId="77777777" w:rsidR="00C45D5B" w:rsidRPr="00D72F49" w:rsidRDefault="00C45D5B" w:rsidP="00CF774B">
            <w:pPr>
              <w:rPr>
                <w:rFonts w:cs="Times New Roman"/>
                <w:b/>
                <w:bCs/>
                <w:sz w:val="18"/>
                <w:szCs w:val="18"/>
              </w:rPr>
            </w:pPr>
            <w:r w:rsidRPr="00D72F49">
              <w:rPr>
                <w:rFonts w:cs="Times New Roman"/>
                <w:b/>
                <w:bCs/>
                <w:sz w:val="18"/>
                <w:szCs w:val="18"/>
              </w:rPr>
              <w:t>Výdavky celkom</w:t>
            </w:r>
          </w:p>
        </w:tc>
        <w:tc>
          <w:tcPr>
            <w:tcW w:w="482" w:type="dxa"/>
            <w:tcBorders>
              <w:top w:val="nil"/>
              <w:left w:val="nil"/>
              <w:bottom w:val="nil"/>
              <w:right w:val="nil"/>
            </w:tcBorders>
            <w:shd w:val="clear" w:color="auto" w:fill="auto"/>
            <w:vAlign w:val="center"/>
            <w:hideMark/>
          </w:tcPr>
          <w:p w14:paraId="6B108005" w14:textId="77777777" w:rsidR="00C45D5B" w:rsidRPr="00D72F49" w:rsidRDefault="00C45D5B" w:rsidP="00CF774B">
            <w:pPr>
              <w:jc w:val="center"/>
              <w:rPr>
                <w:rFonts w:cs="Times New Roman"/>
                <w:bCs/>
                <w:sz w:val="18"/>
                <w:szCs w:val="18"/>
              </w:rPr>
            </w:pPr>
            <w:r>
              <w:rPr>
                <w:b/>
                <w:bCs/>
                <w:color w:val="000000"/>
                <w:sz w:val="18"/>
                <w:szCs w:val="18"/>
              </w:rPr>
              <w:t>45,3</w:t>
            </w:r>
          </w:p>
        </w:tc>
        <w:tc>
          <w:tcPr>
            <w:tcW w:w="482" w:type="dxa"/>
            <w:gridSpan w:val="2"/>
            <w:tcBorders>
              <w:top w:val="nil"/>
              <w:left w:val="nil"/>
              <w:bottom w:val="nil"/>
              <w:right w:val="nil"/>
            </w:tcBorders>
            <w:shd w:val="clear" w:color="auto" w:fill="auto"/>
            <w:vAlign w:val="center"/>
          </w:tcPr>
          <w:p w14:paraId="730C3D18" w14:textId="77777777" w:rsidR="00C45D5B" w:rsidRPr="00D72F49" w:rsidRDefault="00C45D5B" w:rsidP="00CF774B">
            <w:pPr>
              <w:jc w:val="center"/>
              <w:rPr>
                <w:rFonts w:cs="Times New Roman"/>
                <w:bCs/>
                <w:sz w:val="18"/>
                <w:szCs w:val="18"/>
              </w:rPr>
            </w:pPr>
          </w:p>
        </w:tc>
        <w:tc>
          <w:tcPr>
            <w:tcW w:w="482" w:type="dxa"/>
            <w:gridSpan w:val="2"/>
            <w:tcBorders>
              <w:top w:val="nil"/>
              <w:left w:val="nil"/>
              <w:bottom w:val="nil"/>
              <w:right w:val="nil"/>
            </w:tcBorders>
            <w:shd w:val="clear" w:color="auto" w:fill="auto"/>
            <w:vAlign w:val="center"/>
          </w:tcPr>
          <w:p w14:paraId="3790B688" w14:textId="77777777" w:rsidR="00C45D5B" w:rsidRPr="00D72F49" w:rsidRDefault="00C45D5B" w:rsidP="00CF774B">
            <w:pPr>
              <w:jc w:val="center"/>
              <w:rPr>
                <w:rFonts w:cs="Times New Roman"/>
                <w:bCs/>
                <w:sz w:val="18"/>
                <w:szCs w:val="18"/>
              </w:rPr>
            </w:pPr>
          </w:p>
        </w:tc>
        <w:tc>
          <w:tcPr>
            <w:tcW w:w="482" w:type="dxa"/>
            <w:gridSpan w:val="2"/>
            <w:tcBorders>
              <w:top w:val="nil"/>
              <w:left w:val="nil"/>
              <w:bottom w:val="nil"/>
              <w:right w:val="nil"/>
            </w:tcBorders>
            <w:shd w:val="clear" w:color="auto" w:fill="auto"/>
            <w:vAlign w:val="center"/>
          </w:tcPr>
          <w:p w14:paraId="45B76023" w14:textId="77777777" w:rsidR="00C45D5B" w:rsidRPr="00D72F49" w:rsidRDefault="00C45D5B" w:rsidP="00CF774B">
            <w:pPr>
              <w:jc w:val="center"/>
              <w:rPr>
                <w:rFonts w:cs="Times New Roman"/>
                <w:bCs/>
                <w:sz w:val="18"/>
                <w:szCs w:val="18"/>
              </w:rPr>
            </w:pPr>
          </w:p>
        </w:tc>
        <w:tc>
          <w:tcPr>
            <w:tcW w:w="548" w:type="dxa"/>
            <w:gridSpan w:val="3"/>
            <w:tcBorders>
              <w:top w:val="nil"/>
              <w:left w:val="nil"/>
              <w:bottom w:val="nil"/>
              <w:right w:val="nil"/>
            </w:tcBorders>
            <w:shd w:val="clear" w:color="auto" w:fill="auto"/>
            <w:vAlign w:val="center"/>
          </w:tcPr>
          <w:p w14:paraId="26F00BAA" w14:textId="77777777" w:rsidR="00C45D5B" w:rsidRPr="00D72F49" w:rsidRDefault="00C45D5B" w:rsidP="00CF774B">
            <w:pPr>
              <w:jc w:val="center"/>
              <w:rPr>
                <w:rFonts w:cs="Times New Roman"/>
                <w:bCs/>
                <w:sz w:val="18"/>
                <w:szCs w:val="18"/>
              </w:rPr>
            </w:pPr>
          </w:p>
        </w:tc>
        <w:tc>
          <w:tcPr>
            <w:tcW w:w="555" w:type="dxa"/>
            <w:gridSpan w:val="2"/>
            <w:tcBorders>
              <w:top w:val="nil"/>
              <w:left w:val="nil"/>
              <w:bottom w:val="nil"/>
              <w:right w:val="nil"/>
            </w:tcBorders>
            <w:shd w:val="clear" w:color="auto" w:fill="auto"/>
            <w:vAlign w:val="center"/>
          </w:tcPr>
          <w:p w14:paraId="61FC3047" w14:textId="77777777" w:rsidR="00C45D5B" w:rsidRPr="00D72F49" w:rsidRDefault="00C45D5B" w:rsidP="00CF774B">
            <w:pPr>
              <w:jc w:val="center"/>
              <w:rPr>
                <w:rFonts w:cs="Times New Roman"/>
                <w:bCs/>
                <w:sz w:val="18"/>
                <w:szCs w:val="18"/>
              </w:rPr>
            </w:pPr>
          </w:p>
        </w:tc>
        <w:tc>
          <w:tcPr>
            <w:tcW w:w="320" w:type="dxa"/>
            <w:gridSpan w:val="3"/>
            <w:tcBorders>
              <w:top w:val="nil"/>
              <w:left w:val="nil"/>
              <w:bottom w:val="nil"/>
              <w:right w:val="nil"/>
            </w:tcBorders>
          </w:tcPr>
          <w:p w14:paraId="22D5047D" w14:textId="77777777" w:rsidR="00C45D5B" w:rsidRPr="00AB54ED" w:rsidRDefault="00C45D5B" w:rsidP="00CF774B">
            <w:pPr>
              <w:jc w:val="center"/>
              <w:rPr>
                <w:sz w:val="18"/>
                <w:szCs w:val="18"/>
                <w:highlight w:val="yellow"/>
              </w:rPr>
            </w:pPr>
          </w:p>
        </w:tc>
      </w:tr>
      <w:tr w:rsidR="00C45D5B" w:rsidRPr="00AB54ED" w14:paraId="5DE69327"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3A35E3B9" w14:textId="77777777" w:rsidR="00C45D5B" w:rsidRPr="00D72F49" w:rsidRDefault="00C45D5B" w:rsidP="00CF774B">
            <w:pPr>
              <w:ind w:firstLineChars="200" w:firstLine="360"/>
              <w:rPr>
                <w:rFonts w:cs="Times New Roman"/>
                <w:sz w:val="18"/>
                <w:szCs w:val="18"/>
              </w:rPr>
            </w:pPr>
            <w:r w:rsidRPr="00D72F49">
              <w:rPr>
                <w:rFonts w:cs="Times New Roman"/>
                <w:sz w:val="18"/>
                <w:szCs w:val="18"/>
              </w:rPr>
              <w:t>Z toho: Výdavky ovplyvnené starnutím populácie</w:t>
            </w:r>
          </w:p>
        </w:tc>
        <w:tc>
          <w:tcPr>
            <w:tcW w:w="482" w:type="dxa"/>
            <w:tcBorders>
              <w:top w:val="nil"/>
              <w:left w:val="nil"/>
              <w:bottom w:val="nil"/>
              <w:right w:val="nil"/>
            </w:tcBorders>
            <w:shd w:val="clear" w:color="auto" w:fill="auto"/>
            <w:vAlign w:val="center"/>
            <w:hideMark/>
          </w:tcPr>
          <w:p w14:paraId="406DFD9C" w14:textId="77777777" w:rsidR="00C45D5B" w:rsidRPr="00D72F49" w:rsidRDefault="00C45D5B" w:rsidP="00CF774B">
            <w:pPr>
              <w:jc w:val="center"/>
              <w:rPr>
                <w:rFonts w:cs="Times New Roman"/>
                <w:bCs/>
                <w:sz w:val="18"/>
                <w:szCs w:val="18"/>
              </w:rPr>
            </w:pPr>
            <w:r>
              <w:rPr>
                <w:b/>
                <w:bCs/>
                <w:color w:val="000000"/>
                <w:sz w:val="18"/>
                <w:szCs w:val="18"/>
              </w:rPr>
              <w:t>20,2</w:t>
            </w:r>
          </w:p>
        </w:tc>
        <w:tc>
          <w:tcPr>
            <w:tcW w:w="482" w:type="dxa"/>
            <w:gridSpan w:val="2"/>
            <w:tcBorders>
              <w:top w:val="nil"/>
              <w:left w:val="nil"/>
              <w:bottom w:val="nil"/>
              <w:right w:val="nil"/>
            </w:tcBorders>
            <w:shd w:val="clear" w:color="auto" w:fill="auto"/>
            <w:vAlign w:val="center"/>
          </w:tcPr>
          <w:p w14:paraId="56A71580" w14:textId="77777777" w:rsidR="00C45D5B" w:rsidRPr="00D72F49" w:rsidRDefault="00C45D5B" w:rsidP="00CF774B">
            <w:pPr>
              <w:jc w:val="center"/>
              <w:rPr>
                <w:rFonts w:cs="Times New Roman"/>
                <w:bCs/>
                <w:sz w:val="18"/>
                <w:szCs w:val="18"/>
              </w:rPr>
            </w:pPr>
            <w:r>
              <w:rPr>
                <w:b/>
                <w:bCs/>
                <w:color w:val="000000"/>
                <w:sz w:val="18"/>
                <w:szCs w:val="18"/>
              </w:rPr>
              <w:t>21,9</w:t>
            </w:r>
          </w:p>
        </w:tc>
        <w:tc>
          <w:tcPr>
            <w:tcW w:w="482" w:type="dxa"/>
            <w:gridSpan w:val="2"/>
            <w:tcBorders>
              <w:top w:val="nil"/>
              <w:left w:val="nil"/>
              <w:bottom w:val="nil"/>
              <w:right w:val="nil"/>
            </w:tcBorders>
            <w:shd w:val="clear" w:color="auto" w:fill="auto"/>
            <w:vAlign w:val="center"/>
          </w:tcPr>
          <w:p w14:paraId="62F0A272" w14:textId="77777777" w:rsidR="00C45D5B" w:rsidRPr="00D72F49" w:rsidRDefault="00C45D5B" w:rsidP="00CF774B">
            <w:pPr>
              <w:jc w:val="center"/>
              <w:rPr>
                <w:rFonts w:cs="Times New Roman"/>
                <w:bCs/>
                <w:sz w:val="18"/>
                <w:szCs w:val="18"/>
              </w:rPr>
            </w:pPr>
            <w:r>
              <w:rPr>
                <w:b/>
                <w:bCs/>
                <w:color w:val="000000"/>
                <w:sz w:val="18"/>
                <w:szCs w:val="18"/>
              </w:rPr>
              <w:t>24,2</w:t>
            </w:r>
          </w:p>
        </w:tc>
        <w:tc>
          <w:tcPr>
            <w:tcW w:w="482" w:type="dxa"/>
            <w:gridSpan w:val="2"/>
            <w:tcBorders>
              <w:top w:val="nil"/>
              <w:left w:val="nil"/>
              <w:bottom w:val="nil"/>
              <w:right w:val="nil"/>
            </w:tcBorders>
            <w:shd w:val="clear" w:color="auto" w:fill="auto"/>
            <w:vAlign w:val="center"/>
          </w:tcPr>
          <w:p w14:paraId="4494CC2D" w14:textId="77777777" w:rsidR="00C45D5B" w:rsidRPr="00D72F49" w:rsidRDefault="00C45D5B" w:rsidP="00CF774B">
            <w:pPr>
              <w:jc w:val="center"/>
              <w:rPr>
                <w:rFonts w:cs="Times New Roman"/>
                <w:bCs/>
                <w:sz w:val="18"/>
                <w:szCs w:val="18"/>
              </w:rPr>
            </w:pPr>
            <w:r>
              <w:rPr>
                <w:b/>
                <w:bCs/>
                <w:color w:val="000000"/>
                <w:sz w:val="18"/>
                <w:szCs w:val="18"/>
              </w:rPr>
              <w:t>26,9</w:t>
            </w:r>
          </w:p>
        </w:tc>
        <w:tc>
          <w:tcPr>
            <w:tcW w:w="548" w:type="dxa"/>
            <w:gridSpan w:val="3"/>
            <w:tcBorders>
              <w:top w:val="nil"/>
              <w:left w:val="nil"/>
              <w:bottom w:val="nil"/>
              <w:right w:val="nil"/>
            </w:tcBorders>
            <w:shd w:val="clear" w:color="auto" w:fill="auto"/>
            <w:vAlign w:val="center"/>
          </w:tcPr>
          <w:p w14:paraId="1B69AF3E" w14:textId="77777777" w:rsidR="00C45D5B" w:rsidRPr="00D72F49" w:rsidRDefault="00C45D5B" w:rsidP="00CF774B">
            <w:pPr>
              <w:jc w:val="center"/>
              <w:rPr>
                <w:rFonts w:cs="Times New Roman"/>
                <w:bCs/>
                <w:sz w:val="18"/>
                <w:szCs w:val="18"/>
              </w:rPr>
            </w:pPr>
            <w:r>
              <w:rPr>
                <w:b/>
                <w:bCs/>
                <w:color w:val="000000"/>
                <w:sz w:val="18"/>
                <w:szCs w:val="18"/>
              </w:rPr>
              <w:t>29,2</w:t>
            </w:r>
          </w:p>
        </w:tc>
        <w:tc>
          <w:tcPr>
            <w:tcW w:w="555" w:type="dxa"/>
            <w:gridSpan w:val="2"/>
            <w:tcBorders>
              <w:top w:val="nil"/>
              <w:left w:val="nil"/>
              <w:bottom w:val="nil"/>
              <w:right w:val="nil"/>
            </w:tcBorders>
            <w:shd w:val="clear" w:color="auto" w:fill="auto"/>
            <w:vAlign w:val="center"/>
          </w:tcPr>
          <w:p w14:paraId="4074AFA5" w14:textId="77777777" w:rsidR="00C45D5B" w:rsidRPr="00D72F49" w:rsidRDefault="00C45D5B" w:rsidP="00CF774B">
            <w:pPr>
              <w:jc w:val="center"/>
              <w:rPr>
                <w:rFonts w:cs="Times New Roman"/>
                <w:bCs/>
                <w:sz w:val="18"/>
                <w:szCs w:val="18"/>
              </w:rPr>
            </w:pPr>
            <w:r>
              <w:rPr>
                <w:b/>
                <w:bCs/>
                <w:color w:val="000000"/>
                <w:sz w:val="18"/>
                <w:szCs w:val="18"/>
              </w:rPr>
              <w:t>29,1</w:t>
            </w:r>
          </w:p>
        </w:tc>
        <w:tc>
          <w:tcPr>
            <w:tcW w:w="320" w:type="dxa"/>
            <w:gridSpan w:val="3"/>
            <w:tcBorders>
              <w:top w:val="nil"/>
              <w:left w:val="nil"/>
              <w:bottom w:val="nil"/>
              <w:right w:val="nil"/>
            </w:tcBorders>
          </w:tcPr>
          <w:p w14:paraId="578329C7" w14:textId="77777777" w:rsidR="00C45D5B" w:rsidRPr="00AB54ED" w:rsidRDefault="00C45D5B" w:rsidP="00CF774B">
            <w:pPr>
              <w:jc w:val="center"/>
              <w:rPr>
                <w:sz w:val="18"/>
                <w:szCs w:val="18"/>
                <w:highlight w:val="yellow"/>
              </w:rPr>
            </w:pPr>
          </w:p>
        </w:tc>
      </w:tr>
      <w:tr w:rsidR="00C45D5B" w:rsidRPr="00AB54ED" w14:paraId="5E03F31D"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71A83387" w14:textId="77777777" w:rsidR="00C45D5B" w:rsidRPr="00D72F49" w:rsidRDefault="00C45D5B" w:rsidP="00CF774B">
            <w:pPr>
              <w:ind w:firstLineChars="300" w:firstLine="540"/>
              <w:rPr>
                <w:rFonts w:cs="Times New Roman"/>
                <w:sz w:val="18"/>
                <w:szCs w:val="18"/>
              </w:rPr>
            </w:pPr>
            <w:r w:rsidRPr="00D72F49">
              <w:rPr>
                <w:rFonts w:cs="Times New Roman"/>
                <w:sz w:val="18"/>
                <w:szCs w:val="18"/>
              </w:rPr>
              <w:t>A. Výdavky na starobné dôchodky</w:t>
            </w:r>
          </w:p>
        </w:tc>
        <w:tc>
          <w:tcPr>
            <w:tcW w:w="482" w:type="dxa"/>
            <w:tcBorders>
              <w:top w:val="nil"/>
              <w:left w:val="nil"/>
              <w:bottom w:val="nil"/>
              <w:right w:val="nil"/>
            </w:tcBorders>
            <w:shd w:val="clear" w:color="auto" w:fill="auto"/>
            <w:vAlign w:val="center"/>
            <w:hideMark/>
          </w:tcPr>
          <w:p w14:paraId="5CCDC59E" w14:textId="77777777" w:rsidR="00C45D5B" w:rsidRPr="00D72F49" w:rsidRDefault="00C45D5B" w:rsidP="00CF774B">
            <w:pPr>
              <w:jc w:val="center"/>
              <w:rPr>
                <w:rFonts w:cs="Times New Roman"/>
                <w:sz w:val="18"/>
                <w:szCs w:val="18"/>
              </w:rPr>
            </w:pPr>
            <w:r>
              <w:rPr>
                <w:color w:val="000000"/>
                <w:sz w:val="18"/>
                <w:szCs w:val="18"/>
              </w:rPr>
              <w:t>9,5</w:t>
            </w:r>
          </w:p>
        </w:tc>
        <w:tc>
          <w:tcPr>
            <w:tcW w:w="482" w:type="dxa"/>
            <w:gridSpan w:val="2"/>
            <w:tcBorders>
              <w:top w:val="nil"/>
              <w:left w:val="nil"/>
              <w:bottom w:val="nil"/>
              <w:right w:val="nil"/>
            </w:tcBorders>
            <w:shd w:val="clear" w:color="auto" w:fill="auto"/>
            <w:vAlign w:val="center"/>
          </w:tcPr>
          <w:p w14:paraId="5D2316BD" w14:textId="77777777" w:rsidR="00C45D5B" w:rsidRPr="00D72F49" w:rsidRDefault="00C45D5B" w:rsidP="00CF774B">
            <w:pPr>
              <w:jc w:val="center"/>
              <w:rPr>
                <w:rFonts w:cs="Times New Roman"/>
                <w:sz w:val="18"/>
                <w:szCs w:val="18"/>
              </w:rPr>
            </w:pPr>
            <w:r>
              <w:rPr>
                <w:color w:val="000000"/>
                <w:sz w:val="18"/>
                <w:szCs w:val="18"/>
              </w:rPr>
              <w:t>10,2</w:t>
            </w:r>
          </w:p>
        </w:tc>
        <w:tc>
          <w:tcPr>
            <w:tcW w:w="482" w:type="dxa"/>
            <w:gridSpan w:val="2"/>
            <w:tcBorders>
              <w:top w:val="nil"/>
              <w:left w:val="nil"/>
              <w:bottom w:val="nil"/>
              <w:right w:val="nil"/>
            </w:tcBorders>
            <w:shd w:val="clear" w:color="auto" w:fill="auto"/>
            <w:vAlign w:val="center"/>
          </w:tcPr>
          <w:p w14:paraId="262C306C" w14:textId="77777777" w:rsidR="00C45D5B" w:rsidRPr="00D72F49" w:rsidRDefault="00C45D5B" w:rsidP="00CF774B">
            <w:pPr>
              <w:jc w:val="center"/>
              <w:rPr>
                <w:rFonts w:cs="Times New Roman"/>
                <w:sz w:val="18"/>
                <w:szCs w:val="18"/>
              </w:rPr>
            </w:pPr>
            <w:r>
              <w:rPr>
                <w:color w:val="000000"/>
                <w:sz w:val="18"/>
                <w:szCs w:val="18"/>
              </w:rPr>
              <w:t>11,6</w:t>
            </w:r>
          </w:p>
        </w:tc>
        <w:tc>
          <w:tcPr>
            <w:tcW w:w="482" w:type="dxa"/>
            <w:gridSpan w:val="2"/>
            <w:tcBorders>
              <w:top w:val="nil"/>
              <w:left w:val="nil"/>
              <w:bottom w:val="nil"/>
              <w:right w:val="nil"/>
            </w:tcBorders>
            <w:shd w:val="clear" w:color="auto" w:fill="auto"/>
            <w:vAlign w:val="center"/>
          </w:tcPr>
          <w:p w14:paraId="084A57F5" w14:textId="77777777" w:rsidR="00C45D5B" w:rsidRPr="00D72F49" w:rsidRDefault="00C45D5B" w:rsidP="00CF774B">
            <w:pPr>
              <w:jc w:val="center"/>
              <w:rPr>
                <w:rFonts w:cs="Times New Roman"/>
                <w:sz w:val="18"/>
                <w:szCs w:val="18"/>
              </w:rPr>
            </w:pPr>
            <w:r>
              <w:rPr>
                <w:color w:val="000000"/>
                <w:sz w:val="18"/>
                <w:szCs w:val="18"/>
              </w:rPr>
              <w:t>13,4</w:t>
            </w:r>
          </w:p>
        </w:tc>
        <w:tc>
          <w:tcPr>
            <w:tcW w:w="548" w:type="dxa"/>
            <w:gridSpan w:val="3"/>
            <w:tcBorders>
              <w:top w:val="nil"/>
              <w:left w:val="nil"/>
              <w:bottom w:val="nil"/>
              <w:right w:val="nil"/>
            </w:tcBorders>
            <w:shd w:val="clear" w:color="auto" w:fill="auto"/>
            <w:vAlign w:val="center"/>
          </w:tcPr>
          <w:p w14:paraId="271D18BD" w14:textId="77777777" w:rsidR="00C45D5B" w:rsidRPr="00D72F49" w:rsidRDefault="00C45D5B" w:rsidP="00CF774B">
            <w:pPr>
              <w:jc w:val="center"/>
              <w:rPr>
                <w:rFonts w:cs="Times New Roman"/>
                <w:sz w:val="18"/>
                <w:szCs w:val="18"/>
              </w:rPr>
            </w:pPr>
            <w:r>
              <w:rPr>
                <w:color w:val="000000"/>
                <w:sz w:val="18"/>
                <w:szCs w:val="18"/>
              </w:rPr>
              <w:t>14,5</w:t>
            </w:r>
          </w:p>
        </w:tc>
        <w:tc>
          <w:tcPr>
            <w:tcW w:w="555" w:type="dxa"/>
            <w:gridSpan w:val="2"/>
            <w:tcBorders>
              <w:top w:val="nil"/>
              <w:left w:val="nil"/>
              <w:bottom w:val="nil"/>
              <w:right w:val="nil"/>
            </w:tcBorders>
            <w:shd w:val="clear" w:color="auto" w:fill="auto"/>
            <w:vAlign w:val="center"/>
          </w:tcPr>
          <w:p w14:paraId="224AD01F" w14:textId="77777777" w:rsidR="00C45D5B" w:rsidRPr="00D72F49" w:rsidRDefault="00C45D5B" w:rsidP="00CF774B">
            <w:pPr>
              <w:jc w:val="center"/>
              <w:rPr>
                <w:rFonts w:cs="Times New Roman"/>
                <w:sz w:val="18"/>
                <w:szCs w:val="18"/>
              </w:rPr>
            </w:pPr>
            <w:r>
              <w:rPr>
                <w:color w:val="000000"/>
                <w:sz w:val="18"/>
                <w:szCs w:val="18"/>
              </w:rPr>
              <w:t>14,2</w:t>
            </w:r>
          </w:p>
        </w:tc>
        <w:tc>
          <w:tcPr>
            <w:tcW w:w="320" w:type="dxa"/>
            <w:gridSpan w:val="3"/>
            <w:tcBorders>
              <w:top w:val="nil"/>
              <w:left w:val="nil"/>
              <w:bottom w:val="nil"/>
              <w:right w:val="nil"/>
            </w:tcBorders>
          </w:tcPr>
          <w:p w14:paraId="2B1EF75A" w14:textId="77777777" w:rsidR="00C45D5B" w:rsidRPr="00AB54ED" w:rsidRDefault="00C45D5B" w:rsidP="00CF774B">
            <w:pPr>
              <w:jc w:val="center"/>
              <w:rPr>
                <w:sz w:val="18"/>
                <w:szCs w:val="18"/>
                <w:highlight w:val="yellow"/>
              </w:rPr>
            </w:pPr>
          </w:p>
        </w:tc>
      </w:tr>
      <w:tr w:rsidR="00C45D5B" w:rsidRPr="00AB54ED" w14:paraId="1131CAED"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58927AF2" w14:textId="77777777" w:rsidR="00C45D5B" w:rsidRPr="00D72F49" w:rsidRDefault="00C45D5B" w:rsidP="00CF774B">
            <w:pPr>
              <w:ind w:firstLineChars="500" w:firstLine="900"/>
              <w:rPr>
                <w:rFonts w:cs="Times New Roman"/>
                <w:sz w:val="18"/>
                <w:szCs w:val="18"/>
              </w:rPr>
            </w:pPr>
            <w:r w:rsidRPr="00D72F49">
              <w:rPr>
                <w:rFonts w:cs="Times New Roman"/>
                <w:sz w:val="18"/>
                <w:szCs w:val="18"/>
              </w:rPr>
              <w:t>a) Starobné a predčasné starobné dôchodky</w:t>
            </w:r>
          </w:p>
        </w:tc>
        <w:tc>
          <w:tcPr>
            <w:tcW w:w="482" w:type="dxa"/>
            <w:tcBorders>
              <w:top w:val="nil"/>
              <w:left w:val="nil"/>
              <w:bottom w:val="nil"/>
              <w:right w:val="nil"/>
            </w:tcBorders>
            <w:shd w:val="clear" w:color="auto" w:fill="auto"/>
            <w:vAlign w:val="center"/>
            <w:hideMark/>
          </w:tcPr>
          <w:p w14:paraId="068386D6" w14:textId="77777777" w:rsidR="00C45D5B" w:rsidRPr="00D72F49" w:rsidRDefault="00C45D5B" w:rsidP="00CF774B">
            <w:pPr>
              <w:jc w:val="center"/>
              <w:rPr>
                <w:rFonts w:cs="Times New Roman"/>
                <w:sz w:val="18"/>
                <w:szCs w:val="18"/>
              </w:rPr>
            </w:pPr>
            <w:r>
              <w:rPr>
                <w:color w:val="000000"/>
                <w:sz w:val="18"/>
                <w:szCs w:val="18"/>
              </w:rPr>
              <w:t>7,2</w:t>
            </w:r>
          </w:p>
        </w:tc>
        <w:tc>
          <w:tcPr>
            <w:tcW w:w="482" w:type="dxa"/>
            <w:gridSpan w:val="2"/>
            <w:tcBorders>
              <w:top w:val="nil"/>
              <w:left w:val="nil"/>
              <w:bottom w:val="nil"/>
              <w:right w:val="nil"/>
            </w:tcBorders>
            <w:shd w:val="clear" w:color="auto" w:fill="auto"/>
            <w:vAlign w:val="center"/>
          </w:tcPr>
          <w:p w14:paraId="7ED868F3" w14:textId="77777777" w:rsidR="00C45D5B" w:rsidRPr="00D72F49" w:rsidRDefault="00C45D5B" w:rsidP="00CF774B">
            <w:pPr>
              <w:jc w:val="center"/>
              <w:rPr>
                <w:rFonts w:cs="Times New Roman"/>
                <w:sz w:val="18"/>
                <w:szCs w:val="18"/>
              </w:rPr>
            </w:pPr>
            <w:r>
              <w:rPr>
                <w:color w:val="000000"/>
                <w:sz w:val="18"/>
                <w:szCs w:val="18"/>
              </w:rPr>
              <w:t>7,5</w:t>
            </w:r>
          </w:p>
        </w:tc>
        <w:tc>
          <w:tcPr>
            <w:tcW w:w="482" w:type="dxa"/>
            <w:gridSpan w:val="2"/>
            <w:tcBorders>
              <w:top w:val="nil"/>
              <w:left w:val="nil"/>
              <w:bottom w:val="nil"/>
              <w:right w:val="nil"/>
            </w:tcBorders>
            <w:shd w:val="clear" w:color="auto" w:fill="auto"/>
            <w:vAlign w:val="center"/>
          </w:tcPr>
          <w:p w14:paraId="4F3F2EBC" w14:textId="77777777" w:rsidR="00C45D5B" w:rsidRPr="00D72F49" w:rsidRDefault="00C45D5B" w:rsidP="00CF774B">
            <w:pPr>
              <w:jc w:val="center"/>
              <w:rPr>
                <w:rFonts w:cs="Times New Roman"/>
                <w:sz w:val="18"/>
                <w:szCs w:val="18"/>
              </w:rPr>
            </w:pPr>
            <w:r>
              <w:rPr>
                <w:color w:val="000000"/>
                <w:sz w:val="18"/>
                <w:szCs w:val="18"/>
              </w:rPr>
              <w:t>8,6</w:t>
            </w:r>
          </w:p>
        </w:tc>
        <w:tc>
          <w:tcPr>
            <w:tcW w:w="482" w:type="dxa"/>
            <w:gridSpan w:val="2"/>
            <w:tcBorders>
              <w:top w:val="nil"/>
              <w:left w:val="nil"/>
              <w:bottom w:val="nil"/>
              <w:right w:val="nil"/>
            </w:tcBorders>
            <w:shd w:val="clear" w:color="auto" w:fill="auto"/>
            <w:vAlign w:val="center"/>
          </w:tcPr>
          <w:p w14:paraId="45F0B0E6" w14:textId="77777777" w:rsidR="00C45D5B" w:rsidRPr="00D72F49" w:rsidRDefault="00C45D5B" w:rsidP="00CF774B">
            <w:pPr>
              <w:jc w:val="center"/>
              <w:rPr>
                <w:rFonts w:cs="Times New Roman"/>
                <w:sz w:val="18"/>
                <w:szCs w:val="18"/>
              </w:rPr>
            </w:pPr>
            <w:r>
              <w:rPr>
                <w:color w:val="000000"/>
                <w:sz w:val="18"/>
                <w:szCs w:val="18"/>
              </w:rPr>
              <w:t>10,4</w:t>
            </w:r>
          </w:p>
        </w:tc>
        <w:tc>
          <w:tcPr>
            <w:tcW w:w="548" w:type="dxa"/>
            <w:gridSpan w:val="3"/>
            <w:tcBorders>
              <w:top w:val="nil"/>
              <w:left w:val="nil"/>
              <w:bottom w:val="nil"/>
              <w:right w:val="nil"/>
            </w:tcBorders>
            <w:shd w:val="clear" w:color="auto" w:fill="auto"/>
            <w:vAlign w:val="center"/>
          </w:tcPr>
          <w:p w14:paraId="3DBF2FC9" w14:textId="77777777" w:rsidR="00C45D5B" w:rsidRPr="00D72F49" w:rsidRDefault="00C45D5B" w:rsidP="00CF774B">
            <w:pPr>
              <w:jc w:val="center"/>
              <w:rPr>
                <w:rFonts w:cs="Times New Roman"/>
                <w:sz w:val="18"/>
                <w:szCs w:val="18"/>
              </w:rPr>
            </w:pPr>
            <w:r>
              <w:rPr>
                <w:color w:val="000000"/>
                <w:sz w:val="18"/>
                <w:szCs w:val="18"/>
              </w:rPr>
              <w:t>11,6</w:t>
            </w:r>
          </w:p>
        </w:tc>
        <w:tc>
          <w:tcPr>
            <w:tcW w:w="555" w:type="dxa"/>
            <w:gridSpan w:val="2"/>
            <w:tcBorders>
              <w:top w:val="nil"/>
              <w:left w:val="nil"/>
              <w:bottom w:val="nil"/>
              <w:right w:val="nil"/>
            </w:tcBorders>
            <w:shd w:val="clear" w:color="auto" w:fill="auto"/>
            <w:vAlign w:val="center"/>
          </w:tcPr>
          <w:p w14:paraId="6A990FC1" w14:textId="77777777" w:rsidR="00C45D5B" w:rsidRPr="00D72F49" w:rsidRDefault="00C45D5B" w:rsidP="00CF774B">
            <w:pPr>
              <w:jc w:val="center"/>
              <w:rPr>
                <w:rFonts w:cs="Times New Roman"/>
                <w:sz w:val="18"/>
                <w:szCs w:val="18"/>
              </w:rPr>
            </w:pPr>
            <w:r>
              <w:rPr>
                <w:color w:val="000000"/>
                <w:sz w:val="18"/>
                <w:szCs w:val="18"/>
              </w:rPr>
              <w:t>11,4</w:t>
            </w:r>
          </w:p>
        </w:tc>
        <w:tc>
          <w:tcPr>
            <w:tcW w:w="320" w:type="dxa"/>
            <w:gridSpan w:val="3"/>
            <w:tcBorders>
              <w:top w:val="nil"/>
              <w:left w:val="nil"/>
              <w:bottom w:val="nil"/>
              <w:right w:val="nil"/>
            </w:tcBorders>
          </w:tcPr>
          <w:p w14:paraId="0CFE41DF" w14:textId="77777777" w:rsidR="00C45D5B" w:rsidRPr="00AB54ED" w:rsidRDefault="00C45D5B" w:rsidP="00CF774B">
            <w:pPr>
              <w:jc w:val="center"/>
              <w:rPr>
                <w:sz w:val="18"/>
                <w:szCs w:val="18"/>
                <w:highlight w:val="yellow"/>
              </w:rPr>
            </w:pPr>
          </w:p>
        </w:tc>
      </w:tr>
      <w:tr w:rsidR="00C45D5B" w:rsidRPr="00AB54ED" w14:paraId="76B6A2A4"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3E42A171" w14:textId="77777777" w:rsidR="00C45D5B" w:rsidRPr="00D72F49" w:rsidRDefault="00C45D5B" w:rsidP="00CF774B">
            <w:pPr>
              <w:ind w:firstLineChars="500" w:firstLine="900"/>
              <w:rPr>
                <w:rFonts w:cs="Times New Roman"/>
                <w:sz w:val="18"/>
                <w:szCs w:val="18"/>
              </w:rPr>
            </w:pPr>
            <w:r w:rsidRPr="00D72F49">
              <w:rPr>
                <w:rFonts w:cs="Times New Roman"/>
                <w:sz w:val="18"/>
                <w:szCs w:val="18"/>
              </w:rPr>
              <w:t>b) Ostatné dôchodky (invalidné, pozostalostné)</w:t>
            </w:r>
          </w:p>
        </w:tc>
        <w:tc>
          <w:tcPr>
            <w:tcW w:w="482" w:type="dxa"/>
            <w:tcBorders>
              <w:top w:val="nil"/>
              <w:left w:val="nil"/>
              <w:bottom w:val="nil"/>
              <w:right w:val="nil"/>
            </w:tcBorders>
            <w:shd w:val="clear" w:color="auto" w:fill="auto"/>
            <w:vAlign w:val="center"/>
            <w:hideMark/>
          </w:tcPr>
          <w:p w14:paraId="1D38407F" w14:textId="77777777" w:rsidR="00C45D5B" w:rsidRPr="00D72F49" w:rsidRDefault="00C45D5B" w:rsidP="00CF774B">
            <w:pPr>
              <w:jc w:val="center"/>
              <w:rPr>
                <w:rFonts w:cs="Times New Roman"/>
                <w:sz w:val="18"/>
                <w:szCs w:val="18"/>
              </w:rPr>
            </w:pPr>
            <w:r>
              <w:rPr>
                <w:color w:val="000000"/>
                <w:sz w:val="18"/>
                <w:szCs w:val="18"/>
              </w:rPr>
              <w:t>2,3</w:t>
            </w:r>
          </w:p>
        </w:tc>
        <w:tc>
          <w:tcPr>
            <w:tcW w:w="482" w:type="dxa"/>
            <w:gridSpan w:val="2"/>
            <w:tcBorders>
              <w:top w:val="nil"/>
              <w:left w:val="nil"/>
              <w:bottom w:val="nil"/>
              <w:right w:val="nil"/>
            </w:tcBorders>
            <w:shd w:val="clear" w:color="auto" w:fill="auto"/>
            <w:vAlign w:val="center"/>
          </w:tcPr>
          <w:p w14:paraId="120F16D1" w14:textId="77777777" w:rsidR="00C45D5B" w:rsidRPr="00D72F49" w:rsidRDefault="00C45D5B" w:rsidP="00CF774B">
            <w:pPr>
              <w:jc w:val="center"/>
              <w:rPr>
                <w:rFonts w:cs="Times New Roman"/>
                <w:sz w:val="18"/>
                <w:szCs w:val="18"/>
              </w:rPr>
            </w:pPr>
            <w:r>
              <w:rPr>
                <w:color w:val="000000"/>
                <w:sz w:val="18"/>
                <w:szCs w:val="18"/>
              </w:rPr>
              <w:t>2,7</w:t>
            </w:r>
          </w:p>
        </w:tc>
        <w:tc>
          <w:tcPr>
            <w:tcW w:w="482" w:type="dxa"/>
            <w:gridSpan w:val="2"/>
            <w:tcBorders>
              <w:top w:val="nil"/>
              <w:left w:val="nil"/>
              <w:bottom w:val="nil"/>
              <w:right w:val="nil"/>
            </w:tcBorders>
            <w:shd w:val="clear" w:color="auto" w:fill="auto"/>
            <w:vAlign w:val="center"/>
          </w:tcPr>
          <w:p w14:paraId="67EAF8C2" w14:textId="77777777" w:rsidR="00C45D5B" w:rsidRPr="00D72F49" w:rsidRDefault="00C45D5B" w:rsidP="00CF774B">
            <w:pPr>
              <w:jc w:val="center"/>
              <w:rPr>
                <w:rFonts w:cs="Times New Roman"/>
                <w:sz w:val="18"/>
                <w:szCs w:val="18"/>
              </w:rPr>
            </w:pPr>
            <w:r>
              <w:rPr>
                <w:color w:val="000000"/>
                <w:sz w:val="18"/>
                <w:szCs w:val="18"/>
              </w:rPr>
              <w:t>3,0</w:t>
            </w:r>
          </w:p>
        </w:tc>
        <w:tc>
          <w:tcPr>
            <w:tcW w:w="482" w:type="dxa"/>
            <w:gridSpan w:val="2"/>
            <w:tcBorders>
              <w:top w:val="nil"/>
              <w:left w:val="nil"/>
              <w:bottom w:val="nil"/>
              <w:right w:val="nil"/>
            </w:tcBorders>
            <w:shd w:val="clear" w:color="auto" w:fill="auto"/>
            <w:vAlign w:val="center"/>
          </w:tcPr>
          <w:p w14:paraId="3C562A74" w14:textId="77777777" w:rsidR="00C45D5B" w:rsidRPr="00D72F49" w:rsidRDefault="00C45D5B" w:rsidP="00CF774B">
            <w:pPr>
              <w:jc w:val="center"/>
              <w:rPr>
                <w:rFonts w:cs="Times New Roman"/>
                <w:sz w:val="18"/>
                <w:szCs w:val="18"/>
              </w:rPr>
            </w:pPr>
            <w:r>
              <w:rPr>
                <w:color w:val="000000"/>
                <w:sz w:val="18"/>
                <w:szCs w:val="18"/>
              </w:rPr>
              <w:t>3,0</w:t>
            </w:r>
          </w:p>
        </w:tc>
        <w:tc>
          <w:tcPr>
            <w:tcW w:w="548" w:type="dxa"/>
            <w:gridSpan w:val="3"/>
            <w:tcBorders>
              <w:top w:val="nil"/>
              <w:left w:val="nil"/>
              <w:bottom w:val="nil"/>
              <w:right w:val="nil"/>
            </w:tcBorders>
            <w:shd w:val="clear" w:color="auto" w:fill="auto"/>
            <w:vAlign w:val="center"/>
          </w:tcPr>
          <w:p w14:paraId="50A78745" w14:textId="77777777" w:rsidR="00C45D5B" w:rsidRPr="00D72F49" w:rsidRDefault="00C45D5B" w:rsidP="00CF774B">
            <w:pPr>
              <w:jc w:val="center"/>
              <w:rPr>
                <w:rFonts w:cs="Times New Roman"/>
                <w:sz w:val="18"/>
                <w:szCs w:val="18"/>
              </w:rPr>
            </w:pPr>
            <w:r>
              <w:rPr>
                <w:color w:val="000000"/>
                <w:sz w:val="18"/>
                <w:szCs w:val="18"/>
              </w:rPr>
              <w:t>2,9</w:t>
            </w:r>
          </w:p>
        </w:tc>
        <w:tc>
          <w:tcPr>
            <w:tcW w:w="555" w:type="dxa"/>
            <w:gridSpan w:val="2"/>
            <w:tcBorders>
              <w:top w:val="nil"/>
              <w:left w:val="nil"/>
              <w:bottom w:val="nil"/>
              <w:right w:val="nil"/>
            </w:tcBorders>
            <w:shd w:val="clear" w:color="auto" w:fill="auto"/>
            <w:vAlign w:val="center"/>
          </w:tcPr>
          <w:p w14:paraId="45FD47D2" w14:textId="77777777" w:rsidR="00C45D5B" w:rsidRPr="00D72F49" w:rsidRDefault="00C45D5B" w:rsidP="00CF774B">
            <w:pPr>
              <w:jc w:val="center"/>
              <w:rPr>
                <w:rFonts w:cs="Times New Roman"/>
                <w:sz w:val="18"/>
                <w:szCs w:val="18"/>
              </w:rPr>
            </w:pPr>
            <w:r>
              <w:rPr>
                <w:color w:val="000000"/>
                <w:sz w:val="18"/>
                <w:szCs w:val="18"/>
              </w:rPr>
              <w:t>2,8</w:t>
            </w:r>
          </w:p>
        </w:tc>
        <w:tc>
          <w:tcPr>
            <w:tcW w:w="320" w:type="dxa"/>
            <w:gridSpan w:val="3"/>
            <w:tcBorders>
              <w:top w:val="nil"/>
              <w:left w:val="nil"/>
              <w:bottom w:val="nil"/>
              <w:right w:val="nil"/>
            </w:tcBorders>
          </w:tcPr>
          <w:p w14:paraId="20B91064" w14:textId="77777777" w:rsidR="00C45D5B" w:rsidRPr="00AB54ED" w:rsidRDefault="00C45D5B" w:rsidP="00CF774B">
            <w:pPr>
              <w:jc w:val="center"/>
              <w:rPr>
                <w:sz w:val="18"/>
                <w:szCs w:val="18"/>
                <w:highlight w:val="yellow"/>
              </w:rPr>
            </w:pPr>
          </w:p>
        </w:tc>
      </w:tr>
      <w:tr w:rsidR="00C45D5B" w:rsidRPr="00AB54ED" w14:paraId="23D811F5"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578A775F" w14:textId="77777777" w:rsidR="00C45D5B" w:rsidRPr="00D72F49" w:rsidRDefault="00C45D5B" w:rsidP="00CF774B">
            <w:pPr>
              <w:ind w:firstLineChars="300" w:firstLine="540"/>
              <w:rPr>
                <w:rFonts w:cs="Times New Roman"/>
                <w:sz w:val="18"/>
                <w:szCs w:val="18"/>
              </w:rPr>
            </w:pPr>
            <w:r w:rsidRPr="00D72F49">
              <w:rPr>
                <w:rFonts w:cs="Times New Roman"/>
                <w:sz w:val="18"/>
                <w:szCs w:val="18"/>
              </w:rPr>
              <w:t>B. Zdravotná starostlivosť</w:t>
            </w:r>
          </w:p>
        </w:tc>
        <w:tc>
          <w:tcPr>
            <w:tcW w:w="482" w:type="dxa"/>
            <w:tcBorders>
              <w:top w:val="nil"/>
              <w:left w:val="nil"/>
              <w:bottom w:val="nil"/>
              <w:right w:val="nil"/>
            </w:tcBorders>
            <w:shd w:val="clear" w:color="auto" w:fill="auto"/>
            <w:vAlign w:val="center"/>
            <w:hideMark/>
          </w:tcPr>
          <w:p w14:paraId="761252D9" w14:textId="77777777" w:rsidR="00C45D5B" w:rsidRPr="00D72F49" w:rsidRDefault="00C45D5B" w:rsidP="00CF774B">
            <w:pPr>
              <w:jc w:val="center"/>
              <w:rPr>
                <w:rFonts w:cs="Times New Roman"/>
                <w:sz w:val="18"/>
                <w:szCs w:val="18"/>
              </w:rPr>
            </w:pPr>
            <w:r>
              <w:rPr>
                <w:color w:val="000000"/>
                <w:sz w:val="18"/>
                <w:szCs w:val="18"/>
              </w:rPr>
              <w:t>6,3</w:t>
            </w:r>
          </w:p>
        </w:tc>
        <w:tc>
          <w:tcPr>
            <w:tcW w:w="482" w:type="dxa"/>
            <w:gridSpan w:val="2"/>
            <w:tcBorders>
              <w:top w:val="nil"/>
              <w:left w:val="nil"/>
              <w:bottom w:val="nil"/>
              <w:right w:val="nil"/>
            </w:tcBorders>
            <w:shd w:val="clear" w:color="auto" w:fill="auto"/>
            <w:vAlign w:val="center"/>
          </w:tcPr>
          <w:p w14:paraId="380138C8" w14:textId="77777777" w:rsidR="00C45D5B" w:rsidRPr="00D72F49" w:rsidRDefault="00C45D5B" w:rsidP="00CF774B">
            <w:pPr>
              <w:jc w:val="center"/>
              <w:rPr>
                <w:rFonts w:cs="Times New Roman"/>
                <w:sz w:val="18"/>
                <w:szCs w:val="18"/>
              </w:rPr>
            </w:pPr>
            <w:r>
              <w:rPr>
                <w:color w:val="000000"/>
                <w:sz w:val="18"/>
                <w:szCs w:val="18"/>
              </w:rPr>
              <w:t>6,9</w:t>
            </w:r>
          </w:p>
        </w:tc>
        <w:tc>
          <w:tcPr>
            <w:tcW w:w="482" w:type="dxa"/>
            <w:gridSpan w:val="2"/>
            <w:tcBorders>
              <w:top w:val="nil"/>
              <w:left w:val="nil"/>
              <w:bottom w:val="nil"/>
              <w:right w:val="nil"/>
            </w:tcBorders>
            <w:shd w:val="clear" w:color="auto" w:fill="auto"/>
            <w:vAlign w:val="center"/>
          </w:tcPr>
          <w:p w14:paraId="21EC2481" w14:textId="77777777" w:rsidR="00C45D5B" w:rsidRPr="00D72F49" w:rsidRDefault="00C45D5B" w:rsidP="00CF774B">
            <w:pPr>
              <w:jc w:val="center"/>
              <w:rPr>
                <w:rFonts w:cs="Times New Roman"/>
                <w:sz w:val="18"/>
                <w:szCs w:val="18"/>
              </w:rPr>
            </w:pPr>
            <w:r>
              <w:rPr>
                <w:color w:val="000000"/>
                <w:sz w:val="18"/>
                <w:szCs w:val="18"/>
              </w:rPr>
              <w:t>7,5</w:t>
            </w:r>
          </w:p>
        </w:tc>
        <w:tc>
          <w:tcPr>
            <w:tcW w:w="482" w:type="dxa"/>
            <w:gridSpan w:val="2"/>
            <w:tcBorders>
              <w:top w:val="nil"/>
              <w:left w:val="nil"/>
              <w:bottom w:val="nil"/>
              <w:right w:val="nil"/>
            </w:tcBorders>
            <w:shd w:val="clear" w:color="auto" w:fill="auto"/>
            <w:vAlign w:val="center"/>
          </w:tcPr>
          <w:p w14:paraId="7B412627" w14:textId="77777777" w:rsidR="00C45D5B" w:rsidRPr="00D72F49" w:rsidRDefault="00C45D5B" w:rsidP="00CF774B">
            <w:pPr>
              <w:jc w:val="center"/>
              <w:rPr>
                <w:rFonts w:cs="Times New Roman"/>
                <w:sz w:val="18"/>
                <w:szCs w:val="18"/>
              </w:rPr>
            </w:pPr>
            <w:r>
              <w:rPr>
                <w:color w:val="000000"/>
                <w:sz w:val="18"/>
                <w:szCs w:val="18"/>
              </w:rPr>
              <w:t>7,9</w:t>
            </w:r>
          </w:p>
        </w:tc>
        <w:tc>
          <w:tcPr>
            <w:tcW w:w="548" w:type="dxa"/>
            <w:gridSpan w:val="3"/>
            <w:tcBorders>
              <w:top w:val="nil"/>
              <w:left w:val="nil"/>
              <w:bottom w:val="nil"/>
              <w:right w:val="nil"/>
            </w:tcBorders>
            <w:shd w:val="clear" w:color="auto" w:fill="auto"/>
            <w:vAlign w:val="center"/>
          </w:tcPr>
          <w:p w14:paraId="0D619657" w14:textId="77777777" w:rsidR="00C45D5B" w:rsidRPr="00D72F49" w:rsidRDefault="00C45D5B" w:rsidP="00CF774B">
            <w:pPr>
              <w:jc w:val="center"/>
              <w:rPr>
                <w:rFonts w:cs="Times New Roman"/>
                <w:sz w:val="18"/>
                <w:szCs w:val="18"/>
              </w:rPr>
            </w:pPr>
            <w:r>
              <w:rPr>
                <w:color w:val="000000"/>
                <w:sz w:val="18"/>
                <w:szCs w:val="18"/>
              </w:rPr>
              <w:t>8,2</w:t>
            </w:r>
          </w:p>
        </w:tc>
        <w:tc>
          <w:tcPr>
            <w:tcW w:w="555" w:type="dxa"/>
            <w:gridSpan w:val="2"/>
            <w:tcBorders>
              <w:top w:val="nil"/>
              <w:left w:val="nil"/>
              <w:bottom w:val="nil"/>
              <w:right w:val="nil"/>
            </w:tcBorders>
            <w:shd w:val="clear" w:color="auto" w:fill="auto"/>
            <w:vAlign w:val="center"/>
          </w:tcPr>
          <w:p w14:paraId="73D137EE" w14:textId="77777777" w:rsidR="00C45D5B" w:rsidRPr="00D72F49" w:rsidRDefault="00C45D5B" w:rsidP="00CF774B">
            <w:pPr>
              <w:jc w:val="center"/>
              <w:rPr>
                <w:rFonts w:cs="Times New Roman"/>
                <w:sz w:val="18"/>
                <w:szCs w:val="18"/>
              </w:rPr>
            </w:pPr>
            <w:r>
              <w:rPr>
                <w:color w:val="000000"/>
                <w:sz w:val="18"/>
                <w:szCs w:val="18"/>
              </w:rPr>
              <w:t>8,2</w:t>
            </w:r>
          </w:p>
        </w:tc>
        <w:tc>
          <w:tcPr>
            <w:tcW w:w="320" w:type="dxa"/>
            <w:gridSpan w:val="3"/>
            <w:tcBorders>
              <w:top w:val="nil"/>
              <w:left w:val="nil"/>
              <w:bottom w:val="nil"/>
              <w:right w:val="nil"/>
            </w:tcBorders>
          </w:tcPr>
          <w:p w14:paraId="3C5BABBC" w14:textId="77777777" w:rsidR="00C45D5B" w:rsidRPr="00AB54ED" w:rsidRDefault="00C45D5B" w:rsidP="00CF774B">
            <w:pPr>
              <w:jc w:val="center"/>
              <w:rPr>
                <w:sz w:val="18"/>
                <w:szCs w:val="18"/>
                <w:highlight w:val="yellow"/>
              </w:rPr>
            </w:pPr>
          </w:p>
        </w:tc>
      </w:tr>
      <w:tr w:rsidR="00C45D5B" w:rsidRPr="00AB54ED" w14:paraId="6A1C3D5B"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3335A27F" w14:textId="77777777" w:rsidR="00C45D5B" w:rsidRPr="00D72F49" w:rsidRDefault="00C45D5B" w:rsidP="00CF774B">
            <w:pPr>
              <w:ind w:firstLineChars="300" w:firstLine="540"/>
              <w:rPr>
                <w:rFonts w:cs="Times New Roman"/>
                <w:sz w:val="18"/>
                <w:szCs w:val="18"/>
              </w:rPr>
            </w:pPr>
            <w:r w:rsidRPr="00D72F49">
              <w:rPr>
                <w:rFonts w:cs="Times New Roman"/>
                <w:sz w:val="18"/>
                <w:szCs w:val="18"/>
              </w:rPr>
              <w:t xml:space="preserve">C. Dlhodobá starostlivosť </w:t>
            </w:r>
          </w:p>
        </w:tc>
        <w:tc>
          <w:tcPr>
            <w:tcW w:w="482" w:type="dxa"/>
            <w:tcBorders>
              <w:top w:val="nil"/>
              <w:left w:val="nil"/>
              <w:bottom w:val="nil"/>
              <w:right w:val="nil"/>
            </w:tcBorders>
            <w:shd w:val="clear" w:color="auto" w:fill="auto"/>
            <w:vAlign w:val="center"/>
            <w:hideMark/>
          </w:tcPr>
          <w:p w14:paraId="2BA7A859" w14:textId="77777777" w:rsidR="00C45D5B" w:rsidRPr="00D72F49" w:rsidRDefault="00C45D5B" w:rsidP="00CF774B">
            <w:pPr>
              <w:jc w:val="center"/>
              <w:rPr>
                <w:rFonts w:cs="Times New Roman"/>
                <w:sz w:val="18"/>
                <w:szCs w:val="18"/>
              </w:rPr>
            </w:pPr>
            <w:r>
              <w:rPr>
                <w:color w:val="000000"/>
                <w:sz w:val="18"/>
                <w:szCs w:val="18"/>
              </w:rPr>
              <w:t>1,0</w:t>
            </w:r>
          </w:p>
        </w:tc>
        <w:tc>
          <w:tcPr>
            <w:tcW w:w="482" w:type="dxa"/>
            <w:gridSpan w:val="2"/>
            <w:tcBorders>
              <w:top w:val="nil"/>
              <w:left w:val="nil"/>
              <w:bottom w:val="nil"/>
              <w:right w:val="nil"/>
            </w:tcBorders>
            <w:shd w:val="clear" w:color="auto" w:fill="auto"/>
            <w:vAlign w:val="center"/>
          </w:tcPr>
          <w:p w14:paraId="59F21960" w14:textId="77777777" w:rsidR="00C45D5B" w:rsidRPr="00D72F49" w:rsidRDefault="00C45D5B" w:rsidP="00CF774B">
            <w:pPr>
              <w:jc w:val="center"/>
              <w:rPr>
                <w:rFonts w:cs="Times New Roman"/>
                <w:sz w:val="18"/>
                <w:szCs w:val="18"/>
              </w:rPr>
            </w:pPr>
            <w:r>
              <w:rPr>
                <w:color w:val="000000"/>
                <w:sz w:val="18"/>
                <w:szCs w:val="18"/>
              </w:rPr>
              <w:t>1,2</w:t>
            </w:r>
          </w:p>
        </w:tc>
        <w:tc>
          <w:tcPr>
            <w:tcW w:w="482" w:type="dxa"/>
            <w:gridSpan w:val="2"/>
            <w:tcBorders>
              <w:top w:val="nil"/>
              <w:left w:val="nil"/>
              <w:bottom w:val="nil"/>
              <w:right w:val="nil"/>
            </w:tcBorders>
            <w:shd w:val="clear" w:color="auto" w:fill="auto"/>
            <w:vAlign w:val="center"/>
          </w:tcPr>
          <w:p w14:paraId="37C456CF" w14:textId="77777777" w:rsidR="00C45D5B" w:rsidRPr="00D72F49" w:rsidRDefault="00C45D5B" w:rsidP="00CF774B">
            <w:pPr>
              <w:jc w:val="center"/>
              <w:rPr>
                <w:rFonts w:cs="Times New Roman"/>
                <w:sz w:val="18"/>
                <w:szCs w:val="18"/>
              </w:rPr>
            </w:pPr>
            <w:r>
              <w:rPr>
                <w:color w:val="000000"/>
                <w:sz w:val="18"/>
                <w:szCs w:val="18"/>
              </w:rPr>
              <w:t>1,7</w:t>
            </w:r>
          </w:p>
        </w:tc>
        <w:tc>
          <w:tcPr>
            <w:tcW w:w="482" w:type="dxa"/>
            <w:gridSpan w:val="2"/>
            <w:tcBorders>
              <w:top w:val="nil"/>
              <w:left w:val="nil"/>
              <w:bottom w:val="nil"/>
              <w:right w:val="nil"/>
            </w:tcBorders>
            <w:shd w:val="clear" w:color="auto" w:fill="auto"/>
            <w:vAlign w:val="center"/>
          </w:tcPr>
          <w:p w14:paraId="0243225D" w14:textId="77777777" w:rsidR="00C45D5B" w:rsidRPr="00D72F49" w:rsidRDefault="00C45D5B" w:rsidP="00CF774B">
            <w:pPr>
              <w:jc w:val="center"/>
              <w:rPr>
                <w:rFonts w:cs="Times New Roman"/>
                <w:sz w:val="18"/>
                <w:szCs w:val="18"/>
              </w:rPr>
            </w:pPr>
            <w:r>
              <w:rPr>
                <w:color w:val="000000"/>
                <w:sz w:val="18"/>
                <w:szCs w:val="18"/>
              </w:rPr>
              <w:t>2,1</w:t>
            </w:r>
          </w:p>
        </w:tc>
        <w:tc>
          <w:tcPr>
            <w:tcW w:w="548" w:type="dxa"/>
            <w:gridSpan w:val="3"/>
            <w:tcBorders>
              <w:top w:val="nil"/>
              <w:left w:val="nil"/>
              <w:bottom w:val="nil"/>
              <w:right w:val="nil"/>
            </w:tcBorders>
            <w:shd w:val="clear" w:color="auto" w:fill="auto"/>
            <w:vAlign w:val="center"/>
          </w:tcPr>
          <w:p w14:paraId="6489F11F" w14:textId="77777777" w:rsidR="00C45D5B" w:rsidRPr="00D72F49" w:rsidRDefault="00C45D5B" w:rsidP="00CF774B">
            <w:pPr>
              <w:jc w:val="center"/>
              <w:rPr>
                <w:rFonts w:cs="Times New Roman"/>
                <w:sz w:val="18"/>
                <w:szCs w:val="18"/>
              </w:rPr>
            </w:pPr>
            <w:r>
              <w:rPr>
                <w:color w:val="000000"/>
                <w:sz w:val="18"/>
                <w:szCs w:val="18"/>
              </w:rPr>
              <w:t>2,5</w:t>
            </w:r>
          </w:p>
        </w:tc>
        <w:tc>
          <w:tcPr>
            <w:tcW w:w="555" w:type="dxa"/>
            <w:gridSpan w:val="2"/>
            <w:tcBorders>
              <w:top w:val="nil"/>
              <w:left w:val="nil"/>
              <w:bottom w:val="nil"/>
              <w:right w:val="nil"/>
            </w:tcBorders>
            <w:shd w:val="clear" w:color="auto" w:fill="auto"/>
            <w:vAlign w:val="center"/>
          </w:tcPr>
          <w:p w14:paraId="1AF419F8" w14:textId="77777777" w:rsidR="00C45D5B" w:rsidRPr="00D72F49" w:rsidRDefault="00C45D5B" w:rsidP="00CF774B">
            <w:pPr>
              <w:jc w:val="center"/>
              <w:rPr>
                <w:rFonts w:cs="Times New Roman"/>
                <w:sz w:val="18"/>
                <w:szCs w:val="18"/>
              </w:rPr>
            </w:pPr>
            <w:r>
              <w:rPr>
                <w:color w:val="000000"/>
                <w:sz w:val="18"/>
                <w:szCs w:val="18"/>
              </w:rPr>
              <w:t>2,9</w:t>
            </w:r>
          </w:p>
        </w:tc>
        <w:tc>
          <w:tcPr>
            <w:tcW w:w="320" w:type="dxa"/>
            <w:gridSpan w:val="3"/>
            <w:tcBorders>
              <w:top w:val="nil"/>
              <w:left w:val="nil"/>
              <w:bottom w:val="nil"/>
              <w:right w:val="nil"/>
            </w:tcBorders>
          </w:tcPr>
          <w:p w14:paraId="2194F232" w14:textId="77777777" w:rsidR="00C45D5B" w:rsidRPr="00AB54ED" w:rsidRDefault="00C45D5B" w:rsidP="00CF774B">
            <w:pPr>
              <w:jc w:val="center"/>
              <w:rPr>
                <w:sz w:val="18"/>
                <w:szCs w:val="18"/>
                <w:highlight w:val="yellow"/>
              </w:rPr>
            </w:pPr>
          </w:p>
        </w:tc>
      </w:tr>
      <w:tr w:rsidR="00C45D5B" w:rsidRPr="00AB54ED" w14:paraId="13F10B95"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586ABA0D" w14:textId="77777777" w:rsidR="00C45D5B" w:rsidRPr="00D72F49" w:rsidRDefault="00C45D5B" w:rsidP="00CF774B">
            <w:pPr>
              <w:ind w:firstLineChars="300" w:firstLine="540"/>
              <w:rPr>
                <w:rFonts w:cs="Times New Roman"/>
                <w:sz w:val="18"/>
                <w:szCs w:val="18"/>
              </w:rPr>
            </w:pPr>
            <w:r w:rsidRPr="00D72F49">
              <w:rPr>
                <w:rFonts w:cs="Times New Roman"/>
                <w:sz w:val="18"/>
                <w:szCs w:val="18"/>
              </w:rPr>
              <w:t>D. Školstvo</w:t>
            </w:r>
          </w:p>
        </w:tc>
        <w:tc>
          <w:tcPr>
            <w:tcW w:w="482" w:type="dxa"/>
            <w:tcBorders>
              <w:top w:val="nil"/>
              <w:left w:val="nil"/>
              <w:bottom w:val="nil"/>
              <w:right w:val="nil"/>
            </w:tcBorders>
            <w:shd w:val="clear" w:color="auto" w:fill="auto"/>
            <w:vAlign w:val="center"/>
            <w:hideMark/>
          </w:tcPr>
          <w:p w14:paraId="11707771" w14:textId="77777777" w:rsidR="00C45D5B" w:rsidRPr="00D72F49" w:rsidRDefault="00C45D5B" w:rsidP="00CF774B">
            <w:pPr>
              <w:jc w:val="center"/>
              <w:rPr>
                <w:rFonts w:cs="Times New Roman"/>
                <w:sz w:val="18"/>
                <w:szCs w:val="18"/>
              </w:rPr>
            </w:pPr>
            <w:r>
              <w:rPr>
                <w:color w:val="000000"/>
                <w:sz w:val="18"/>
                <w:szCs w:val="18"/>
              </w:rPr>
              <w:t>3,3</w:t>
            </w:r>
          </w:p>
        </w:tc>
        <w:tc>
          <w:tcPr>
            <w:tcW w:w="482" w:type="dxa"/>
            <w:gridSpan w:val="2"/>
            <w:tcBorders>
              <w:top w:val="nil"/>
              <w:left w:val="nil"/>
              <w:bottom w:val="nil"/>
              <w:right w:val="nil"/>
            </w:tcBorders>
            <w:shd w:val="clear" w:color="auto" w:fill="auto"/>
            <w:vAlign w:val="center"/>
          </w:tcPr>
          <w:p w14:paraId="22A2E10D" w14:textId="77777777" w:rsidR="00C45D5B" w:rsidRPr="00D72F49" w:rsidRDefault="00C45D5B" w:rsidP="00CF774B">
            <w:pPr>
              <w:jc w:val="center"/>
              <w:rPr>
                <w:rFonts w:cs="Times New Roman"/>
                <w:sz w:val="18"/>
                <w:szCs w:val="18"/>
              </w:rPr>
            </w:pPr>
            <w:r>
              <w:rPr>
                <w:color w:val="000000"/>
                <w:sz w:val="18"/>
                <w:szCs w:val="18"/>
              </w:rPr>
              <w:t>3,6</w:t>
            </w:r>
          </w:p>
        </w:tc>
        <w:tc>
          <w:tcPr>
            <w:tcW w:w="482" w:type="dxa"/>
            <w:gridSpan w:val="2"/>
            <w:tcBorders>
              <w:top w:val="nil"/>
              <w:left w:val="nil"/>
              <w:bottom w:val="nil"/>
              <w:right w:val="nil"/>
            </w:tcBorders>
            <w:shd w:val="clear" w:color="auto" w:fill="auto"/>
            <w:vAlign w:val="center"/>
          </w:tcPr>
          <w:p w14:paraId="5DA06FA3" w14:textId="77777777" w:rsidR="00C45D5B" w:rsidRPr="00D72F49" w:rsidRDefault="00C45D5B" w:rsidP="00CF774B">
            <w:pPr>
              <w:jc w:val="center"/>
              <w:rPr>
                <w:rFonts w:cs="Times New Roman"/>
                <w:sz w:val="18"/>
                <w:szCs w:val="18"/>
              </w:rPr>
            </w:pPr>
            <w:r>
              <w:rPr>
                <w:color w:val="000000"/>
                <w:sz w:val="18"/>
                <w:szCs w:val="18"/>
              </w:rPr>
              <w:t>3,5</w:t>
            </w:r>
          </w:p>
        </w:tc>
        <w:tc>
          <w:tcPr>
            <w:tcW w:w="482" w:type="dxa"/>
            <w:gridSpan w:val="2"/>
            <w:tcBorders>
              <w:top w:val="nil"/>
              <w:left w:val="nil"/>
              <w:bottom w:val="nil"/>
              <w:right w:val="nil"/>
            </w:tcBorders>
            <w:shd w:val="clear" w:color="auto" w:fill="auto"/>
            <w:vAlign w:val="center"/>
          </w:tcPr>
          <w:p w14:paraId="6EE797BB" w14:textId="77777777" w:rsidR="00C45D5B" w:rsidRPr="00D72F49" w:rsidRDefault="00C45D5B" w:rsidP="00CF774B">
            <w:pPr>
              <w:jc w:val="center"/>
              <w:rPr>
                <w:rFonts w:cs="Times New Roman"/>
                <w:sz w:val="18"/>
                <w:szCs w:val="18"/>
              </w:rPr>
            </w:pPr>
            <w:r>
              <w:rPr>
                <w:color w:val="000000"/>
                <w:sz w:val="18"/>
                <w:szCs w:val="18"/>
              </w:rPr>
              <w:t>3,6</w:t>
            </w:r>
          </w:p>
        </w:tc>
        <w:tc>
          <w:tcPr>
            <w:tcW w:w="548" w:type="dxa"/>
            <w:gridSpan w:val="3"/>
            <w:tcBorders>
              <w:top w:val="nil"/>
              <w:left w:val="nil"/>
              <w:bottom w:val="nil"/>
              <w:right w:val="nil"/>
            </w:tcBorders>
            <w:shd w:val="clear" w:color="auto" w:fill="auto"/>
            <w:vAlign w:val="center"/>
          </w:tcPr>
          <w:p w14:paraId="45B4C0C4" w14:textId="77777777" w:rsidR="00C45D5B" w:rsidRPr="00D72F49" w:rsidRDefault="00C45D5B" w:rsidP="00CF774B">
            <w:pPr>
              <w:jc w:val="center"/>
              <w:rPr>
                <w:rFonts w:cs="Times New Roman"/>
                <w:sz w:val="18"/>
                <w:szCs w:val="18"/>
              </w:rPr>
            </w:pPr>
            <w:r>
              <w:rPr>
                <w:color w:val="000000"/>
                <w:sz w:val="18"/>
                <w:szCs w:val="18"/>
              </w:rPr>
              <w:t>3,8</w:t>
            </w:r>
          </w:p>
        </w:tc>
        <w:tc>
          <w:tcPr>
            <w:tcW w:w="555" w:type="dxa"/>
            <w:gridSpan w:val="2"/>
            <w:tcBorders>
              <w:top w:val="nil"/>
              <w:left w:val="nil"/>
              <w:bottom w:val="nil"/>
              <w:right w:val="nil"/>
            </w:tcBorders>
            <w:shd w:val="clear" w:color="auto" w:fill="auto"/>
            <w:vAlign w:val="center"/>
          </w:tcPr>
          <w:p w14:paraId="42540555" w14:textId="77777777" w:rsidR="00C45D5B" w:rsidRPr="00D72F49" w:rsidRDefault="00C45D5B" w:rsidP="00CF774B">
            <w:pPr>
              <w:jc w:val="center"/>
              <w:rPr>
                <w:rFonts w:cs="Times New Roman"/>
                <w:sz w:val="18"/>
                <w:szCs w:val="18"/>
              </w:rPr>
            </w:pPr>
            <w:r>
              <w:rPr>
                <w:color w:val="000000"/>
                <w:sz w:val="18"/>
                <w:szCs w:val="18"/>
              </w:rPr>
              <w:t>3,8</w:t>
            </w:r>
          </w:p>
        </w:tc>
        <w:tc>
          <w:tcPr>
            <w:tcW w:w="320" w:type="dxa"/>
            <w:gridSpan w:val="3"/>
            <w:tcBorders>
              <w:top w:val="nil"/>
              <w:left w:val="nil"/>
              <w:bottom w:val="nil"/>
              <w:right w:val="nil"/>
            </w:tcBorders>
          </w:tcPr>
          <w:p w14:paraId="2C5D5776" w14:textId="77777777" w:rsidR="00C45D5B" w:rsidRPr="00AB54ED" w:rsidRDefault="00C45D5B" w:rsidP="00CF774B">
            <w:pPr>
              <w:jc w:val="center"/>
              <w:rPr>
                <w:sz w:val="18"/>
                <w:szCs w:val="18"/>
                <w:highlight w:val="yellow"/>
              </w:rPr>
            </w:pPr>
          </w:p>
        </w:tc>
      </w:tr>
      <w:tr w:rsidR="00C45D5B" w:rsidRPr="00AB54ED" w14:paraId="2BEC90C9"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21561212" w14:textId="77777777" w:rsidR="00C45D5B" w:rsidRPr="00D72F49" w:rsidRDefault="00C45D5B" w:rsidP="00CF774B">
            <w:pPr>
              <w:ind w:firstLineChars="300" w:firstLine="540"/>
              <w:rPr>
                <w:rFonts w:cs="Times New Roman"/>
                <w:sz w:val="18"/>
                <w:szCs w:val="18"/>
              </w:rPr>
            </w:pPr>
            <w:r w:rsidRPr="00D72F49">
              <w:rPr>
                <w:rFonts w:cs="Times New Roman"/>
                <w:sz w:val="18"/>
                <w:szCs w:val="18"/>
              </w:rPr>
              <w:t>E. Ostatné výdavky ovplyvnené starnutím populácie</w:t>
            </w:r>
          </w:p>
        </w:tc>
        <w:tc>
          <w:tcPr>
            <w:tcW w:w="482" w:type="dxa"/>
            <w:tcBorders>
              <w:top w:val="nil"/>
              <w:left w:val="nil"/>
              <w:bottom w:val="nil"/>
              <w:right w:val="nil"/>
            </w:tcBorders>
            <w:shd w:val="clear" w:color="auto" w:fill="auto"/>
            <w:vAlign w:val="center"/>
            <w:hideMark/>
          </w:tcPr>
          <w:p w14:paraId="7E000631"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61FA74D8"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606163CD"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133E8771" w14:textId="77777777" w:rsidR="00C45D5B" w:rsidRPr="00D72F49" w:rsidRDefault="00C45D5B" w:rsidP="00CF774B">
            <w:pPr>
              <w:jc w:val="center"/>
              <w:rPr>
                <w:rFonts w:cs="Times New Roman"/>
                <w:sz w:val="18"/>
                <w:szCs w:val="18"/>
              </w:rPr>
            </w:pPr>
          </w:p>
        </w:tc>
        <w:tc>
          <w:tcPr>
            <w:tcW w:w="548" w:type="dxa"/>
            <w:gridSpan w:val="3"/>
            <w:tcBorders>
              <w:top w:val="nil"/>
              <w:left w:val="nil"/>
              <w:bottom w:val="nil"/>
              <w:right w:val="nil"/>
            </w:tcBorders>
            <w:shd w:val="clear" w:color="auto" w:fill="auto"/>
            <w:vAlign w:val="center"/>
          </w:tcPr>
          <w:p w14:paraId="60DEB6F7" w14:textId="77777777" w:rsidR="00C45D5B" w:rsidRPr="00D72F49" w:rsidRDefault="00C45D5B" w:rsidP="00CF774B">
            <w:pPr>
              <w:jc w:val="center"/>
              <w:rPr>
                <w:rFonts w:cs="Times New Roman"/>
                <w:sz w:val="18"/>
                <w:szCs w:val="18"/>
              </w:rPr>
            </w:pPr>
          </w:p>
        </w:tc>
        <w:tc>
          <w:tcPr>
            <w:tcW w:w="555" w:type="dxa"/>
            <w:gridSpan w:val="2"/>
            <w:tcBorders>
              <w:top w:val="nil"/>
              <w:left w:val="nil"/>
              <w:bottom w:val="nil"/>
              <w:right w:val="nil"/>
            </w:tcBorders>
            <w:shd w:val="clear" w:color="auto" w:fill="auto"/>
            <w:vAlign w:val="center"/>
          </w:tcPr>
          <w:p w14:paraId="5B1E156B" w14:textId="77777777" w:rsidR="00C45D5B" w:rsidRPr="00D72F49" w:rsidRDefault="00C45D5B" w:rsidP="00CF774B">
            <w:pPr>
              <w:jc w:val="center"/>
              <w:rPr>
                <w:rFonts w:cs="Times New Roman"/>
                <w:sz w:val="18"/>
                <w:szCs w:val="18"/>
              </w:rPr>
            </w:pPr>
          </w:p>
        </w:tc>
        <w:tc>
          <w:tcPr>
            <w:tcW w:w="320" w:type="dxa"/>
            <w:gridSpan w:val="3"/>
            <w:tcBorders>
              <w:top w:val="nil"/>
              <w:left w:val="nil"/>
              <w:bottom w:val="nil"/>
              <w:right w:val="nil"/>
            </w:tcBorders>
          </w:tcPr>
          <w:p w14:paraId="2C289518" w14:textId="77777777" w:rsidR="00C45D5B" w:rsidRPr="00AB54ED" w:rsidRDefault="00C45D5B" w:rsidP="00CF774B">
            <w:pPr>
              <w:jc w:val="center"/>
              <w:rPr>
                <w:sz w:val="18"/>
                <w:szCs w:val="18"/>
                <w:highlight w:val="yellow"/>
              </w:rPr>
            </w:pPr>
          </w:p>
        </w:tc>
      </w:tr>
      <w:tr w:rsidR="00C45D5B" w:rsidRPr="00AB54ED" w14:paraId="0B45FED2"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2D7B4B68" w14:textId="77777777" w:rsidR="00C45D5B" w:rsidRPr="00D72F49" w:rsidRDefault="00C45D5B" w:rsidP="00CF774B">
            <w:pPr>
              <w:ind w:firstLineChars="200" w:firstLine="360"/>
              <w:rPr>
                <w:rFonts w:cs="Times New Roman"/>
                <w:sz w:val="18"/>
                <w:szCs w:val="18"/>
              </w:rPr>
            </w:pPr>
            <w:r w:rsidRPr="00D72F49">
              <w:rPr>
                <w:rFonts w:cs="Times New Roman"/>
                <w:sz w:val="18"/>
                <w:szCs w:val="18"/>
              </w:rPr>
              <w:t>Z toho: Úroky</w:t>
            </w:r>
          </w:p>
        </w:tc>
        <w:tc>
          <w:tcPr>
            <w:tcW w:w="482" w:type="dxa"/>
            <w:tcBorders>
              <w:top w:val="nil"/>
              <w:left w:val="nil"/>
              <w:bottom w:val="single" w:sz="4" w:space="0" w:color="auto"/>
              <w:right w:val="nil"/>
            </w:tcBorders>
            <w:shd w:val="clear" w:color="auto" w:fill="auto"/>
            <w:vAlign w:val="center"/>
            <w:hideMark/>
          </w:tcPr>
          <w:p w14:paraId="6E08AD32" w14:textId="77777777" w:rsidR="00C45D5B" w:rsidRPr="00D72F49" w:rsidRDefault="00C45D5B" w:rsidP="00CF774B">
            <w:pPr>
              <w:jc w:val="center"/>
              <w:rPr>
                <w:rFonts w:cs="Times New Roman"/>
                <w:sz w:val="18"/>
                <w:szCs w:val="18"/>
              </w:rPr>
            </w:pPr>
            <w:r>
              <w:rPr>
                <w:color w:val="000000"/>
                <w:sz w:val="18"/>
                <w:szCs w:val="18"/>
              </w:rPr>
              <w:t>0,8</w:t>
            </w:r>
          </w:p>
        </w:tc>
        <w:tc>
          <w:tcPr>
            <w:tcW w:w="482" w:type="dxa"/>
            <w:gridSpan w:val="2"/>
            <w:tcBorders>
              <w:top w:val="nil"/>
              <w:left w:val="nil"/>
              <w:bottom w:val="single" w:sz="4" w:space="0" w:color="auto"/>
              <w:right w:val="nil"/>
            </w:tcBorders>
            <w:shd w:val="clear" w:color="auto" w:fill="auto"/>
            <w:vAlign w:val="center"/>
          </w:tcPr>
          <w:p w14:paraId="5DE93DE4" w14:textId="77777777" w:rsidR="00C45D5B" w:rsidRPr="00D72F49" w:rsidRDefault="00C45D5B" w:rsidP="00CF774B">
            <w:pPr>
              <w:jc w:val="center"/>
              <w:rPr>
                <w:rFonts w:cs="Times New Roman"/>
                <w:sz w:val="18"/>
                <w:szCs w:val="18"/>
              </w:rPr>
            </w:pPr>
            <w:r>
              <w:rPr>
                <w:color w:val="000000"/>
                <w:sz w:val="18"/>
                <w:szCs w:val="18"/>
              </w:rPr>
              <w:t>0,9</w:t>
            </w:r>
          </w:p>
        </w:tc>
        <w:tc>
          <w:tcPr>
            <w:tcW w:w="482" w:type="dxa"/>
            <w:gridSpan w:val="2"/>
            <w:tcBorders>
              <w:top w:val="nil"/>
              <w:left w:val="nil"/>
              <w:bottom w:val="single" w:sz="4" w:space="0" w:color="auto"/>
              <w:right w:val="nil"/>
            </w:tcBorders>
            <w:shd w:val="clear" w:color="auto" w:fill="auto"/>
            <w:vAlign w:val="center"/>
          </w:tcPr>
          <w:p w14:paraId="57F82EDD" w14:textId="77777777" w:rsidR="00C45D5B" w:rsidRPr="00D72F49" w:rsidRDefault="00C45D5B" w:rsidP="00CF774B">
            <w:pPr>
              <w:jc w:val="center"/>
              <w:rPr>
                <w:rFonts w:cs="Times New Roman"/>
                <w:sz w:val="18"/>
                <w:szCs w:val="18"/>
              </w:rPr>
            </w:pPr>
            <w:r>
              <w:rPr>
                <w:color w:val="000000"/>
                <w:sz w:val="18"/>
                <w:szCs w:val="18"/>
              </w:rPr>
              <w:t>1,1</w:t>
            </w:r>
          </w:p>
        </w:tc>
        <w:tc>
          <w:tcPr>
            <w:tcW w:w="482" w:type="dxa"/>
            <w:gridSpan w:val="2"/>
            <w:tcBorders>
              <w:top w:val="nil"/>
              <w:left w:val="nil"/>
              <w:bottom w:val="single" w:sz="4" w:space="0" w:color="auto"/>
              <w:right w:val="nil"/>
            </w:tcBorders>
            <w:shd w:val="clear" w:color="auto" w:fill="auto"/>
            <w:vAlign w:val="center"/>
          </w:tcPr>
          <w:p w14:paraId="672AC8B9" w14:textId="77777777" w:rsidR="00C45D5B" w:rsidRPr="00D72F49" w:rsidRDefault="00C45D5B" w:rsidP="00CF774B">
            <w:pPr>
              <w:jc w:val="center"/>
              <w:rPr>
                <w:rFonts w:cs="Times New Roman"/>
                <w:sz w:val="18"/>
                <w:szCs w:val="18"/>
              </w:rPr>
            </w:pPr>
            <w:r>
              <w:rPr>
                <w:color w:val="000000"/>
                <w:sz w:val="18"/>
                <w:szCs w:val="18"/>
              </w:rPr>
              <w:t>3,8</w:t>
            </w:r>
          </w:p>
        </w:tc>
        <w:tc>
          <w:tcPr>
            <w:tcW w:w="548" w:type="dxa"/>
            <w:gridSpan w:val="3"/>
            <w:tcBorders>
              <w:top w:val="nil"/>
              <w:left w:val="nil"/>
              <w:bottom w:val="single" w:sz="4" w:space="0" w:color="auto"/>
              <w:right w:val="nil"/>
            </w:tcBorders>
            <w:shd w:val="clear" w:color="auto" w:fill="auto"/>
            <w:vAlign w:val="center"/>
          </w:tcPr>
          <w:p w14:paraId="6F634562" w14:textId="77777777" w:rsidR="00C45D5B" w:rsidRPr="00D72F49" w:rsidRDefault="00C45D5B" w:rsidP="00CF774B">
            <w:pPr>
              <w:jc w:val="center"/>
              <w:rPr>
                <w:rFonts w:cs="Times New Roman"/>
                <w:sz w:val="18"/>
                <w:szCs w:val="18"/>
              </w:rPr>
            </w:pPr>
            <w:r>
              <w:rPr>
                <w:color w:val="000000"/>
                <w:sz w:val="18"/>
                <w:szCs w:val="18"/>
              </w:rPr>
              <w:t>4,0</w:t>
            </w:r>
          </w:p>
        </w:tc>
        <w:tc>
          <w:tcPr>
            <w:tcW w:w="555" w:type="dxa"/>
            <w:gridSpan w:val="2"/>
            <w:tcBorders>
              <w:top w:val="nil"/>
              <w:left w:val="nil"/>
              <w:bottom w:val="single" w:sz="4" w:space="0" w:color="auto"/>
              <w:right w:val="nil"/>
            </w:tcBorders>
            <w:shd w:val="clear" w:color="auto" w:fill="auto"/>
            <w:vAlign w:val="center"/>
          </w:tcPr>
          <w:p w14:paraId="4E69BB2F" w14:textId="77777777" w:rsidR="00C45D5B" w:rsidRPr="00D72F49" w:rsidRDefault="00C45D5B" w:rsidP="00CF774B">
            <w:pPr>
              <w:jc w:val="center"/>
              <w:rPr>
                <w:rFonts w:cs="Times New Roman"/>
                <w:sz w:val="18"/>
                <w:szCs w:val="18"/>
              </w:rPr>
            </w:pPr>
            <w:r>
              <w:rPr>
                <w:color w:val="000000"/>
                <w:sz w:val="18"/>
                <w:szCs w:val="18"/>
              </w:rPr>
              <w:t>4,0</w:t>
            </w:r>
          </w:p>
        </w:tc>
        <w:tc>
          <w:tcPr>
            <w:tcW w:w="320" w:type="dxa"/>
            <w:gridSpan w:val="3"/>
            <w:tcBorders>
              <w:top w:val="nil"/>
              <w:left w:val="nil"/>
              <w:bottom w:val="single" w:sz="4" w:space="0" w:color="auto"/>
              <w:right w:val="nil"/>
            </w:tcBorders>
          </w:tcPr>
          <w:p w14:paraId="493EDA35" w14:textId="77777777" w:rsidR="00C45D5B" w:rsidRPr="00AB54ED" w:rsidRDefault="00C45D5B" w:rsidP="00CF774B">
            <w:pPr>
              <w:jc w:val="center"/>
              <w:rPr>
                <w:sz w:val="18"/>
                <w:szCs w:val="18"/>
                <w:highlight w:val="yellow"/>
              </w:rPr>
            </w:pPr>
          </w:p>
        </w:tc>
      </w:tr>
      <w:tr w:rsidR="00C45D5B" w:rsidRPr="00AB54ED" w14:paraId="00588856" w14:textId="77777777" w:rsidTr="00CF774B">
        <w:trPr>
          <w:trHeight w:val="283"/>
        </w:trPr>
        <w:tc>
          <w:tcPr>
            <w:tcW w:w="5699" w:type="dxa"/>
            <w:gridSpan w:val="2"/>
            <w:tcBorders>
              <w:top w:val="single" w:sz="4" w:space="0" w:color="auto"/>
              <w:left w:val="nil"/>
              <w:bottom w:val="nil"/>
              <w:right w:val="nil"/>
            </w:tcBorders>
            <w:shd w:val="clear" w:color="000000" w:fill="FFFFFF"/>
            <w:noWrap/>
            <w:vAlign w:val="center"/>
            <w:hideMark/>
          </w:tcPr>
          <w:p w14:paraId="174D706B" w14:textId="77777777" w:rsidR="00C45D5B" w:rsidRPr="00D72F49" w:rsidRDefault="00C45D5B" w:rsidP="00CF774B">
            <w:pPr>
              <w:rPr>
                <w:rFonts w:cs="Times New Roman"/>
                <w:b/>
                <w:bCs/>
                <w:sz w:val="18"/>
                <w:szCs w:val="18"/>
              </w:rPr>
            </w:pPr>
            <w:r w:rsidRPr="00D72F49">
              <w:rPr>
                <w:rFonts w:cs="Times New Roman"/>
                <w:b/>
                <w:bCs/>
                <w:sz w:val="18"/>
                <w:szCs w:val="18"/>
              </w:rPr>
              <w:t>Príjmy celkom</w:t>
            </w:r>
          </w:p>
        </w:tc>
        <w:tc>
          <w:tcPr>
            <w:tcW w:w="482" w:type="dxa"/>
            <w:tcBorders>
              <w:top w:val="nil"/>
              <w:left w:val="nil"/>
              <w:bottom w:val="nil"/>
              <w:right w:val="nil"/>
            </w:tcBorders>
            <w:shd w:val="clear" w:color="auto" w:fill="auto"/>
            <w:vAlign w:val="center"/>
          </w:tcPr>
          <w:p w14:paraId="10DE8035" w14:textId="77777777" w:rsidR="00C45D5B" w:rsidRPr="00D72F49" w:rsidRDefault="00C45D5B" w:rsidP="00CF774B">
            <w:pPr>
              <w:jc w:val="center"/>
              <w:rPr>
                <w:rFonts w:cs="Times New Roman"/>
                <w:b/>
                <w:bCs/>
                <w:sz w:val="18"/>
                <w:szCs w:val="18"/>
              </w:rPr>
            </w:pPr>
            <w:r>
              <w:rPr>
                <w:b/>
                <w:bCs/>
                <w:color w:val="000000"/>
                <w:sz w:val="18"/>
                <w:szCs w:val="18"/>
              </w:rPr>
              <w:t>40,2</w:t>
            </w:r>
          </w:p>
        </w:tc>
        <w:tc>
          <w:tcPr>
            <w:tcW w:w="482" w:type="dxa"/>
            <w:gridSpan w:val="2"/>
            <w:tcBorders>
              <w:top w:val="nil"/>
              <w:left w:val="nil"/>
              <w:bottom w:val="nil"/>
              <w:right w:val="nil"/>
            </w:tcBorders>
            <w:shd w:val="clear" w:color="auto" w:fill="auto"/>
            <w:vAlign w:val="center"/>
          </w:tcPr>
          <w:p w14:paraId="42E921BC" w14:textId="77777777" w:rsidR="00C45D5B" w:rsidRPr="00D72F49" w:rsidRDefault="00C45D5B" w:rsidP="00CF774B">
            <w:pPr>
              <w:jc w:val="center"/>
              <w:rPr>
                <w:rFonts w:cs="Times New Roman"/>
                <w:b/>
                <w:bCs/>
                <w:sz w:val="18"/>
                <w:szCs w:val="18"/>
              </w:rPr>
            </w:pPr>
          </w:p>
        </w:tc>
        <w:tc>
          <w:tcPr>
            <w:tcW w:w="482" w:type="dxa"/>
            <w:gridSpan w:val="2"/>
            <w:tcBorders>
              <w:top w:val="nil"/>
              <w:left w:val="nil"/>
              <w:bottom w:val="nil"/>
              <w:right w:val="nil"/>
            </w:tcBorders>
            <w:shd w:val="clear" w:color="auto" w:fill="auto"/>
            <w:vAlign w:val="center"/>
          </w:tcPr>
          <w:p w14:paraId="04BFF0C8" w14:textId="77777777" w:rsidR="00C45D5B" w:rsidRPr="00D72F49" w:rsidRDefault="00C45D5B" w:rsidP="00CF774B">
            <w:pPr>
              <w:jc w:val="center"/>
              <w:rPr>
                <w:rFonts w:cs="Times New Roman"/>
                <w:b/>
                <w:bCs/>
                <w:sz w:val="18"/>
                <w:szCs w:val="18"/>
              </w:rPr>
            </w:pPr>
          </w:p>
        </w:tc>
        <w:tc>
          <w:tcPr>
            <w:tcW w:w="482" w:type="dxa"/>
            <w:gridSpan w:val="2"/>
            <w:tcBorders>
              <w:top w:val="nil"/>
              <w:left w:val="nil"/>
              <w:bottom w:val="nil"/>
              <w:right w:val="nil"/>
            </w:tcBorders>
            <w:shd w:val="clear" w:color="auto" w:fill="auto"/>
            <w:vAlign w:val="center"/>
          </w:tcPr>
          <w:p w14:paraId="5284E712" w14:textId="77777777" w:rsidR="00C45D5B" w:rsidRPr="00D72F49" w:rsidRDefault="00C45D5B" w:rsidP="00CF774B">
            <w:pPr>
              <w:jc w:val="center"/>
              <w:rPr>
                <w:rFonts w:cs="Times New Roman"/>
                <w:b/>
                <w:bCs/>
                <w:sz w:val="18"/>
                <w:szCs w:val="18"/>
              </w:rPr>
            </w:pPr>
          </w:p>
        </w:tc>
        <w:tc>
          <w:tcPr>
            <w:tcW w:w="548" w:type="dxa"/>
            <w:gridSpan w:val="3"/>
            <w:tcBorders>
              <w:top w:val="nil"/>
              <w:left w:val="nil"/>
              <w:bottom w:val="nil"/>
              <w:right w:val="nil"/>
            </w:tcBorders>
            <w:shd w:val="clear" w:color="auto" w:fill="auto"/>
            <w:vAlign w:val="center"/>
          </w:tcPr>
          <w:p w14:paraId="4FA18324" w14:textId="77777777" w:rsidR="00C45D5B" w:rsidRPr="00D72F49" w:rsidRDefault="00C45D5B" w:rsidP="00CF774B">
            <w:pPr>
              <w:jc w:val="center"/>
              <w:rPr>
                <w:rFonts w:cs="Times New Roman"/>
                <w:b/>
                <w:bCs/>
                <w:sz w:val="18"/>
                <w:szCs w:val="18"/>
              </w:rPr>
            </w:pPr>
          </w:p>
        </w:tc>
        <w:tc>
          <w:tcPr>
            <w:tcW w:w="555" w:type="dxa"/>
            <w:gridSpan w:val="2"/>
            <w:tcBorders>
              <w:top w:val="nil"/>
              <w:left w:val="nil"/>
              <w:bottom w:val="nil"/>
              <w:right w:val="nil"/>
            </w:tcBorders>
            <w:shd w:val="clear" w:color="auto" w:fill="auto"/>
            <w:vAlign w:val="center"/>
          </w:tcPr>
          <w:p w14:paraId="0230E19C" w14:textId="77777777" w:rsidR="00C45D5B" w:rsidRPr="00D72F49" w:rsidRDefault="00C45D5B" w:rsidP="00CF774B">
            <w:pPr>
              <w:jc w:val="center"/>
              <w:rPr>
                <w:rFonts w:cs="Times New Roman"/>
                <w:b/>
                <w:bCs/>
                <w:sz w:val="18"/>
                <w:szCs w:val="18"/>
              </w:rPr>
            </w:pPr>
          </w:p>
        </w:tc>
        <w:tc>
          <w:tcPr>
            <w:tcW w:w="320" w:type="dxa"/>
            <w:gridSpan w:val="3"/>
            <w:tcBorders>
              <w:top w:val="nil"/>
              <w:left w:val="nil"/>
              <w:bottom w:val="nil"/>
              <w:right w:val="nil"/>
            </w:tcBorders>
          </w:tcPr>
          <w:p w14:paraId="284BD5DF" w14:textId="77777777" w:rsidR="00C45D5B" w:rsidRPr="00AB54ED" w:rsidRDefault="00C45D5B" w:rsidP="00CF774B">
            <w:pPr>
              <w:jc w:val="center"/>
              <w:rPr>
                <w:b/>
                <w:sz w:val="18"/>
                <w:szCs w:val="18"/>
                <w:highlight w:val="yellow"/>
              </w:rPr>
            </w:pPr>
          </w:p>
        </w:tc>
      </w:tr>
      <w:tr w:rsidR="00C45D5B" w:rsidRPr="00AB54ED" w14:paraId="63BFCE57"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5F72F7D3" w14:textId="77777777" w:rsidR="00C45D5B" w:rsidRPr="00D72F49" w:rsidRDefault="00C45D5B" w:rsidP="00CF774B">
            <w:pPr>
              <w:ind w:firstLineChars="200" w:firstLine="360"/>
              <w:rPr>
                <w:rFonts w:cs="Times New Roman"/>
                <w:sz w:val="18"/>
                <w:szCs w:val="18"/>
              </w:rPr>
            </w:pPr>
            <w:r w:rsidRPr="00D72F49">
              <w:rPr>
                <w:rFonts w:cs="Times New Roman"/>
                <w:sz w:val="18"/>
                <w:szCs w:val="18"/>
              </w:rPr>
              <w:t>Z toho: Príjmy z majetku (D.4)</w:t>
            </w:r>
          </w:p>
        </w:tc>
        <w:tc>
          <w:tcPr>
            <w:tcW w:w="482" w:type="dxa"/>
            <w:tcBorders>
              <w:top w:val="nil"/>
              <w:left w:val="nil"/>
              <w:bottom w:val="nil"/>
              <w:right w:val="nil"/>
            </w:tcBorders>
            <w:shd w:val="clear" w:color="auto" w:fill="auto"/>
            <w:vAlign w:val="center"/>
            <w:hideMark/>
          </w:tcPr>
          <w:p w14:paraId="589A366A" w14:textId="77777777" w:rsidR="00C45D5B" w:rsidRPr="00D72F49" w:rsidRDefault="00C45D5B" w:rsidP="00CF774B">
            <w:pPr>
              <w:jc w:val="center"/>
              <w:rPr>
                <w:rFonts w:cs="Times New Roman"/>
                <w:sz w:val="18"/>
                <w:szCs w:val="18"/>
              </w:rPr>
            </w:pPr>
            <w:r>
              <w:rPr>
                <w:color w:val="000000"/>
                <w:sz w:val="18"/>
                <w:szCs w:val="18"/>
              </w:rPr>
              <w:t>0,4</w:t>
            </w:r>
          </w:p>
        </w:tc>
        <w:tc>
          <w:tcPr>
            <w:tcW w:w="482" w:type="dxa"/>
            <w:gridSpan w:val="2"/>
            <w:tcBorders>
              <w:top w:val="nil"/>
              <w:left w:val="nil"/>
              <w:bottom w:val="nil"/>
              <w:right w:val="nil"/>
            </w:tcBorders>
            <w:shd w:val="clear" w:color="auto" w:fill="auto"/>
            <w:vAlign w:val="center"/>
          </w:tcPr>
          <w:p w14:paraId="2F2663CA" w14:textId="77777777" w:rsidR="00C45D5B" w:rsidRPr="00D72F49" w:rsidRDefault="00C45D5B" w:rsidP="00CF774B">
            <w:pPr>
              <w:jc w:val="center"/>
              <w:rPr>
                <w:rFonts w:cs="Times New Roman"/>
                <w:sz w:val="18"/>
                <w:szCs w:val="18"/>
              </w:rPr>
            </w:pPr>
            <w:r>
              <w:rPr>
                <w:color w:val="000000"/>
                <w:sz w:val="18"/>
                <w:szCs w:val="18"/>
              </w:rPr>
              <w:t>0,4</w:t>
            </w:r>
          </w:p>
        </w:tc>
        <w:tc>
          <w:tcPr>
            <w:tcW w:w="482" w:type="dxa"/>
            <w:gridSpan w:val="2"/>
            <w:tcBorders>
              <w:top w:val="nil"/>
              <w:left w:val="nil"/>
              <w:bottom w:val="nil"/>
              <w:right w:val="nil"/>
            </w:tcBorders>
            <w:shd w:val="clear" w:color="auto" w:fill="auto"/>
            <w:vAlign w:val="center"/>
          </w:tcPr>
          <w:p w14:paraId="6ECF09B5" w14:textId="77777777" w:rsidR="00C45D5B" w:rsidRPr="00D72F49" w:rsidRDefault="00C45D5B" w:rsidP="00CF774B">
            <w:pPr>
              <w:jc w:val="center"/>
              <w:rPr>
                <w:rFonts w:cs="Times New Roman"/>
                <w:sz w:val="18"/>
                <w:szCs w:val="18"/>
              </w:rPr>
            </w:pPr>
            <w:r>
              <w:rPr>
                <w:color w:val="000000"/>
                <w:sz w:val="18"/>
                <w:szCs w:val="18"/>
              </w:rPr>
              <w:t>0,4</w:t>
            </w:r>
          </w:p>
        </w:tc>
        <w:tc>
          <w:tcPr>
            <w:tcW w:w="482" w:type="dxa"/>
            <w:gridSpan w:val="2"/>
            <w:tcBorders>
              <w:top w:val="nil"/>
              <w:left w:val="nil"/>
              <w:bottom w:val="nil"/>
              <w:right w:val="nil"/>
            </w:tcBorders>
            <w:shd w:val="clear" w:color="auto" w:fill="auto"/>
            <w:vAlign w:val="center"/>
          </w:tcPr>
          <w:p w14:paraId="17B44FFB" w14:textId="77777777" w:rsidR="00C45D5B" w:rsidRPr="00D72F49" w:rsidRDefault="00C45D5B" w:rsidP="00CF774B">
            <w:pPr>
              <w:jc w:val="center"/>
              <w:rPr>
                <w:rFonts w:cs="Times New Roman"/>
                <w:sz w:val="18"/>
                <w:szCs w:val="18"/>
              </w:rPr>
            </w:pPr>
            <w:r>
              <w:rPr>
                <w:color w:val="000000"/>
                <w:sz w:val="18"/>
                <w:szCs w:val="18"/>
              </w:rPr>
              <w:t>0,4</w:t>
            </w:r>
          </w:p>
        </w:tc>
        <w:tc>
          <w:tcPr>
            <w:tcW w:w="548" w:type="dxa"/>
            <w:gridSpan w:val="3"/>
            <w:tcBorders>
              <w:top w:val="nil"/>
              <w:left w:val="nil"/>
              <w:bottom w:val="nil"/>
              <w:right w:val="nil"/>
            </w:tcBorders>
            <w:shd w:val="clear" w:color="auto" w:fill="auto"/>
            <w:vAlign w:val="center"/>
          </w:tcPr>
          <w:p w14:paraId="7B6D00F5" w14:textId="77777777" w:rsidR="00C45D5B" w:rsidRPr="00D72F49" w:rsidRDefault="00C45D5B" w:rsidP="00CF774B">
            <w:pPr>
              <w:jc w:val="center"/>
              <w:rPr>
                <w:rFonts w:cs="Times New Roman"/>
                <w:sz w:val="18"/>
                <w:szCs w:val="18"/>
              </w:rPr>
            </w:pPr>
            <w:r>
              <w:rPr>
                <w:color w:val="000000"/>
                <w:sz w:val="18"/>
                <w:szCs w:val="18"/>
              </w:rPr>
              <w:t>0,4</w:t>
            </w:r>
          </w:p>
        </w:tc>
        <w:tc>
          <w:tcPr>
            <w:tcW w:w="555" w:type="dxa"/>
            <w:gridSpan w:val="2"/>
            <w:tcBorders>
              <w:top w:val="nil"/>
              <w:left w:val="nil"/>
              <w:bottom w:val="nil"/>
              <w:right w:val="nil"/>
            </w:tcBorders>
            <w:shd w:val="clear" w:color="auto" w:fill="auto"/>
            <w:vAlign w:val="center"/>
          </w:tcPr>
          <w:p w14:paraId="1FCAC0B9" w14:textId="77777777" w:rsidR="00C45D5B" w:rsidRPr="00D72F49" w:rsidRDefault="00C45D5B" w:rsidP="00CF774B">
            <w:pPr>
              <w:jc w:val="center"/>
              <w:rPr>
                <w:rFonts w:cs="Times New Roman"/>
                <w:sz w:val="18"/>
                <w:szCs w:val="18"/>
              </w:rPr>
            </w:pPr>
            <w:r>
              <w:rPr>
                <w:color w:val="000000"/>
                <w:sz w:val="18"/>
                <w:szCs w:val="18"/>
              </w:rPr>
              <w:t>0,4</w:t>
            </w:r>
          </w:p>
        </w:tc>
        <w:tc>
          <w:tcPr>
            <w:tcW w:w="320" w:type="dxa"/>
            <w:gridSpan w:val="3"/>
            <w:tcBorders>
              <w:top w:val="nil"/>
              <w:left w:val="nil"/>
              <w:bottom w:val="nil"/>
              <w:right w:val="nil"/>
            </w:tcBorders>
          </w:tcPr>
          <w:p w14:paraId="40504DA7" w14:textId="77777777" w:rsidR="00C45D5B" w:rsidRPr="00AB54ED" w:rsidRDefault="00C45D5B" w:rsidP="00CF774B">
            <w:pPr>
              <w:jc w:val="center"/>
              <w:rPr>
                <w:sz w:val="18"/>
                <w:szCs w:val="18"/>
                <w:highlight w:val="yellow"/>
              </w:rPr>
            </w:pPr>
          </w:p>
        </w:tc>
      </w:tr>
      <w:tr w:rsidR="00C45D5B" w:rsidRPr="00AB54ED" w14:paraId="217EF93A"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505BD52B" w14:textId="77777777" w:rsidR="00C45D5B" w:rsidRPr="00D72F49" w:rsidRDefault="00C45D5B" w:rsidP="00CF774B">
            <w:pPr>
              <w:ind w:firstLineChars="200" w:firstLine="360"/>
              <w:rPr>
                <w:rFonts w:cs="Times New Roman"/>
                <w:sz w:val="18"/>
                <w:szCs w:val="18"/>
              </w:rPr>
            </w:pPr>
            <w:r w:rsidRPr="00D72F49">
              <w:rPr>
                <w:rFonts w:cs="Times New Roman"/>
                <w:sz w:val="18"/>
                <w:szCs w:val="18"/>
              </w:rPr>
              <w:t>Z toho: Zo sociálnych odvodov</w:t>
            </w:r>
          </w:p>
        </w:tc>
        <w:tc>
          <w:tcPr>
            <w:tcW w:w="482" w:type="dxa"/>
            <w:tcBorders>
              <w:top w:val="nil"/>
              <w:left w:val="nil"/>
              <w:bottom w:val="nil"/>
              <w:right w:val="nil"/>
            </w:tcBorders>
            <w:shd w:val="clear" w:color="auto" w:fill="auto"/>
            <w:vAlign w:val="center"/>
            <w:hideMark/>
          </w:tcPr>
          <w:p w14:paraId="6E0DAC3C" w14:textId="77777777" w:rsidR="00C45D5B" w:rsidRPr="00D72F49" w:rsidRDefault="00C45D5B" w:rsidP="00CF774B">
            <w:pPr>
              <w:jc w:val="center"/>
              <w:rPr>
                <w:rFonts w:cs="Times New Roman"/>
                <w:sz w:val="18"/>
                <w:szCs w:val="18"/>
              </w:rPr>
            </w:pPr>
            <w:r>
              <w:rPr>
                <w:color w:val="000000"/>
                <w:sz w:val="18"/>
                <w:szCs w:val="18"/>
              </w:rPr>
              <w:t>7,2</w:t>
            </w:r>
          </w:p>
        </w:tc>
        <w:tc>
          <w:tcPr>
            <w:tcW w:w="482" w:type="dxa"/>
            <w:gridSpan w:val="2"/>
            <w:tcBorders>
              <w:top w:val="nil"/>
              <w:left w:val="nil"/>
              <w:bottom w:val="nil"/>
              <w:right w:val="nil"/>
            </w:tcBorders>
            <w:shd w:val="clear" w:color="auto" w:fill="auto"/>
            <w:vAlign w:val="center"/>
          </w:tcPr>
          <w:p w14:paraId="1D955CEE" w14:textId="77777777" w:rsidR="00C45D5B" w:rsidRPr="00D72F49" w:rsidRDefault="00C45D5B" w:rsidP="00CF774B">
            <w:pPr>
              <w:jc w:val="center"/>
              <w:rPr>
                <w:rFonts w:cs="Times New Roman"/>
                <w:sz w:val="18"/>
                <w:szCs w:val="18"/>
              </w:rPr>
            </w:pPr>
            <w:r>
              <w:rPr>
                <w:color w:val="000000"/>
                <w:sz w:val="18"/>
                <w:szCs w:val="18"/>
              </w:rPr>
              <w:t>7,0</w:t>
            </w:r>
          </w:p>
        </w:tc>
        <w:tc>
          <w:tcPr>
            <w:tcW w:w="482" w:type="dxa"/>
            <w:gridSpan w:val="2"/>
            <w:tcBorders>
              <w:top w:val="nil"/>
              <w:left w:val="nil"/>
              <w:bottom w:val="nil"/>
              <w:right w:val="nil"/>
            </w:tcBorders>
            <w:shd w:val="clear" w:color="auto" w:fill="auto"/>
            <w:vAlign w:val="center"/>
          </w:tcPr>
          <w:p w14:paraId="061AD5EE" w14:textId="77777777" w:rsidR="00C45D5B" w:rsidRPr="00D72F49" w:rsidRDefault="00C45D5B" w:rsidP="00CF774B">
            <w:pPr>
              <w:jc w:val="center"/>
              <w:rPr>
                <w:rFonts w:cs="Times New Roman"/>
                <w:sz w:val="18"/>
                <w:szCs w:val="18"/>
              </w:rPr>
            </w:pPr>
            <w:r>
              <w:rPr>
                <w:color w:val="000000"/>
                <w:sz w:val="18"/>
                <w:szCs w:val="18"/>
              </w:rPr>
              <w:t>7,2</w:t>
            </w:r>
          </w:p>
        </w:tc>
        <w:tc>
          <w:tcPr>
            <w:tcW w:w="482" w:type="dxa"/>
            <w:gridSpan w:val="2"/>
            <w:tcBorders>
              <w:top w:val="nil"/>
              <w:left w:val="nil"/>
              <w:bottom w:val="nil"/>
              <w:right w:val="nil"/>
            </w:tcBorders>
            <w:shd w:val="clear" w:color="auto" w:fill="auto"/>
            <w:vAlign w:val="center"/>
          </w:tcPr>
          <w:p w14:paraId="4E8DB92B" w14:textId="77777777" w:rsidR="00C45D5B" w:rsidRPr="00D72F49" w:rsidRDefault="00C45D5B" w:rsidP="00CF774B">
            <w:pPr>
              <w:jc w:val="center"/>
              <w:rPr>
                <w:rFonts w:cs="Times New Roman"/>
                <w:sz w:val="18"/>
                <w:szCs w:val="18"/>
              </w:rPr>
            </w:pPr>
            <w:r>
              <w:rPr>
                <w:color w:val="000000"/>
                <w:sz w:val="18"/>
                <w:szCs w:val="18"/>
              </w:rPr>
              <w:t>7,4</w:t>
            </w:r>
          </w:p>
        </w:tc>
        <w:tc>
          <w:tcPr>
            <w:tcW w:w="548" w:type="dxa"/>
            <w:gridSpan w:val="3"/>
            <w:tcBorders>
              <w:top w:val="nil"/>
              <w:left w:val="nil"/>
              <w:bottom w:val="nil"/>
              <w:right w:val="nil"/>
            </w:tcBorders>
            <w:shd w:val="clear" w:color="auto" w:fill="auto"/>
            <w:vAlign w:val="center"/>
          </w:tcPr>
          <w:p w14:paraId="2E0578D2" w14:textId="77777777" w:rsidR="00C45D5B" w:rsidRPr="00D72F49" w:rsidRDefault="00C45D5B" w:rsidP="00CF774B">
            <w:pPr>
              <w:jc w:val="center"/>
              <w:rPr>
                <w:rFonts w:cs="Times New Roman"/>
                <w:sz w:val="18"/>
                <w:szCs w:val="18"/>
              </w:rPr>
            </w:pPr>
            <w:r>
              <w:rPr>
                <w:color w:val="000000"/>
                <w:sz w:val="18"/>
                <w:szCs w:val="18"/>
              </w:rPr>
              <w:t>7,5</w:t>
            </w:r>
          </w:p>
        </w:tc>
        <w:tc>
          <w:tcPr>
            <w:tcW w:w="555" w:type="dxa"/>
            <w:gridSpan w:val="2"/>
            <w:tcBorders>
              <w:top w:val="nil"/>
              <w:left w:val="nil"/>
              <w:bottom w:val="nil"/>
              <w:right w:val="nil"/>
            </w:tcBorders>
            <w:shd w:val="clear" w:color="auto" w:fill="auto"/>
            <w:vAlign w:val="center"/>
          </w:tcPr>
          <w:p w14:paraId="22F8CDBB" w14:textId="77777777" w:rsidR="00C45D5B" w:rsidRPr="00D72F49" w:rsidRDefault="00C45D5B" w:rsidP="00CF774B">
            <w:pPr>
              <w:jc w:val="center"/>
              <w:rPr>
                <w:rFonts w:cs="Times New Roman"/>
                <w:sz w:val="18"/>
                <w:szCs w:val="18"/>
              </w:rPr>
            </w:pPr>
            <w:r>
              <w:rPr>
                <w:color w:val="000000"/>
                <w:sz w:val="18"/>
                <w:szCs w:val="18"/>
              </w:rPr>
              <w:t>7,5</w:t>
            </w:r>
          </w:p>
        </w:tc>
        <w:tc>
          <w:tcPr>
            <w:tcW w:w="320" w:type="dxa"/>
            <w:gridSpan w:val="3"/>
            <w:tcBorders>
              <w:top w:val="nil"/>
              <w:left w:val="nil"/>
              <w:bottom w:val="nil"/>
              <w:right w:val="nil"/>
            </w:tcBorders>
          </w:tcPr>
          <w:p w14:paraId="3DF956AD" w14:textId="77777777" w:rsidR="00C45D5B" w:rsidRPr="00AB54ED" w:rsidRDefault="00C45D5B" w:rsidP="00CF774B">
            <w:pPr>
              <w:jc w:val="center"/>
              <w:rPr>
                <w:sz w:val="18"/>
                <w:szCs w:val="18"/>
                <w:highlight w:val="yellow"/>
              </w:rPr>
            </w:pPr>
          </w:p>
        </w:tc>
      </w:tr>
      <w:tr w:rsidR="00C45D5B" w:rsidRPr="00AB54ED" w14:paraId="35852CDC" w14:textId="77777777" w:rsidTr="00CF774B">
        <w:trPr>
          <w:trHeight w:val="283"/>
        </w:trPr>
        <w:tc>
          <w:tcPr>
            <w:tcW w:w="5699" w:type="dxa"/>
            <w:gridSpan w:val="2"/>
            <w:tcBorders>
              <w:top w:val="nil"/>
              <w:left w:val="nil"/>
              <w:bottom w:val="nil"/>
              <w:right w:val="nil"/>
            </w:tcBorders>
            <w:shd w:val="clear" w:color="000000" w:fill="FFFFFF"/>
            <w:noWrap/>
            <w:vAlign w:val="center"/>
            <w:hideMark/>
          </w:tcPr>
          <w:p w14:paraId="1F2BD966" w14:textId="77777777" w:rsidR="00C45D5B" w:rsidRPr="00D72F49" w:rsidRDefault="00C45D5B" w:rsidP="00CF774B">
            <w:pPr>
              <w:rPr>
                <w:rFonts w:cs="Times New Roman"/>
                <w:sz w:val="18"/>
                <w:szCs w:val="18"/>
              </w:rPr>
            </w:pPr>
            <w:r w:rsidRPr="00D72F49">
              <w:rPr>
                <w:rFonts w:cs="Times New Roman"/>
                <w:sz w:val="18"/>
                <w:szCs w:val="18"/>
              </w:rPr>
              <w:t>Rezervy dôchodkových fondov</w:t>
            </w:r>
          </w:p>
        </w:tc>
        <w:tc>
          <w:tcPr>
            <w:tcW w:w="482" w:type="dxa"/>
            <w:tcBorders>
              <w:top w:val="nil"/>
              <w:left w:val="nil"/>
              <w:bottom w:val="nil"/>
              <w:right w:val="nil"/>
            </w:tcBorders>
            <w:shd w:val="clear" w:color="auto" w:fill="auto"/>
            <w:vAlign w:val="center"/>
          </w:tcPr>
          <w:p w14:paraId="703FE1CA"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5DC5E403"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0BC93B02"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41E96F21" w14:textId="77777777" w:rsidR="00C45D5B" w:rsidRPr="00D72F49" w:rsidRDefault="00C45D5B" w:rsidP="00CF774B">
            <w:pPr>
              <w:jc w:val="center"/>
              <w:rPr>
                <w:rFonts w:cs="Times New Roman"/>
                <w:sz w:val="18"/>
                <w:szCs w:val="18"/>
              </w:rPr>
            </w:pPr>
          </w:p>
        </w:tc>
        <w:tc>
          <w:tcPr>
            <w:tcW w:w="548" w:type="dxa"/>
            <w:gridSpan w:val="3"/>
            <w:tcBorders>
              <w:top w:val="nil"/>
              <w:left w:val="nil"/>
              <w:bottom w:val="nil"/>
              <w:right w:val="nil"/>
            </w:tcBorders>
            <w:shd w:val="clear" w:color="auto" w:fill="auto"/>
            <w:vAlign w:val="center"/>
          </w:tcPr>
          <w:p w14:paraId="33590FB1" w14:textId="77777777" w:rsidR="00C45D5B" w:rsidRPr="00D72F49" w:rsidRDefault="00C45D5B" w:rsidP="00CF774B">
            <w:pPr>
              <w:jc w:val="center"/>
              <w:rPr>
                <w:rFonts w:cs="Times New Roman"/>
                <w:sz w:val="18"/>
                <w:szCs w:val="18"/>
              </w:rPr>
            </w:pPr>
          </w:p>
        </w:tc>
        <w:tc>
          <w:tcPr>
            <w:tcW w:w="555" w:type="dxa"/>
            <w:gridSpan w:val="2"/>
            <w:tcBorders>
              <w:top w:val="nil"/>
              <w:left w:val="nil"/>
              <w:bottom w:val="nil"/>
              <w:right w:val="nil"/>
            </w:tcBorders>
            <w:shd w:val="clear" w:color="auto" w:fill="auto"/>
            <w:vAlign w:val="center"/>
          </w:tcPr>
          <w:p w14:paraId="7ABBD6CF" w14:textId="77777777" w:rsidR="00C45D5B" w:rsidRPr="00D72F49" w:rsidRDefault="00C45D5B" w:rsidP="00CF774B">
            <w:pPr>
              <w:jc w:val="center"/>
              <w:rPr>
                <w:rFonts w:cs="Times New Roman"/>
                <w:sz w:val="18"/>
                <w:szCs w:val="18"/>
              </w:rPr>
            </w:pPr>
          </w:p>
        </w:tc>
        <w:tc>
          <w:tcPr>
            <w:tcW w:w="320" w:type="dxa"/>
            <w:gridSpan w:val="3"/>
            <w:tcBorders>
              <w:top w:val="nil"/>
              <w:left w:val="nil"/>
              <w:bottom w:val="nil"/>
              <w:right w:val="nil"/>
            </w:tcBorders>
          </w:tcPr>
          <w:p w14:paraId="132CB76B" w14:textId="77777777" w:rsidR="00C45D5B" w:rsidRPr="00AB54ED" w:rsidRDefault="00C45D5B" w:rsidP="00CF774B">
            <w:pPr>
              <w:jc w:val="center"/>
              <w:rPr>
                <w:sz w:val="18"/>
                <w:szCs w:val="18"/>
                <w:highlight w:val="yellow"/>
              </w:rPr>
            </w:pPr>
          </w:p>
        </w:tc>
      </w:tr>
      <w:tr w:rsidR="00C45D5B" w:rsidRPr="00AB54ED" w14:paraId="08074373" w14:textId="77777777" w:rsidTr="00CF774B">
        <w:trPr>
          <w:trHeight w:val="283"/>
        </w:trPr>
        <w:tc>
          <w:tcPr>
            <w:tcW w:w="5699" w:type="dxa"/>
            <w:gridSpan w:val="2"/>
            <w:tcBorders>
              <w:top w:val="nil"/>
              <w:left w:val="nil"/>
              <w:bottom w:val="single" w:sz="4" w:space="0" w:color="auto"/>
              <w:right w:val="nil"/>
            </w:tcBorders>
            <w:shd w:val="clear" w:color="000000" w:fill="FFFFFF"/>
            <w:noWrap/>
            <w:vAlign w:val="center"/>
            <w:hideMark/>
          </w:tcPr>
          <w:p w14:paraId="5116B51C" w14:textId="77777777" w:rsidR="00C45D5B" w:rsidRPr="00D72F49" w:rsidRDefault="00C45D5B" w:rsidP="00CF774B">
            <w:pPr>
              <w:ind w:firstLineChars="200" w:firstLine="360"/>
              <w:rPr>
                <w:rFonts w:cs="Times New Roman"/>
                <w:sz w:val="18"/>
                <w:szCs w:val="18"/>
              </w:rPr>
            </w:pPr>
            <w:r w:rsidRPr="00D72F49">
              <w:rPr>
                <w:rFonts w:cs="Times New Roman"/>
                <w:sz w:val="18"/>
                <w:szCs w:val="18"/>
              </w:rPr>
              <w:t>Z toho: konsolidované rezervy dôch. fondov VS</w:t>
            </w:r>
          </w:p>
        </w:tc>
        <w:tc>
          <w:tcPr>
            <w:tcW w:w="482" w:type="dxa"/>
            <w:tcBorders>
              <w:top w:val="nil"/>
              <w:left w:val="nil"/>
              <w:bottom w:val="nil"/>
              <w:right w:val="nil"/>
            </w:tcBorders>
            <w:shd w:val="clear" w:color="auto" w:fill="auto"/>
            <w:vAlign w:val="center"/>
          </w:tcPr>
          <w:p w14:paraId="6F2ECE0F"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71A3FBF3"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3B0585B3" w14:textId="77777777" w:rsidR="00C45D5B" w:rsidRPr="00D72F49" w:rsidRDefault="00C45D5B" w:rsidP="00CF774B">
            <w:pPr>
              <w:jc w:val="center"/>
              <w:rPr>
                <w:rFonts w:cs="Times New Roman"/>
                <w:sz w:val="18"/>
                <w:szCs w:val="18"/>
              </w:rPr>
            </w:pPr>
          </w:p>
        </w:tc>
        <w:tc>
          <w:tcPr>
            <w:tcW w:w="482" w:type="dxa"/>
            <w:gridSpan w:val="2"/>
            <w:tcBorders>
              <w:top w:val="nil"/>
              <w:left w:val="nil"/>
              <w:bottom w:val="nil"/>
              <w:right w:val="nil"/>
            </w:tcBorders>
            <w:shd w:val="clear" w:color="auto" w:fill="auto"/>
            <w:vAlign w:val="center"/>
          </w:tcPr>
          <w:p w14:paraId="5DE6F792" w14:textId="77777777" w:rsidR="00C45D5B" w:rsidRPr="00D72F49" w:rsidRDefault="00C45D5B" w:rsidP="00CF774B">
            <w:pPr>
              <w:jc w:val="center"/>
              <w:rPr>
                <w:rFonts w:cs="Times New Roman"/>
                <w:sz w:val="18"/>
                <w:szCs w:val="18"/>
              </w:rPr>
            </w:pPr>
          </w:p>
        </w:tc>
        <w:tc>
          <w:tcPr>
            <w:tcW w:w="548" w:type="dxa"/>
            <w:gridSpan w:val="3"/>
            <w:tcBorders>
              <w:top w:val="nil"/>
              <w:left w:val="nil"/>
              <w:bottom w:val="nil"/>
              <w:right w:val="nil"/>
            </w:tcBorders>
            <w:shd w:val="clear" w:color="auto" w:fill="auto"/>
            <w:vAlign w:val="center"/>
          </w:tcPr>
          <w:p w14:paraId="00B48A30" w14:textId="77777777" w:rsidR="00C45D5B" w:rsidRPr="00D72F49" w:rsidRDefault="00C45D5B" w:rsidP="00CF774B">
            <w:pPr>
              <w:jc w:val="center"/>
              <w:rPr>
                <w:rFonts w:cs="Times New Roman"/>
                <w:sz w:val="18"/>
                <w:szCs w:val="18"/>
              </w:rPr>
            </w:pPr>
          </w:p>
        </w:tc>
        <w:tc>
          <w:tcPr>
            <w:tcW w:w="555" w:type="dxa"/>
            <w:gridSpan w:val="2"/>
            <w:tcBorders>
              <w:top w:val="nil"/>
              <w:left w:val="nil"/>
              <w:bottom w:val="nil"/>
              <w:right w:val="nil"/>
            </w:tcBorders>
            <w:shd w:val="clear" w:color="auto" w:fill="auto"/>
            <w:vAlign w:val="center"/>
          </w:tcPr>
          <w:p w14:paraId="2926075D" w14:textId="77777777" w:rsidR="00C45D5B" w:rsidRPr="00D72F49" w:rsidRDefault="00C45D5B" w:rsidP="00CF774B">
            <w:pPr>
              <w:jc w:val="center"/>
              <w:rPr>
                <w:rFonts w:cs="Times New Roman"/>
                <w:sz w:val="18"/>
                <w:szCs w:val="18"/>
              </w:rPr>
            </w:pPr>
          </w:p>
        </w:tc>
        <w:tc>
          <w:tcPr>
            <w:tcW w:w="320" w:type="dxa"/>
            <w:gridSpan w:val="3"/>
            <w:tcBorders>
              <w:top w:val="nil"/>
              <w:left w:val="nil"/>
              <w:bottom w:val="nil"/>
              <w:right w:val="nil"/>
            </w:tcBorders>
          </w:tcPr>
          <w:p w14:paraId="32F54FE8" w14:textId="77777777" w:rsidR="00C45D5B" w:rsidRPr="00AB54ED" w:rsidRDefault="00C45D5B" w:rsidP="00CF774B">
            <w:pPr>
              <w:jc w:val="center"/>
              <w:rPr>
                <w:sz w:val="18"/>
                <w:szCs w:val="18"/>
                <w:highlight w:val="yellow"/>
              </w:rPr>
            </w:pPr>
          </w:p>
        </w:tc>
      </w:tr>
      <w:tr w:rsidR="00C45D5B" w:rsidRPr="00AB54ED" w14:paraId="01A7792B" w14:textId="77777777" w:rsidTr="00CF774B">
        <w:trPr>
          <w:trHeight w:val="283"/>
        </w:trPr>
        <w:tc>
          <w:tcPr>
            <w:tcW w:w="6907" w:type="dxa"/>
            <w:gridSpan w:val="6"/>
            <w:tcBorders>
              <w:top w:val="single" w:sz="4" w:space="0" w:color="auto"/>
              <w:left w:val="nil"/>
              <w:bottom w:val="single" w:sz="6" w:space="0" w:color="auto"/>
              <w:right w:val="nil"/>
            </w:tcBorders>
            <w:shd w:val="clear" w:color="auto" w:fill="auto"/>
            <w:noWrap/>
            <w:vAlign w:val="center"/>
            <w:hideMark/>
          </w:tcPr>
          <w:p w14:paraId="19B34B8A" w14:textId="77777777" w:rsidR="00C45D5B" w:rsidRPr="00D72F49" w:rsidRDefault="00C45D5B" w:rsidP="00CF774B">
            <w:pPr>
              <w:jc w:val="center"/>
              <w:rPr>
                <w:rFonts w:cs="Times New Roman"/>
                <w:b/>
                <w:bCs/>
                <w:sz w:val="18"/>
                <w:szCs w:val="18"/>
              </w:rPr>
            </w:pPr>
            <w:r w:rsidRPr="00D72F49">
              <w:rPr>
                <w:rFonts w:cs="Times New Roman"/>
                <w:b/>
                <w:bCs/>
                <w:sz w:val="18"/>
                <w:szCs w:val="18"/>
              </w:rPr>
              <w:t>Systémové dôchodkové reformy</w:t>
            </w:r>
          </w:p>
        </w:tc>
        <w:tc>
          <w:tcPr>
            <w:tcW w:w="1826" w:type="dxa"/>
            <w:gridSpan w:val="8"/>
            <w:tcBorders>
              <w:top w:val="single" w:sz="4" w:space="0" w:color="auto"/>
              <w:left w:val="nil"/>
              <w:bottom w:val="single" w:sz="6" w:space="0" w:color="auto"/>
              <w:right w:val="nil"/>
            </w:tcBorders>
            <w:vAlign w:val="center"/>
          </w:tcPr>
          <w:p w14:paraId="0E65A42C" w14:textId="77777777" w:rsidR="00C45D5B" w:rsidRPr="00D72F49" w:rsidRDefault="00C45D5B" w:rsidP="00CF774B">
            <w:pPr>
              <w:jc w:val="center"/>
              <w:rPr>
                <w:rFonts w:cs="Times New Roman"/>
                <w:b/>
                <w:bCs/>
                <w:sz w:val="18"/>
                <w:szCs w:val="18"/>
              </w:rPr>
            </w:pPr>
          </w:p>
        </w:tc>
        <w:tc>
          <w:tcPr>
            <w:tcW w:w="320" w:type="dxa"/>
            <w:gridSpan w:val="3"/>
            <w:tcBorders>
              <w:top w:val="single" w:sz="4" w:space="0" w:color="auto"/>
              <w:left w:val="nil"/>
              <w:bottom w:val="single" w:sz="6" w:space="0" w:color="auto"/>
              <w:right w:val="nil"/>
            </w:tcBorders>
          </w:tcPr>
          <w:p w14:paraId="6C57DC33" w14:textId="77777777" w:rsidR="00C45D5B" w:rsidRPr="00AB54ED" w:rsidRDefault="00C45D5B" w:rsidP="00CF774B">
            <w:pPr>
              <w:jc w:val="center"/>
              <w:rPr>
                <w:rFonts w:cs="Times New Roman"/>
                <w:b/>
                <w:bCs/>
                <w:sz w:val="18"/>
                <w:szCs w:val="18"/>
                <w:highlight w:val="yellow"/>
              </w:rPr>
            </w:pPr>
          </w:p>
        </w:tc>
      </w:tr>
      <w:tr w:rsidR="00C45D5B" w:rsidRPr="00AB54ED" w14:paraId="7F8F0803" w14:textId="77777777" w:rsidTr="00CF774B">
        <w:trPr>
          <w:trHeight w:val="283"/>
        </w:trPr>
        <w:tc>
          <w:tcPr>
            <w:tcW w:w="5699" w:type="dxa"/>
            <w:gridSpan w:val="2"/>
            <w:tcBorders>
              <w:top w:val="single" w:sz="6" w:space="0" w:color="auto"/>
              <w:left w:val="nil"/>
              <w:bottom w:val="nil"/>
              <w:right w:val="nil"/>
            </w:tcBorders>
            <w:shd w:val="clear" w:color="000000" w:fill="FFFFFF"/>
            <w:noWrap/>
            <w:vAlign w:val="center"/>
            <w:hideMark/>
          </w:tcPr>
          <w:p w14:paraId="10E02065" w14:textId="77777777" w:rsidR="00C45D5B" w:rsidRPr="00D72F49" w:rsidRDefault="00C45D5B" w:rsidP="00CF774B">
            <w:pPr>
              <w:rPr>
                <w:rFonts w:cs="Times New Roman"/>
                <w:sz w:val="18"/>
                <w:szCs w:val="18"/>
              </w:rPr>
            </w:pPr>
            <w:r w:rsidRPr="00D72F49">
              <w:rPr>
                <w:rFonts w:cs="Times New Roman"/>
                <w:sz w:val="18"/>
                <w:szCs w:val="18"/>
              </w:rPr>
              <w:t>Príspevky sociálneho zabezpečenia odvedené do dobrovoľnej súkromnej schémy</w:t>
            </w:r>
          </w:p>
        </w:tc>
        <w:tc>
          <w:tcPr>
            <w:tcW w:w="482" w:type="dxa"/>
            <w:tcBorders>
              <w:top w:val="nil"/>
              <w:left w:val="nil"/>
              <w:bottom w:val="nil"/>
              <w:right w:val="nil"/>
            </w:tcBorders>
            <w:shd w:val="clear" w:color="auto" w:fill="auto"/>
            <w:vAlign w:val="center"/>
            <w:hideMark/>
          </w:tcPr>
          <w:p w14:paraId="014777E5" w14:textId="77777777" w:rsidR="00C45D5B" w:rsidRPr="00D72F49" w:rsidRDefault="00C45D5B" w:rsidP="00CF774B">
            <w:pPr>
              <w:jc w:val="center"/>
              <w:rPr>
                <w:rFonts w:cs="Times New Roman"/>
                <w:sz w:val="18"/>
                <w:szCs w:val="18"/>
              </w:rPr>
            </w:pPr>
            <w:r>
              <w:rPr>
                <w:color w:val="000000"/>
                <w:sz w:val="18"/>
                <w:szCs w:val="18"/>
              </w:rPr>
              <w:t>0,9</w:t>
            </w:r>
          </w:p>
        </w:tc>
        <w:tc>
          <w:tcPr>
            <w:tcW w:w="482" w:type="dxa"/>
            <w:gridSpan w:val="2"/>
            <w:tcBorders>
              <w:top w:val="nil"/>
              <w:left w:val="nil"/>
              <w:bottom w:val="nil"/>
              <w:right w:val="nil"/>
            </w:tcBorders>
            <w:shd w:val="clear" w:color="auto" w:fill="auto"/>
            <w:vAlign w:val="center"/>
          </w:tcPr>
          <w:p w14:paraId="2DCF49D2" w14:textId="77777777" w:rsidR="00C45D5B" w:rsidRPr="00D72F49" w:rsidRDefault="00C45D5B" w:rsidP="00CF774B">
            <w:pPr>
              <w:jc w:val="center"/>
              <w:rPr>
                <w:rFonts w:cs="Times New Roman"/>
                <w:sz w:val="18"/>
                <w:szCs w:val="18"/>
              </w:rPr>
            </w:pPr>
            <w:r>
              <w:rPr>
                <w:color w:val="000000"/>
                <w:sz w:val="18"/>
                <w:szCs w:val="18"/>
              </w:rPr>
              <w:t>1,0</w:t>
            </w:r>
          </w:p>
        </w:tc>
        <w:tc>
          <w:tcPr>
            <w:tcW w:w="482" w:type="dxa"/>
            <w:gridSpan w:val="2"/>
            <w:tcBorders>
              <w:top w:val="nil"/>
              <w:left w:val="nil"/>
              <w:bottom w:val="nil"/>
              <w:right w:val="nil"/>
            </w:tcBorders>
            <w:shd w:val="clear" w:color="auto" w:fill="auto"/>
            <w:vAlign w:val="center"/>
          </w:tcPr>
          <w:p w14:paraId="044FD346" w14:textId="77777777" w:rsidR="00C45D5B" w:rsidRPr="00D72F49" w:rsidRDefault="00C45D5B" w:rsidP="00CF774B">
            <w:pPr>
              <w:jc w:val="center"/>
              <w:rPr>
                <w:rFonts w:cs="Times New Roman"/>
                <w:sz w:val="18"/>
                <w:szCs w:val="18"/>
              </w:rPr>
            </w:pPr>
            <w:r>
              <w:rPr>
                <w:color w:val="000000"/>
                <w:sz w:val="18"/>
                <w:szCs w:val="18"/>
              </w:rPr>
              <w:t>0,9</w:t>
            </w:r>
          </w:p>
        </w:tc>
        <w:tc>
          <w:tcPr>
            <w:tcW w:w="482" w:type="dxa"/>
            <w:gridSpan w:val="2"/>
            <w:tcBorders>
              <w:top w:val="nil"/>
              <w:left w:val="nil"/>
              <w:bottom w:val="nil"/>
              <w:right w:val="nil"/>
            </w:tcBorders>
            <w:shd w:val="clear" w:color="auto" w:fill="auto"/>
            <w:vAlign w:val="center"/>
          </w:tcPr>
          <w:p w14:paraId="0568E0D3" w14:textId="77777777" w:rsidR="00C45D5B" w:rsidRPr="00D72F49" w:rsidRDefault="00C45D5B" w:rsidP="00CF774B">
            <w:pPr>
              <w:jc w:val="center"/>
              <w:rPr>
                <w:rFonts w:cs="Times New Roman"/>
                <w:sz w:val="18"/>
                <w:szCs w:val="18"/>
              </w:rPr>
            </w:pPr>
            <w:r>
              <w:rPr>
                <w:color w:val="000000"/>
                <w:sz w:val="18"/>
                <w:szCs w:val="18"/>
              </w:rPr>
              <w:t>0,7</w:t>
            </w:r>
          </w:p>
        </w:tc>
        <w:tc>
          <w:tcPr>
            <w:tcW w:w="548" w:type="dxa"/>
            <w:gridSpan w:val="3"/>
            <w:tcBorders>
              <w:top w:val="nil"/>
              <w:left w:val="nil"/>
              <w:bottom w:val="nil"/>
              <w:right w:val="nil"/>
            </w:tcBorders>
            <w:shd w:val="clear" w:color="auto" w:fill="auto"/>
            <w:vAlign w:val="center"/>
          </w:tcPr>
          <w:p w14:paraId="2385C191" w14:textId="77777777" w:rsidR="00C45D5B" w:rsidRPr="00D72F49" w:rsidRDefault="00C45D5B" w:rsidP="00CF774B">
            <w:pPr>
              <w:jc w:val="center"/>
              <w:rPr>
                <w:rFonts w:cs="Times New Roman"/>
                <w:sz w:val="18"/>
                <w:szCs w:val="18"/>
              </w:rPr>
            </w:pPr>
            <w:r>
              <w:rPr>
                <w:color w:val="000000"/>
                <w:sz w:val="18"/>
                <w:szCs w:val="18"/>
              </w:rPr>
              <w:t>0,6</w:t>
            </w:r>
          </w:p>
        </w:tc>
        <w:tc>
          <w:tcPr>
            <w:tcW w:w="555" w:type="dxa"/>
            <w:gridSpan w:val="2"/>
            <w:tcBorders>
              <w:top w:val="nil"/>
              <w:left w:val="nil"/>
              <w:bottom w:val="nil"/>
              <w:right w:val="nil"/>
            </w:tcBorders>
            <w:shd w:val="clear" w:color="auto" w:fill="auto"/>
            <w:vAlign w:val="center"/>
          </w:tcPr>
          <w:p w14:paraId="5D5F9304" w14:textId="77777777" w:rsidR="00C45D5B" w:rsidRPr="00D72F49" w:rsidRDefault="00C45D5B" w:rsidP="00CF774B">
            <w:pPr>
              <w:jc w:val="center"/>
              <w:rPr>
                <w:rFonts w:cs="Times New Roman"/>
                <w:sz w:val="18"/>
                <w:szCs w:val="18"/>
              </w:rPr>
            </w:pPr>
            <w:r>
              <w:rPr>
                <w:color w:val="000000"/>
                <w:sz w:val="18"/>
                <w:szCs w:val="18"/>
              </w:rPr>
              <w:t>0,6</w:t>
            </w:r>
          </w:p>
        </w:tc>
        <w:tc>
          <w:tcPr>
            <w:tcW w:w="320" w:type="dxa"/>
            <w:gridSpan w:val="3"/>
            <w:tcBorders>
              <w:top w:val="nil"/>
              <w:left w:val="nil"/>
              <w:bottom w:val="nil"/>
              <w:right w:val="nil"/>
            </w:tcBorders>
          </w:tcPr>
          <w:p w14:paraId="3697FB43" w14:textId="77777777" w:rsidR="00C45D5B" w:rsidRPr="00AB54ED" w:rsidRDefault="00C45D5B" w:rsidP="00CF774B">
            <w:pPr>
              <w:jc w:val="center"/>
              <w:rPr>
                <w:sz w:val="18"/>
                <w:szCs w:val="18"/>
                <w:highlight w:val="yellow"/>
              </w:rPr>
            </w:pPr>
          </w:p>
        </w:tc>
      </w:tr>
      <w:tr w:rsidR="00C45D5B" w:rsidRPr="00AB54ED" w14:paraId="49F9AC39" w14:textId="77777777" w:rsidTr="00CF774B">
        <w:trPr>
          <w:trHeight w:val="283"/>
        </w:trPr>
        <w:tc>
          <w:tcPr>
            <w:tcW w:w="5699" w:type="dxa"/>
            <w:gridSpan w:val="2"/>
            <w:tcBorders>
              <w:top w:val="nil"/>
              <w:left w:val="nil"/>
              <w:bottom w:val="single" w:sz="4" w:space="0" w:color="auto"/>
              <w:right w:val="nil"/>
            </w:tcBorders>
            <w:shd w:val="clear" w:color="000000" w:fill="FFFFFF"/>
            <w:noWrap/>
            <w:vAlign w:val="center"/>
            <w:hideMark/>
          </w:tcPr>
          <w:p w14:paraId="2D3350A7" w14:textId="77777777" w:rsidR="00C45D5B" w:rsidRPr="00D72F49" w:rsidRDefault="00C45D5B" w:rsidP="00CF774B">
            <w:pPr>
              <w:rPr>
                <w:rFonts w:cs="Times New Roman"/>
                <w:sz w:val="18"/>
                <w:szCs w:val="18"/>
              </w:rPr>
            </w:pPr>
            <w:r w:rsidRPr="00D72F49">
              <w:rPr>
                <w:rFonts w:cs="Times New Roman"/>
                <w:sz w:val="18"/>
                <w:szCs w:val="18"/>
              </w:rPr>
              <w:t>Výdavky na dôchodky vyplatené prostredníctvom dobrovoľnej súkromnej schémy</w:t>
            </w:r>
          </w:p>
        </w:tc>
        <w:tc>
          <w:tcPr>
            <w:tcW w:w="482" w:type="dxa"/>
            <w:tcBorders>
              <w:top w:val="nil"/>
              <w:left w:val="nil"/>
              <w:bottom w:val="single" w:sz="4" w:space="0" w:color="auto"/>
              <w:right w:val="nil"/>
            </w:tcBorders>
            <w:shd w:val="clear" w:color="auto" w:fill="auto"/>
            <w:vAlign w:val="center"/>
            <w:hideMark/>
          </w:tcPr>
          <w:p w14:paraId="24A9F05C" w14:textId="77777777" w:rsidR="00C45D5B" w:rsidRPr="00D72F49" w:rsidRDefault="00C45D5B" w:rsidP="00CF774B">
            <w:pPr>
              <w:jc w:val="center"/>
              <w:rPr>
                <w:rFonts w:cs="Times New Roman"/>
                <w:sz w:val="18"/>
                <w:szCs w:val="18"/>
              </w:rPr>
            </w:pPr>
            <w:r w:rsidRPr="00D72F49">
              <w:rPr>
                <w:sz w:val="18"/>
                <w:szCs w:val="18"/>
              </w:rPr>
              <w:t>-</w:t>
            </w:r>
          </w:p>
        </w:tc>
        <w:tc>
          <w:tcPr>
            <w:tcW w:w="482" w:type="dxa"/>
            <w:gridSpan w:val="2"/>
            <w:tcBorders>
              <w:top w:val="nil"/>
              <w:left w:val="nil"/>
              <w:bottom w:val="single" w:sz="4" w:space="0" w:color="auto"/>
              <w:right w:val="nil"/>
            </w:tcBorders>
            <w:shd w:val="clear" w:color="auto" w:fill="auto"/>
            <w:vAlign w:val="center"/>
          </w:tcPr>
          <w:p w14:paraId="2676BD29" w14:textId="77777777" w:rsidR="00C45D5B" w:rsidRPr="00D72F49" w:rsidRDefault="00C45D5B" w:rsidP="00CF774B">
            <w:pPr>
              <w:jc w:val="center"/>
              <w:rPr>
                <w:rFonts w:cs="Times New Roman"/>
                <w:sz w:val="18"/>
                <w:szCs w:val="18"/>
              </w:rPr>
            </w:pPr>
            <w:r w:rsidRPr="00D72F49">
              <w:rPr>
                <w:rFonts w:cs="Times New Roman"/>
                <w:sz w:val="18"/>
                <w:szCs w:val="18"/>
              </w:rPr>
              <w:t>-</w:t>
            </w:r>
          </w:p>
        </w:tc>
        <w:tc>
          <w:tcPr>
            <w:tcW w:w="482" w:type="dxa"/>
            <w:gridSpan w:val="2"/>
            <w:tcBorders>
              <w:top w:val="nil"/>
              <w:left w:val="nil"/>
              <w:bottom w:val="single" w:sz="4" w:space="0" w:color="auto"/>
              <w:right w:val="nil"/>
            </w:tcBorders>
            <w:shd w:val="clear" w:color="auto" w:fill="auto"/>
            <w:vAlign w:val="center"/>
          </w:tcPr>
          <w:p w14:paraId="3443892A" w14:textId="77777777" w:rsidR="00C45D5B" w:rsidRPr="00D72F49" w:rsidRDefault="00C45D5B" w:rsidP="00CF774B">
            <w:pPr>
              <w:jc w:val="center"/>
              <w:rPr>
                <w:rFonts w:cs="Times New Roman"/>
                <w:sz w:val="18"/>
                <w:szCs w:val="18"/>
              </w:rPr>
            </w:pPr>
            <w:r w:rsidRPr="00D72F49">
              <w:rPr>
                <w:rFonts w:cs="Times New Roman"/>
                <w:sz w:val="18"/>
                <w:szCs w:val="18"/>
              </w:rPr>
              <w:t>-</w:t>
            </w:r>
          </w:p>
        </w:tc>
        <w:tc>
          <w:tcPr>
            <w:tcW w:w="482" w:type="dxa"/>
            <w:gridSpan w:val="2"/>
            <w:tcBorders>
              <w:top w:val="nil"/>
              <w:left w:val="nil"/>
              <w:bottom w:val="single" w:sz="4" w:space="0" w:color="auto"/>
              <w:right w:val="nil"/>
            </w:tcBorders>
            <w:shd w:val="clear" w:color="auto" w:fill="auto"/>
            <w:vAlign w:val="center"/>
          </w:tcPr>
          <w:p w14:paraId="1DF1DDBC" w14:textId="77777777" w:rsidR="00C45D5B" w:rsidRPr="00D72F49" w:rsidRDefault="00C45D5B" w:rsidP="00CF774B">
            <w:pPr>
              <w:jc w:val="center"/>
              <w:rPr>
                <w:rFonts w:cs="Times New Roman"/>
                <w:sz w:val="18"/>
                <w:szCs w:val="18"/>
              </w:rPr>
            </w:pPr>
            <w:r w:rsidRPr="00D72F49">
              <w:rPr>
                <w:rFonts w:cs="Times New Roman"/>
                <w:sz w:val="18"/>
                <w:szCs w:val="18"/>
              </w:rPr>
              <w:t>-</w:t>
            </w:r>
          </w:p>
        </w:tc>
        <w:tc>
          <w:tcPr>
            <w:tcW w:w="548" w:type="dxa"/>
            <w:gridSpan w:val="3"/>
            <w:tcBorders>
              <w:top w:val="nil"/>
              <w:left w:val="nil"/>
              <w:bottom w:val="single" w:sz="4" w:space="0" w:color="auto"/>
              <w:right w:val="nil"/>
            </w:tcBorders>
            <w:shd w:val="clear" w:color="auto" w:fill="auto"/>
            <w:vAlign w:val="center"/>
          </w:tcPr>
          <w:p w14:paraId="62D44817" w14:textId="77777777" w:rsidR="00C45D5B" w:rsidRPr="00D72F49" w:rsidRDefault="00C45D5B" w:rsidP="00CF774B">
            <w:pPr>
              <w:jc w:val="center"/>
              <w:rPr>
                <w:rFonts w:cs="Times New Roman"/>
                <w:sz w:val="18"/>
                <w:szCs w:val="18"/>
              </w:rPr>
            </w:pPr>
            <w:r w:rsidRPr="00D72F49">
              <w:rPr>
                <w:rFonts w:cs="Times New Roman"/>
                <w:sz w:val="18"/>
                <w:szCs w:val="18"/>
              </w:rPr>
              <w:t>-</w:t>
            </w:r>
          </w:p>
        </w:tc>
        <w:tc>
          <w:tcPr>
            <w:tcW w:w="555" w:type="dxa"/>
            <w:gridSpan w:val="2"/>
            <w:tcBorders>
              <w:top w:val="nil"/>
              <w:left w:val="nil"/>
              <w:bottom w:val="single" w:sz="4" w:space="0" w:color="auto"/>
              <w:right w:val="nil"/>
            </w:tcBorders>
            <w:shd w:val="clear" w:color="auto" w:fill="auto"/>
            <w:vAlign w:val="center"/>
          </w:tcPr>
          <w:p w14:paraId="04DE8F8C" w14:textId="77777777" w:rsidR="00C45D5B" w:rsidRPr="00D72F49" w:rsidRDefault="00C45D5B" w:rsidP="00CF774B">
            <w:pPr>
              <w:jc w:val="center"/>
              <w:rPr>
                <w:rFonts w:cs="Times New Roman"/>
                <w:sz w:val="18"/>
                <w:szCs w:val="18"/>
              </w:rPr>
            </w:pPr>
            <w:r w:rsidRPr="00D72F49">
              <w:rPr>
                <w:rFonts w:cs="Times New Roman"/>
                <w:sz w:val="18"/>
                <w:szCs w:val="18"/>
              </w:rPr>
              <w:t>-</w:t>
            </w:r>
          </w:p>
        </w:tc>
        <w:tc>
          <w:tcPr>
            <w:tcW w:w="320" w:type="dxa"/>
            <w:gridSpan w:val="3"/>
            <w:tcBorders>
              <w:top w:val="nil"/>
              <w:left w:val="nil"/>
              <w:bottom w:val="single" w:sz="4" w:space="0" w:color="auto"/>
              <w:right w:val="nil"/>
            </w:tcBorders>
          </w:tcPr>
          <w:p w14:paraId="6935A4A1" w14:textId="77777777" w:rsidR="00C45D5B" w:rsidRPr="00AB54ED" w:rsidRDefault="00C45D5B" w:rsidP="00CF774B">
            <w:pPr>
              <w:jc w:val="center"/>
              <w:rPr>
                <w:rFonts w:cs="Times New Roman"/>
                <w:sz w:val="18"/>
                <w:szCs w:val="18"/>
                <w:highlight w:val="yellow"/>
              </w:rPr>
            </w:pPr>
          </w:p>
        </w:tc>
      </w:tr>
      <w:tr w:rsidR="00C45D5B" w:rsidRPr="00AB54ED" w14:paraId="1684F982" w14:textId="77777777" w:rsidTr="00CF774B">
        <w:trPr>
          <w:trHeight w:val="283"/>
        </w:trPr>
        <w:tc>
          <w:tcPr>
            <w:tcW w:w="6907" w:type="dxa"/>
            <w:gridSpan w:val="6"/>
            <w:tcBorders>
              <w:top w:val="single" w:sz="4" w:space="0" w:color="auto"/>
              <w:left w:val="nil"/>
              <w:bottom w:val="single" w:sz="6" w:space="0" w:color="auto"/>
              <w:right w:val="nil"/>
            </w:tcBorders>
            <w:shd w:val="clear" w:color="auto" w:fill="auto"/>
            <w:vAlign w:val="center"/>
            <w:hideMark/>
          </w:tcPr>
          <w:p w14:paraId="0A50EA97" w14:textId="77777777" w:rsidR="00C45D5B" w:rsidRPr="00D72F49" w:rsidRDefault="00C45D5B" w:rsidP="00CF774B">
            <w:pPr>
              <w:jc w:val="center"/>
              <w:rPr>
                <w:rFonts w:cs="Times New Roman"/>
                <w:b/>
                <w:bCs/>
                <w:sz w:val="18"/>
                <w:szCs w:val="18"/>
              </w:rPr>
            </w:pPr>
            <w:r w:rsidRPr="00D72F49">
              <w:rPr>
                <w:rFonts w:cs="Times New Roman"/>
                <w:b/>
                <w:bCs/>
                <w:sz w:val="18"/>
                <w:szCs w:val="18"/>
              </w:rPr>
              <w:t>Predpoklady</w:t>
            </w:r>
          </w:p>
        </w:tc>
        <w:tc>
          <w:tcPr>
            <w:tcW w:w="1826" w:type="dxa"/>
            <w:gridSpan w:val="8"/>
            <w:tcBorders>
              <w:top w:val="single" w:sz="4" w:space="0" w:color="auto"/>
              <w:left w:val="nil"/>
              <w:bottom w:val="single" w:sz="6" w:space="0" w:color="auto"/>
              <w:right w:val="nil"/>
            </w:tcBorders>
            <w:vAlign w:val="center"/>
          </w:tcPr>
          <w:p w14:paraId="5D445B33" w14:textId="77777777" w:rsidR="00C45D5B" w:rsidRPr="00D72F49" w:rsidRDefault="00C45D5B" w:rsidP="00CF774B">
            <w:pPr>
              <w:jc w:val="center"/>
              <w:rPr>
                <w:rFonts w:cs="Times New Roman"/>
                <w:b/>
                <w:bCs/>
                <w:sz w:val="18"/>
                <w:szCs w:val="18"/>
              </w:rPr>
            </w:pPr>
          </w:p>
        </w:tc>
        <w:tc>
          <w:tcPr>
            <w:tcW w:w="320" w:type="dxa"/>
            <w:gridSpan w:val="3"/>
            <w:tcBorders>
              <w:top w:val="single" w:sz="4" w:space="0" w:color="auto"/>
              <w:left w:val="nil"/>
              <w:bottom w:val="single" w:sz="6" w:space="0" w:color="auto"/>
              <w:right w:val="nil"/>
            </w:tcBorders>
          </w:tcPr>
          <w:p w14:paraId="226BA426" w14:textId="77777777" w:rsidR="00C45D5B" w:rsidRPr="00AB54ED" w:rsidRDefault="00C45D5B" w:rsidP="00CF774B">
            <w:pPr>
              <w:jc w:val="center"/>
              <w:rPr>
                <w:rFonts w:cs="Times New Roman"/>
                <w:b/>
                <w:bCs/>
                <w:sz w:val="18"/>
                <w:szCs w:val="18"/>
                <w:highlight w:val="yellow"/>
              </w:rPr>
            </w:pPr>
          </w:p>
        </w:tc>
      </w:tr>
      <w:tr w:rsidR="00C45D5B" w:rsidRPr="00AB54ED" w14:paraId="40BA3242" w14:textId="77777777" w:rsidTr="00CF774B">
        <w:trPr>
          <w:trHeight w:val="283"/>
        </w:trPr>
        <w:tc>
          <w:tcPr>
            <w:tcW w:w="5699" w:type="dxa"/>
            <w:gridSpan w:val="2"/>
            <w:tcBorders>
              <w:top w:val="single" w:sz="6" w:space="0" w:color="auto"/>
              <w:left w:val="nil"/>
              <w:bottom w:val="nil"/>
              <w:right w:val="nil"/>
            </w:tcBorders>
            <w:shd w:val="clear" w:color="000000" w:fill="FFFFFF"/>
            <w:vAlign w:val="center"/>
            <w:hideMark/>
          </w:tcPr>
          <w:p w14:paraId="0664B072" w14:textId="77777777" w:rsidR="00C45D5B" w:rsidRPr="00D72F49" w:rsidRDefault="00C45D5B" w:rsidP="00CF774B">
            <w:pPr>
              <w:rPr>
                <w:rFonts w:cs="Times New Roman"/>
                <w:sz w:val="18"/>
                <w:szCs w:val="18"/>
              </w:rPr>
            </w:pPr>
            <w:r w:rsidRPr="00D72F49">
              <w:rPr>
                <w:rFonts w:cs="Times New Roman"/>
                <w:sz w:val="18"/>
                <w:szCs w:val="18"/>
              </w:rPr>
              <w:t>Rast produktivity práce</w:t>
            </w:r>
          </w:p>
        </w:tc>
        <w:tc>
          <w:tcPr>
            <w:tcW w:w="482" w:type="dxa"/>
            <w:tcBorders>
              <w:top w:val="nil"/>
              <w:left w:val="nil"/>
              <w:bottom w:val="nil"/>
              <w:right w:val="nil"/>
            </w:tcBorders>
            <w:shd w:val="clear" w:color="auto" w:fill="auto"/>
            <w:vAlign w:val="center"/>
            <w:hideMark/>
          </w:tcPr>
          <w:p w14:paraId="5FD1AC13" w14:textId="77777777" w:rsidR="00C45D5B" w:rsidRPr="00D72F49" w:rsidRDefault="00C45D5B" w:rsidP="00CF774B">
            <w:pPr>
              <w:jc w:val="center"/>
              <w:rPr>
                <w:rFonts w:cs="Times New Roman"/>
                <w:sz w:val="18"/>
                <w:szCs w:val="18"/>
              </w:rPr>
            </w:pPr>
            <w:r>
              <w:rPr>
                <w:color w:val="000000"/>
                <w:sz w:val="18"/>
                <w:szCs w:val="18"/>
              </w:rPr>
              <w:t>2,1</w:t>
            </w:r>
          </w:p>
        </w:tc>
        <w:tc>
          <w:tcPr>
            <w:tcW w:w="482" w:type="dxa"/>
            <w:gridSpan w:val="2"/>
            <w:tcBorders>
              <w:top w:val="nil"/>
              <w:left w:val="nil"/>
              <w:bottom w:val="nil"/>
              <w:right w:val="nil"/>
            </w:tcBorders>
            <w:shd w:val="clear" w:color="auto" w:fill="auto"/>
            <w:vAlign w:val="center"/>
          </w:tcPr>
          <w:p w14:paraId="09C34A9E" w14:textId="77777777" w:rsidR="00C45D5B" w:rsidRPr="00D72F49" w:rsidRDefault="00C45D5B" w:rsidP="00CF774B">
            <w:pPr>
              <w:jc w:val="center"/>
              <w:rPr>
                <w:rFonts w:cs="Times New Roman"/>
                <w:sz w:val="18"/>
                <w:szCs w:val="18"/>
              </w:rPr>
            </w:pPr>
            <w:r>
              <w:rPr>
                <w:color w:val="000000"/>
                <w:sz w:val="18"/>
                <w:szCs w:val="18"/>
              </w:rPr>
              <w:t>2,5</w:t>
            </w:r>
          </w:p>
        </w:tc>
        <w:tc>
          <w:tcPr>
            <w:tcW w:w="482" w:type="dxa"/>
            <w:gridSpan w:val="2"/>
            <w:tcBorders>
              <w:top w:val="nil"/>
              <w:left w:val="nil"/>
              <w:bottom w:val="nil"/>
              <w:right w:val="nil"/>
            </w:tcBorders>
            <w:shd w:val="clear" w:color="auto" w:fill="auto"/>
            <w:vAlign w:val="center"/>
          </w:tcPr>
          <w:p w14:paraId="24125097" w14:textId="77777777" w:rsidR="00C45D5B" w:rsidRPr="00D72F49" w:rsidRDefault="00C45D5B" w:rsidP="00CF774B">
            <w:pPr>
              <w:jc w:val="center"/>
              <w:rPr>
                <w:rFonts w:cs="Times New Roman"/>
                <w:sz w:val="18"/>
                <w:szCs w:val="18"/>
              </w:rPr>
            </w:pPr>
            <w:r>
              <w:rPr>
                <w:color w:val="000000"/>
                <w:sz w:val="18"/>
                <w:szCs w:val="18"/>
              </w:rPr>
              <w:t>2,2</w:t>
            </w:r>
          </w:p>
        </w:tc>
        <w:tc>
          <w:tcPr>
            <w:tcW w:w="482" w:type="dxa"/>
            <w:gridSpan w:val="2"/>
            <w:tcBorders>
              <w:top w:val="nil"/>
              <w:left w:val="nil"/>
              <w:bottom w:val="nil"/>
              <w:right w:val="nil"/>
            </w:tcBorders>
            <w:shd w:val="clear" w:color="auto" w:fill="auto"/>
            <w:vAlign w:val="center"/>
          </w:tcPr>
          <w:p w14:paraId="6DAA6561" w14:textId="77777777" w:rsidR="00C45D5B" w:rsidRPr="00D72F49" w:rsidRDefault="00C45D5B" w:rsidP="00CF774B">
            <w:pPr>
              <w:jc w:val="center"/>
              <w:rPr>
                <w:rFonts w:cs="Times New Roman"/>
                <w:sz w:val="18"/>
                <w:szCs w:val="18"/>
              </w:rPr>
            </w:pPr>
            <w:r>
              <w:rPr>
                <w:color w:val="000000"/>
                <w:sz w:val="18"/>
                <w:szCs w:val="18"/>
              </w:rPr>
              <w:t>2,0</w:t>
            </w:r>
          </w:p>
        </w:tc>
        <w:tc>
          <w:tcPr>
            <w:tcW w:w="548" w:type="dxa"/>
            <w:gridSpan w:val="3"/>
            <w:tcBorders>
              <w:top w:val="nil"/>
              <w:left w:val="nil"/>
              <w:bottom w:val="nil"/>
              <w:right w:val="nil"/>
            </w:tcBorders>
            <w:shd w:val="clear" w:color="auto" w:fill="auto"/>
            <w:vAlign w:val="center"/>
          </w:tcPr>
          <w:p w14:paraId="3D0020BE" w14:textId="77777777" w:rsidR="00C45D5B" w:rsidRPr="00D72F49" w:rsidRDefault="00C45D5B" w:rsidP="00CF774B">
            <w:pPr>
              <w:jc w:val="center"/>
              <w:rPr>
                <w:rFonts w:cs="Times New Roman"/>
                <w:sz w:val="18"/>
                <w:szCs w:val="18"/>
              </w:rPr>
            </w:pPr>
            <w:r>
              <w:rPr>
                <w:color w:val="000000"/>
                <w:sz w:val="18"/>
                <w:szCs w:val="18"/>
              </w:rPr>
              <w:t>1,8</w:t>
            </w:r>
          </w:p>
        </w:tc>
        <w:tc>
          <w:tcPr>
            <w:tcW w:w="555" w:type="dxa"/>
            <w:gridSpan w:val="2"/>
            <w:tcBorders>
              <w:top w:val="nil"/>
              <w:left w:val="nil"/>
              <w:bottom w:val="nil"/>
              <w:right w:val="nil"/>
            </w:tcBorders>
            <w:shd w:val="clear" w:color="auto" w:fill="auto"/>
            <w:vAlign w:val="center"/>
          </w:tcPr>
          <w:p w14:paraId="48F4DF15" w14:textId="77777777" w:rsidR="00C45D5B" w:rsidRPr="00D72F49" w:rsidRDefault="00C45D5B" w:rsidP="00CF774B">
            <w:pPr>
              <w:jc w:val="center"/>
              <w:rPr>
                <w:rFonts w:cs="Times New Roman"/>
                <w:sz w:val="18"/>
                <w:szCs w:val="18"/>
              </w:rPr>
            </w:pPr>
            <w:r>
              <w:rPr>
                <w:color w:val="000000"/>
                <w:sz w:val="18"/>
                <w:szCs w:val="18"/>
              </w:rPr>
              <w:t>1,5</w:t>
            </w:r>
          </w:p>
        </w:tc>
        <w:tc>
          <w:tcPr>
            <w:tcW w:w="320" w:type="dxa"/>
            <w:gridSpan w:val="3"/>
            <w:tcBorders>
              <w:top w:val="nil"/>
              <w:left w:val="nil"/>
              <w:bottom w:val="nil"/>
              <w:right w:val="nil"/>
            </w:tcBorders>
          </w:tcPr>
          <w:p w14:paraId="751EFC19" w14:textId="77777777" w:rsidR="00C45D5B" w:rsidRPr="00AB54ED" w:rsidRDefault="00C45D5B" w:rsidP="00CF774B">
            <w:pPr>
              <w:jc w:val="center"/>
              <w:rPr>
                <w:sz w:val="18"/>
                <w:szCs w:val="18"/>
                <w:highlight w:val="yellow"/>
              </w:rPr>
            </w:pPr>
          </w:p>
        </w:tc>
      </w:tr>
      <w:tr w:rsidR="00C45D5B" w:rsidRPr="00AB54ED" w14:paraId="29438E55" w14:textId="77777777" w:rsidTr="00CF774B">
        <w:trPr>
          <w:trHeight w:val="283"/>
        </w:trPr>
        <w:tc>
          <w:tcPr>
            <w:tcW w:w="5699" w:type="dxa"/>
            <w:gridSpan w:val="2"/>
            <w:tcBorders>
              <w:top w:val="nil"/>
              <w:left w:val="nil"/>
              <w:bottom w:val="nil"/>
              <w:right w:val="nil"/>
            </w:tcBorders>
            <w:shd w:val="clear" w:color="000000" w:fill="FFFFFF"/>
            <w:vAlign w:val="center"/>
            <w:hideMark/>
          </w:tcPr>
          <w:p w14:paraId="4226EC76" w14:textId="77777777" w:rsidR="00C45D5B" w:rsidRPr="00D72F49" w:rsidRDefault="00C45D5B" w:rsidP="00CF774B">
            <w:pPr>
              <w:rPr>
                <w:rFonts w:cs="Times New Roman"/>
                <w:sz w:val="18"/>
                <w:szCs w:val="18"/>
              </w:rPr>
            </w:pPr>
            <w:r w:rsidRPr="00D72F49">
              <w:rPr>
                <w:rFonts w:cs="Times New Roman"/>
                <w:sz w:val="18"/>
                <w:szCs w:val="18"/>
              </w:rPr>
              <w:t>Reálny rast HDP</w:t>
            </w:r>
          </w:p>
        </w:tc>
        <w:tc>
          <w:tcPr>
            <w:tcW w:w="482" w:type="dxa"/>
            <w:tcBorders>
              <w:top w:val="nil"/>
              <w:left w:val="nil"/>
              <w:bottom w:val="nil"/>
              <w:right w:val="nil"/>
            </w:tcBorders>
            <w:shd w:val="clear" w:color="auto" w:fill="auto"/>
            <w:vAlign w:val="center"/>
            <w:hideMark/>
          </w:tcPr>
          <w:p w14:paraId="6A4A4694" w14:textId="77777777" w:rsidR="00C45D5B" w:rsidRPr="00D72F49" w:rsidRDefault="00C45D5B" w:rsidP="00CF774B">
            <w:pPr>
              <w:jc w:val="center"/>
              <w:rPr>
                <w:rFonts w:cs="Times New Roman"/>
                <w:sz w:val="18"/>
                <w:szCs w:val="18"/>
              </w:rPr>
            </w:pPr>
            <w:r>
              <w:rPr>
                <w:color w:val="000000"/>
                <w:sz w:val="18"/>
                <w:szCs w:val="18"/>
              </w:rPr>
              <w:t>2,0</w:t>
            </w:r>
          </w:p>
        </w:tc>
        <w:tc>
          <w:tcPr>
            <w:tcW w:w="482" w:type="dxa"/>
            <w:gridSpan w:val="2"/>
            <w:tcBorders>
              <w:top w:val="nil"/>
              <w:left w:val="nil"/>
              <w:bottom w:val="nil"/>
              <w:right w:val="nil"/>
            </w:tcBorders>
            <w:shd w:val="clear" w:color="auto" w:fill="auto"/>
            <w:vAlign w:val="center"/>
          </w:tcPr>
          <w:p w14:paraId="3E828231" w14:textId="77777777" w:rsidR="00C45D5B" w:rsidRPr="00D72F49" w:rsidRDefault="00C45D5B" w:rsidP="00CF774B">
            <w:pPr>
              <w:jc w:val="center"/>
              <w:rPr>
                <w:rFonts w:cs="Times New Roman"/>
                <w:sz w:val="18"/>
                <w:szCs w:val="18"/>
              </w:rPr>
            </w:pPr>
            <w:r>
              <w:rPr>
                <w:color w:val="000000"/>
                <w:sz w:val="18"/>
                <w:szCs w:val="18"/>
              </w:rPr>
              <w:t>1,7</w:t>
            </w:r>
          </w:p>
        </w:tc>
        <w:tc>
          <w:tcPr>
            <w:tcW w:w="482" w:type="dxa"/>
            <w:gridSpan w:val="2"/>
            <w:tcBorders>
              <w:top w:val="nil"/>
              <w:left w:val="nil"/>
              <w:bottom w:val="nil"/>
              <w:right w:val="nil"/>
            </w:tcBorders>
            <w:shd w:val="clear" w:color="auto" w:fill="auto"/>
            <w:vAlign w:val="center"/>
          </w:tcPr>
          <w:p w14:paraId="2FC97741" w14:textId="77777777" w:rsidR="00C45D5B" w:rsidRPr="00D72F49" w:rsidRDefault="00C45D5B" w:rsidP="00CF774B">
            <w:pPr>
              <w:jc w:val="center"/>
              <w:rPr>
                <w:rFonts w:cs="Times New Roman"/>
                <w:sz w:val="18"/>
                <w:szCs w:val="18"/>
              </w:rPr>
            </w:pPr>
            <w:r>
              <w:rPr>
                <w:color w:val="000000"/>
                <w:sz w:val="18"/>
                <w:szCs w:val="18"/>
              </w:rPr>
              <w:t>1,2</w:t>
            </w:r>
          </w:p>
        </w:tc>
        <w:tc>
          <w:tcPr>
            <w:tcW w:w="482" w:type="dxa"/>
            <w:gridSpan w:val="2"/>
            <w:tcBorders>
              <w:top w:val="nil"/>
              <w:left w:val="nil"/>
              <w:bottom w:val="nil"/>
              <w:right w:val="nil"/>
            </w:tcBorders>
            <w:shd w:val="clear" w:color="auto" w:fill="auto"/>
            <w:vAlign w:val="center"/>
          </w:tcPr>
          <w:p w14:paraId="5EF0D034" w14:textId="77777777" w:rsidR="00C45D5B" w:rsidRPr="00D72F49" w:rsidRDefault="00C45D5B" w:rsidP="00CF774B">
            <w:pPr>
              <w:jc w:val="center"/>
              <w:rPr>
                <w:rFonts w:cs="Times New Roman"/>
                <w:sz w:val="18"/>
                <w:szCs w:val="18"/>
              </w:rPr>
            </w:pPr>
            <w:r>
              <w:rPr>
                <w:color w:val="000000"/>
                <w:sz w:val="18"/>
                <w:szCs w:val="18"/>
              </w:rPr>
              <w:t>1,0</w:t>
            </w:r>
          </w:p>
        </w:tc>
        <w:tc>
          <w:tcPr>
            <w:tcW w:w="548" w:type="dxa"/>
            <w:gridSpan w:val="3"/>
            <w:tcBorders>
              <w:top w:val="nil"/>
              <w:left w:val="nil"/>
              <w:bottom w:val="nil"/>
              <w:right w:val="nil"/>
            </w:tcBorders>
            <w:shd w:val="clear" w:color="auto" w:fill="auto"/>
            <w:vAlign w:val="center"/>
          </w:tcPr>
          <w:p w14:paraId="577041B1" w14:textId="77777777" w:rsidR="00C45D5B" w:rsidRPr="00D72F49" w:rsidRDefault="00C45D5B" w:rsidP="00CF774B">
            <w:pPr>
              <w:jc w:val="center"/>
              <w:rPr>
                <w:rFonts w:cs="Times New Roman"/>
                <w:sz w:val="18"/>
                <w:szCs w:val="18"/>
              </w:rPr>
            </w:pPr>
            <w:r>
              <w:rPr>
                <w:color w:val="000000"/>
                <w:sz w:val="18"/>
                <w:szCs w:val="18"/>
              </w:rPr>
              <w:t>1,3</w:t>
            </w:r>
          </w:p>
        </w:tc>
        <w:tc>
          <w:tcPr>
            <w:tcW w:w="555" w:type="dxa"/>
            <w:gridSpan w:val="2"/>
            <w:tcBorders>
              <w:top w:val="nil"/>
              <w:left w:val="nil"/>
              <w:bottom w:val="nil"/>
              <w:right w:val="nil"/>
            </w:tcBorders>
            <w:shd w:val="clear" w:color="auto" w:fill="auto"/>
            <w:vAlign w:val="center"/>
          </w:tcPr>
          <w:p w14:paraId="0895053C" w14:textId="77777777" w:rsidR="00C45D5B" w:rsidRPr="00D72F49" w:rsidRDefault="00C45D5B" w:rsidP="00CF774B">
            <w:pPr>
              <w:jc w:val="center"/>
              <w:rPr>
                <w:rFonts w:cs="Times New Roman"/>
                <w:sz w:val="18"/>
                <w:szCs w:val="18"/>
              </w:rPr>
            </w:pPr>
            <w:r>
              <w:rPr>
                <w:color w:val="000000"/>
                <w:sz w:val="18"/>
                <w:szCs w:val="18"/>
              </w:rPr>
              <w:t>1,2</w:t>
            </w:r>
          </w:p>
        </w:tc>
        <w:tc>
          <w:tcPr>
            <w:tcW w:w="320" w:type="dxa"/>
            <w:gridSpan w:val="3"/>
            <w:tcBorders>
              <w:top w:val="nil"/>
              <w:left w:val="nil"/>
              <w:bottom w:val="nil"/>
              <w:right w:val="nil"/>
            </w:tcBorders>
          </w:tcPr>
          <w:p w14:paraId="57F691C8" w14:textId="77777777" w:rsidR="00C45D5B" w:rsidRPr="00AB54ED" w:rsidRDefault="00C45D5B" w:rsidP="00CF774B">
            <w:pPr>
              <w:jc w:val="center"/>
              <w:rPr>
                <w:sz w:val="18"/>
                <w:szCs w:val="18"/>
                <w:highlight w:val="yellow"/>
              </w:rPr>
            </w:pPr>
          </w:p>
        </w:tc>
      </w:tr>
      <w:tr w:rsidR="00C45D5B" w:rsidRPr="00AB54ED" w14:paraId="1BE98101" w14:textId="77777777" w:rsidTr="00CF774B">
        <w:trPr>
          <w:trHeight w:val="283"/>
        </w:trPr>
        <w:tc>
          <w:tcPr>
            <w:tcW w:w="5699" w:type="dxa"/>
            <w:gridSpan w:val="2"/>
            <w:tcBorders>
              <w:top w:val="nil"/>
              <w:left w:val="nil"/>
              <w:bottom w:val="nil"/>
              <w:right w:val="nil"/>
            </w:tcBorders>
            <w:shd w:val="clear" w:color="000000" w:fill="FFFFFF"/>
            <w:vAlign w:val="center"/>
            <w:hideMark/>
          </w:tcPr>
          <w:p w14:paraId="1FB82334" w14:textId="77777777" w:rsidR="00C45D5B" w:rsidRPr="00D72F49" w:rsidRDefault="00C45D5B" w:rsidP="00CF774B">
            <w:pPr>
              <w:rPr>
                <w:rFonts w:cs="Times New Roman"/>
                <w:sz w:val="18"/>
                <w:szCs w:val="18"/>
              </w:rPr>
            </w:pPr>
            <w:r w:rsidRPr="00D72F49">
              <w:rPr>
                <w:rFonts w:cs="Times New Roman"/>
                <w:sz w:val="18"/>
                <w:szCs w:val="18"/>
              </w:rPr>
              <w:t>Miera participácie mužov (vek 15-64)</w:t>
            </w:r>
          </w:p>
        </w:tc>
        <w:tc>
          <w:tcPr>
            <w:tcW w:w="482" w:type="dxa"/>
            <w:tcBorders>
              <w:top w:val="nil"/>
              <w:left w:val="nil"/>
              <w:bottom w:val="nil"/>
              <w:right w:val="nil"/>
            </w:tcBorders>
            <w:shd w:val="clear" w:color="auto" w:fill="auto"/>
            <w:vAlign w:val="center"/>
            <w:hideMark/>
          </w:tcPr>
          <w:p w14:paraId="762B50F0" w14:textId="77777777" w:rsidR="00C45D5B" w:rsidRPr="00D72F49" w:rsidRDefault="00C45D5B" w:rsidP="00CF774B">
            <w:pPr>
              <w:jc w:val="center"/>
              <w:rPr>
                <w:rFonts w:cs="Times New Roman"/>
                <w:sz w:val="18"/>
                <w:szCs w:val="18"/>
              </w:rPr>
            </w:pPr>
            <w:r>
              <w:rPr>
                <w:color w:val="000000"/>
                <w:sz w:val="18"/>
                <w:szCs w:val="18"/>
              </w:rPr>
              <w:t>84,7</w:t>
            </w:r>
          </w:p>
        </w:tc>
        <w:tc>
          <w:tcPr>
            <w:tcW w:w="482" w:type="dxa"/>
            <w:gridSpan w:val="2"/>
            <w:tcBorders>
              <w:top w:val="nil"/>
              <w:left w:val="nil"/>
              <w:bottom w:val="nil"/>
              <w:right w:val="nil"/>
            </w:tcBorders>
            <w:shd w:val="clear" w:color="auto" w:fill="auto"/>
            <w:vAlign w:val="center"/>
          </w:tcPr>
          <w:p w14:paraId="76CCF93A" w14:textId="77777777" w:rsidR="00C45D5B" w:rsidRPr="00D72F49" w:rsidRDefault="00C45D5B" w:rsidP="00CF774B">
            <w:pPr>
              <w:jc w:val="center"/>
              <w:rPr>
                <w:rFonts w:cs="Times New Roman"/>
                <w:sz w:val="18"/>
                <w:szCs w:val="18"/>
              </w:rPr>
            </w:pPr>
            <w:r>
              <w:rPr>
                <w:color w:val="000000"/>
                <w:sz w:val="18"/>
                <w:szCs w:val="18"/>
              </w:rPr>
              <w:t>84,4</w:t>
            </w:r>
          </w:p>
        </w:tc>
        <w:tc>
          <w:tcPr>
            <w:tcW w:w="482" w:type="dxa"/>
            <w:gridSpan w:val="2"/>
            <w:tcBorders>
              <w:top w:val="nil"/>
              <w:left w:val="nil"/>
              <w:bottom w:val="nil"/>
              <w:right w:val="nil"/>
            </w:tcBorders>
            <w:shd w:val="clear" w:color="auto" w:fill="auto"/>
            <w:vAlign w:val="center"/>
          </w:tcPr>
          <w:p w14:paraId="30821198" w14:textId="77777777" w:rsidR="00C45D5B" w:rsidRPr="00D72F49" w:rsidRDefault="00C45D5B" w:rsidP="00CF774B">
            <w:pPr>
              <w:jc w:val="center"/>
              <w:rPr>
                <w:rFonts w:cs="Times New Roman"/>
                <w:sz w:val="18"/>
                <w:szCs w:val="18"/>
              </w:rPr>
            </w:pPr>
            <w:r>
              <w:rPr>
                <w:color w:val="000000"/>
                <w:sz w:val="18"/>
                <w:szCs w:val="18"/>
              </w:rPr>
              <w:t>82,3</w:t>
            </w:r>
          </w:p>
        </w:tc>
        <w:tc>
          <w:tcPr>
            <w:tcW w:w="482" w:type="dxa"/>
            <w:gridSpan w:val="2"/>
            <w:tcBorders>
              <w:top w:val="nil"/>
              <w:left w:val="nil"/>
              <w:bottom w:val="nil"/>
              <w:right w:val="nil"/>
            </w:tcBorders>
            <w:shd w:val="clear" w:color="auto" w:fill="auto"/>
            <w:vAlign w:val="center"/>
          </w:tcPr>
          <w:p w14:paraId="08E9C0E0" w14:textId="77777777" w:rsidR="00C45D5B" w:rsidRPr="00D72F49" w:rsidRDefault="00C45D5B" w:rsidP="00CF774B">
            <w:pPr>
              <w:jc w:val="center"/>
              <w:rPr>
                <w:rFonts w:cs="Times New Roman"/>
                <w:sz w:val="18"/>
                <w:szCs w:val="18"/>
              </w:rPr>
            </w:pPr>
            <w:r>
              <w:rPr>
                <w:color w:val="000000"/>
                <w:sz w:val="18"/>
                <w:szCs w:val="18"/>
              </w:rPr>
              <w:t>83,0</w:t>
            </w:r>
          </w:p>
        </w:tc>
        <w:tc>
          <w:tcPr>
            <w:tcW w:w="548" w:type="dxa"/>
            <w:gridSpan w:val="3"/>
            <w:tcBorders>
              <w:top w:val="nil"/>
              <w:left w:val="nil"/>
              <w:bottom w:val="nil"/>
              <w:right w:val="nil"/>
            </w:tcBorders>
            <w:shd w:val="clear" w:color="auto" w:fill="auto"/>
            <w:vAlign w:val="center"/>
          </w:tcPr>
          <w:p w14:paraId="0A98FDE3" w14:textId="77777777" w:rsidR="00C45D5B" w:rsidRPr="00D72F49" w:rsidRDefault="00C45D5B" w:rsidP="00CF774B">
            <w:pPr>
              <w:jc w:val="center"/>
              <w:rPr>
                <w:rFonts w:cs="Times New Roman"/>
                <w:sz w:val="18"/>
                <w:szCs w:val="18"/>
              </w:rPr>
            </w:pPr>
            <w:r>
              <w:rPr>
                <w:color w:val="000000"/>
                <w:sz w:val="18"/>
                <w:szCs w:val="18"/>
              </w:rPr>
              <w:t>84,2</w:t>
            </w:r>
          </w:p>
        </w:tc>
        <w:tc>
          <w:tcPr>
            <w:tcW w:w="555" w:type="dxa"/>
            <w:gridSpan w:val="2"/>
            <w:tcBorders>
              <w:top w:val="nil"/>
              <w:left w:val="nil"/>
              <w:bottom w:val="nil"/>
              <w:right w:val="nil"/>
            </w:tcBorders>
            <w:shd w:val="clear" w:color="auto" w:fill="auto"/>
            <w:vAlign w:val="center"/>
          </w:tcPr>
          <w:p w14:paraId="2A509CE5" w14:textId="77777777" w:rsidR="00C45D5B" w:rsidRPr="00D72F49" w:rsidRDefault="00C45D5B" w:rsidP="00CF774B">
            <w:pPr>
              <w:jc w:val="center"/>
              <w:rPr>
                <w:rFonts w:cs="Times New Roman"/>
                <w:sz w:val="18"/>
                <w:szCs w:val="18"/>
              </w:rPr>
            </w:pPr>
            <w:r>
              <w:rPr>
                <w:color w:val="000000"/>
                <w:sz w:val="18"/>
                <w:szCs w:val="18"/>
              </w:rPr>
              <w:t>83,9</w:t>
            </w:r>
          </w:p>
        </w:tc>
        <w:tc>
          <w:tcPr>
            <w:tcW w:w="320" w:type="dxa"/>
            <w:gridSpan w:val="3"/>
            <w:tcBorders>
              <w:top w:val="nil"/>
              <w:left w:val="nil"/>
              <w:bottom w:val="nil"/>
              <w:right w:val="nil"/>
            </w:tcBorders>
          </w:tcPr>
          <w:p w14:paraId="719FD634" w14:textId="77777777" w:rsidR="00C45D5B" w:rsidRPr="00AB54ED" w:rsidRDefault="00C45D5B" w:rsidP="00CF774B">
            <w:pPr>
              <w:jc w:val="center"/>
              <w:rPr>
                <w:sz w:val="18"/>
                <w:szCs w:val="18"/>
                <w:highlight w:val="yellow"/>
              </w:rPr>
            </w:pPr>
          </w:p>
        </w:tc>
      </w:tr>
      <w:tr w:rsidR="00C45D5B" w:rsidRPr="00AB54ED" w14:paraId="5AC3FBA1" w14:textId="77777777" w:rsidTr="00CF774B">
        <w:trPr>
          <w:trHeight w:val="283"/>
        </w:trPr>
        <w:tc>
          <w:tcPr>
            <w:tcW w:w="5699" w:type="dxa"/>
            <w:gridSpan w:val="2"/>
            <w:tcBorders>
              <w:top w:val="nil"/>
              <w:left w:val="nil"/>
              <w:bottom w:val="nil"/>
              <w:right w:val="nil"/>
            </w:tcBorders>
            <w:shd w:val="clear" w:color="000000" w:fill="FFFFFF"/>
            <w:vAlign w:val="center"/>
            <w:hideMark/>
          </w:tcPr>
          <w:p w14:paraId="6806BD6E" w14:textId="77777777" w:rsidR="00C45D5B" w:rsidRPr="00D72F49" w:rsidRDefault="00C45D5B" w:rsidP="00CF774B">
            <w:pPr>
              <w:rPr>
                <w:rFonts w:cs="Times New Roman"/>
                <w:sz w:val="18"/>
                <w:szCs w:val="18"/>
              </w:rPr>
            </w:pPr>
            <w:r w:rsidRPr="00D72F49">
              <w:rPr>
                <w:rFonts w:cs="Times New Roman"/>
                <w:sz w:val="18"/>
                <w:szCs w:val="18"/>
              </w:rPr>
              <w:t>Miera participácie žien (vek 15-64)</w:t>
            </w:r>
          </w:p>
        </w:tc>
        <w:tc>
          <w:tcPr>
            <w:tcW w:w="482" w:type="dxa"/>
            <w:tcBorders>
              <w:top w:val="nil"/>
              <w:left w:val="nil"/>
              <w:bottom w:val="nil"/>
              <w:right w:val="nil"/>
            </w:tcBorders>
            <w:shd w:val="clear" w:color="auto" w:fill="auto"/>
            <w:vAlign w:val="center"/>
            <w:hideMark/>
          </w:tcPr>
          <w:p w14:paraId="659E1C65" w14:textId="77777777" w:rsidR="00C45D5B" w:rsidRPr="00D72F49" w:rsidRDefault="00C45D5B" w:rsidP="00CF774B">
            <w:pPr>
              <w:jc w:val="center"/>
              <w:rPr>
                <w:rFonts w:cs="Times New Roman"/>
                <w:sz w:val="18"/>
                <w:szCs w:val="18"/>
              </w:rPr>
            </w:pPr>
            <w:r>
              <w:rPr>
                <w:color w:val="000000"/>
                <w:sz w:val="18"/>
                <w:szCs w:val="18"/>
              </w:rPr>
              <w:t>71,6</w:t>
            </w:r>
          </w:p>
        </w:tc>
        <w:tc>
          <w:tcPr>
            <w:tcW w:w="482" w:type="dxa"/>
            <w:gridSpan w:val="2"/>
            <w:tcBorders>
              <w:top w:val="nil"/>
              <w:left w:val="nil"/>
              <w:bottom w:val="nil"/>
              <w:right w:val="nil"/>
            </w:tcBorders>
            <w:shd w:val="clear" w:color="auto" w:fill="auto"/>
            <w:vAlign w:val="center"/>
          </w:tcPr>
          <w:p w14:paraId="7DB43D0F" w14:textId="77777777" w:rsidR="00C45D5B" w:rsidRPr="00D72F49" w:rsidRDefault="00C45D5B" w:rsidP="00CF774B">
            <w:pPr>
              <w:jc w:val="center"/>
              <w:rPr>
                <w:rFonts w:cs="Times New Roman"/>
                <w:sz w:val="18"/>
                <w:szCs w:val="18"/>
              </w:rPr>
            </w:pPr>
            <w:r>
              <w:rPr>
                <w:color w:val="000000"/>
                <w:sz w:val="18"/>
                <w:szCs w:val="18"/>
              </w:rPr>
              <w:t>71,0</w:t>
            </w:r>
          </w:p>
        </w:tc>
        <w:tc>
          <w:tcPr>
            <w:tcW w:w="482" w:type="dxa"/>
            <w:gridSpan w:val="2"/>
            <w:tcBorders>
              <w:top w:val="nil"/>
              <w:left w:val="nil"/>
              <w:bottom w:val="nil"/>
              <w:right w:val="nil"/>
            </w:tcBorders>
            <w:shd w:val="clear" w:color="auto" w:fill="auto"/>
            <w:vAlign w:val="center"/>
          </w:tcPr>
          <w:p w14:paraId="069757A6" w14:textId="77777777" w:rsidR="00C45D5B" w:rsidRPr="00D72F49" w:rsidRDefault="00C45D5B" w:rsidP="00CF774B">
            <w:pPr>
              <w:jc w:val="center"/>
              <w:rPr>
                <w:rFonts w:cs="Times New Roman"/>
                <w:sz w:val="18"/>
                <w:szCs w:val="18"/>
              </w:rPr>
            </w:pPr>
            <w:r>
              <w:rPr>
                <w:color w:val="000000"/>
                <w:sz w:val="18"/>
                <w:szCs w:val="18"/>
              </w:rPr>
              <w:t>67,7</w:t>
            </w:r>
          </w:p>
        </w:tc>
        <w:tc>
          <w:tcPr>
            <w:tcW w:w="482" w:type="dxa"/>
            <w:gridSpan w:val="2"/>
            <w:tcBorders>
              <w:top w:val="nil"/>
              <w:left w:val="nil"/>
              <w:bottom w:val="nil"/>
              <w:right w:val="nil"/>
            </w:tcBorders>
            <w:shd w:val="clear" w:color="auto" w:fill="auto"/>
            <w:vAlign w:val="center"/>
          </w:tcPr>
          <w:p w14:paraId="770A1DB2" w14:textId="77777777" w:rsidR="00C45D5B" w:rsidRPr="00D72F49" w:rsidRDefault="00C45D5B" w:rsidP="00CF774B">
            <w:pPr>
              <w:jc w:val="center"/>
              <w:rPr>
                <w:rFonts w:cs="Times New Roman"/>
                <w:sz w:val="18"/>
                <w:szCs w:val="18"/>
              </w:rPr>
            </w:pPr>
            <w:r>
              <w:rPr>
                <w:color w:val="000000"/>
                <w:sz w:val="18"/>
                <w:szCs w:val="18"/>
              </w:rPr>
              <w:t>67,3</w:t>
            </w:r>
          </w:p>
        </w:tc>
        <w:tc>
          <w:tcPr>
            <w:tcW w:w="548" w:type="dxa"/>
            <w:gridSpan w:val="3"/>
            <w:tcBorders>
              <w:top w:val="nil"/>
              <w:left w:val="nil"/>
              <w:bottom w:val="nil"/>
              <w:right w:val="nil"/>
            </w:tcBorders>
            <w:shd w:val="clear" w:color="auto" w:fill="auto"/>
            <w:vAlign w:val="center"/>
          </w:tcPr>
          <w:p w14:paraId="5A221DD0" w14:textId="77777777" w:rsidR="00C45D5B" w:rsidRPr="00D72F49" w:rsidRDefault="00C45D5B" w:rsidP="00CF774B">
            <w:pPr>
              <w:jc w:val="center"/>
              <w:rPr>
                <w:rFonts w:cs="Times New Roman"/>
                <w:sz w:val="18"/>
                <w:szCs w:val="18"/>
              </w:rPr>
            </w:pPr>
            <w:r>
              <w:rPr>
                <w:color w:val="000000"/>
                <w:sz w:val="18"/>
                <w:szCs w:val="18"/>
              </w:rPr>
              <w:t>68,9</w:t>
            </w:r>
          </w:p>
        </w:tc>
        <w:tc>
          <w:tcPr>
            <w:tcW w:w="555" w:type="dxa"/>
            <w:gridSpan w:val="2"/>
            <w:tcBorders>
              <w:top w:val="nil"/>
              <w:left w:val="nil"/>
              <w:bottom w:val="nil"/>
              <w:right w:val="nil"/>
            </w:tcBorders>
            <w:shd w:val="clear" w:color="auto" w:fill="auto"/>
            <w:vAlign w:val="center"/>
          </w:tcPr>
          <w:p w14:paraId="69DEA0FB" w14:textId="77777777" w:rsidR="00C45D5B" w:rsidRPr="00D72F49" w:rsidRDefault="00C45D5B" w:rsidP="00CF774B">
            <w:pPr>
              <w:jc w:val="center"/>
              <w:rPr>
                <w:rFonts w:cs="Times New Roman"/>
                <w:sz w:val="18"/>
                <w:szCs w:val="18"/>
              </w:rPr>
            </w:pPr>
            <w:r>
              <w:rPr>
                <w:color w:val="000000"/>
                <w:sz w:val="18"/>
                <w:szCs w:val="18"/>
              </w:rPr>
              <w:t>68,6</w:t>
            </w:r>
          </w:p>
        </w:tc>
        <w:tc>
          <w:tcPr>
            <w:tcW w:w="320" w:type="dxa"/>
            <w:gridSpan w:val="3"/>
            <w:tcBorders>
              <w:top w:val="nil"/>
              <w:left w:val="nil"/>
              <w:bottom w:val="nil"/>
              <w:right w:val="nil"/>
            </w:tcBorders>
          </w:tcPr>
          <w:p w14:paraId="1CD2B705" w14:textId="77777777" w:rsidR="00C45D5B" w:rsidRPr="00AB54ED" w:rsidRDefault="00C45D5B" w:rsidP="00CF774B">
            <w:pPr>
              <w:jc w:val="center"/>
              <w:rPr>
                <w:sz w:val="18"/>
                <w:szCs w:val="18"/>
                <w:highlight w:val="yellow"/>
              </w:rPr>
            </w:pPr>
          </w:p>
        </w:tc>
      </w:tr>
      <w:tr w:rsidR="00C45D5B" w:rsidRPr="00AB54ED" w14:paraId="6C9363EB" w14:textId="77777777" w:rsidTr="00CF774B">
        <w:trPr>
          <w:trHeight w:val="283"/>
        </w:trPr>
        <w:tc>
          <w:tcPr>
            <w:tcW w:w="5699" w:type="dxa"/>
            <w:gridSpan w:val="2"/>
            <w:tcBorders>
              <w:top w:val="nil"/>
              <w:left w:val="nil"/>
              <w:bottom w:val="nil"/>
              <w:right w:val="nil"/>
            </w:tcBorders>
            <w:shd w:val="clear" w:color="000000" w:fill="FFFFFF"/>
            <w:vAlign w:val="center"/>
            <w:hideMark/>
          </w:tcPr>
          <w:p w14:paraId="2B992DE6" w14:textId="77777777" w:rsidR="00C45D5B" w:rsidRPr="00D72F49" w:rsidRDefault="00C45D5B" w:rsidP="00CF774B">
            <w:pPr>
              <w:rPr>
                <w:rFonts w:cs="Times New Roman"/>
                <w:sz w:val="18"/>
                <w:szCs w:val="18"/>
              </w:rPr>
            </w:pPr>
            <w:r w:rsidRPr="00D72F49">
              <w:rPr>
                <w:rFonts w:cs="Times New Roman"/>
                <w:sz w:val="18"/>
                <w:szCs w:val="18"/>
              </w:rPr>
              <w:t>Celková miera participácie (vek 15-64)</w:t>
            </w:r>
          </w:p>
        </w:tc>
        <w:tc>
          <w:tcPr>
            <w:tcW w:w="482" w:type="dxa"/>
            <w:tcBorders>
              <w:top w:val="nil"/>
              <w:left w:val="nil"/>
              <w:bottom w:val="nil"/>
              <w:right w:val="nil"/>
            </w:tcBorders>
            <w:shd w:val="clear" w:color="auto" w:fill="auto"/>
            <w:vAlign w:val="center"/>
            <w:hideMark/>
          </w:tcPr>
          <w:p w14:paraId="2E82A54D" w14:textId="77777777" w:rsidR="00C45D5B" w:rsidRPr="00D72F49" w:rsidRDefault="00C45D5B" w:rsidP="00CF774B">
            <w:pPr>
              <w:jc w:val="center"/>
              <w:rPr>
                <w:rFonts w:cs="Times New Roman"/>
                <w:sz w:val="18"/>
                <w:szCs w:val="18"/>
              </w:rPr>
            </w:pPr>
            <w:r>
              <w:rPr>
                <w:color w:val="000000"/>
                <w:sz w:val="18"/>
                <w:szCs w:val="18"/>
              </w:rPr>
              <w:t>78,2</w:t>
            </w:r>
          </w:p>
        </w:tc>
        <w:tc>
          <w:tcPr>
            <w:tcW w:w="482" w:type="dxa"/>
            <w:gridSpan w:val="2"/>
            <w:tcBorders>
              <w:top w:val="nil"/>
              <w:left w:val="nil"/>
              <w:bottom w:val="nil"/>
              <w:right w:val="nil"/>
            </w:tcBorders>
            <w:shd w:val="clear" w:color="auto" w:fill="auto"/>
            <w:vAlign w:val="center"/>
          </w:tcPr>
          <w:p w14:paraId="650C3F28" w14:textId="77777777" w:rsidR="00C45D5B" w:rsidRPr="00D72F49" w:rsidRDefault="00C45D5B" w:rsidP="00CF774B">
            <w:pPr>
              <w:jc w:val="center"/>
              <w:rPr>
                <w:rFonts w:cs="Times New Roman"/>
                <w:sz w:val="18"/>
                <w:szCs w:val="18"/>
              </w:rPr>
            </w:pPr>
            <w:r>
              <w:rPr>
                <w:color w:val="000000"/>
                <w:sz w:val="18"/>
                <w:szCs w:val="18"/>
              </w:rPr>
              <w:t>77,8</w:t>
            </w:r>
          </w:p>
        </w:tc>
        <w:tc>
          <w:tcPr>
            <w:tcW w:w="482" w:type="dxa"/>
            <w:gridSpan w:val="2"/>
            <w:tcBorders>
              <w:top w:val="nil"/>
              <w:left w:val="nil"/>
              <w:bottom w:val="nil"/>
              <w:right w:val="nil"/>
            </w:tcBorders>
            <w:shd w:val="clear" w:color="auto" w:fill="auto"/>
            <w:vAlign w:val="center"/>
          </w:tcPr>
          <w:p w14:paraId="21DFC69D" w14:textId="77777777" w:rsidR="00C45D5B" w:rsidRPr="00D72F49" w:rsidRDefault="00C45D5B" w:rsidP="00CF774B">
            <w:pPr>
              <w:jc w:val="center"/>
              <w:rPr>
                <w:rFonts w:cs="Times New Roman"/>
                <w:sz w:val="18"/>
                <w:szCs w:val="18"/>
              </w:rPr>
            </w:pPr>
            <w:r>
              <w:rPr>
                <w:color w:val="000000"/>
                <w:sz w:val="18"/>
                <w:szCs w:val="18"/>
              </w:rPr>
              <w:t>75,1</w:t>
            </w:r>
          </w:p>
        </w:tc>
        <w:tc>
          <w:tcPr>
            <w:tcW w:w="482" w:type="dxa"/>
            <w:gridSpan w:val="2"/>
            <w:tcBorders>
              <w:top w:val="nil"/>
              <w:left w:val="nil"/>
              <w:bottom w:val="nil"/>
              <w:right w:val="nil"/>
            </w:tcBorders>
            <w:shd w:val="clear" w:color="auto" w:fill="auto"/>
            <w:vAlign w:val="center"/>
          </w:tcPr>
          <w:p w14:paraId="20D329C9" w14:textId="77777777" w:rsidR="00C45D5B" w:rsidRPr="00D72F49" w:rsidRDefault="00C45D5B" w:rsidP="00CF774B">
            <w:pPr>
              <w:jc w:val="center"/>
              <w:rPr>
                <w:rFonts w:cs="Times New Roman"/>
                <w:sz w:val="18"/>
                <w:szCs w:val="18"/>
              </w:rPr>
            </w:pPr>
            <w:r>
              <w:rPr>
                <w:color w:val="000000"/>
                <w:sz w:val="18"/>
                <w:szCs w:val="18"/>
              </w:rPr>
              <w:t>75,3</w:t>
            </w:r>
          </w:p>
        </w:tc>
        <w:tc>
          <w:tcPr>
            <w:tcW w:w="548" w:type="dxa"/>
            <w:gridSpan w:val="3"/>
            <w:tcBorders>
              <w:top w:val="nil"/>
              <w:left w:val="nil"/>
              <w:bottom w:val="nil"/>
              <w:right w:val="nil"/>
            </w:tcBorders>
            <w:shd w:val="clear" w:color="auto" w:fill="auto"/>
            <w:vAlign w:val="center"/>
          </w:tcPr>
          <w:p w14:paraId="5FF6D910" w14:textId="77777777" w:rsidR="00C45D5B" w:rsidRPr="00D72F49" w:rsidRDefault="00C45D5B" w:rsidP="00CF774B">
            <w:pPr>
              <w:jc w:val="center"/>
              <w:rPr>
                <w:rFonts w:cs="Times New Roman"/>
                <w:sz w:val="18"/>
                <w:szCs w:val="18"/>
              </w:rPr>
            </w:pPr>
            <w:r>
              <w:rPr>
                <w:color w:val="000000"/>
                <w:sz w:val="18"/>
                <w:szCs w:val="18"/>
              </w:rPr>
              <w:t>76,8</w:t>
            </w:r>
          </w:p>
        </w:tc>
        <w:tc>
          <w:tcPr>
            <w:tcW w:w="555" w:type="dxa"/>
            <w:gridSpan w:val="2"/>
            <w:tcBorders>
              <w:top w:val="nil"/>
              <w:left w:val="nil"/>
              <w:bottom w:val="nil"/>
              <w:right w:val="nil"/>
            </w:tcBorders>
            <w:shd w:val="clear" w:color="auto" w:fill="auto"/>
            <w:vAlign w:val="center"/>
          </w:tcPr>
          <w:p w14:paraId="1BF21AE0" w14:textId="77777777" w:rsidR="00C45D5B" w:rsidRPr="00D72F49" w:rsidRDefault="00C45D5B" w:rsidP="00CF774B">
            <w:pPr>
              <w:jc w:val="center"/>
              <w:rPr>
                <w:rFonts w:cs="Times New Roman"/>
                <w:sz w:val="18"/>
                <w:szCs w:val="18"/>
              </w:rPr>
            </w:pPr>
            <w:r>
              <w:rPr>
                <w:color w:val="000000"/>
                <w:sz w:val="18"/>
                <w:szCs w:val="18"/>
              </w:rPr>
              <w:t>76,4</w:t>
            </w:r>
          </w:p>
        </w:tc>
        <w:tc>
          <w:tcPr>
            <w:tcW w:w="320" w:type="dxa"/>
            <w:gridSpan w:val="3"/>
            <w:tcBorders>
              <w:top w:val="nil"/>
              <w:left w:val="nil"/>
              <w:bottom w:val="nil"/>
              <w:right w:val="nil"/>
            </w:tcBorders>
          </w:tcPr>
          <w:p w14:paraId="31FDB19B" w14:textId="77777777" w:rsidR="00C45D5B" w:rsidRPr="00AB54ED" w:rsidRDefault="00C45D5B" w:rsidP="00CF774B">
            <w:pPr>
              <w:jc w:val="center"/>
              <w:rPr>
                <w:sz w:val="18"/>
                <w:szCs w:val="18"/>
                <w:highlight w:val="yellow"/>
              </w:rPr>
            </w:pPr>
          </w:p>
        </w:tc>
      </w:tr>
      <w:tr w:rsidR="00C45D5B" w:rsidRPr="00AB54ED" w14:paraId="350FFDA3" w14:textId="77777777" w:rsidTr="00CF774B">
        <w:trPr>
          <w:trHeight w:val="283"/>
        </w:trPr>
        <w:tc>
          <w:tcPr>
            <w:tcW w:w="5699" w:type="dxa"/>
            <w:gridSpan w:val="2"/>
            <w:tcBorders>
              <w:top w:val="nil"/>
              <w:left w:val="nil"/>
              <w:right w:val="nil"/>
            </w:tcBorders>
            <w:shd w:val="clear" w:color="000000" w:fill="FFFFFF"/>
            <w:vAlign w:val="center"/>
            <w:hideMark/>
          </w:tcPr>
          <w:p w14:paraId="6D6D1BB0" w14:textId="77777777" w:rsidR="00C45D5B" w:rsidRPr="00D72F49" w:rsidRDefault="00C45D5B" w:rsidP="00CF774B">
            <w:pPr>
              <w:rPr>
                <w:rFonts w:cs="Times New Roman"/>
                <w:sz w:val="18"/>
                <w:szCs w:val="18"/>
              </w:rPr>
            </w:pPr>
            <w:r w:rsidRPr="00D72F49">
              <w:rPr>
                <w:rFonts w:cs="Times New Roman"/>
                <w:sz w:val="18"/>
                <w:szCs w:val="18"/>
              </w:rPr>
              <w:t>Miera nezamestnanosti (vek 15-64)</w:t>
            </w:r>
          </w:p>
        </w:tc>
        <w:tc>
          <w:tcPr>
            <w:tcW w:w="482" w:type="dxa"/>
            <w:tcBorders>
              <w:top w:val="nil"/>
              <w:left w:val="nil"/>
              <w:right w:val="nil"/>
            </w:tcBorders>
            <w:shd w:val="clear" w:color="auto" w:fill="auto"/>
            <w:vAlign w:val="center"/>
            <w:hideMark/>
          </w:tcPr>
          <w:p w14:paraId="0DCC2FBE" w14:textId="77777777" w:rsidR="00C45D5B" w:rsidRPr="00D72F49" w:rsidRDefault="00C45D5B" w:rsidP="00CF774B">
            <w:pPr>
              <w:jc w:val="center"/>
              <w:rPr>
                <w:rFonts w:cs="Times New Roman"/>
                <w:sz w:val="18"/>
                <w:szCs w:val="18"/>
              </w:rPr>
            </w:pPr>
            <w:r>
              <w:rPr>
                <w:color w:val="000000"/>
                <w:sz w:val="18"/>
                <w:szCs w:val="18"/>
              </w:rPr>
              <w:t>6,7</w:t>
            </w:r>
          </w:p>
        </w:tc>
        <w:tc>
          <w:tcPr>
            <w:tcW w:w="482" w:type="dxa"/>
            <w:gridSpan w:val="2"/>
            <w:tcBorders>
              <w:top w:val="nil"/>
              <w:left w:val="nil"/>
              <w:right w:val="nil"/>
            </w:tcBorders>
            <w:shd w:val="clear" w:color="auto" w:fill="auto"/>
            <w:vAlign w:val="center"/>
          </w:tcPr>
          <w:p w14:paraId="6D5048CA" w14:textId="77777777" w:rsidR="00C45D5B" w:rsidRPr="00D72F49" w:rsidRDefault="00C45D5B" w:rsidP="00CF774B">
            <w:pPr>
              <w:jc w:val="center"/>
              <w:rPr>
                <w:rFonts w:cs="Times New Roman"/>
                <w:sz w:val="18"/>
                <w:szCs w:val="18"/>
              </w:rPr>
            </w:pPr>
            <w:r>
              <w:rPr>
                <w:color w:val="000000"/>
                <w:sz w:val="18"/>
                <w:szCs w:val="18"/>
              </w:rPr>
              <w:t>7,8</w:t>
            </w:r>
          </w:p>
        </w:tc>
        <w:tc>
          <w:tcPr>
            <w:tcW w:w="482" w:type="dxa"/>
            <w:gridSpan w:val="2"/>
            <w:tcBorders>
              <w:top w:val="nil"/>
              <w:left w:val="nil"/>
              <w:right w:val="nil"/>
            </w:tcBorders>
            <w:shd w:val="clear" w:color="auto" w:fill="auto"/>
            <w:vAlign w:val="center"/>
          </w:tcPr>
          <w:p w14:paraId="3C055323" w14:textId="77777777" w:rsidR="00C45D5B" w:rsidRPr="00D72F49" w:rsidRDefault="00C45D5B" w:rsidP="00CF774B">
            <w:pPr>
              <w:jc w:val="center"/>
              <w:rPr>
                <w:rFonts w:cs="Times New Roman"/>
                <w:sz w:val="18"/>
                <w:szCs w:val="18"/>
              </w:rPr>
            </w:pPr>
            <w:r>
              <w:rPr>
                <w:color w:val="000000"/>
                <w:sz w:val="18"/>
                <w:szCs w:val="18"/>
              </w:rPr>
              <w:t>7,3</w:t>
            </w:r>
          </w:p>
        </w:tc>
        <w:tc>
          <w:tcPr>
            <w:tcW w:w="482" w:type="dxa"/>
            <w:gridSpan w:val="2"/>
            <w:tcBorders>
              <w:top w:val="nil"/>
              <w:left w:val="nil"/>
              <w:right w:val="nil"/>
            </w:tcBorders>
            <w:shd w:val="clear" w:color="auto" w:fill="auto"/>
            <w:vAlign w:val="center"/>
          </w:tcPr>
          <w:p w14:paraId="335332F8" w14:textId="77777777" w:rsidR="00C45D5B" w:rsidRPr="00D72F49" w:rsidRDefault="00C45D5B" w:rsidP="00CF774B">
            <w:pPr>
              <w:jc w:val="center"/>
              <w:rPr>
                <w:rFonts w:cs="Times New Roman"/>
                <w:sz w:val="18"/>
                <w:szCs w:val="18"/>
              </w:rPr>
            </w:pPr>
            <w:r>
              <w:rPr>
                <w:color w:val="000000"/>
                <w:sz w:val="18"/>
                <w:szCs w:val="18"/>
              </w:rPr>
              <w:t>6,7</w:t>
            </w:r>
          </w:p>
        </w:tc>
        <w:tc>
          <w:tcPr>
            <w:tcW w:w="548" w:type="dxa"/>
            <w:gridSpan w:val="3"/>
            <w:tcBorders>
              <w:top w:val="nil"/>
              <w:left w:val="nil"/>
              <w:right w:val="nil"/>
            </w:tcBorders>
            <w:shd w:val="clear" w:color="auto" w:fill="auto"/>
            <w:vAlign w:val="center"/>
          </w:tcPr>
          <w:p w14:paraId="19D711FD" w14:textId="77777777" w:rsidR="00C45D5B" w:rsidRPr="00D72F49" w:rsidRDefault="00C45D5B" w:rsidP="00CF774B">
            <w:pPr>
              <w:jc w:val="center"/>
              <w:rPr>
                <w:rFonts w:cs="Times New Roman"/>
                <w:sz w:val="18"/>
                <w:szCs w:val="18"/>
              </w:rPr>
            </w:pPr>
            <w:r>
              <w:rPr>
                <w:color w:val="000000"/>
                <w:sz w:val="18"/>
                <w:szCs w:val="18"/>
              </w:rPr>
              <w:t>6,7</w:t>
            </w:r>
          </w:p>
        </w:tc>
        <w:tc>
          <w:tcPr>
            <w:tcW w:w="555" w:type="dxa"/>
            <w:gridSpan w:val="2"/>
            <w:tcBorders>
              <w:top w:val="nil"/>
              <w:left w:val="nil"/>
              <w:right w:val="nil"/>
            </w:tcBorders>
            <w:shd w:val="clear" w:color="auto" w:fill="auto"/>
            <w:vAlign w:val="center"/>
          </w:tcPr>
          <w:p w14:paraId="6AD9CBBB" w14:textId="77777777" w:rsidR="00C45D5B" w:rsidRPr="00D72F49" w:rsidRDefault="00C45D5B" w:rsidP="00CF774B">
            <w:pPr>
              <w:jc w:val="center"/>
              <w:rPr>
                <w:rFonts w:cs="Times New Roman"/>
                <w:sz w:val="18"/>
                <w:szCs w:val="18"/>
              </w:rPr>
            </w:pPr>
            <w:r>
              <w:rPr>
                <w:color w:val="000000"/>
                <w:sz w:val="18"/>
                <w:szCs w:val="18"/>
              </w:rPr>
              <w:t>6,7</w:t>
            </w:r>
          </w:p>
        </w:tc>
        <w:tc>
          <w:tcPr>
            <w:tcW w:w="320" w:type="dxa"/>
            <w:gridSpan w:val="3"/>
            <w:tcBorders>
              <w:top w:val="nil"/>
              <w:left w:val="nil"/>
              <w:right w:val="nil"/>
            </w:tcBorders>
          </w:tcPr>
          <w:p w14:paraId="4069C74F" w14:textId="77777777" w:rsidR="00C45D5B" w:rsidRPr="00AB54ED" w:rsidRDefault="00C45D5B" w:rsidP="00CF774B">
            <w:pPr>
              <w:jc w:val="center"/>
              <w:rPr>
                <w:sz w:val="18"/>
                <w:szCs w:val="18"/>
                <w:highlight w:val="yellow"/>
              </w:rPr>
            </w:pPr>
          </w:p>
        </w:tc>
      </w:tr>
      <w:tr w:rsidR="00C45D5B" w:rsidRPr="00AB54ED" w14:paraId="2545827E" w14:textId="77777777" w:rsidTr="00CF774B">
        <w:trPr>
          <w:trHeight w:val="283"/>
        </w:trPr>
        <w:tc>
          <w:tcPr>
            <w:tcW w:w="5699" w:type="dxa"/>
            <w:gridSpan w:val="2"/>
            <w:tcBorders>
              <w:top w:val="nil"/>
              <w:left w:val="nil"/>
              <w:bottom w:val="single" w:sz="8" w:space="0" w:color="auto"/>
              <w:right w:val="nil"/>
            </w:tcBorders>
            <w:shd w:val="clear" w:color="000000" w:fill="FFFFFF"/>
            <w:noWrap/>
            <w:vAlign w:val="center"/>
            <w:hideMark/>
          </w:tcPr>
          <w:p w14:paraId="41822B2F" w14:textId="77777777" w:rsidR="00C45D5B" w:rsidRPr="00D72F49" w:rsidRDefault="00C45D5B" w:rsidP="00CF774B">
            <w:pPr>
              <w:rPr>
                <w:rFonts w:cs="Times New Roman"/>
                <w:sz w:val="18"/>
                <w:szCs w:val="18"/>
              </w:rPr>
            </w:pPr>
            <w:r w:rsidRPr="00D72F49">
              <w:rPr>
                <w:rFonts w:cs="Times New Roman"/>
                <w:sz w:val="18"/>
                <w:szCs w:val="18"/>
              </w:rPr>
              <w:t>Populácia vo veku 65+ na celkovej populácii ( v %)</w:t>
            </w:r>
          </w:p>
        </w:tc>
        <w:tc>
          <w:tcPr>
            <w:tcW w:w="482" w:type="dxa"/>
            <w:tcBorders>
              <w:top w:val="nil"/>
              <w:left w:val="nil"/>
              <w:bottom w:val="single" w:sz="8" w:space="0" w:color="auto"/>
              <w:right w:val="nil"/>
            </w:tcBorders>
            <w:shd w:val="clear" w:color="auto" w:fill="auto"/>
            <w:vAlign w:val="center"/>
            <w:hideMark/>
          </w:tcPr>
          <w:p w14:paraId="39BF832A" w14:textId="77777777" w:rsidR="00C45D5B" w:rsidRPr="00D72F49" w:rsidRDefault="00C45D5B" w:rsidP="00CF774B">
            <w:pPr>
              <w:jc w:val="center"/>
              <w:rPr>
                <w:rFonts w:cs="Times New Roman"/>
                <w:sz w:val="18"/>
                <w:szCs w:val="18"/>
              </w:rPr>
            </w:pPr>
            <w:r>
              <w:rPr>
                <w:color w:val="000000"/>
                <w:sz w:val="18"/>
                <w:szCs w:val="18"/>
              </w:rPr>
              <w:t>17,9</w:t>
            </w:r>
          </w:p>
        </w:tc>
        <w:tc>
          <w:tcPr>
            <w:tcW w:w="482" w:type="dxa"/>
            <w:gridSpan w:val="2"/>
            <w:tcBorders>
              <w:top w:val="nil"/>
              <w:left w:val="nil"/>
              <w:bottom w:val="single" w:sz="8" w:space="0" w:color="auto"/>
              <w:right w:val="nil"/>
            </w:tcBorders>
            <w:shd w:val="clear" w:color="auto" w:fill="auto"/>
            <w:vAlign w:val="center"/>
          </w:tcPr>
          <w:p w14:paraId="0317BAFA" w14:textId="77777777" w:rsidR="00C45D5B" w:rsidRPr="00D72F49" w:rsidRDefault="00C45D5B" w:rsidP="00CF774B">
            <w:pPr>
              <w:jc w:val="center"/>
              <w:rPr>
                <w:rFonts w:cs="Times New Roman"/>
                <w:sz w:val="18"/>
                <w:szCs w:val="18"/>
              </w:rPr>
            </w:pPr>
            <w:r>
              <w:rPr>
                <w:color w:val="000000"/>
                <w:sz w:val="18"/>
                <w:szCs w:val="18"/>
              </w:rPr>
              <w:t>21,1</w:t>
            </w:r>
          </w:p>
        </w:tc>
        <w:tc>
          <w:tcPr>
            <w:tcW w:w="482" w:type="dxa"/>
            <w:gridSpan w:val="2"/>
            <w:tcBorders>
              <w:top w:val="nil"/>
              <w:left w:val="nil"/>
              <w:bottom w:val="single" w:sz="8" w:space="0" w:color="auto"/>
              <w:right w:val="nil"/>
            </w:tcBorders>
            <w:shd w:val="clear" w:color="auto" w:fill="auto"/>
            <w:vAlign w:val="center"/>
          </w:tcPr>
          <w:p w14:paraId="406CBEB2" w14:textId="77777777" w:rsidR="00C45D5B" w:rsidRPr="00D72F49" w:rsidRDefault="00C45D5B" w:rsidP="00CF774B">
            <w:pPr>
              <w:jc w:val="center"/>
              <w:rPr>
                <w:rFonts w:cs="Times New Roman"/>
                <w:sz w:val="18"/>
                <w:szCs w:val="18"/>
              </w:rPr>
            </w:pPr>
            <w:r>
              <w:rPr>
                <w:color w:val="000000"/>
                <w:sz w:val="18"/>
                <w:szCs w:val="18"/>
              </w:rPr>
              <w:t>24,6</w:t>
            </w:r>
          </w:p>
        </w:tc>
        <w:tc>
          <w:tcPr>
            <w:tcW w:w="482" w:type="dxa"/>
            <w:gridSpan w:val="2"/>
            <w:tcBorders>
              <w:top w:val="nil"/>
              <w:left w:val="nil"/>
              <w:bottom w:val="single" w:sz="8" w:space="0" w:color="auto"/>
              <w:right w:val="nil"/>
            </w:tcBorders>
            <w:shd w:val="clear" w:color="auto" w:fill="auto"/>
            <w:vAlign w:val="center"/>
          </w:tcPr>
          <w:p w14:paraId="26DC7D26" w14:textId="77777777" w:rsidR="00C45D5B" w:rsidRPr="00D72F49" w:rsidRDefault="00C45D5B" w:rsidP="00CF774B">
            <w:pPr>
              <w:jc w:val="center"/>
              <w:rPr>
                <w:rFonts w:cs="Times New Roman"/>
                <w:sz w:val="18"/>
                <w:szCs w:val="18"/>
              </w:rPr>
            </w:pPr>
            <w:r>
              <w:rPr>
                <w:color w:val="000000"/>
                <w:sz w:val="18"/>
                <w:szCs w:val="18"/>
              </w:rPr>
              <w:t>29,6</w:t>
            </w:r>
          </w:p>
        </w:tc>
        <w:tc>
          <w:tcPr>
            <w:tcW w:w="548" w:type="dxa"/>
            <w:gridSpan w:val="3"/>
            <w:tcBorders>
              <w:top w:val="nil"/>
              <w:left w:val="nil"/>
              <w:bottom w:val="single" w:sz="8" w:space="0" w:color="auto"/>
              <w:right w:val="nil"/>
            </w:tcBorders>
            <w:shd w:val="clear" w:color="auto" w:fill="auto"/>
            <w:vAlign w:val="center"/>
          </w:tcPr>
          <w:p w14:paraId="73B9D40C" w14:textId="77777777" w:rsidR="00C45D5B" w:rsidRPr="00D72F49" w:rsidRDefault="00C45D5B" w:rsidP="00CF774B">
            <w:pPr>
              <w:jc w:val="center"/>
              <w:rPr>
                <w:rFonts w:cs="Times New Roman"/>
                <w:sz w:val="18"/>
                <w:szCs w:val="18"/>
              </w:rPr>
            </w:pPr>
            <w:r>
              <w:rPr>
                <w:color w:val="000000"/>
                <w:sz w:val="18"/>
                <w:szCs w:val="18"/>
              </w:rPr>
              <w:t>32,6</w:t>
            </w:r>
          </w:p>
        </w:tc>
        <w:tc>
          <w:tcPr>
            <w:tcW w:w="555" w:type="dxa"/>
            <w:gridSpan w:val="2"/>
            <w:tcBorders>
              <w:top w:val="nil"/>
              <w:left w:val="nil"/>
              <w:bottom w:val="single" w:sz="8" w:space="0" w:color="auto"/>
              <w:right w:val="nil"/>
            </w:tcBorders>
            <w:shd w:val="clear" w:color="auto" w:fill="auto"/>
            <w:vAlign w:val="center"/>
          </w:tcPr>
          <w:p w14:paraId="3B08C7DF" w14:textId="77777777" w:rsidR="00C45D5B" w:rsidRPr="00D72F49" w:rsidRDefault="00C45D5B" w:rsidP="00CF774B">
            <w:pPr>
              <w:jc w:val="center"/>
              <w:rPr>
                <w:rFonts w:cs="Times New Roman"/>
                <w:sz w:val="18"/>
                <w:szCs w:val="18"/>
              </w:rPr>
            </w:pPr>
            <w:r>
              <w:rPr>
                <w:color w:val="000000"/>
                <w:sz w:val="18"/>
                <w:szCs w:val="18"/>
              </w:rPr>
              <w:t>31,7</w:t>
            </w:r>
          </w:p>
        </w:tc>
        <w:tc>
          <w:tcPr>
            <w:tcW w:w="320" w:type="dxa"/>
            <w:gridSpan w:val="3"/>
            <w:tcBorders>
              <w:top w:val="nil"/>
              <w:left w:val="nil"/>
              <w:bottom w:val="single" w:sz="8" w:space="0" w:color="auto"/>
              <w:right w:val="nil"/>
            </w:tcBorders>
          </w:tcPr>
          <w:p w14:paraId="5AE8850F" w14:textId="77777777" w:rsidR="00C45D5B" w:rsidRPr="00AB54ED" w:rsidRDefault="00C45D5B" w:rsidP="00CF774B">
            <w:pPr>
              <w:jc w:val="center"/>
              <w:rPr>
                <w:sz w:val="18"/>
                <w:szCs w:val="18"/>
                <w:highlight w:val="yellow"/>
              </w:rPr>
            </w:pPr>
          </w:p>
        </w:tc>
      </w:tr>
      <w:tr w:rsidR="00C45D5B" w:rsidRPr="00AB54ED" w14:paraId="3196FB5D" w14:textId="77777777" w:rsidTr="00CF774B">
        <w:trPr>
          <w:trHeight w:val="283"/>
        </w:trPr>
        <w:tc>
          <w:tcPr>
            <w:tcW w:w="5699" w:type="dxa"/>
            <w:gridSpan w:val="2"/>
            <w:tcBorders>
              <w:top w:val="nil"/>
              <w:left w:val="nil"/>
              <w:bottom w:val="single" w:sz="2" w:space="0" w:color="FFFFFF"/>
              <w:right w:val="nil"/>
            </w:tcBorders>
            <w:shd w:val="clear" w:color="000000" w:fill="FFFFFF"/>
            <w:noWrap/>
            <w:vAlign w:val="center"/>
          </w:tcPr>
          <w:p w14:paraId="76ABE0C8" w14:textId="77777777" w:rsidR="00C45D5B" w:rsidRPr="00D72F49" w:rsidRDefault="00C45D5B" w:rsidP="00CF774B">
            <w:pPr>
              <w:rPr>
                <w:rFonts w:cs="Times New Roman"/>
                <w:sz w:val="18"/>
                <w:szCs w:val="18"/>
              </w:rPr>
            </w:pPr>
          </w:p>
        </w:tc>
        <w:tc>
          <w:tcPr>
            <w:tcW w:w="482" w:type="dxa"/>
            <w:tcBorders>
              <w:top w:val="single" w:sz="8" w:space="0" w:color="auto"/>
              <w:left w:val="nil"/>
              <w:bottom w:val="single" w:sz="2" w:space="0" w:color="FFFFFF"/>
              <w:right w:val="nil"/>
            </w:tcBorders>
            <w:shd w:val="clear" w:color="auto" w:fill="auto"/>
          </w:tcPr>
          <w:p w14:paraId="3ADB3DA9" w14:textId="77777777" w:rsidR="00C45D5B" w:rsidRPr="00D72F49" w:rsidRDefault="00C45D5B" w:rsidP="00CF774B">
            <w:pPr>
              <w:jc w:val="center"/>
              <w:rPr>
                <w:sz w:val="18"/>
                <w:szCs w:val="18"/>
              </w:rPr>
            </w:pPr>
          </w:p>
        </w:tc>
        <w:tc>
          <w:tcPr>
            <w:tcW w:w="482" w:type="dxa"/>
            <w:gridSpan w:val="2"/>
            <w:tcBorders>
              <w:top w:val="single" w:sz="8" w:space="0" w:color="auto"/>
              <w:left w:val="nil"/>
              <w:bottom w:val="single" w:sz="2" w:space="0" w:color="FFFFFF"/>
              <w:right w:val="nil"/>
            </w:tcBorders>
            <w:shd w:val="clear" w:color="auto" w:fill="auto"/>
          </w:tcPr>
          <w:p w14:paraId="07D9508B" w14:textId="77777777" w:rsidR="00C45D5B" w:rsidRPr="00D72F49" w:rsidRDefault="00C45D5B" w:rsidP="00CF774B">
            <w:pPr>
              <w:jc w:val="center"/>
              <w:rPr>
                <w:sz w:val="18"/>
                <w:szCs w:val="18"/>
              </w:rPr>
            </w:pPr>
          </w:p>
        </w:tc>
        <w:tc>
          <w:tcPr>
            <w:tcW w:w="482" w:type="dxa"/>
            <w:gridSpan w:val="2"/>
            <w:tcBorders>
              <w:top w:val="single" w:sz="8" w:space="0" w:color="auto"/>
              <w:left w:val="nil"/>
              <w:bottom w:val="single" w:sz="2" w:space="0" w:color="FFFFFF"/>
              <w:right w:val="nil"/>
            </w:tcBorders>
            <w:shd w:val="clear" w:color="auto" w:fill="auto"/>
          </w:tcPr>
          <w:p w14:paraId="36F3974C" w14:textId="77777777" w:rsidR="00C45D5B" w:rsidRPr="00D72F49" w:rsidRDefault="00C45D5B" w:rsidP="00CF774B">
            <w:pPr>
              <w:jc w:val="center"/>
              <w:rPr>
                <w:sz w:val="18"/>
                <w:szCs w:val="18"/>
              </w:rPr>
            </w:pPr>
          </w:p>
        </w:tc>
        <w:tc>
          <w:tcPr>
            <w:tcW w:w="1906" w:type="dxa"/>
            <w:gridSpan w:val="10"/>
            <w:tcBorders>
              <w:top w:val="single" w:sz="8" w:space="0" w:color="auto"/>
              <w:left w:val="nil"/>
              <w:bottom w:val="single" w:sz="2" w:space="0" w:color="FFFFFF"/>
              <w:right w:val="nil"/>
            </w:tcBorders>
            <w:shd w:val="clear" w:color="auto" w:fill="auto"/>
          </w:tcPr>
          <w:p w14:paraId="3A001E4B" w14:textId="77777777" w:rsidR="00C45D5B" w:rsidRPr="00D72F49" w:rsidRDefault="00C45D5B" w:rsidP="00CF774B">
            <w:pPr>
              <w:jc w:val="right"/>
              <w:rPr>
                <w:sz w:val="18"/>
                <w:szCs w:val="18"/>
              </w:rPr>
            </w:pPr>
            <w:r w:rsidRPr="00D72F49">
              <w:rPr>
                <w:rFonts w:cs="Times New Roman"/>
                <w:i/>
                <w:iCs/>
                <w:color w:val="000000"/>
                <w:sz w:val="16"/>
                <w:szCs w:val="18"/>
              </w:rPr>
              <w:t>Zdroj: MF SR</w:t>
            </w:r>
          </w:p>
        </w:tc>
      </w:tr>
      <w:tr w:rsidR="00C45D5B" w:rsidRPr="00AB54ED" w14:paraId="01B96E2D" w14:textId="77777777" w:rsidTr="00CF774B">
        <w:trPr>
          <w:trHeight w:val="283"/>
        </w:trPr>
        <w:tc>
          <w:tcPr>
            <w:tcW w:w="8355" w:type="dxa"/>
            <w:gridSpan w:val="13"/>
            <w:tcBorders>
              <w:top w:val="nil"/>
              <w:left w:val="nil"/>
              <w:right w:val="nil"/>
            </w:tcBorders>
            <w:shd w:val="clear" w:color="auto" w:fill="auto"/>
            <w:vAlign w:val="center"/>
            <w:hideMark/>
          </w:tcPr>
          <w:p w14:paraId="0835E9A4" w14:textId="77777777" w:rsidR="00C45D5B" w:rsidRPr="00AB54ED" w:rsidRDefault="00C45D5B" w:rsidP="00CF774B">
            <w:pPr>
              <w:rPr>
                <w:rFonts w:cs="Times New Roman"/>
                <w:i/>
                <w:iCs/>
                <w:color w:val="000000"/>
                <w:sz w:val="18"/>
                <w:szCs w:val="18"/>
                <w:highlight w:val="yellow"/>
              </w:rPr>
            </w:pPr>
          </w:p>
        </w:tc>
        <w:tc>
          <w:tcPr>
            <w:tcW w:w="555" w:type="dxa"/>
            <w:gridSpan w:val="2"/>
            <w:tcBorders>
              <w:top w:val="nil"/>
              <w:left w:val="nil"/>
              <w:right w:val="nil"/>
            </w:tcBorders>
          </w:tcPr>
          <w:p w14:paraId="1750FDAA" w14:textId="77777777" w:rsidR="00C45D5B" w:rsidRPr="00AB54ED" w:rsidRDefault="00C45D5B" w:rsidP="00CF774B">
            <w:pPr>
              <w:rPr>
                <w:rFonts w:cs="Times New Roman"/>
                <w:i/>
                <w:iCs/>
                <w:color w:val="000000"/>
                <w:sz w:val="18"/>
                <w:szCs w:val="18"/>
                <w:highlight w:val="yellow"/>
              </w:rPr>
            </w:pPr>
          </w:p>
        </w:tc>
        <w:tc>
          <w:tcPr>
            <w:tcW w:w="143" w:type="dxa"/>
            <w:gridSpan w:val="2"/>
            <w:tcBorders>
              <w:top w:val="nil"/>
              <w:left w:val="nil"/>
              <w:right w:val="nil"/>
            </w:tcBorders>
          </w:tcPr>
          <w:p w14:paraId="1920285E" w14:textId="77777777" w:rsidR="00C45D5B" w:rsidRPr="00AB54ED" w:rsidRDefault="00C45D5B" w:rsidP="00CF774B">
            <w:pPr>
              <w:rPr>
                <w:rFonts w:cs="Times New Roman"/>
                <w:i/>
                <w:iCs/>
                <w:color w:val="000000"/>
                <w:sz w:val="18"/>
                <w:szCs w:val="18"/>
                <w:highlight w:val="yellow"/>
              </w:rPr>
            </w:pPr>
          </w:p>
        </w:tc>
      </w:tr>
      <w:tr w:rsidR="00C45D5B" w:rsidRPr="00AB54ED" w14:paraId="7D4A5234" w14:textId="77777777" w:rsidTr="00CF774B">
        <w:trPr>
          <w:gridAfter w:val="1"/>
          <w:wAfter w:w="94" w:type="dxa"/>
          <w:trHeight w:val="283"/>
        </w:trPr>
        <w:tc>
          <w:tcPr>
            <w:tcW w:w="0" w:type="auto"/>
            <w:gridSpan w:val="8"/>
            <w:tcBorders>
              <w:top w:val="nil"/>
              <w:left w:val="nil"/>
              <w:bottom w:val="single" w:sz="4" w:space="0" w:color="auto"/>
              <w:right w:val="nil"/>
            </w:tcBorders>
            <w:shd w:val="clear" w:color="auto" w:fill="auto"/>
            <w:noWrap/>
            <w:vAlign w:val="bottom"/>
            <w:hideMark/>
          </w:tcPr>
          <w:p w14:paraId="41C46786" w14:textId="7DA1F819" w:rsidR="00C45D5B" w:rsidRPr="000A5702" w:rsidRDefault="00C45D5B" w:rsidP="00CF774B">
            <w:pPr>
              <w:rPr>
                <w:rFonts w:eastAsiaTheme="minorHAnsi"/>
                <w:b/>
                <w:color w:val="2C9ADC"/>
                <w:sz w:val="20"/>
                <w:szCs w:val="20"/>
                <w:lang w:eastAsia="en-US"/>
              </w:rPr>
            </w:pPr>
            <w:bookmarkStart w:id="268" w:name="_Toc480905422"/>
            <w:bookmarkStart w:id="269" w:name="_Toc6314229"/>
            <w:bookmarkStart w:id="270" w:name="_Toc71622469"/>
            <w:bookmarkStart w:id="271" w:name="_Toc101880710"/>
            <w:r w:rsidRPr="000A5702">
              <w:rPr>
                <w:rFonts w:eastAsiaTheme="minorHAnsi"/>
                <w:b/>
                <w:color w:val="2C9ADC"/>
                <w:sz w:val="20"/>
                <w:szCs w:val="20"/>
                <w:lang w:eastAsia="en-US"/>
              </w:rPr>
              <w:t xml:space="preserve">TABUĽKA </w:t>
            </w:r>
            <w:r w:rsidRPr="000A5702">
              <w:rPr>
                <w:rFonts w:eastAsiaTheme="minorHAnsi"/>
                <w:b/>
                <w:color w:val="2C9ADC"/>
                <w:sz w:val="20"/>
                <w:szCs w:val="20"/>
                <w:lang w:eastAsia="en-US"/>
              </w:rPr>
              <w:fldChar w:fldCharType="begin"/>
            </w:r>
            <w:r w:rsidRPr="000A5702">
              <w:rPr>
                <w:rFonts w:eastAsiaTheme="minorHAnsi"/>
                <w:b/>
                <w:color w:val="2C9ADC"/>
                <w:sz w:val="20"/>
                <w:szCs w:val="20"/>
                <w:lang w:eastAsia="en-US"/>
              </w:rPr>
              <w:instrText xml:space="preserve"> SEQ TABUĽKA \* ARABIC </w:instrText>
            </w:r>
            <w:r w:rsidRPr="000A5702">
              <w:rPr>
                <w:rFonts w:eastAsiaTheme="minorHAnsi"/>
                <w:b/>
                <w:color w:val="2C9ADC"/>
                <w:sz w:val="20"/>
                <w:szCs w:val="20"/>
                <w:lang w:eastAsia="en-US"/>
              </w:rPr>
              <w:fldChar w:fldCharType="separate"/>
            </w:r>
            <w:r w:rsidR="005D3280">
              <w:rPr>
                <w:rFonts w:eastAsiaTheme="minorHAnsi"/>
                <w:b/>
                <w:noProof/>
                <w:color w:val="2C9ADC"/>
                <w:sz w:val="20"/>
                <w:szCs w:val="20"/>
                <w:lang w:eastAsia="en-US"/>
              </w:rPr>
              <w:t>31</w:t>
            </w:r>
            <w:r w:rsidRPr="000A5702">
              <w:rPr>
                <w:rFonts w:eastAsiaTheme="minorHAnsi"/>
                <w:b/>
                <w:color w:val="2C9ADC"/>
                <w:sz w:val="20"/>
                <w:szCs w:val="20"/>
                <w:lang w:eastAsia="en-US"/>
              </w:rPr>
              <w:fldChar w:fldCharType="end"/>
            </w:r>
            <w:r w:rsidRPr="000A5702">
              <w:rPr>
                <w:rFonts w:eastAsiaTheme="minorHAnsi"/>
                <w:b/>
                <w:color w:val="2C9ADC"/>
                <w:sz w:val="20"/>
                <w:szCs w:val="20"/>
                <w:lang w:eastAsia="en-US"/>
              </w:rPr>
              <w:t xml:space="preserve"> (Tabuľka 7a) – Podmienené záväzky</w:t>
            </w:r>
            <w:bookmarkEnd w:id="268"/>
            <w:bookmarkEnd w:id="269"/>
            <w:bookmarkEnd w:id="270"/>
            <w:bookmarkEnd w:id="271"/>
          </w:p>
        </w:tc>
        <w:tc>
          <w:tcPr>
            <w:tcW w:w="0" w:type="auto"/>
            <w:gridSpan w:val="2"/>
            <w:tcBorders>
              <w:top w:val="nil"/>
              <w:left w:val="nil"/>
              <w:bottom w:val="single" w:sz="4" w:space="0" w:color="auto"/>
              <w:right w:val="nil"/>
            </w:tcBorders>
          </w:tcPr>
          <w:p w14:paraId="26C45BD8" w14:textId="77777777" w:rsidR="00C45D5B" w:rsidRPr="000A5702" w:rsidRDefault="00C45D5B" w:rsidP="00CF774B">
            <w:pPr>
              <w:rPr>
                <w:rFonts w:eastAsiaTheme="minorHAnsi"/>
                <w:b/>
                <w:color w:val="2C9ADC"/>
                <w:sz w:val="18"/>
                <w:szCs w:val="18"/>
                <w:lang w:eastAsia="en-US"/>
              </w:rPr>
            </w:pPr>
          </w:p>
        </w:tc>
        <w:tc>
          <w:tcPr>
            <w:tcW w:w="0" w:type="auto"/>
            <w:gridSpan w:val="6"/>
            <w:tcBorders>
              <w:top w:val="nil"/>
              <w:left w:val="nil"/>
              <w:bottom w:val="single" w:sz="4" w:space="0" w:color="auto"/>
              <w:right w:val="nil"/>
            </w:tcBorders>
            <w:shd w:val="clear" w:color="auto" w:fill="auto"/>
            <w:noWrap/>
            <w:vAlign w:val="bottom"/>
            <w:hideMark/>
          </w:tcPr>
          <w:p w14:paraId="560447FB" w14:textId="77777777" w:rsidR="00C45D5B" w:rsidRPr="000A5702" w:rsidRDefault="00C45D5B" w:rsidP="00CF774B">
            <w:pPr>
              <w:rPr>
                <w:rFonts w:eastAsiaTheme="minorHAnsi"/>
                <w:b/>
                <w:color w:val="2C9ADC"/>
                <w:sz w:val="18"/>
                <w:szCs w:val="18"/>
                <w:lang w:eastAsia="en-US"/>
              </w:rPr>
            </w:pPr>
          </w:p>
        </w:tc>
      </w:tr>
      <w:tr w:rsidR="00C45D5B" w:rsidRPr="00AB54ED" w14:paraId="6692507F" w14:textId="77777777" w:rsidTr="00CF774B">
        <w:trPr>
          <w:gridAfter w:val="1"/>
          <w:wAfter w:w="94" w:type="dxa"/>
          <w:trHeight w:val="283"/>
        </w:trPr>
        <w:tc>
          <w:tcPr>
            <w:tcW w:w="5531" w:type="dxa"/>
            <w:tcBorders>
              <w:top w:val="single" w:sz="4" w:space="0" w:color="auto"/>
              <w:left w:val="nil"/>
              <w:bottom w:val="nil"/>
              <w:right w:val="nil"/>
            </w:tcBorders>
            <w:shd w:val="clear" w:color="auto" w:fill="auto"/>
            <w:vAlign w:val="center"/>
            <w:hideMark/>
          </w:tcPr>
          <w:p w14:paraId="274095EB" w14:textId="77777777" w:rsidR="00C45D5B" w:rsidRPr="000A5702" w:rsidRDefault="00C45D5B" w:rsidP="00CF774B">
            <w:pPr>
              <w:rPr>
                <w:rFonts w:ascii="Times New Roman" w:hAnsi="Times New Roman" w:cs="Times New Roman"/>
                <w:sz w:val="18"/>
                <w:szCs w:val="18"/>
              </w:rPr>
            </w:pPr>
          </w:p>
        </w:tc>
        <w:tc>
          <w:tcPr>
            <w:tcW w:w="1120" w:type="dxa"/>
            <w:gridSpan w:val="3"/>
            <w:tcBorders>
              <w:top w:val="single" w:sz="4" w:space="0" w:color="auto"/>
              <w:left w:val="nil"/>
              <w:bottom w:val="nil"/>
              <w:right w:val="nil"/>
            </w:tcBorders>
            <w:shd w:val="clear" w:color="auto" w:fill="auto"/>
          </w:tcPr>
          <w:p w14:paraId="73C42A1D" w14:textId="77777777" w:rsidR="00C45D5B" w:rsidRPr="000A5702" w:rsidRDefault="00C45D5B" w:rsidP="00CF774B">
            <w:pPr>
              <w:jc w:val="center"/>
              <w:rPr>
                <w:rFonts w:cs="Times New Roman"/>
                <w:b/>
                <w:bCs/>
                <w:color w:val="000000"/>
                <w:sz w:val="18"/>
                <w:szCs w:val="18"/>
              </w:rPr>
            </w:pPr>
          </w:p>
        </w:tc>
        <w:tc>
          <w:tcPr>
            <w:tcW w:w="1140" w:type="dxa"/>
            <w:gridSpan w:val="6"/>
            <w:tcBorders>
              <w:top w:val="single" w:sz="4" w:space="0" w:color="auto"/>
              <w:left w:val="nil"/>
              <w:bottom w:val="nil"/>
              <w:right w:val="nil"/>
            </w:tcBorders>
            <w:shd w:val="clear" w:color="auto" w:fill="auto"/>
            <w:vAlign w:val="center"/>
          </w:tcPr>
          <w:p w14:paraId="4790A142" w14:textId="77777777" w:rsidR="00C45D5B" w:rsidRPr="000A5702" w:rsidRDefault="00C45D5B" w:rsidP="00CF774B">
            <w:pPr>
              <w:jc w:val="center"/>
              <w:rPr>
                <w:rFonts w:cs="Times New Roman"/>
                <w:b/>
                <w:bCs/>
                <w:color w:val="000000"/>
                <w:sz w:val="18"/>
                <w:szCs w:val="18"/>
              </w:rPr>
            </w:pPr>
            <w:r w:rsidRPr="000A5702">
              <w:rPr>
                <w:b/>
                <w:bCs/>
                <w:color w:val="000000"/>
                <w:sz w:val="18"/>
                <w:szCs w:val="18"/>
              </w:rPr>
              <w:t>2021</w:t>
            </w:r>
          </w:p>
        </w:tc>
        <w:tc>
          <w:tcPr>
            <w:tcW w:w="1168" w:type="dxa"/>
            <w:gridSpan w:val="6"/>
            <w:tcBorders>
              <w:top w:val="single" w:sz="4" w:space="0" w:color="auto"/>
              <w:left w:val="nil"/>
              <w:bottom w:val="nil"/>
              <w:right w:val="nil"/>
            </w:tcBorders>
            <w:shd w:val="clear" w:color="auto" w:fill="auto"/>
            <w:vAlign w:val="center"/>
          </w:tcPr>
          <w:p w14:paraId="12872B3C" w14:textId="77777777" w:rsidR="00C45D5B" w:rsidRPr="000A5702" w:rsidRDefault="00C45D5B" w:rsidP="00CF774B">
            <w:pPr>
              <w:jc w:val="center"/>
              <w:rPr>
                <w:rFonts w:cs="Times New Roman"/>
                <w:b/>
                <w:bCs/>
                <w:color w:val="000000"/>
                <w:sz w:val="18"/>
                <w:szCs w:val="18"/>
              </w:rPr>
            </w:pPr>
            <w:r w:rsidRPr="000A5702">
              <w:rPr>
                <w:b/>
                <w:bCs/>
                <w:color w:val="000000"/>
                <w:sz w:val="18"/>
                <w:szCs w:val="18"/>
              </w:rPr>
              <w:t>2022</w:t>
            </w:r>
          </w:p>
        </w:tc>
      </w:tr>
      <w:tr w:rsidR="00C45D5B" w:rsidRPr="00AB54ED" w14:paraId="748D5665" w14:textId="77777777" w:rsidTr="00CF774B">
        <w:trPr>
          <w:gridAfter w:val="1"/>
          <w:wAfter w:w="94" w:type="dxa"/>
          <w:trHeight w:val="283"/>
        </w:trPr>
        <w:tc>
          <w:tcPr>
            <w:tcW w:w="5531" w:type="dxa"/>
            <w:tcBorders>
              <w:top w:val="nil"/>
              <w:left w:val="nil"/>
              <w:bottom w:val="single" w:sz="4" w:space="0" w:color="auto"/>
              <w:right w:val="nil"/>
            </w:tcBorders>
            <w:shd w:val="clear" w:color="auto" w:fill="auto"/>
            <w:vAlign w:val="center"/>
            <w:hideMark/>
          </w:tcPr>
          <w:p w14:paraId="1626FEB7" w14:textId="77777777" w:rsidR="00C45D5B" w:rsidRPr="000A5702" w:rsidRDefault="00C45D5B" w:rsidP="00CF774B">
            <w:pPr>
              <w:rPr>
                <w:rFonts w:cs="Times New Roman"/>
                <w:color w:val="000000"/>
                <w:sz w:val="18"/>
                <w:szCs w:val="18"/>
              </w:rPr>
            </w:pPr>
            <w:r w:rsidRPr="000A5702">
              <w:rPr>
                <w:rFonts w:cs="Times New Roman"/>
                <w:color w:val="000000"/>
                <w:sz w:val="18"/>
                <w:szCs w:val="18"/>
              </w:rPr>
              <w:t> </w:t>
            </w:r>
          </w:p>
        </w:tc>
        <w:tc>
          <w:tcPr>
            <w:tcW w:w="1120" w:type="dxa"/>
            <w:gridSpan w:val="3"/>
            <w:tcBorders>
              <w:top w:val="nil"/>
              <w:left w:val="nil"/>
              <w:bottom w:val="single" w:sz="4" w:space="0" w:color="auto"/>
              <w:right w:val="nil"/>
            </w:tcBorders>
            <w:shd w:val="clear" w:color="auto" w:fill="auto"/>
          </w:tcPr>
          <w:p w14:paraId="71067F81" w14:textId="77777777" w:rsidR="00C45D5B" w:rsidRPr="000A5702" w:rsidRDefault="00C45D5B" w:rsidP="00CF774B">
            <w:pPr>
              <w:jc w:val="center"/>
              <w:rPr>
                <w:rFonts w:cs="Times New Roman"/>
                <w:color w:val="000000"/>
                <w:sz w:val="18"/>
                <w:szCs w:val="18"/>
              </w:rPr>
            </w:pPr>
          </w:p>
        </w:tc>
        <w:tc>
          <w:tcPr>
            <w:tcW w:w="1140" w:type="dxa"/>
            <w:gridSpan w:val="6"/>
            <w:tcBorders>
              <w:top w:val="nil"/>
              <w:left w:val="nil"/>
              <w:bottom w:val="single" w:sz="4" w:space="0" w:color="auto"/>
              <w:right w:val="nil"/>
            </w:tcBorders>
            <w:shd w:val="clear" w:color="auto" w:fill="auto"/>
          </w:tcPr>
          <w:p w14:paraId="21566D94" w14:textId="77777777" w:rsidR="00C45D5B" w:rsidRPr="000A5702" w:rsidRDefault="00C45D5B" w:rsidP="00CF774B">
            <w:pPr>
              <w:jc w:val="center"/>
              <w:rPr>
                <w:rFonts w:cs="Times New Roman"/>
                <w:color w:val="000000"/>
                <w:sz w:val="18"/>
                <w:szCs w:val="18"/>
              </w:rPr>
            </w:pPr>
            <w:r w:rsidRPr="000A5702">
              <w:rPr>
                <w:sz w:val="18"/>
                <w:szCs w:val="18"/>
              </w:rPr>
              <w:t>% HDP</w:t>
            </w:r>
          </w:p>
        </w:tc>
        <w:tc>
          <w:tcPr>
            <w:tcW w:w="1168" w:type="dxa"/>
            <w:gridSpan w:val="6"/>
            <w:tcBorders>
              <w:top w:val="nil"/>
              <w:left w:val="nil"/>
              <w:bottom w:val="single" w:sz="4" w:space="0" w:color="auto"/>
              <w:right w:val="nil"/>
            </w:tcBorders>
            <w:shd w:val="clear" w:color="auto" w:fill="auto"/>
          </w:tcPr>
          <w:p w14:paraId="0BB68808" w14:textId="77777777" w:rsidR="00C45D5B" w:rsidRPr="000A5702" w:rsidRDefault="00C45D5B" w:rsidP="00CF774B">
            <w:pPr>
              <w:jc w:val="center"/>
              <w:rPr>
                <w:rFonts w:cs="Times New Roman"/>
                <w:color w:val="000000"/>
                <w:sz w:val="18"/>
                <w:szCs w:val="18"/>
              </w:rPr>
            </w:pPr>
            <w:r w:rsidRPr="000A5702">
              <w:rPr>
                <w:sz w:val="18"/>
                <w:szCs w:val="18"/>
              </w:rPr>
              <w:t>% HDP</w:t>
            </w:r>
          </w:p>
        </w:tc>
      </w:tr>
      <w:tr w:rsidR="00C45D5B" w:rsidRPr="00AB54ED" w14:paraId="66AA2ED0" w14:textId="77777777" w:rsidTr="00CF774B">
        <w:trPr>
          <w:gridAfter w:val="1"/>
          <w:wAfter w:w="94" w:type="dxa"/>
          <w:trHeight w:val="283"/>
        </w:trPr>
        <w:tc>
          <w:tcPr>
            <w:tcW w:w="5531" w:type="dxa"/>
            <w:tcBorders>
              <w:top w:val="nil"/>
              <w:left w:val="nil"/>
              <w:right w:val="nil"/>
            </w:tcBorders>
            <w:shd w:val="clear" w:color="auto" w:fill="auto"/>
            <w:vAlign w:val="center"/>
            <w:hideMark/>
          </w:tcPr>
          <w:p w14:paraId="6D38696F" w14:textId="77777777" w:rsidR="00C45D5B" w:rsidRPr="000A5702" w:rsidRDefault="00C45D5B" w:rsidP="00CF774B">
            <w:pPr>
              <w:rPr>
                <w:rFonts w:cs="Times New Roman"/>
                <w:b/>
                <w:color w:val="000000"/>
                <w:sz w:val="18"/>
                <w:szCs w:val="18"/>
              </w:rPr>
            </w:pPr>
            <w:r w:rsidRPr="000A5702">
              <w:rPr>
                <w:rFonts w:cs="Times New Roman"/>
                <w:b/>
                <w:color w:val="000000"/>
                <w:sz w:val="18"/>
                <w:szCs w:val="18"/>
              </w:rPr>
              <w:t>Verejné záruky</w:t>
            </w:r>
          </w:p>
        </w:tc>
        <w:tc>
          <w:tcPr>
            <w:tcW w:w="1120" w:type="dxa"/>
            <w:gridSpan w:val="3"/>
            <w:tcBorders>
              <w:top w:val="nil"/>
              <w:left w:val="nil"/>
              <w:right w:val="nil"/>
            </w:tcBorders>
            <w:shd w:val="clear" w:color="auto" w:fill="auto"/>
            <w:vAlign w:val="center"/>
          </w:tcPr>
          <w:p w14:paraId="2831B432" w14:textId="77777777" w:rsidR="00C45D5B" w:rsidRPr="000A5702" w:rsidRDefault="00C45D5B" w:rsidP="00CF774B">
            <w:pPr>
              <w:jc w:val="center"/>
              <w:rPr>
                <w:rFonts w:cs="Times New Roman"/>
                <w:b/>
                <w:color w:val="000000"/>
                <w:sz w:val="18"/>
                <w:szCs w:val="18"/>
              </w:rPr>
            </w:pPr>
          </w:p>
        </w:tc>
        <w:tc>
          <w:tcPr>
            <w:tcW w:w="1140" w:type="dxa"/>
            <w:gridSpan w:val="6"/>
            <w:tcBorders>
              <w:top w:val="nil"/>
              <w:left w:val="nil"/>
              <w:right w:val="nil"/>
            </w:tcBorders>
            <w:shd w:val="clear" w:color="auto" w:fill="auto"/>
            <w:vAlign w:val="center"/>
          </w:tcPr>
          <w:p w14:paraId="15DAB929" w14:textId="77777777" w:rsidR="00C45D5B" w:rsidRPr="000A5702" w:rsidRDefault="00C45D5B" w:rsidP="00CF774B">
            <w:pPr>
              <w:jc w:val="center"/>
              <w:rPr>
                <w:rFonts w:cs="Times New Roman"/>
                <w:b/>
                <w:color w:val="000000"/>
                <w:sz w:val="18"/>
                <w:szCs w:val="18"/>
              </w:rPr>
            </w:pPr>
            <w:r w:rsidRPr="000A5702">
              <w:rPr>
                <w:b/>
                <w:sz w:val="18"/>
                <w:szCs w:val="18"/>
              </w:rPr>
              <w:t>12,</w:t>
            </w:r>
            <w:r>
              <w:rPr>
                <w:b/>
                <w:sz w:val="18"/>
                <w:szCs w:val="18"/>
              </w:rPr>
              <w:t>1</w:t>
            </w:r>
          </w:p>
        </w:tc>
        <w:tc>
          <w:tcPr>
            <w:tcW w:w="1168" w:type="dxa"/>
            <w:gridSpan w:val="6"/>
            <w:tcBorders>
              <w:top w:val="nil"/>
              <w:left w:val="nil"/>
              <w:right w:val="nil"/>
            </w:tcBorders>
            <w:shd w:val="clear" w:color="auto" w:fill="auto"/>
            <w:vAlign w:val="center"/>
          </w:tcPr>
          <w:p w14:paraId="02FE08F4" w14:textId="77777777" w:rsidR="00C45D5B" w:rsidRPr="000A5702" w:rsidRDefault="00C45D5B" w:rsidP="00CF774B">
            <w:pPr>
              <w:jc w:val="center"/>
              <w:rPr>
                <w:rFonts w:cs="Times New Roman"/>
                <w:b/>
                <w:color w:val="000000"/>
                <w:sz w:val="18"/>
                <w:szCs w:val="18"/>
              </w:rPr>
            </w:pPr>
            <w:r w:rsidRPr="000A5702">
              <w:rPr>
                <w:rFonts w:cs="Times New Roman"/>
                <w:b/>
                <w:color w:val="000000"/>
                <w:sz w:val="18"/>
                <w:szCs w:val="18"/>
              </w:rPr>
              <w:t>-</w:t>
            </w:r>
          </w:p>
        </w:tc>
      </w:tr>
      <w:tr w:rsidR="00C45D5B" w:rsidRPr="00AB54ED" w14:paraId="1E966BA9" w14:textId="77777777" w:rsidTr="00CF774B">
        <w:trPr>
          <w:gridAfter w:val="1"/>
          <w:wAfter w:w="94" w:type="dxa"/>
          <w:trHeight w:val="283"/>
        </w:trPr>
        <w:tc>
          <w:tcPr>
            <w:tcW w:w="5531" w:type="dxa"/>
            <w:tcBorders>
              <w:top w:val="nil"/>
              <w:left w:val="nil"/>
              <w:right w:val="nil"/>
            </w:tcBorders>
            <w:shd w:val="clear" w:color="auto" w:fill="auto"/>
            <w:vAlign w:val="center"/>
            <w:hideMark/>
          </w:tcPr>
          <w:p w14:paraId="29D2C7EB" w14:textId="77777777" w:rsidR="00C45D5B" w:rsidRPr="000A5702" w:rsidRDefault="00C45D5B" w:rsidP="00CF774B">
            <w:pPr>
              <w:ind w:firstLineChars="100" w:firstLine="180"/>
              <w:rPr>
                <w:rFonts w:cs="Times New Roman"/>
                <w:color w:val="000000"/>
                <w:sz w:val="18"/>
                <w:szCs w:val="18"/>
              </w:rPr>
            </w:pPr>
            <w:r w:rsidRPr="000A5702">
              <w:rPr>
                <w:rFonts w:cs="Times New Roman"/>
                <w:color w:val="000000"/>
                <w:sz w:val="18"/>
                <w:szCs w:val="18"/>
              </w:rPr>
              <w:t>z toho: spojené s EFSF a ESM</w:t>
            </w:r>
          </w:p>
        </w:tc>
        <w:tc>
          <w:tcPr>
            <w:tcW w:w="1120" w:type="dxa"/>
            <w:gridSpan w:val="3"/>
            <w:tcBorders>
              <w:top w:val="nil"/>
              <w:left w:val="nil"/>
              <w:right w:val="nil"/>
            </w:tcBorders>
            <w:shd w:val="clear" w:color="auto" w:fill="auto"/>
            <w:vAlign w:val="center"/>
          </w:tcPr>
          <w:p w14:paraId="164C5180" w14:textId="77777777" w:rsidR="00C45D5B" w:rsidRPr="000A5702" w:rsidRDefault="00C45D5B" w:rsidP="00CF774B">
            <w:pPr>
              <w:jc w:val="center"/>
              <w:rPr>
                <w:rFonts w:cs="Times New Roman"/>
                <w:color w:val="000000"/>
                <w:sz w:val="18"/>
                <w:szCs w:val="18"/>
              </w:rPr>
            </w:pPr>
          </w:p>
        </w:tc>
        <w:tc>
          <w:tcPr>
            <w:tcW w:w="1140" w:type="dxa"/>
            <w:gridSpan w:val="6"/>
            <w:tcBorders>
              <w:top w:val="nil"/>
              <w:left w:val="nil"/>
              <w:right w:val="nil"/>
            </w:tcBorders>
            <w:shd w:val="clear" w:color="auto" w:fill="auto"/>
            <w:vAlign w:val="center"/>
          </w:tcPr>
          <w:p w14:paraId="08DF47C9" w14:textId="77777777" w:rsidR="00C45D5B" w:rsidRPr="000A5702" w:rsidRDefault="00C45D5B" w:rsidP="00CF774B">
            <w:pPr>
              <w:jc w:val="center"/>
              <w:rPr>
                <w:rFonts w:cs="Times New Roman"/>
                <w:color w:val="000000"/>
                <w:sz w:val="18"/>
                <w:szCs w:val="18"/>
              </w:rPr>
            </w:pPr>
            <w:r w:rsidRPr="000A5702">
              <w:rPr>
                <w:sz w:val="18"/>
                <w:szCs w:val="18"/>
              </w:rPr>
              <w:t>8,7</w:t>
            </w:r>
          </w:p>
        </w:tc>
        <w:tc>
          <w:tcPr>
            <w:tcW w:w="1168" w:type="dxa"/>
            <w:gridSpan w:val="6"/>
            <w:tcBorders>
              <w:top w:val="nil"/>
              <w:left w:val="nil"/>
              <w:right w:val="nil"/>
            </w:tcBorders>
            <w:shd w:val="clear" w:color="auto" w:fill="auto"/>
            <w:vAlign w:val="center"/>
          </w:tcPr>
          <w:p w14:paraId="78D1AAE7" w14:textId="77777777" w:rsidR="00C45D5B" w:rsidRPr="000A5702" w:rsidRDefault="00C45D5B" w:rsidP="00CF774B">
            <w:pPr>
              <w:jc w:val="center"/>
              <w:rPr>
                <w:rFonts w:cs="Times New Roman"/>
                <w:color w:val="000000"/>
                <w:sz w:val="18"/>
                <w:szCs w:val="18"/>
              </w:rPr>
            </w:pPr>
            <w:r w:rsidRPr="000A5702">
              <w:rPr>
                <w:rFonts w:cs="Times New Roman"/>
                <w:color w:val="000000"/>
                <w:sz w:val="18"/>
                <w:szCs w:val="18"/>
              </w:rPr>
              <w:t>-</w:t>
            </w:r>
          </w:p>
        </w:tc>
      </w:tr>
      <w:tr w:rsidR="00C45D5B" w:rsidRPr="00AB54ED" w14:paraId="6560CCAA" w14:textId="77777777" w:rsidTr="00CF774B">
        <w:trPr>
          <w:gridAfter w:val="1"/>
          <w:wAfter w:w="94" w:type="dxa"/>
          <w:trHeight w:val="283"/>
        </w:trPr>
        <w:tc>
          <w:tcPr>
            <w:tcW w:w="5531" w:type="dxa"/>
            <w:tcBorders>
              <w:top w:val="nil"/>
              <w:left w:val="nil"/>
              <w:right w:val="nil"/>
            </w:tcBorders>
            <w:shd w:val="clear" w:color="auto" w:fill="auto"/>
            <w:vAlign w:val="center"/>
          </w:tcPr>
          <w:p w14:paraId="0BAD0319" w14:textId="77777777" w:rsidR="00C45D5B" w:rsidRPr="000A5702" w:rsidRDefault="00C45D5B" w:rsidP="00CF774B">
            <w:pPr>
              <w:ind w:firstLineChars="100" w:firstLine="180"/>
              <w:rPr>
                <w:rFonts w:cs="Times New Roman"/>
                <w:color w:val="000000"/>
                <w:sz w:val="18"/>
                <w:szCs w:val="18"/>
              </w:rPr>
            </w:pPr>
            <w:r w:rsidRPr="000A5702">
              <w:rPr>
                <w:rFonts w:cs="Times New Roman"/>
                <w:color w:val="000000"/>
                <w:sz w:val="18"/>
                <w:szCs w:val="18"/>
              </w:rPr>
              <w:t>z toho: spojené s medzinárodnými inštitúciami</w:t>
            </w:r>
          </w:p>
        </w:tc>
        <w:tc>
          <w:tcPr>
            <w:tcW w:w="1120" w:type="dxa"/>
            <w:gridSpan w:val="3"/>
            <w:tcBorders>
              <w:top w:val="nil"/>
              <w:left w:val="nil"/>
              <w:right w:val="nil"/>
            </w:tcBorders>
            <w:shd w:val="clear" w:color="auto" w:fill="auto"/>
            <w:vAlign w:val="center"/>
          </w:tcPr>
          <w:p w14:paraId="075C7B40" w14:textId="77777777" w:rsidR="00C45D5B" w:rsidRPr="000A5702" w:rsidRDefault="00C45D5B" w:rsidP="00CF774B">
            <w:pPr>
              <w:jc w:val="center"/>
              <w:rPr>
                <w:rFonts w:cs="Times New Roman"/>
                <w:color w:val="000000"/>
                <w:sz w:val="18"/>
                <w:szCs w:val="18"/>
              </w:rPr>
            </w:pPr>
          </w:p>
        </w:tc>
        <w:tc>
          <w:tcPr>
            <w:tcW w:w="1140" w:type="dxa"/>
            <w:gridSpan w:val="6"/>
            <w:tcBorders>
              <w:top w:val="nil"/>
              <w:left w:val="nil"/>
              <w:right w:val="nil"/>
            </w:tcBorders>
            <w:shd w:val="clear" w:color="auto" w:fill="auto"/>
            <w:vAlign w:val="center"/>
          </w:tcPr>
          <w:p w14:paraId="01F0FD54" w14:textId="77777777" w:rsidR="00C45D5B" w:rsidRPr="000A5702" w:rsidRDefault="00C45D5B" w:rsidP="00CF774B">
            <w:pPr>
              <w:jc w:val="center"/>
              <w:rPr>
                <w:sz w:val="18"/>
                <w:szCs w:val="18"/>
              </w:rPr>
            </w:pPr>
            <w:r w:rsidRPr="000A5702">
              <w:rPr>
                <w:sz w:val="18"/>
                <w:szCs w:val="18"/>
              </w:rPr>
              <w:t>1,3</w:t>
            </w:r>
          </w:p>
        </w:tc>
        <w:tc>
          <w:tcPr>
            <w:tcW w:w="1168" w:type="dxa"/>
            <w:gridSpan w:val="6"/>
            <w:tcBorders>
              <w:top w:val="nil"/>
              <w:left w:val="nil"/>
              <w:right w:val="nil"/>
            </w:tcBorders>
            <w:shd w:val="clear" w:color="auto" w:fill="auto"/>
            <w:vAlign w:val="center"/>
          </w:tcPr>
          <w:p w14:paraId="1533200A" w14:textId="77777777" w:rsidR="00C45D5B" w:rsidRPr="000A5702" w:rsidRDefault="00C45D5B" w:rsidP="00CF774B">
            <w:pPr>
              <w:jc w:val="center"/>
              <w:rPr>
                <w:rFonts w:cs="Times New Roman"/>
                <w:color w:val="000000"/>
                <w:sz w:val="18"/>
                <w:szCs w:val="18"/>
              </w:rPr>
            </w:pPr>
            <w:r w:rsidRPr="000A5702">
              <w:rPr>
                <w:rFonts w:cs="Times New Roman"/>
                <w:color w:val="000000"/>
                <w:sz w:val="18"/>
                <w:szCs w:val="18"/>
              </w:rPr>
              <w:t>-</w:t>
            </w:r>
          </w:p>
        </w:tc>
      </w:tr>
      <w:tr w:rsidR="00C45D5B" w:rsidRPr="00AB54ED" w14:paraId="0C9AA221" w14:textId="77777777" w:rsidTr="00CF774B">
        <w:trPr>
          <w:gridAfter w:val="1"/>
          <w:wAfter w:w="94" w:type="dxa"/>
          <w:trHeight w:val="283"/>
        </w:trPr>
        <w:tc>
          <w:tcPr>
            <w:tcW w:w="5531" w:type="dxa"/>
            <w:tcBorders>
              <w:top w:val="nil"/>
              <w:left w:val="nil"/>
              <w:right w:val="nil"/>
            </w:tcBorders>
            <w:shd w:val="clear" w:color="auto" w:fill="auto"/>
            <w:vAlign w:val="center"/>
          </w:tcPr>
          <w:p w14:paraId="4D988CF8" w14:textId="77777777" w:rsidR="00C45D5B" w:rsidRPr="000A5702" w:rsidRDefault="00C45D5B" w:rsidP="00CF774B">
            <w:pPr>
              <w:ind w:firstLineChars="100" w:firstLine="180"/>
              <w:rPr>
                <w:rFonts w:cs="Times New Roman"/>
                <w:color w:val="000000"/>
                <w:sz w:val="18"/>
                <w:szCs w:val="18"/>
              </w:rPr>
            </w:pPr>
            <w:r w:rsidRPr="000A5702">
              <w:rPr>
                <w:rFonts w:cs="Times New Roman"/>
                <w:color w:val="000000"/>
                <w:sz w:val="18"/>
                <w:szCs w:val="18"/>
              </w:rPr>
              <w:t>z toho: spojené s koronakrízou</w:t>
            </w:r>
          </w:p>
        </w:tc>
        <w:tc>
          <w:tcPr>
            <w:tcW w:w="1120" w:type="dxa"/>
            <w:gridSpan w:val="3"/>
            <w:tcBorders>
              <w:top w:val="nil"/>
              <w:left w:val="nil"/>
              <w:right w:val="nil"/>
            </w:tcBorders>
            <w:shd w:val="clear" w:color="auto" w:fill="auto"/>
            <w:vAlign w:val="center"/>
          </w:tcPr>
          <w:p w14:paraId="7064DF8E" w14:textId="77777777" w:rsidR="00C45D5B" w:rsidRPr="000A5702" w:rsidRDefault="00C45D5B" w:rsidP="00CF774B">
            <w:pPr>
              <w:jc w:val="center"/>
              <w:rPr>
                <w:rFonts w:cs="Times New Roman"/>
                <w:color w:val="000000"/>
                <w:sz w:val="18"/>
                <w:szCs w:val="18"/>
              </w:rPr>
            </w:pPr>
          </w:p>
        </w:tc>
        <w:tc>
          <w:tcPr>
            <w:tcW w:w="1140" w:type="dxa"/>
            <w:gridSpan w:val="6"/>
            <w:tcBorders>
              <w:top w:val="nil"/>
              <w:left w:val="nil"/>
              <w:right w:val="nil"/>
            </w:tcBorders>
            <w:shd w:val="clear" w:color="auto" w:fill="auto"/>
            <w:vAlign w:val="center"/>
          </w:tcPr>
          <w:p w14:paraId="68E14624" w14:textId="77777777" w:rsidR="00C45D5B" w:rsidRPr="000A5702" w:rsidRDefault="00C45D5B" w:rsidP="00CF774B">
            <w:pPr>
              <w:jc w:val="center"/>
              <w:rPr>
                <w:sz w:val="18"/>
                <w:szCs w:val="18"/>
              </w:rPr>
            </w:pPr>
            <w:r w:rsidRPr="000A5702">
              <w:rPr>
                <w:sz w:val="18"/>
                <w:szCs w:val="18"/>
              </w:rPr>
              <w:t>2,1</w:t>
            </w:r>
          </w:p>
        </w:tc>
        <w:tc>
          <w:tcPr>
            <w:tcW w:w="1168" w:type="dxa"/>
            <w:gridSpan w:val="6"/>
            <w:tcBorders>
              <w:top w:val="nil"/>
              <w:left w:val="nil"/>
              <w:right w:val="nil"/>
            </w:tcBorders>
            <w:shd w:val="clear" w:color="auto" w:fill="auto"/>
            <w:vAlign w:val="center"/>
          </w:tcPr>
          <w:p w14:paraId="254CC126" w14:textId="77777777" w:rsidR="00C45D5B" w:rsidRPr="000A5702" w:rsidRDefault="00C45D5B" w:rsidP="00CF774B">
            <w:pPr>
              <w:jc w:val="center"/>
              <w:rPr>
                <w:rFonts w:cs="Times New Roman"/>
                <w:color w:val="000000"/>
                <w:sz w:val="18"/>
                <w:szCs w:val="18"/>
              </w:rPr>
            </w:pPr>
            <w:r w:rsidRPr="000A5702">
              <w:rPr>
                <w:rFonts w:cs="Times New Roman"/>
                <w:color w:val="000000"/>
                <w:sz w:val="18"/>
                <w:szCs w:val="18"/>
              </w:rPr>
              <w:t>2,1</w:t>
            </w:r>
          </w:p>
        </w:tc>
      </w:tr>
      <w:tr w:rsidR="00C45D5B" w:rsidRPr="00AB54ED" w14:paraId="06CB64C6" w14:textId="77777777" w:rsidTr="00CF774B">
        <w:trPr>
          <w:gridAfter w:val="1"/>
          <w:wAfter w:w="94" w:type="dxa"/>
          <w:trHeight w:val="283"/>
        </w:trPr>
        <w:tc>
          <w:tcPr>
            <w:tcW w:w="5531" w:type="dxa"/>
            <w:tcBorders>
              <w:left w:val="nil"/>
              <w:bottom w:val="single" w:sz="4" w:space="0" w:color="auto"/>
              <w:right w:val="nil"/>
            </w:tcBorders>
            <w:shd w:val="clear" w:color="auto" w:fill="auto"/>
            <w:vAlign w:val="center"/>
          </w:tcPr>
          <w:p w14:paraId="234A7EDE" w14:textId="77777777" w:rsidR="00C45D5B" w:rsidRPr="000A5702" w:rsidRDefault="00C45D5B" w:rsidP="00CF774B">
            <w:pPr>
              <w:ind w:firstLineChars="100" w:firstLine="180"/>
              <w:rPr>
                <w:rFonts w:cs="Times New Roman"/>
                <w:color w:val="000000"/>
                <w:sz w:val="18"/>
                <w:szCs w:val="18"/>
              </w:rPr>
            </w:pPr>
            <w:r w:rsidRPr="000A5702">
              <w:rPr>
                <w:rFonts w:cs="Times New Roman"/>
                <w:color w:val="000000"/>
                <w:sz w:val="18"/>
                <w:szCs w:val="18"/>
              </w:rPr>
              <w:t>z toho: spojené s finančnými inštitúciami s účasťou štátu</w:t>
            </w:r>
          </w:p>
        </w:tc>
        <w:tc>
          <w:tcPr>
            <w:tcW w:w="1120" w:type="dxa"/>
            <w:gridSpan w:val="3"/>
            <w:tcBorders>
              <w:left w:val="nil"/>
              <w:bottom w:val="single" w:sz="4" w:space="0" w:color="auto"/>
              <w:right w:val="nil"/>
            </w:tcBorders>
            <w:shd w:val="clear" w:color="auto" w:fill="auto"/>
            <w:vAlign w:val="center"/>
          </w:tcPr>
          <w:p w14:paraId="7BF1CAEF" w14:textId="77777777" w:rsidR="00C45D5B" w:rsidRPr="000A5702" w:rsidRDefault="00C45D5B" w:rsidP="00CF774B">
            <w:pPr>
              <w:jc w:val="center"/>
              <w:rPr>
                <w:rFonts w:cs="Times New Roman"/>
                <w:color w:val="000000"/>
                <w:sz w:val="18"/>
                <w:szCs w:val="18"/>
              </w:rPr>
            </w:pPr>
          </w:p>
        </w:tc>
        <w:tc>
          <w:tcPr>
            <w:tcW w:w="1140" w:type="dxa"/>
            <w:gridSpan w:val="6"/>
            <w:tcBorders>
              <w:left w:val="nil"/>
              <w:bottom w:val="single" w:sz="4" w:space="0" w:color="auto"/>
              <w:right w:val="nil"/>
            </w:tcBorders>
            <w:shd w:val="clear" w:color="auto" w:fill="auto"/>
            <w:vAlign w:val="center"/>
          </w:tcPr>
          <w:p w14:paraId="06032D30" w14:textId="77777777" w:rsidR="00C45D5B" w:rsidRPr="000A5702" w:rsidRDefault="00C45D5B" w:rsidP="00CF774B">
            <w:pPr>
              <w:jc w:val="center"/>
              <w:rPr>
                <w:sz w:val="18"/>
                <w:szCs w:val="18"/>
              </w:rPr>
            </w:pPr>
            <w:r>
              <w:rPr>
                <w:sz w:val="18"/>
                <w:szCs w:val="18"/>
              </w:rPr>
              <w:t>-</w:t>
            </w:r>
          </w:p>
        </w:tc>
        <w:tc>
          <w:tcPr>
            <w:tcW w:w="1168" w:type="dxa"/>
            <w:gridSpan w:val="6"/>
            <w:tcBorders>
              <w:left w:val="nil"/>
              <w:bottom w:val="single" w:sz="4" w:space="0" w:color="auto"/>
              <w:right w:val="nil"/>
            </w:tcBorders>
            <w:shd w:val="clear" w:color="auto" w:fill="auto"/>
            <w:vAlign w:val="center"/>
          </w:tcPr>
          <w:p w14:paraId="42E92F61" w14:textId="77777777" w:rsidR="00C45D5B" w:rsidRPr="000A5702" w:rsidRDefault="00C45D5B" w:rsidP="00CF774B">
            <w:pPr>
              <w:jc w:val="center"/>
              <w:rPr>
                <w:sz w:val="18"/>
                <w:szCs w:val="18"/>
              </w:rPr>
            </w:pPr>
            <w:r>
              <w:rPr>
                <w:sz w:val="18"/>
                <w:szCs w:val="18"/>
              </w:rPr>
              <w:t>0,2</w:t>
            </w:r>
          </w:p>
        </w:tc>
      </w:tr>
      <w:tr w:rsidR="00C45D5B" w:rsidRPr="00AB54ED" w14:paraId="3A4F6ACA" w14:textId="77777777" w:rsidTr="00CF774B">
        <w:trPr>
          <w:gridAfter w:val="1"/>
          <w:wAfter w:w="94" w:type="dxa"/>
          <w:trHeight w:val="283"/>
        </w:trPr>
        <w:tc>
          <w:tcPr>
            <w:tcW w:w="5531" w:type="dxa"/>
            <w:tcBorders>
              <w:top w:val="single" w:sz="4" w:space="0" w:color="auto"/>
              <w:left w:val="nil"/>
              <w:right w:val="nil"/>
            </w:tcBorders>
            <w:shd w:val="clear" w:color="auto" w:fill="auto"/>
            <w:noWrap/>
            <w:vAlign w:val="center"/>
          </w:tcPr>
          <w:p w14:paraId="43E5ACD0" w14:textId="77777777" w:rsidR="00C45D5B" w:rsidRPr="00AB54ED" w:rsidRDefault="00C45D5B" w:rsidP="00CF774B">
            <w:pPr>
              <w:rPr>
                <w:rFonts w:ascii="Calibri" w:hAnsi="Calibri" w:cs="Times New Roman"/>
                <w:color w:val="000000"/>
                <w:sz w:val="18"/>
                <w:szCs w:val="18"/>
                <w:highlight w:val="yellow"/>
              </w:rPr>
            </w:pPr>
          </w:p>
        </w:tc>
        <w:tc>
          <w:tcPr>
            <w:tcW w:w="1845" w:type="dxa"/>
            <w:gridSpan w:val="7"/>
            <w:tcBorders>
              <w:top w:val="single" w:sz="4" w:space="0" w:color="auto"/>
              <w:left w:val="nil"/>
              <w:right w:val="nil"/>
            </w:tcBorders>
            <w:shd w:val="clear" w:color="auto" w:fill="auto"/>
            <w:noWrap/>
            <w:vAlign w:val="bottom"/>
            <w:hideMark/>
          </w:tcPr>
          <w:p w14:paraId="5D2379D5" w14:textId="77777777" w:rsidR="00C45D5B" w:rsidRPr="00AB54ED" w:rsidRDefault="00C45D5B" w:rsidP="00CF774B">
            <w:pPr>
              <w:rPr>
                <w:rFonts w:ascii="Times New Roman" w:hAnsi="Times New Roman" w:cs="Times New Roman"/>
                <w:sz w:val="18"/>
                <w:szCs w:val="18"/>
                <w:highlight w:val="yellow"/>
              </w:rPr>
            </w:pPr>
          </w:p>
        </w:tc>
        <w:tc>
          <w:tcPr>
            <w:tcW w:w="0" w:type="auto"/>
            <w:gridSpan w:val="8"/>
            <w:tcBorders>
              <w:top w:val="single" w:sz="4" w:space="0" w:color="auto"/>
              <w:left w:val="nil"/>
              <w:right w:val="nil"/>
            </w:tcBorders>
            <w:shd w:val="clear" w:color="auto" w:fill="auto"/>
            <w:noWrap/>
            <w:vAlign w:val="bottom"/>
            <w:hideMark/>
          </w:tcPr>
          <w:p w14:paraId="3505CB27" w14:textId="77777777" w:rsidR="00C45D5B" w:rsidRPr="00AB54ED" w:rsidRDefault="00C45D5B" w:rsidP="00CF774B">
            <w:pPr>
              <w:jc w:val="right"/>
              <w:rPr>
                <w:rFonts w:cs="Times New Roman"/>
                <w:i/>
                <w:iCs/>
                <w:color w:val="000000"/>
                <w:sz w:val="18"/>
                <w:szCs w:val="18"/>
                <w:highlight w:val="yellow"/>
              </w:rPr>
            </w:pPr>
            <w:r w:rsidRPr="009D7E3C">
              <w:rPr>
                <w:rFonts w:cs="Times New Roman"/>
                <w:i/>
                <w:iCs/>
                <w:color w:val="000000"/>
                <w:sz w:val="16"/>
                <w:szCs w:val="18"/>
              </w:rPr>
              <w:t>Zdroj: MF SR</w:t>
            </w:r>
          </w:p>
        </w:tc>
      </w:tr>
    </w:tbl>
    <w:p w14:paraId="13C09623" w14:textId="77777777" w:rsidR="00C45D5B" w:rsidRPr="00AB54ED" w:rsidRDefault="00C45D5B" w:rsidP="00C45D5B">
      <w:pPr>
        <w:rPr>
          <w:sz w:val="18"/>
          <w:szCs w:val="18"/>
          <w:highlight w:val="yellow"/>
        </w:rPr>
      </w:pPr>
    </w:p>
    <w:tbl>
      <w:tblPr>
        <w:tblW w:w="8757" w:type="dxa"/>
        <w:jc w:val="center"/>
        <w:tblCellMar>
          <w:left w:w="70" w:type="dxa"/>
          <w:right w:w="70" w:type="dxa"/>
        </w:tblCellMar>
        <w:tblLook w:val="04A0" w:firstRow="1" w:lastRow="0" w:firstColumn="1" w:lastColumn="0" w:noHBand="0" w:noVBand="1"/>
      </w:tblPr>
      <w:tblGrid>
        <w:gridCol w:w="931"/>
        <w:gridCol w:w="2061"/>
        <w:gridCol w:w="67"/>
        <w:gridCol w:w="885"/>
        <w:gridCol w:w="52"/>
        <w:gridCol w:w="879"/>
        <w:gridCol w:w="52"/>
        <w:gridCol w:w="151"/>
        <w:gridCol w:w="474"/>
        <w:gridCol w:w="254"/>
        <w:gridCol w:w="52"/>
        <w:gridCol w:w="235"/>
        <w:gridCol w:w="541"/>
        <w:gridCol w:w="103"/>
        <w:gridCol w:w="52"/>
        <w:gridCol w:w="108"/>
        <w:gridCol w:w="278"/>
        <w:gridCol w:w="105"/>
        <w:gridCol w:w="388"/>
        <w:gridCol w:w="53"/>
        <w:gridCol w:w="106"/>
        <w:gridCol w:w="771"/>
        <w:gridCol w:w="53"/>
        <w:gridCol w:w="106"/>
      </w:tblGrid>
      <w:tr w:rsidR="00C45D5B" w:rsidRPr="009D7E3C" w14:paraId="34EBFFD0" w14:textId="77777777" w:rsidTr="00CF774B">
        <w:trPr>
          <w:gridAfter w:val="6"/>
          <w:wAfter w:w="1477" w:type="dxa"/>
          <w:trHeight w:val="276"/>
          <w:jc w:val="center"/>
        </w:trPr>
        <w:tc>
          <w:tcPr>
            <w:tcW w:w="7280" w:type="dxa"/>
            <w:gridSpan w:val="18"/>
            <w:tcBorders>
              <w:top w:val="nil"/>
              <w:left w:val="nil"/>
              <w:bottom w:val="single" w:sz="4" w:space="0" w:color="auto"/>
              <w:right w:val="nil"/>
            </w:tcBorders>
            <w:shd w:val="clear" w:color="auto" w:fill="auto"/>
            <w:noWrap/>
            <w:vAlign w:val="bottom"/>
            <w:hideMark/>
          </w:tcPr>
          <w:p w14:paraId="5E4C6C84" w14:textId="2A7ABE6D" w:rsidR="00C45D5B" w:rsidRPr="009D7E3C" w:rsidRDefault="00C45D5B" w:rsidP="00CF774B">
            <w:pPr>
              <w:rPr>
                <w:rFonts w:eastAsiaTheme="minorHAnsi"/>
                <w:b/>
                <w:color w:val="2C9ADC"/>
                <w:sz w:val="18"/>
                <w:szCs w:val="18"/>
                <w:lang w:eastAsia="en-US"/>
              </w:rPr>
            </w:pPr>
            <w:bookmarkStart w:id="272" w:name="_Toc480905423"/>
            <w:bookmarkStart w:id="273" w:name="_Toc6314230"/>
            <w:bookmarkStart w:id="274" w:name="_Toc71622470"/>
            <w:bookmarkStart w:id="275" w:name="_Toc101880711"/>
            <w:r w:rsidRPr="009D7E3C">
              <w:rPr>
                <w:rFonts w:eastAsiaTheme="minorHAnsi"/>
                <w:b/>
                <w:color w:val="2C9ADC"/>
                <w:sz w:val="20"/>
                <w:szCs w:val="18"/>
                <w:lang w:eastAsia="en-US"/>
              </w:rPr>
              <w:t xml:space="preserve">TABUĽKA </w:t>
            </w:r>
            <w:r w:rsidRPr="009D7E3C">
              <w:rPr>
                <w:rFonts w:eastAsiaTheme="minorHAnsi"/>
                <w:b/>
                <w:color w:val="2C9ADC"/>
                <w:sz w:val="20"/>
                <w:szCs w:val="18"/>
                <w:lang w:eastAsia="en-US"/>
              </w:rPr>
              <w:fldChar w:fldCharType="begin"/>
            </w:r>
            <w:r w:rsidRPr="009D7E3C">
              <w:rPr>
                <w:rFonts w:eastAsiaTheme="minorHAnsi"/>
                <w:b/>
                <w:color w:val="2C9ADC"/>
                <w:sz w:val="20"/>
                <w:szCs w:val="18"/>
                <w:lang w:eastAsia="en-US"/>
              </w:rPr>
              <w:instrText xml:space="preserve"> SEQ TABUĽKA \* ARABIC </w:instrText>
            </w:r>
            <w:r w:rsidRPr="009D7E3C">
              <w:rPr>
                <w:rFonts w:eastAsiaTheme="minorHAnsi"/>
                <w:b/>
                <w:color w:val="2C9ADC"/>
                <w:sz w:val="20"/>
                <w:szCs w:val="18"/>
                <w:lang w:eastAsia="en-US"/>
              </w:rPr>
              <w:fldChar w:fldCharType="separate"/>
            </w:r>
            <w:r w:rsidR="005D3280">
              <w:rPr>
                <w:rFonts w:eastAsiaTheme="minorHAnsi"/>
                <w:b/>
                <w:noProof/>
                <w:color w:val="2C9ADC"/>
                <w:sz w:val="20"/>
                <w:szCs w:val="18"/>
                <w:lang w:eastAsia="en-US"/>
              </w:rPr>
              <w:t>32</w:t>
            </w:r>
            <w:r w:rsidRPr="009D7E3C">
              <w:rPr>
                <w:rFonts w:eastAsiaTheme="minorHAnsi"/>
                <w:b/>
                <w:color w:val="2C9ADC"/>
                <w:sz w:val="20"/>
                <w:szCs w:val="18"/>
                <w:lang w:eastAsia="en-US"/>
              </w:rPr>
              <w:fldChar w:fldCharType="end"/>
            </w:r>
            <w:r w:rsidRPr="009D7E3C">
              <w:rPr>
                <w:rFonts w:eastAsiaTheme="minorHAnsi"/>
                <w:b/>
                <w:color w:val="2C9ADC"/>
                <w:sz w:val="20"/>
                <w:szCs w:val="18"/>
                <w:lang w:eastAsia="en-US"/>
              </w:rPr>
              <w:t xml:space="preserve"> (Tabuľka 8) </w:t>
            </w:r>
            <w:r w:rsidRPr="009D7E3C">
              <w:rPr>
                <w:rFonts w:eastAsiaTheme="minorHAnsi"/>
                <w:b/>
                <w:color w:val="2C9ADC"/>
                <w:sz w:val="20"/>
                <w:szCs w:val="20"/>
                <w:lang w:eastAsia="en-US"/>
              </w:rPr>
              <w:t>–</w:t>
            </w:r>
            <w:r w:rsidRPr="009D7E3C">
              <w:rPr>
                <w:rFonts w:eastAsiaTheme="minorHAnsi"/>
                <w:b/>
                <w:color w:val="2C9ADC"/>
                <w:sz w:val="20"/>
                <w:szCs w:val="18"/>
                <w:lang w:eastAsia="en-US"/>
              </w:rPr>
              <w:t xml:space="preserve"> Základné predpoklady</w:t>
            </w:r>
            <w:bookmarkEnd w:id="272"/>
            <w:bookmarkEnd w:id="273"/>
            <w:bookmarkEnd w:id="274"/>
            <w:bookmarkEnd w:id="275"/>
          </w:p>
        </w:tc>
      </w:tr>
      <w:tr w:rsidR="00C45D5B" w:rsidRPr="009D7E3C" w14:paraId="0107AF27" w14:textId="77777777" w:rsidTr="00CF774B">
        <w:trPr>
          <w:gridAfter w:val="4"/>
          <w:wAfter w:w="1036" w:type="dxa"/>
          <w:trHeight w:val="276"/>
          <w:jc w:val="center"/>
        </w:trPr>
        <w:tc>
          <w:tcPr>
            <w:tcW w:w="5078" w:type="dxa"/>
            <w:gridSpan w:val="8"/>
            <w:tcBorders>
              <w:top w:val="nil"/>
              <w:left w:val="nil"/>
              <w:bottom w:val="single" w:sz="4" w:space="0" w:color="auto"/>
              <w:right w:val="nil"/>
            </w:tcBorders>
            <w:shd w:val="clear" w:color="auto" w:fill="auto"/>
            <w:vAlign w:val="center"/>
            <w:hideMark/>
          </w:tcPr>
          <w:p w14:paraId="5CC18BB4" w14:textId="77777777" w:rsidR="00C45D5B" w:rsidRPr="009D7E3C" w:rsidRDefault="00C45D5B" w:rsidP="00CF774B">
            <w:pPr>
              <w:rPr>
                <w:rFonts w:cs="Times New Roman"/>
                <w:color w:val="000000"/>
                <w:sz w:val="18"/>
                <w:szCs w:val="18"/>
              </w:rPr>
            </w:pPr>
            <w:r w:rsidRPr="009D7E3C">
              <w:rPr>
                <w:color w:val="000000"/>
                <w:sz w:val="18"/>
                <w:szCs w:val="18"/>
              </w:rPr>
              <w:t> </w:t>
            </w:r>
          </w:p>
        </w:tc>
        <w:tc>
          <w:tcPr>
            <w:tcW w:w="474" w:type="dxa"/>
            <w:tcBorders>
              <w:top w:val="nil"/>
              <w:left w:val="nil"/>
              <w:bottom w:val="nil"/>
              <w:right w:val="nil"/>
            </w:tcBorders>
            <w:shd w:val="clear" w:color="auto" w:fill="auto"/>
            <w:vAlign w:val="center"/>
            <w:hideMark/>
          </w:tcPr>
          <w:p w14:paraId="08195AA0" w14:textId="77777777" w:rsidR="00C45D5B" w:rsidRPr="009D7E3C" w:rsidRDefault="00C45D5B" w:rsidP="00CF774B">
            <w:pPr>
              <w:jc w:val="center"/>
              <w:rPr>
                <w:b/>
                <w:bCs/>
                <w:color w:val="000000"/>
                <w:sz w:val="18"/>
                <w:szCs w:val="18"/>
              </w:rPr>
            </w:pPr>
            <w:r w:rsidRPr="009D7E3C">
              <w:rPr>
                <w:b/>
                <w:bCs/>
                <w:color w:val="000000"/>
                <w:sz w:val="18"/>
                <w:szCs w:val="18"/>
              </w:rPr>
              <w:t>2021</w:t>
            </w:r>
          </w:p>
        </w:tc>
        <w:tc>
          <w:tcPr>
            <w:tcW w:w="541" w:type="dxa"/>
            <w:gridSpan w:val="3"/>
            <w:tcBorders>
              <w:top w:val="nil"/>
              <w:left w:val="nil"/>
              <w:bottom w:val="nil"/>
              <w:right w:val="nil"/>
            </w:tcBorders>
            <w:shd w:val="clear" w:color="auto" w:fill="auto"/>
            <w:vAlign w:val="center"/>
            <w:hideMark/>
          </w:tcPr>
          <w:p w14:paraId="4FB6649F" w14:textId="77777777" w:rsidR="00C45D5B" w:rsidRPr="009D7E3C" w:rsidRDefault="00C45D5B" w:rsidP="00CF774B">
            <w:pPr>
              <w:jc w:val="center"/>
              <w:rPr>
                <w:b/>
                <w:bCs/>
                <w:color w:val="000000"/>
                <w:sz w:val="18"/>
                <w:szCs w:val="18"/>
              </w:rPr>
            </w:pPr>
            <w:r w:rsidRPr="009D7E3C">
              <w:rPr>
                <w:b/>
                <w:bCs/>
                <w:color w:val="000000"/>
                <w:sz w:val="18"/>
                <w:szCs w:val="18"/>
              </w:rPr>
              <w:t>2022</w:t>
            </w:r>
          </w:p>
        </w:tc>
        <w:tc>
          <w:tcPr>
            <w:tcW w:w="541" w:type="dxa"/>
            <w:tcBorders>
              <w:top w:val="nil"/>
              <w:left w:val="nil"/>
              <w:bottom w:val="nil"/>
              <w:right w:val="nil"/>
            </w:tcBorders>
            <w:shd w:val="clear" w:color="auto" w:fill="auto"/>
            <w:vAlign w:val="center"/>
            <w:hideMark/>
          </w:tcPr>
          <w:p w14:paraId="233EFFF4" w14:textId="77777777" w:rsidR="00C45D5B" w:rsidRPr="009D7E3C" w:rsidRDefault="00C45D5B" w:rsidP="00CF774B">
            <w:pPr>
              <w:jc w:val="center"/>
              <w:rPr>
                <w:b/>
                <w:bCs/>
                <w:color w:val="000000"/>
                <w:sz w:val="18"/>
                <w:szCs w:val="18"/>
              </w:rPr>
            </w:pPr>
            <w:r w:rsidRPr="009D7E3C">
              <w:rPr>
                <w:b/>
                <w:bCs/>
                <w:color w:val="000000"/>
                <w:sz w:val="18"/>
                <w:szCs w:val="18"/>
              </w:rPr>
              <w:t>2023</w:t>
            </w:r>
          </w:p>
        </w:tc>
        <w:tc>
          <w:tcPr>
            <w:tcW w:w="541" w:type="dxa"/>
            <w:gridSpan w:val="4"/>
            <w:tcBorders>
              <w:top w:val="nil"/>
              <w:left w:val="nil"/>
              <w:bottom w:val="nil"/>
              <w:right w:val="nil"/>
            </w:tcBorders>
            <w:shd w:val="clear" w:color="auto" w:fill="auto"/>
            <w:vAlign w:val="center"/>
          </w:tcPr>
          <w:p w14:paraId="42EE0576" w14:textId="77777777" w:rsidR="00C45D5B" w:rsidRPr="009D7E3C" w:rsidRDefault="00C45D5B" w:rsidP="00CF774B">
            <w:pPr>
              <w:jc w:val="center"/>
              <w:rPr>
                <w:b/>
                <w:bCs/>
                <w:color w:val="000000"/>
                <w:sz w:val="18"/>
                <w:szCs w:val="18"/>
              </w:rPr>
            </w:pPr>
            <w:r w:rsidRPr="009D7E3C">
              <w:rPr>
                <w:b/>
                <w:bCs/>
                <w:color w:val="000000"/>
                <w:sz w:val="18"/>
                <w:szCs w:val="18"/>
              </w:rPr>
              <w:t>2024</w:t>
            </w:r>
          </w:p>
        </w:tc>
        <w:tc>
          <w:tcPr>
            <w:tcW w:w="546" w:type="dxa"/>
            <w:gridSpan w:val="3"/>
            <w:tcBorders>
              <w:top w:val="single" w:sz="2" w:space="0" w:color="000000"/>
              <w:left w:val="nil"/>
              <w:bottom w:val="nil"/>
              <w:right w:val="nil"/>
            </w:tcBorders>
            <w:shd w:val="clear" w:color="auto" w:fill="auto"/>
            <w:vAlign w:val="center"/>
          </w:tcPr>
          <w:p w14:paraId="40546732" w14:textId="77777777" w:rsidR="00C45D5B" w:rsidRPr="009D7E3C" w:rsidRDefault="00C45D5B" w:rsidP="00CF774B">
            <w:pPr>
              <w:jc w:val="center"/>
              <w:rPr>
                <w:b/>
                <w:bCs/>
                <w:color w:val="000000"/>
                <w:sz w:val="18"/>
                <w:szCs w:val="18"/>
              </w:rPr>
            </w:pPr>
            <w:r w:rsidRPr="009D7E3C">
              <w:rPr>
                <w:b/>
                <w:bCs/>
                <w:color w:val="000000"/>
                <w:sz w:val="18"/>
                <w:szCs w:val="18"/>
              </w:rPr>
              <w:t>2025</w:t>
            </w:r>
          </w:p>
        </w:tc>
      </w:tr>
      <w:tr w:rsidR="00C45D5B" w:rsidRPr="009D7E3C" w14:paraId="061DC61D" w14:textId="77777777" w:rsidTr="00CF774B">
        <w:trPr>
          <w:gridAfter w:val="4"/>
          <w:wAfter w:w="1036" w:type="dxa"/>
          <w:trHeight w:val="276"/>
          <w:jc w:val="center"/>
        </w:trPr>
        <w:tc>
          <w:tcPr>
            <w:tcW w:w="5078" w:type="dxa"/>
            <w:gridSpan w:val="8"/>
            <w:tcBorders>
              <w:top w:val="single" w:sz="4" w:space="0" w:color="auto"/>
              <w:left w:val="nil"/>
              <w:right w:val="nil"/>
            </w:tcBorders>
            <w:shd w:val="clear" w:color="auto" w:fill="auto"/>
            <w:vAlign w:val="center"/>
            <w:hideMark/>
          </w:tcPr>
          <w:p w14:paraId="1ED7114F" w14:textId="77777777" w:rsidR="00C45D5B" w:rsidRPr="009D7E3C" w:rsidRDefault="00C45D5B" w:rsidP="00CF774B">
            <w:pPr>
              <w:rPr>
                <w:rFonts w:cs="Times New Roman"/>
                <w:color w:val="000000"/>
                <w:sz w:val="18"/>
                <w:szCs w:val="18"/>
              </w:rPr>
            </w:pPr>
            <w:r w:rsidRPr="009D7E3C">
              <w:rPr>
                <w:color w:val="000000"/>
                <w:sz w:val="18"/>
                <w:szCs w:val="18"/>
              </w:rPr>
              <w:t>Krátkodobá úroková miera EONIA (ročný priemer, %)</w:t>
            </w:r>
          </w:p>
        </w:tc>
        <w:tc>
          <w:tcPr>
            <w:tcW w:w="474" w:type="dxa"/>
            <w:tcBorders>
              <w:top w:val="single" w:sz="8" w:space="0" w:color="auto"/>
              <w:left w:val="nil"/>
              <w:bottom w:val="nil"/>
              <w:right w:val="nil"/>
            </w:tcBorders>
            <w:shd w:val="clear" w:color="auto" w:fill="auto"/>
            <w:vAlign w:val="bottom"/>
            <w:hideMark/>
          </w:tcPr>
          <w:p w14:paraId="3BBFC8A3" w14:textId="77777777" w:rsidR="00C45D5B" w:rsidRPr="009D7E3C" w:rsidRDefault="00C45D5B" w:rsidP="00CF774B">
            <w:pPr>
              <w:jc w:val="center"/>
              <w:rPr>
                <w:color w:val="000000"/>
                <w:sz w:val="20"/>
                <w:szCs w:val="18"/>
              </w:rPr>
            </w:pPr>
            <w:r w:rsidRPr="009D7E3C">
              <w:rPr>
                <w:color w:val="000000"/>
                <w:sz w:val="18"/>
                <w:szCs w:val="18"/>
              </w:rPr>
              <w:t>-0,6</w:t>
            </w:r>
          </w:p>
        </w:tc>
        <w:tc>
          <w:tcPr>
            <w:tcW w:w="541" w:type="dxa"/>
            <w:gridSpan w:val="3"/>
            <w:tcBorders>
              <w:top w:val="single" w:sz="8" w:space="0" w:color="auto"/>
              <w:left w:val="nil"/>
              <w:bottom w:val="nil"/>
              <w:right w:val="nil"/>
            </w:tcBorders>
            <w:shd w:val="clear" w:color="auto" w:fill="auto"/>
            <w:vAlign w:val="bottom"/>
            <w:hideMark/>
          </w:tcPr>
          <w:p w14:paraId="4780D863" w14:textId="77777777" w:rsidR="00C45D5B" w:rsidRPr="009D7E3C" w:rsidRDefault="00C45D5B" w:rsidP="00CF774B">
            <w:pPr>
              <w:jc w:val="center"/>
              <w:rPr>
                <w:color w:val="000000"/>
                <w:sz w:val="20"/>
                <w:szCs w:val="18"/>
              </w:rPr>
            </w:pPr>
            <w:r w:rsidRPr="009D7E3C">
              <w:rPr>
                <w:color w:val="000000"/>
                <w:sz w:val="18"/>
                <w:szCs w:val="18"/>
              </w:rPr>
              <w:t>-0,6</w:t>
            </w:r>
          </w:p>
        </w:tc>
        <w:tc>
          <w:tcPr>
            <w:tcW w:w="541" w:type="dxa"/>
            <w:tcBorders>
              <w:top w:val="single" w:sz="8" w:space="0" w:color="auto"/>
              <w:left w:val="nil"/>
              <w:bottom w:val="nil"/>
              <w:right w:val="nil"/>
            </w:tcBorders>
            <w:shd w:val="clear" w:color="auto" w:fill="auto"/>
            <w:vAlign w:val="bottom"/>
            <w:hideMark/>
          </w:tcPr>
          <w:p w14:paraId="34FA34EB" w14:textId="77777777" w:rsidR="00C45D5B" w:rsidRPr="009D7E3C" w:rsidRDefault="00C45D5B" w:rsidP="00CF774B">
            <w:pPr>
              <w:jc w:val="center"/>
              <w:rPr>
                <w:color w:val="000000"/>
                <w:sz w:val="20"/>
                <w:szCs w:val="18"/>
              </w:rPr>
            </w:pPr>
            <w:r w:rsidRPr="009D7E3C">
              <w:rPr>
                <w:color w:val="000000"/>
                <w:sz w:val="18"/>
                <w:szCs w:val="18"/>
              </w:rPr>
              <w:t>-0,4</w:t>
            </w:r>
          </w:p>
        </w:tc>
        <w:tc>
          <w:tcPr>
            <w:tcW w:w="541" w:type="dxa"/>
            <w:gridSpan w:val="4"/>
            <w:tcBorders>
              <w:top w:val="single" w:sz="8" w:space="0" w:color="auto"/>
              <w:left w:val="nil"/>
              <w:bottom w:val="nil"/>
              <w:right w:val="nil"/>
            </w:tcBorders>
            <w:shd w:val="clear" w:color="auto" w:fill="auto"/>
            <w:vAlign w:val="bottom"/>
          </w:tcPr>
          <w:p w14:paraId="7DCCE4DF" w14:textId="77777777" w:rsidR="00C45D5B" w:rsidRPr="009D7E3C" w:rsidRDefault="00C45D5B" w:rsidP="00CF774B">
            <w:pPr>
              <w:jc w:val="center"/>
              <w:rPr>
                <w:color w:val="000000"/>
                <w:sz w:val="20"/>
                <w:szCs w:val="18"/>
              </w:rPr>
            </w:pPr>
            <w:r w:rsidRPr="009D7E3C">
              <w:rPr>
                <w:color w:val="000000"/>
                <w:sz w:val="18"/>
                <w:szCs w:val="18"/>
              </w:rPr>
              <w:t>-0,2</w:t>
            </w:r>
          </w:p>
        </w:tc>
        <w:tc>
          <w:tcPr>
            <w:tcW w:w="546" w:type="dxa"/>
            <w:gridSpan w:val="3"/>
            <w:tcBorders>
              <w:top w:val="single" w:sz="8" w:space="0" w:color="auto"/>
              <w:left w:val="nil"/>
              <w:bottom w:val="nil"/>
              <w:right w:val="nil"/>
            </w:tcBorders>
            <w:shd w:val="clear" w:color="auto" w:fill="auto"/>
            <w:vAlign w:val="bottom"/>
          </w:tcPr>
          <w:p w14:paraId="3875467C" w14:textId="77777777" w:rsidR="00C45D5B" w:rsidRPr="009D7E3C" w:rsidRDefault="00C45D5B" w:rsidP="00CF774B">
            <w:pPr>
              <w:jc w:val="center"/>
              <w:rPr>
                <w:color w:val="000000"/>
                <w:sz w:val="20"/>
                <w:szCs w:val="18"/>
              </w:rPr>
            </w:pPr>
            <w:r w:rsidRPr="009D7E3C">
              <w:rPr>
                <w:color w:val="000000"/>
                <w:sz w:val="18"/>
                <w:szCs w:val="18"/>
              </w:rPr>
              <w:t>0,0</w:t>
            </w:r>
          </w:p>
        </w:tc>
      </w:tr>
      <w:tr w:rsidR="00C45D5B" w:rsidRPr="009D7E3C" w14:paraId="3B700067" w14:textId="77777777" w:rsidTr="00CF774B">
        <w:trPr>
          <w:gridAfter w:val="4"/>
          <w:wAfter w:w="1036" w:type="dxa"/>
          <w:trHeight w:val="276"/>
          <w:jc w:val="center"/>
        </w:trPr>
        <w:tc>
          <w:tcPr>
            <w:tcW w:w="5078" w:type="dxa"/>
            <w:gridSpan w:val="8"/>
            <w:tcBorders>
              <w:top w:val="nil"/>
              <w:left w:val="nil"/>
              <w:bottom w:val="nil"/>
              <w:right w:val="nil"/>
            </w:tcBorders>
            <w:shd w:val="clear" w:color="auto" w:fill="auto"/>
            <w:vAlign w:val="center"/>
            <w:hideMark/>
          </w:tcPr>
          <w:p w14:paraId="3F45E974" w14:textId="77777777" w:rsidR="00C45D5B" w:rsidRPr="009D7E3C" w:rsidRDefault="00C45D5B" w:rsidP="00CF774B">
            <w:pPr>
              <w:rPr>
                <w:color w:val="000000"/>
                <w:sz w:val="18"/>
                <w:szCs w:val="18"/>
              </w:rPr>
            </w:pPr>
            <w:r w:rsidRPr="009D7E3C">
              <w:rPr>
                <w:color w:val="000000"/>
                <w:sz w:val="18"/>
                <w:szCs w:val="18"/>
              </w:rPr>
              <w:t>Dlhodobá úroková miera 10Y-SLOVGB (ročný priemer, %)</w:t>
            </w:r>
          </w:p>
        </w:tc>
        <w:tc>
          <w:tcPr>
            <w:tcW w:w="474" w:type="dxa"/>
            <w:tcBorders>
              <w:top w:val="nil"/>
              <w:left w:val="nil"/>
              <w:bottom w:val="nil"/>
              <w:right w:val="nil"/>
            </w:tcBorders>
            <w:shd w:val="clear" w:color="auto" w:fill="auto"/>
            <w:vAlign w:val="bottom"/>
            <w:hideMark/>
          </w:tcPr>
          <w:p w14:paraId="7819D357" w14:textId="77777777" w:rsidR="00C45D5B" w:rsidRPr="009D7E3C" w:rsidRDefault="00C45D5B" w:rsidP="00CF774B">
            <w:pPr>
              <w:jc w:val="center"/>
              <w:rPr>
                <w:color w:val="000000"/>
                <w:sz w:val="20"/>
                <w:szCs w:val="18"/>
              </w:rPr>
            </w:pPr>
            <w:r w:rsidRPr="009D7E3C">
              <w:rPr>
                <w:color w:val="000000"/>
                <w:sz w:val="18"/>
                <w:szCs w:val="18"/>
              </w:rPr>
              <w:t>-0,1</w:t>
            </w:r>
          </w:p>
        </w:tc>
        <w:tc>
          <w:tcPr>
            <w:tcW w:w="541" w:type="dxa"/>
            <w:gridSpan w:val="3"/>
            <w:tcBorders>
              <w:top w:val="nil"/>
              <w:left w:val="nil"/>
              <w:bottom w:val="nil"/>
              <w:right w:val="nil"/>
            </w:tcBorders>
            <w:shd w:val="clear" w:color="auto" w:fill="auto"/>
            <w:vAlign w:val="bottom"/>
            <w:hideMark/>
          </w:tcPr>
          <w:p w14:paraId="11CDA665" w14:textId="77777777" w:rsidR="00C45D5B" w:rsidRPr="009D7E3C" w:rsidRDefault="00C45D5B" w:rsidP="00CF774B">
            <w:pPr>
              <w:jc w:val="center"/>
              <w:rPr>
                <w:color w:val="000000"/>
                <w:sz w:val="20"/>
                <w:szCs w:val="18"/>
              </w:rPr>
            </w:pPr>
            <w:r w:rsidRPr="009D7E3C">
              <w:rPr>
                <w:color w:val="000000"/>
                <w:sz w:val="18"/>
                <w:szCs w:val="18"/>
              </w:rPr>
              <w:t>0,9</w:t>
            </w:r>
          </w:p>
        </w:tc>
        <w:tc>
          <w:tcPr>
            <w:tcW w:w="541" w:type="dxa"/>
            <w:tcBorders>
              <w:top w:val="nil"/>
              <w:left w:val="nil"/>
              <w:bottom w:val="nil"/>
              <w:right w:val="nil"/>
            </w:tcBorders>
            <w:shd w:val="clear" w:color="auto" w:fill="auto"/>
            <w:vAlign w:val="bottom"/>
            <w:hideMark/>
          </w:tcPr>
          <w:p w14:paraId="197538DA" w14:textId="77777777" w:rsidR="00C45D5B" w:rsidRPr="009D7E3C" w:rsidRDefault="00C45D5B" w:rsidP="00CF774B">
            <w:pPr>
              <w:jc w:val="center"/>
              <w:rPr>
                <w:color w:val="000000"/>
                <w:sz w:val="20"/>
                <w:szCs w:val="18"/>
              </w:rPr>
            </w:pPr>
            <w:r w:rsidRPr="009D7E3C">
              <w:rPr>
                <w:color w:val="000000"/>
                <w:sz w:val="18"/>
                <w:szCs w:val="18"/>
              </w:rPr>
              <w:t>1,5</w:t>
            </w:r>
          </w:p>
        </w:tc>
        <w:tc>
          <w:tcPr>
            <w:tcW w:w="541" w:type="dxa"/>
            <w:gridSpan w:val="4"/>
            <w:tcBorders>
              <w:top w:val="nil"/>
              <w:left w:val="nil"/>
              <w:bottom w:val="nil"/>
              <w:right w:val="nil"/>
            </w:tcBorders>
            <w:shd w:val="clear" w:color="auto" w:fill="auto"/>
            <w:vAlign w:val="bottom"/>
          </w:tcPr>
          <w:p w14:paraId="4112B399" w14:textId="77777777" w:rsidR="00C45D5B" w:rsidRPr="009D7E3C" w:rsidRDefault="00C45D5B" w:rsidP="00CF774B">
            <w:pPr>
              <w:jc w:val="center"/>
              <w:rPr>
                <w:color w:val="000000"/>
                <w:sz w:val="20"/>
                <w:szCs w:val="18"/>
              </w:rPr>
            </w:pPr>
            <w:r w:rsidRPr="009D7E3C">
              <w:rPr>
                <w:color w:val="000000"/>
                <w:sz w:val="18"/>
                <w:szCs w:val="18"/>
              </w:rPr>
              <w:t>1,9</w:t>
            </w:r>
          </w:p>
        </w:tc>
        <w:tc>
          <w:tcPr>
            <w:tcW w:w="546" w:type="dxa"/>
            <w:gridSpan w:val="3"/>
            <w:tcBorders>
              <w:top w:val="nil"/>
              <w:left w:val="nil"/>
              <w:bottom w:val="nil"/>
              <w:right w:val="nil"/>
            </w:tcBorders>
            <w:shd w:val="clear" w:color="auto" w:fill="auto"/>
            <w:vAlign w:val="bottom"/>
          </w:tcPr>
          <w:p w14:paraId="0580DB76" w14:textId="77777777" w:rsidR="00C45D5B" w:rsidRPr="009D7E3C" w:rsidRDefault="00C45D5B" w:rsidP="00CF774B">
            <w:pPr>
              <w:jc w:val="center"/>
              <w:rPr>
                <w:color w:val="000000"/>
                <w:sz w:val="20"/>
                <w:szCs w:val="18"/>
              </w:rPr>
            </w:pPr>
            <w:r w:rsidRPr="009D7E3C">
              <w:rPr>
                <w:color w:val="000000"/>
                <w:sz w:val="18"/>
                <w:szCs w:val="18"/>
              </w:rPr>
              <w:t>2,2</w:t>
            </w:r>
          </w:p>
        </w:tc>
      </w:tr>
      <w:tr w:rsidR="00C45D5B" w:rsidRPr="009D7E3C" w14:paraId="78EAC709" w14:textId="77777777" w:rsidTr="00CF774B">
        <w:trPr>
          <w:gridAfter w:val="4"/>
          <w:wAfter w:w="1036" w:type="dxa"/>
          <w:trHeight w:val="276"/>
          <w:jc w:val="center"/>
        </w:trPr>
        <w:tc>
          <w:tcPr>
            <w:tcW w:w="5078" w:type="dxa"/>
            <w:gridSpan w:val="8"/>
            <w:tcBorders>
              <w:top w:val="nil"/>
              <w:left w:val="nil"/>
              <w:right w:val="nil"/>
            </w:tcBorders>
            <w:shd w:val="clear" w:color="auto" w:fill="auto"/>
            <w:vAlign w:val="center"/>
            <w:hideMark/>
          </w:tcPr>
          <w:p w14:paraId="52CC54A5" w14:textId="77777777" w:rsidR="00C45D5B" w:rsidRPr="009D7E3C" w:rsidRDefault="00C45D5B" w:rsidP="00CF774B">
            <w:pPr>
              <w:rPr>
                <w:color w:val="000000"/>
                <w:sz w:val="18"/>
                <w:szCs w:val="18"/>
              </w:rPr>
            </w:pPr>
            <w:r w:rsidRPr="009D7E3C">
              <w:rPr>
                <w:color w:val="000000"/>
                <w:sz w:val="18"/>
                <w:szCs w:val="18"/>
              </w:rPr>
              <w:t>Výmenný kurz USD/€ (ročný priemer) (eurozóna a krajiny ERM II)</w:t>
            </w:r>
          </w:p>
        </w:tc>
        <w:tc>
          <w:tcPr>
            <w:tcW w:w="474" w:type="dxa"/>
            <w:tcBorders>
              <w:top w:val="nil"/>
              <w:left w:val="nil"/>
              <w:bottom w:val="nil"/>
              <w:right w:val="nil"/>
            </w:tcBorders>
            <w:shd w:val="clear" w:color="auto" w:fill="auto"/>
            <w:vAlign w:val="bottom"/>
            <w:hideMark/>
          </w:tcPr>
          <w:p w14:paraId="03D826FF" w14:textId="77777777" w:rsidR="00C45D5B" w:rsidRPr="009D7E3C" w:rsidRDefault="00C45D5B" w:rsidP="00CF774B">
            <w:pPr>
              <w:jc w:val="center"/>
              <w:rPr>
                <w:color w:val="000000"/>
                <w:sz w:val="20"/>
                <w:szCs w:val="18"/>
              </w:rPr>
            </w:pPr>
            <w:r w:rsidRPr="009D7E3C">
              <w:rPr>
                <w:color w:val="000000"/>
                <w:sz w:val="18"/>
                <w:szCs w:val="18"/>
              </w:rPr>
              <w:t>1,2</w:t>
            </w:r>
          </w:p>
        </w:tc>
        <w:tc>
          <w:tcPr>
            <w:tcW w:w="541" w:type="dxa"/>
            <w:gridSpan w:val="3"/>
            <w:tcBorders>
              <w:top w:val="nil"/>
              <w:left w:val="nil"/>
              <w:bottom w:val="nil"/>
              <w:right w:val="nil"/>
            </w:tcBorders>
            <w:shd w:val="clear" w:color="auto" w:fill="auto"/>
            <w:vAlign w:val="bottom"/>
            <w:hideMark/>
          </w:tcPr>
          <w:p w14:paraId="165CAB14" w14:textId="77777777" w:rsidR="00C45D5B" w:rsidRPr="009D7E3C" w:rsidRDefault="00C45D5B" w:rsidP="00CF774B">
            <w:pPr>
              <w:jc w:val="center"/>
              <w:rPr>
                <w:color w:val="000000"/>
                <w:sz w:val="20"/>
                <w:szCs w:val="18"/>
              </w:rPr>
            </w:pPr>
            <w:r w:rsidRPr="009D7E3C">
              <w:rPr>
                <w:color w:val="000000"/>
                <w:sz w:val="18"/>
                <w:szCs w:val="18"/>
              </w:rPr>
              <w:t>1,1</w:t>
            </w:r>
          </w:p>
        </w:tc>
        <w:tc>
          <w:tcPr>
            <w:tcW w:w="541" w:type="dxa"/>
            <w:tcBorders>
              <w:top w:val="nil"/>
              <w:left w:val="nil"/>
              <w:bottom w:val="nil"/>
              <w:right w:val="nil"/>
            </w:tcBorders>
            <w:shd w:val="clear" w:color="auto" w:fill="auto"/>
            <w:vAlign w:val="bottom"/>
            <w:hideMark/>
          </w:tcPr>
          <w:p w14:paraId="7C1BD8B5" w14:textId="77777777" w:rsidR="00C45D5B" w:rsidRPr="009D7E3C" w:rsidRDefault="00C45D5B" w:rsidP="00CF774B">
            <w:pPr>
              <w:jc w:val="center"/>
              <w:rPr>
                <w:color w:val="000000"/>
                <w:sz w:val="20"/>
                <w:szCs w:val="18"/>
              </w:rPr>
            </w:pPr>
            <w:r w:rsidRPr="009D7E3C">
              <w:rPr>
                <w:color w:val="000000"/>
                <w:sz w:val="18"/>
                <w:szCs w:val="18"/>
              </w:rPr>
              <w:t>1,2</w:t>
            </w:r>
          </w:p>
        </w:tc>
        <w:tc>
          <w:tcPr>
            <w:tcW w:w="541" w:type="dxa"/>
            <w:gridSpan w:val="4"/>
            <w:tcBorders>
              <w:top w:val="nil"/>
              <w:left w:val="nil"/>
              <w:bottom w:val="nil"/>
              <w:right w:val="nil"/>
            </w:tcBorders>
            <w:shd w:val="clear" w:color="auto" w:fill="auto"/>
            <w:vAlign w:val="bottom"/>
          </w:tcPr>
          <w:p w14:paraId="53558BAB" w14:textId="77777777" w:rsidR="00C45D5B" w:rsidRPr="009D7E3C" w:rsidRDefault="00C45D5B" w:rsidP="00CF774B">
            <w:pPr>
              <w:jc w:val="center"/>
              <w:rPr>
                <w:color w:val="000000"/>
                <w:sz w:val="20"/>
                <w:szCs w:val="18"/>
              </w:rPr>
            </w:pPr>
            <w:r w:rsidRPr="009D7E3C">
              <w:rPr>
                <w:color w:val="000000"/>
                <w:sz w:val="18"/>
                <w:szCs w:val="18"/>
              </w:rPr>
              <w:t>1,2</w:t>
            </w:r>
          </w:p>
        </w:tc>
        <w:tc>
          <w:tcPr>
            <w:tcW w:w="546" w:type="dxa"/>
            <w:gridSpan w:val="3"/>
            <w:tcBorders>
              <w:top w:val="nil"/>
              <w:left w:val="nil"/>
              <w:bottom w:val="nil"/>
              <w:right w:val="nil"/>
            </w:tcBorders>
            <w:shd w:val="clear" w:color="auto" w:fill="auto"/>
            <w:vAlign w:val="bottom"/>
          </w:tcPr>
          <w:p w14:paraId="13DBF8F7" w14:textId="77777777" w:rsidR="00C45D5B" w:rsidRPr="009D7E3C" w:rsidRDefault="00C45D5B" w:rsidP="00CF774B">
            <w:pPr>
              <w:jc w:val="center"/>
              <w:rPr>
                <w:color w:val="000000"/>
                <w:sz w:val="20"/>
                <w:szCs w:val="18"/>
              </w:rPr>
            </w:pPr>
            <w:r w:rsidRPr="009D7E3C">
              <w:rPr>
                <w:color w:val="000000"/>
                <w:sz w:val="18"/>
                <w:szCs w:val="18"/>
              </w:rPr>
              <w:t>1,2</w:t>
            </w:r>
          </w:p>
        </w:tc>
      </w:tr>
      <w:tr w:rsidR="00C45D5B" w:rsidRPr="009D7E3C" w14:paraId="28D0A257" w14:textId="77777777" w:rsidTr="00CF774B">
        <w:trPr>
          <w:gridAfter w:val="4"/>
          <w:wAfter w:w="1036" w:type="dxa"/>
          <w:trHeight w:val="276"/>
          <w:jc w:val="center"/>
        </w:trPr>
        <w:tc>
          <w:tcPr>
            <w:tcW w:w="5078" w:type="dxa"/>
            <w:gridSpan w:val="8"/>
            <w:tcBorders>
              <w:top w:val="nil"/>
              <w:left w:val="nil"/>
              <w:right w:val="nil"/>
            </w:tcBorders>
            <w:shd w:val="clear" w:color="auto" w:fill="auto"/>
            <w:vAlign w:val="center"/>
          </w:tcPr>
          <w:p w14:paraId="61E2A405" w14:textId="77777777" w:rsidR="00C45D5B" w:rsidRPr="009D7E3C" w:rsidRDefault="00C45D5B" w:rsidP="00CF774B">
            <w:pPr>
              <w:rPr>
                <w:color w:val="000000"/>
                <w:sz w:val="18"/>
                <w:szCs w:val="18"/>
              </w:rPr>
            </w:pPr>
            <w:r w:rsidRPr="009D7E3C">
              <w:rPr>
                <w:color w:val="000000"/>
                <w:sz w:val="18"/>
                <w:szCs w:val="18"/>
              </w:rPr>
              <w:t>Nominálna efektívna úroková miera</w:t>
            </w:r>
          </w:p>
        </w:tc>
        <w:tc>
          <w:tcPr>
            <w:tcW w:w="474" w:type="dxa"/>
            <w:tcBorders>
              <w:top w:val="nil"/>
              <w:left w:val="nil"/>
              <w:bottom w:val="nil"/>
              <w:right w:val="nil"/>
            </w:tcBorders>
            <w:shd w:val="clear" w:color="auto" w:fill="auto"/>
            <w:vAlign w:val="bottom"/>
          </w:tcPr>
          <w:p w14:paraId="4EBB487B" w14:textId="77777777" w:rsidR="00C45D5B" w:rsidRPr="009D7E3C" w:rsidRDefault="00C45D5B" w:rsidP="00CF774B">
            <w:pPr>
              <w:jc w:val="center"/>
              <w:rPr>
                <w:sz w:val="20"/>
                <w:szCs w:val="18"/>
              </w:rPr>
            </w:pPr>
            <w:r w:rsidRPr="009D7E3C">
              <w:rPr>
                <w:color w:val="000000"/>
                <w:sz w:val="18"/>
                <w:szCs w:val="18"/>
              </w:rPr>
              <w:t>0,6</w:t>
            </w:r>
          </w:p>
        </w:tc>
        <w:tc>
          <w:tcPr>
            <w:tcW w:w="541" w:type="dxa"/>
            <w:gridSpan w:val="3"/>
            <w:tcBorders>
              <w:top w:val="nil"/>
              <w:left w:val="nil"/>
              <w:bottom w:val="nil"/>
              <w:right w:val="nil"/>
            </w:tcBorders>
            <w:shd w:val="clear" w:color="auto" w:fill="auto"/>
            <w:vAlign w:val="bottom"/>
          </w:tcPr>
          <w:p w14:paraId="01D86969" w14:textId="77777777" w:rsidR="00C45D5B" w:rsidRPr="009D7E3C" w:rsidRDefault="00C45D5B" w:rsidP="00CF774B">
            <w:pPr>
              <w:jc w:val="center"/>
              <w:rPr>
                <w:sz w:val="20"/>
                <w:szCs w:val="18"/>
              </w:rPr>
            </w:pPr>
            <w:r w:rsidRPr="009D7E3C">
              <w:rPr>
                <w:color w:val="000000"/>
                <w:sz w:val="18"/>
                <w:szCs w:val="18"/>
              </w:rPr>
              <w:t>0,7</w:t>
            </w:r>
          </w:p>
        </w:tc>
        <w:tc>
          <w:tcPr>
            <w:tcW w:w="541" w:type="dxa"/>
            <w:tcBorders>
              <w:top w:val="nil"/>
              <w:left w:val="nil"/>
              <w:bottom w:val="nil"/>
              <w:right w:val="nil"/>
            </w:tcBorders>
            <w:shd w:val="clear" w:color="auto" w:fill="auto"/>
            <w:vAlign w:val="bottom"/>
          </w:tcPr>
          <w:p w14:paraId="665082A3" w14:textId="77777777" w:rsidR="00C45D5B" w:rsidRPr="009D7E3C" w:rsidRDefault="00C45D5B" w:rsidP="00CF774B">
            <w:pPr>
              <w:jc w:val="center"/>
              <w:rPr>
                <w:sz w:val="20"/>
                <w:szCs w:val="18"/>
              </w:rPr>
            </w:pPr>
            <w:r w:rsidRPr="009D7E3C">
              <w:rPr>
                <w:color w:val="000000"/>
                <w:sz w:val="18"/>
                <w:szCs w:val="18"/>
              </w:rPr>
              <w:t>0,7</w:t>
            </w:r>
          </w:p>
        </w:tc>
        <w:tc>
          <w:tcPr>
            <w:tcW w:w="541" w:type="dxa"/>
            <w:gridSpan w:val="4"/>
            <w:tcBorders>
              <w:top w:val="nil"/>
              <w:left w:val="nil"/>
              <w:bottom w:val="nil"/>
              <w:right w:val="nil"/>
            </w:tcBorders>
            <w:shd w:val="clear" w:color="auto" w:fill="auto"/>
            <w:vAlign w:val="bottom"/>
          </w:tcPr>
          <w:p w14:paraId="39B0887A" w14:textId="77777777" w:rsidR="00C45D5B" w:rsidRPr="009D7E3C" w:rsidRDefault="00C45D5B" w:rsidP="00CF774B">
            <w:pPr>
              <w:jc w:val="center"/>
              <w:rPr>
                <w:sz w:val="20"/>
                <w:szCs w:val="18"/>
              </w:rPr>
            </w:pPr>
            <w:r w:rsidRPr="009D7E3C">
              <w:rPr>
                <w:color w:val="000000"/>
                <w:sz w:val="18"/>
                <w:szCs w:val="18"/>
              </w:rPr>
              <w:t>0,2</w:t>
            </w:r>
          </w:p>
        </w:tc>
        <w:tc>
          <w:tcPr>
            <w:tcW w:w="546" w:type="dxa"/>
            <w:gridSpan w:val="3"/>
            <w:tcBorders>
              <w:top w:val="nil"/>
              <w:left w:val="nil"/>
              <w:bottom w:val="nil"/>
              <w:right w:val="nil"/>
            </w:tcBorders>
            <w:shd w:val="clear" w:color="auto" w:fill="auto"/>
            <w:vAlign w:val="bottom"/>
          </w:tcPr>
          <w:p w14:paraId="447071F5" w14:textId="77777777" w:rsidR="00C45D5B" w:rsidRPr="009D7E3C" w:rsidRDefault="00C45D5B" w:rsidP="00CF774B">
            <w:pPr>
              <w:jc w:val="center"/>
              <w:rPr>
                <w:sz w:val="20"/>
                <w:szCs w:val="18"/>
              </w:rPr>
            </w:pPr>
            <w:r w:rsidRPr="009D7E3C">
              <w:rPr>
                <w:color w:val="000000"/>
                <w:sz w:val="18"/>
                <w:szCs w:val="18"/>
              </w:rPr>
              <w:t>0,0</w:t>
            </w:r>
          </w:p>
        </w:tc>
      </w:tr>
      <w:tr w:rsidR="00C45D5B" w:rsidRPr="009D7E3C" w14:paraId="2F6F4F96" w14:textId="77777777" w:rsidTr="00CF774B">
        <w:trPr>
          <w:gridAfter w:val="4"/>
          <w:wAfter w:w="1036" w:type="dxa"/>
          <w:trHeight w:val="276"/>
          <w:jc w:val="center"/>
        </w:trPr>
        <w:tc>
          <w:tcPr>
            <w:tcW w:w="5078" w:type="dxa"/>
            <w:gridSpan w:val="8"/>
            <w:tcBorders>
              <w:top w:val="nil"/>
              <w:left w:val="nil"/>
              <w:right w:val="nil"/>
            </w:tcBorders>
            <w:shd w:val="clear" w:color="auto" w:fill="auto"/>
            <w:vAlign w:val="center"/>
          </w:tcPr>
          <w:p w14:paraId="66F0B161" w14:textId="77777777" w:rsidR="00C45D5B" w:rsidRPr="009D7E3C" w:rsidRDefault="00C45D5B" w:rsidP="00CF774B">
            <w:pPr>
              <w:rPr>
                <w:sz w:val="18"/>
                <w:szCs w:val="18"/>
              </w:rPr>
            </w:pPr>
            <w:r w:rsidRPr="009D7E3C">
              <w:rPr>
                <w:sz w:val="18"/>
                <w:szCs w:val="18"/>
              </w:rPr>
              <w:t>Svet okrem EU, rast HDP (%)</w:t>
            </w:r>
          </w:p>
        </w:tc>
        <w:tc>
          <w:tcPr>
            <w:tcW w:w="474" w:type="dxa"/>
            <w:tcBorders>
              <w:top w:val="nil"/>
              <w:left w:val="nil"/>
              <w:bottom w:val="nil"/>
              <w:right w:val="nil"/>
            </w:tcBorders>
            <w:shd w:val="clear" w:color="auto" w:fill="auto"/>
            <w:vAlign w:val="center"/>
          </w:tcPr>
          <w:p w14:paraId="3AD1C4E8" w14:textId="77777777" w:rsidR="00C45D5B" w:rsidRPr="009D7E3C" w:rsidRDefault="00C45D5B" w:rsidP="00CF774B">
            <w:pPr>
              <w:jc w:val="center"/>
              <w:rPr>
                <w:sz w:val="20"/>
                <w:szCs w:val="18"/>
              </w:rPr>
            </w:pPr>
            <w:r w:rsidRPr="009D7E3C">
              <w:rPr>
                <w:sz w:val="20"/>
                <w:szCs w:val="18"/>
              </w:rPr>
              <w:t>-</w:t>
            </w:r>
          </w:p>
        </w:tc>
        <w:tc>
          <w:tcPr>
            <w:tcW w:w="541" w:type="dxa"/>
            <w:gridSpan w:val="3"/>
            <w:tcBorders>
              <w:top w:val="nil"/>
              <w:left w:val="nil"/>
              <w:bottom w:val="nil"/>
              <w:right w:val="nil"/>
            </w:tcBorders>
            <w:shd w:val="clear" w:color="auto" w:fill="auto"/>
            <w:vAlign w:val="center"/>
          </w:tcPr>
          <w:p w14:paraId="1C7BDCFD" w14:textId="77777777" w:rsidR="00C45D5B" w:rsidRPr="009D7E3C" w:rsidRDefault="00C45D5B" w:rsidP="00CF774B">
            <w:pPr>
              <w:jc w:val="center"/>
              <w:rPr>
                <w:sz w:val="20"/>
                <w:szCs w:val="18"/>
              </w:rPr>
            </w:pPr>
            <w:r w:rsidRPr="009D7E3C">
              <w:rPr>
                <w:sz w:val="20"/>
                <w:szCs w:val="18"/>
              </w:rPr>
              <w:t>-</w:t>
            </w:r>
          </w:p>
        </w:tc>
        <w:tc>
          <w:tcPr>
            <w:tcW w:w="541" w:type="dxa"/>
            <w:tcBorders>
              <w:top w:val="nil"/>
              <w:left w:val="nil"/>
              <w:bottom w:val="nil"/>
              <w:right w:val="nil"/>
            </w:tcBorders>
            <w:shd w:val="clear" w:color="auto" w:fill="auto"/>
            <w:vAlign w:val="center"/>
          </w:tcPr>
          <w:p w14:paraId="56D98E2E" w14:textId="77777777" w:rsidR="00C45D5B" w:rsidRPr="009D7E3C" w:rsidRDefault="00C45D5B" w:rsidP="00CF774B">
            <w:pPr>
              <w:jc w:val="center"/>
              <w:rPr>
                <w:sz w:val="20"/>
                <w:szCs w:val="18"/>
              </w:rPr>
            </w:pPr>
            <w:r w:rsidRPr="009D7E3C">
              <w:rPr>
                <w:sz w:val="20"/>
                <w:szCs w:val="18"/>
              </w:rPr>
              <w:t>-</w:t>
            </w:r>
          </w:p>
        </w:tc>
        <w:tc>
          <w:tcPr>
            <w:tcW w:w="541" w:type="dxa"/>
            <w:gridSpan w:val="4"/>
            <w:tcBorders>
              <w:top w:val="nil"/>
              <w:left w:val="nil"/>
              <w:bottom w:val="nil"/>
              <w:right w:val="nil"/>
            </w:tcBorders>
            <w:shd w:val="clear" w:color="auto" w:fill="auto"/>
            <w:vAlign w:val="center"/>
          </w:tcPr>
          <w:p w14:paraId="7330645B" w14:textId="77777777" w:rsidR="00C45D5B" w:rsidRPr="009D7E3C" w:rsidRDefault="00C45D5B" w:rsidP="00CF774B">
            <w:pPr>
              <w:jc w:val="center"/>
              <w:rPr>
                <w:sz w:val="20"/>
                <w:szCs w:val="18"/>
              </w:rPr>
            </w:pPr>
            <w:r w:rsidRPr="009D7E3C">
              <w:rPr>
                <w:sz w:val="20"/>
                <w:szCs w:val="18"/>
              </w:rPr>
              <w:t>-</w:t>
            </w:r>
          </w:p>
        </w:tc>
        <w:tc>
          <w:tcPr>
            <w:tcW w:w="546" w:type="dxa"/>
            <w:gridSpan w:val="3"/>
            <w:tcBorders>
              <w:top w:val="nil"/>
              <w:left w:val="nil"/>
              <w:bottom w:val="nil"/>
              <w:right w:val="nil"/>
            </w:tcBorders>
            <w:shd w:val="clear" w:color="auto" w:fill="auto"/>
            <w:vAlign w:val="center"/>
          </w:tcPr>
          <w:p w14:paraId="2286FB9C" w14:textId="77777777" w:rsidR="00C45D5B" w:rsidRPr="009D7E3C" w:rsidRDefault="00C45D5B" w:rsidP="00CF774B">
            <w:pPr>
              <w:jc w:val="center"/>
              <w:rPr>
                <w:sz w:val="20"/>
                <w:szCs w:val="18"/>
              </w:rPr>
            </w:pPr>
            <w:r w:rsidRPr="009D7E3C">
              <w:rPr>
                <w:sz w:val="20"/>
                <w:szCs w:val="18"/>
              </w:rPr>
              <w:t>-</w:t>
            </w:r>
          </w:p>
        </w:tc>
      </w:tr>
      <w:tr w:rsidR="00C45D5B" w:rsidRPr="009D7E3C" w14:paraId="573CD485" w14:textId="77777777" w:rsidTr="00CF774B">
        <w:trPr>
          <w:gridAfter w:val="4"/>
          <w:wAfter w:w="1036" w:type="dxa"/>
          <w:trHeight w:val="276"/>
          <w:jc w:val="center"/>
        </w:trPr>
        <w:tc>
          <w:tcPr>
            <w:tcW w:w="5078" w:type="dxa"/>
            <w:gridSpan w:val="8"/>
            <w:tcBorders>
              <w:top w:val="nil"/>
              <w:left w:val="nil"/>
              <w:right w:val="nil"/>
            </w:tcBorders>
            <w:shd w:val="clear" w:color="auto" w:fill="auto"/>
            <w:vAlign w:val="center"/>
          </w:tcPr>
          <w:p w14:paraId="5C4D0502" w14:textId="77777777" w:rsidR="00C45D5B" w:rsidRPr="009D7E3C" w:rsidRDefault="00C45D5B" w:rsidP="00CF774B">
            <w:pPr>
              <w:rPr>
                <w:sz w:val="18"/>
                <w:szCs w:val="18"/>
              </w:rPr>
            </w:pPr>
            <w:r w:rsidRPr="009D7E3C">
              <w:rPr>
                <w:sz w:val="18"/>
                <w:szCs w:val="18"/>
              </w:rPr>
              <w:t xml:space="preserve">Rast HDP EÚ (%) </w:t>
            </w:r>
          </w:p>
        </w:tc>
        <w:tc>
          <w:tcPr>
            <w:tcW w:w="474" w:type="dxa"/>
            <w:tcBorders>
              <w:top w:val="nil"/>
              <w:left w:val="nil"/>
              <w:bottom w:val="nil"/>
              <w:right w:val="nil"/>
            </w:tcBorders>
            <w:shd w:val="clear" w:color="auto" w:fill="auto"/>
            <w:vAlign w:val="bottom"/>
          </w:tcPr>
          <w:p w14:paraId="11C5FD90" w14:textId="77777777" w:rsidR="00C45D5B" w:rsidRPr="009D7E3C" w:rsidRDefault="00C45D5B" w:rsidP="00CF774B">
            <w:pPr>
              <w:jc w:val="center"/>
              <w:rPr>
                <w:sz w:val="20"/>
                <w:szCs w:val="18"/>
              </w:rPr>
            </w:pPr>
            <w:r w:rsidRPr="009D7E3C">
              <w:rPr>
                <w:sz w:val="18"/>
                <w:szCs w:val="18"/>
              </w:rPr>
              <w:t>4,3</w:t>
            </w:r>
          </w:p>
        </w:tc>
        <w:tc>
          <w:tcPr>
            <w:tcW w:w="541" w:type="dxa"/>
            <w:gridSpan w:val="3"/>
            <w:tcBorders>
              <w:top w:val="nil"/>
              <w:left w:val="nil"/>
              <w:bottom w:val="nil"/>
              <w:right w:val="nil"/>
            </w:tcBorders>
            <w:shd w:val="clear" w:color="auto" w:fill="auto"/>
            <w:vAlign w:val="bottom"/>
          </w:tcPr>
          <w:p w14:paraId="739D3D00" w14:textId="77777777" w:rsidR="00C45D5B" w:rsidRPr="009D7E3C" w:rsidRDefault="00C45D5B" w:rsidP="00CF774B">
            <w:pPr>
              <w:jc w:val="center"/>
              <w:rPr>
                <w:sz w:val="20"/>
                <w:szCs w:val="18"/>
              </w:rPr>
            </w:pPr>
            <w:r w:rsidRPr="009D7E3C">
              <w:rPr>
                <w:sz w:val="18"/>
                <w:szCs w:val="18"/>
              </w:rPr>
              <w:t xml:space="preserve"> -</w:t>
            </w:r>
          </w:p>
        </w:tc>
        <w:tc>
          <w:tcPr>
            <w:tcW w:w="541" w:type="dxa"/>
            <w:tcBorders>
              <w:top w:val="nil"/>
              <w:left w:val="nil"/>
              <w:bottom w:val="nil"/>
              <w:right w:val="nil"/>
            </w:tcBorders>
            <w:shd w:val="clear" w:color="auto" w:fill="auto"/>
            <w:vAlign w:val="bottom"/>
          </w:tcPr>
          <w:p w14:paraId="723A11F9" w14:textId="77777777" w:rsidR="00C45D5B" w:rsidRPr="009D7E3C" w:rsidRDefault="00C45D5B" w:rsidP="00CF774B">
            <w:pPr>
              <w:jc w:val="center"/>
              <w:rPr>
                <w:sz w:val="20"/>
                <w:szCs w:val="18"/>
              </w:rPr>
            </w:pPr>
            <w:r w:rsidRPr="009D7E3C">
              <w:rPr>
                <w:sz w:val="18"/>
                <w:szCs w:val="18"/>
              </w:rPr>
              <w:t xml:space="preserve"> -</w:t>
            </w:r>
          </w:p>
        </w:tc>
        <w:tc>
          <w:tcPr>
            <w:tcW w:w="541" w:type="dxa"/>
            <w:gridSpan w:val="4"/>
            <w:tcBorders>
              <w:top w:val="nil"/>
              <w:left w:val="nil"/>
              <w:bottom w:val="nil"/>
              <w:right w:val="nil"/>
            </w:tcBorders>
            <w:shd w:val="clear" w:color="auto" w:fill="auto"/>
            <w:vAlign w:val="bottom"/>
          </w:tcPr>
          <w:p w14:paraId="38D069BB" w14:textId="77777777" w:rsidR="00C45D5B" w:rsidRPr="009D7E3C" w:rsidRDefault="00C45D5B" w:rsidP="00CF774B">
            <w:pPr>
              <w:jc w:val="center"/>
              <w:rPr>
                <w:sz w:val="20"/>
                <w:szCs w:val="18"/>
              </w:rPr>
            </w:pPr>
            <w:r w:rsidRPr="009D7E3C">
              <w:rPr>
                <w:sz w:val="18"/>
                <w:szCs w:val="18"/>
              </w:rPr>
              <w:t xml:space="preserve"> -</w:t>
            </w:r>
          </w:p>
        </w:tc>
        <w:tc>
          <w:tcPr>
            <w:tcW w:w="546" w:type="dxa"/>
            <w:gridSpan w:val="3"/>
            <w:tcBorders>
              <w:top w:val="nil"/>
              <w:left w:val="nil"/>
              <w:bottom w:val="nil"/>
              <w:right w:val="nil"/>
            </w:tcBorders>
            <w:shd w:val="clear" w:color="auto" w:fill="auto"/>
            <w:vAlign w:val="bottom"/>
          </w:tcPr>
          <w:p w14:paraId="2E74F08B" w14:textId="77777777" w:rsidR="00C45D5B" w:rsidRPr="009D7E3C" w:rsidRDefault="00C45D5B" w:rsidP="00CF774B">
            <w:pPr>
              <w:jc w:val="center"/>
              <w:rPr>
                <w:sz w:val="20"/>
                <w:szCs w:val="18"/>
              </w:rPr>
            </w:pPr>
            <w:r w:rsidRPr="009D7E3C">
              <w:rPr>
                <w:sz w:val="18"/>
                <w:szCs w:val="18"/>
              </w:rPr>
              <w:t xml:space="preserve"> -</w:t>
            </w:r>
          </w:p>
        </w:tc>
      </w:tr>
      <w:tr w:rsidR="00C45D5B" w:rsidRPr="009D7E3C" w14:paraId="52885767" w14:textId="77777777" w:rsidTr="00CF774B">
        <w:trPr>
          <w:gridAfter w:val="4"/>
          <w:wAfter w:w="1036" w:type="dxa"/>
          <w:trHeight w:val="276"/>
          <w:jc w:val="center"/>
        </w:trPr>
        <w:tc>
          <w:tcPr>
            <w:tcW w:w="5078" w:type="dxa"/>
            <w:gridSpan w:val="8"/>
            <w:tcBorders>
              <w:top w:val="nil"/>
              <w:left w:val="nil"/>
              <w:right w:val="nil"/>
            </w:tcBorders>
            <w:shd w:val="clear" w:color="auto" w:fill="auto"/>
            <w:vAlign w:val="center"/>
          </w:tcPr>
          <w:p w14:paraId="53B1CBDB" w14:textId="77777777" w:rsidR="00C45D5B" w:rsidRPr="009D7E3C" w:rsidRDefault="00C45D5B" w:rsidP="00CF774B">
            <w:pPr>
              <w:rPr>
                <w:sz w:val="18"/>
                <w:szCs w:val="18"/>
              </w:rPr>
            </w:pPr>
            <w:r w:rsidRPr="009D7E3C">
              <w:rPr>
                <w:sz w:val="18"/>
                <w:szCs w:val="18"/>
              </w:rPr>
              <w:t>Rast dôležitých zahraničných trhov (%)</w:t>
            </w:r>
          </w:p>
        </w:tc>
        <w:tc>
          <w:tcPr>
            <w:tcW w:w="474" w:type="dxa"/>
            <w:tcBorders>
              <w:top w:val="nil"/>
              <w:left w:val="nil"/>
              <w:bottom w:val="nil"/>
              <w:right w:val="nil"/>
            </w:tcBorders>
            <w:shd w:val="clear" w:color="auto" w:fill="auto"/>
            <w:vAlign w:val="bottom"/>
          </w:tcPr>
          <w:p w14:paraId="66E66CB8" w14:textId="77777777" w:rsidR="00C45D5B" w:rsidRPr="009D7E3C" w:rsidRDefault="00C45D5B" w:rsidP="00CF774B">
            <w:pPr>
              <w:jc w:val="center"/>
              <w:rPr>
                <w:sz w:val="20"/>
                <w:szCs w:val="18"/>
              </w:rPr>
            </w:pPr>
            <w:r w:rsidRPr="009D7E3C">
              <w:rPr>
                <w:sz w:val="18"/>
                <w:szCs w:val="18"/>
              </w:rPr>
              <w:t>4,7</w:t>
            </w:r>
          </w:p>
        </w:tc>
        <w:tc>
          <w:tcPr>
            <w:tcW w:w="541" w:type="dxa"/>
            <w:gridSpan w:val="3"/>
            <w:tcBorders>
              <w:top w:val="nil"/>
              <w:left w:val="nil"/>
              <w:bottom w:val="nil"/>
              <w:right w:val="nil"/>
            </w:tcBorders>
            <w:shd w:val="clear" w:color="auto" w:fill="auto"/>
            <w:vAlign w:val="bottom"/>
          </w:tcPr>
          <w:p w14:paraId="30E5B8B8" w14:textId="77777777" w:rsidR="00C45D5B" w:rsidRPr="009D7E3C" w:rsidRDefault="00C45D5B" w:rsidP="00CF774B">
            <w:pPr>
              <w:jc w:val="center"/>
              <w:rPr>
                <w:sz w:val="20"/>
                <w:szCs w:val="18"/>
              </w:rPr>
            </w:pPr>
            <w:r w:rsidRPr="009D7E3C">
              <w:rPr>
                <w:sz w:val="18"/>
                <w:szCs w:val="18"/>
              </w:rPr>
              <w:t>3,8</w:t>
            </w:r>
          </w:p>
        </w:tc>
        <w:tc>
          <w:tcPr>
            <w:tcW w:w="541" w:type="dxa"/>
            <w:tcBorders>
              <w:top w:val="nil"/>
              <w:left w:val="nil"/>
              <w:bottom w:val="nil"/>
              <w:right w:val="nil"/>
            </w:tcBorders>
            <w:shd w:val="clear" w:color="auto" w:fill="auto"/>
            <w:vAlign w:val="bottom"/>
          </w:tcPr>
          <w:p w14:paraId="77EC3791" w14:textId="77777777" w:rsidR="00C45D5B" w:rsidRPr="009D7E3C" w:rsidRDefault="00C45D5B" w:rsidP="00CF774B">
            <w:pPr>
              <w:jc w:val="center"/>
              <w:rPr>
                <w:sz w:val="20"/>
                <w:szCs w:val="18"/>
              </w:rPr>
            </w:pPr>
            <w:r w:rsidRPr="009D7E3C">
              <w:rPr>
                <w:sz w:val="18"/>
                <w:szCs w:val="18"/>
              </w:rPr>
              <w:t>3,2</w:t>
            </w:r>
          </w:p>
        </w:tc>
        <w:tc>
          <w:tcPr>
            <w:tcW w:w="541" w:type="dxa"/>
            <w:gridSpan w:val="4"/>
            <w:tcBorders>
              <w:top w:val="nil"/>
              <w:left w:val="nil"/>
              <w:bottom w:val="nil"/>
              <w:right w:val="nil"/>
            </w:tcBorders>
            <w:shd w:val="clear" w:color="auto" w:fill="auto"/>
            <w:vAlign w:val="bottom"/>
          </w:tcPr>
          <w:p w14:paraId="3C1CB5E1" w14:textId="77777777" w:rsidR="00C45D5B" w:rsidRPr="009D7E3C" w:rsidRDefault="00C45D5B" w:rsidP="00CF774B">
            <w:pPr>
              <w:jc w:val="center"/>
              <w:rPr>
                <w:sz w:val="20"/>
                <w:szCs w:val="18"/>
              </w:rPr>
            </w:pPr>
            <w:r w:rsidRPr="009D7E3C">
              <w:rPr>
                <w:sz w:val="18"/>
                <w:szCs w:val="18"/>
              </w:rPr>
              <w:t>2,2</w:t>
            </w:r>
          </w:p>
        </w:tc>
        <w:tc>
          <w:tcPr>
            <w:tcW w:w="546" w:type="dxa"/>
            <w:gridSpan w:val="3"/>
            <w:tcBorders>
              <w:top w:val="nil"/>
              <w:left w:val="nil"/>
              <w:bottom w:val="nil"/>
              <w:right w:val="nil"/>
            </w:tcBorders>
            <w:shd w:val="clear" w:color="auto" w:fill="auto"/>
            <w:vAlign w:val="bottom"/>
          </w:tcPr>
          <w:p w14:paraId="347A4A7C" w14:textId="77777777" w:rsidR="00C45D5B" w:rsidRPr="009D7E3C" w:rsidRDefault="00C45D5B" w:rsidP="00CF774B">
            <w:pPr>
              <w:jc w:val="center"/>
              <w:rPr>
                <w:sz w:val="20"/>
                <w:szCs w:val="18"/>
              </w:rPr>
            </w:pPr>
            <w:r w:rsidRPr="009D7E3C">
              <w:rPr>
                <w:sz w:val="18"/>
                <w:szCs w:val="18"/>
              </w:rPr>
              <w:t>2,0</w:t>
            </w:r>
          </w:p>
        </w:tc>
      </w:tr>
      <w:tr w:rsidR="00C45D5B" w:rsidRPr="009D7E3C" w14:paraId="7EEB8134" w14:textId="77777777" w:rsidTr="00CF774B">
        <w:trPr>
          <w:gridAfter w:val="4"/>
          <w:wAfter w:w="1036" w:type="dxa"/>
          <w:trHeight w:val="276"/>
          <w:jc w:val="center"/>
        </w:trPr>
        <w:tc>
          <w:tcPr>
            <w:tcW w:w="5078" w:type="dxa"/>
            <w:gridSpan w:val="8"/>
            <w:tcBorders>
              <w:top w:val="nil"/>
              <w:left w:val="nil"/>
              <w:right w:val="nil"/>
            </w:tcBorders>
            <w:shd w:val="clear" w:color="auto" w:fill="auto"/>
            <w:vAlign w:val="center"/>
          </w:tcPr>
          <w:p w14:paraId="538DFAE2" w14:textId="77777777" w:rsidR="00C45D5B" w:rsidRPr="009D7E3C" w:rsidRDefault="00C45D5B" w:rsidP="00CF774B">
            <w:pPr>
              <w:rPr>
                <w:sz w:val="18"/>
                <w:szCs w:val="18"/>
              </w:rPr>
            </w:pPr>
            <w:r w:rsidRPr="009D7E3C">
              <w:rPr>
                <w:sz w:val="18"/>
                <w:szCs w:val="18"/>
              </w:rPr>
              <w:t>Objem svetového importu, okrem EÚ (%)</w:t>
            </w:r>
          </w:p>
        </w:tc>
        <w:tc>
          <w:tcPr>
            <w:tcW w:w="474" w:type="dxa"/>
            <w:tcBorders>
              <w:top w:val="nil"/>
              <w:left w:val="nil"/>
              <w:bottom w:val="nil"/>
              <w:right w:val="nil"/>
            </w:tcBorders>
            <w:shd w:val="clear" w:color="auto" w:fill="auto"/>
            <w:vAlign w:val="bottom"/>
          </w:tcPr>
          <w:p w14:paraId="08DEA298" w14:textId="77777777" w:rsidR="00C45D5B" w:rsidRPr="009D7E3C" w:rsidRDefault="00C45D5B" w:rsidP="00CF774B">
            <w:pPr>
              <w:jc w:val="center"/>
              <w:rPr>
                <w:sz w:val="20"/>
                <w:szCs w:val="18"/>
              </w:rPr>
            </w:pPr>
          </w:p>
        </w:tc>
        <w:tc>
          <w:tcPr>
            <w:tcW w:w="541" w:type="dxa"/>
            <w:gridSpan w:val="3"/>
            <w:tcBorders>
              <w:top w:val="nil"/>
              <w:left w:val="nil"/>
              <w:bottom w:val="nil"/>
              <w:right w:val="nil"/>
            </w:tcBorders>
            <w:shd w:val="clear" w:color="auto" w:fill="auto"/>
            <w:vAlign w:val="bottom"/>
          </w:tcPr>
          <w:p w14:paraId="601069AC" w14:textId="77777777" w:rsidR="00C45D5B" w:rsidRPr="009D7E3C" w:rsidRDefault="00C45D5B" w:rsidP="00CF774B">
            <w:pPr>
              <w:jc w:val="center"/>
              <w:rPr>
                <w:sz w:val="20"/>
                <w:szCs w:val="18"/>
              </w:rPr>
            </w:pPr>
          </w:p>
        </w:tc>
        <w:tc>
          <w:tcPr>
            <w:tcW w:w="541" w:type="dxa"/>
            <w:tcBorders>
              <w:top w:val="nil"/>
              <w:left w:val="nil"/>
              <w:bottom w:val="nil"/>
              <w:right w:val="nil"/>
            </w:tcBorders>
            <w:shd w:val="clear" w:color="auto" w:fill="auto"/>
            <w:vAlign w:val="bottom"/>
          </w:tcPr>
          <w:p w14:paraId="70B2DE1F" w14:textId="77777777" w:rsidR="00C45D5B" w:rsidRPr="009D7E3C" w:rsidRDefault="00C45D5B" w:rsidP="00CF774B">
            <w:pPr>
              <w:jc w:val="center"/>
              <w:rPr>
                <w:sz w:val="20"/>
                <w:szCs w:val="18"/>
              </w:rPr>
            </w:pPr>
          </w:p>
        </w:tc>
        <w:tc>
          <w:tcPr>
            <w:tcW w:w="541" w:type="dxa"/>
            <w:gridSpan w:val="4"/>
            <w:tcBorders>
              <w:top w:val="nil"/>
              <w:left w:val="nil"/>
              <w:bottom w:val="nil"/>
              <w:right w:val="nil"/>
            </w:tcBorders>
            <w:shd w:val="clear" w:color="auto" w:fill="auto"/>
            <w:vAlign w:val="bottom"/>
          </w:tcPr>
          <w:p w14:paraId="19004805" w14:textId="77777777" w:rsidR="00C45D5B" w:rsidRPr="009D7E3C" w:rsidRDefault="00C45D5B" w:rsidP="00CF774B">
            <w:pPr>
              <w:jc w:val="center"/>
              <w:rPr>
                <w:sz w:val="20"/>
                <w:szCs w:val="18"/>
              </w:rPr>
            </w:pPr>
          </w:p>
        </w:tc>
        <w:tc>
          <w:tcPr>
            <w:tcW w:w="546" w:type="dxa"/>
            <w:gridSpan w:val="3"/>
            <w:tcBorders>
              <w:top w:val="nil"/>
              <w:left w:val="nil"/>
              <w:bottom w:val="nil"/>
              <w:right w:val="nil"/>
            </w:tcBorders>
            <w:shd w:val="clear" w:color="auto" w:fill="auto"/>
            <w:vAlign w:val="bottom"/>
          </w:tcPr>
          <w:p w14:paraId="3AD7ABED" w14:textId="77777777" w:rsidR="00C45D5B" w:rsidRPr="009D7E3C" w:rsidRDefault="00C45D5B" w:rsidP="00CF774B">
            <w:pPr>
              <w:jc w:val="center"/>
              <w:rPr>
                <w:sz w:val="20"/>
                <w:szCs w:val="18"/>
              </w:rPr>
            </w:pPr>
          </w:p>
        </w:tc>
      </w:tr>
      <w:tr w:rsidR="00C45D5B" w:rsidRPr="009D7E3C" w14:paraId="55B3409E" w14:textId="77777777" w:rsidTr="00CF774B">
        <w:trPr>
          <w:gridAfter w:val="4"/>
          <w:wAfter w:w="1036" w:type="dxa"/>
          <w:trHeight w:val="276"/>
          <w:jc w:val="center"/>
        </w:trPr>
        <w:tc>
          <w:tcPr>
            <w:tcW w:w="5078" w:type="dxa"/>
            <w:gridSpan w:val="8"/>
            <w:tcBorders>
              <w:top w:val="nil"/>
              <w:left w:val="nil"/>
              <w:bottom w:val="single" w:sz="8" w:space="0" w:color="auto"/>
              <w:right w:val="nil"/>
            </w:tcBorders>
            <w:shd w:val="clear" w:color="auto" w:fill="auto"/>
            <w:vAlign w:val="center"/>
          </w:tcPr>
          <w:p w14:paraId="2BC8AD7D" w14:textId="77777777" w:rsidR="00C45D5B" w:rsidRPr="009D7E3C" w:rsidRDefault="00C45D5B" w:rsidP="00CF774B">
            <w:pPr>
              <w:rPr>
                <w:color w:val="000000"/>
                <w:sz w:val="18"/>
                <w:szCs w:val="18"/>
              </w:rPr>
            </w:pPr>
            <w:r w:rsidRPr="009D7E3C">
              <w:rPr>
                <w:color w:val="000000"/>
                <w:sz w:val="18"/>
                <w:szCs w:val="18"/>
              </w:rPr>
              <w:t>Cena ropy (Brent, USD/barel)</w:t>
            </w:r>
          </w:p>
        </w:tc>
        <w:tc>
          <w:tcPr>
            <w:tcW w:w="474" w:type="dxa"/>
            <w:tcBorders>
              <w:top w:val="nil"/>
              <w:left w:val="nil"/>
              <w:bottom w:val="single" w:sz="8" w:space="0" w:color="auto"/>
              <w:right w:val="nil"/>
            </w:tcBorders>
            <w:shd w:val="clear" w:color="auto" w:fill="auto"/>
            <w:vAlign w:val="bottom"/>
          </w:tcPr>
          <w:p w14:paraId="4CB46927" w14:textId="77777777" w:rsidR="00C45D5B" w:rsidRPr="009D7E3C" w:rsidRDefault="00C45D5B" w:rsidP="00CF774B">
            <w:pPr>
              <w:jc w:val="center"/>
              <w:rPr>
                <w:color w:val="000000"/>
                <w:sz w:val="20"/>
                <w:szCs w:val="18"/>
              </w:rPr>
            </w:pPr>
            <w:r w:rsidRPr="009D7E3C">
              <w:rPr>
                <w:color w:val="000000"/>
                <w:sz w:val="18"/>
                <w:szCs w:val="18"/>
              </w:rPr>
              <w:t>70,8</w:t>
            </w:r>
          </w:p>
        </w:tc>
        <w:tc>
          <w:tcPr>
            <w:tcW w:w="541" w:type="dxa"/>
            <w:gridSpan w:val="3"/>
            <w:tcBorders>
              <w:top w:val="nil"/>
              <w:left w:val="nil"/>
              <w:bottom w:val="single" w:sz="8" w:space="0" w:color="auto"/>
              <w:right w:val="nil"/>
            </w:tcBorders>
            <w:shd w:val="clear" w:color="auto" w:fill="auto"/>
            <w:vAlign w:val="bottom"/>
          </w:tcPr>
          <w:p w14:paraId="4032E7B7" w14:textId="77777777" w:rsidR="00C45D5B" w:rsidRPr="009D7E3C" w:rsidRDefault="00C45D5B" w:rsidP="00CF774B">
            <w:pPr>
              <w:jc w:val="center"/>
              <w:rPr>
                <w:color w:val="000000"/>
                <w:sz w:val="20"/>
                <w:szCs w:val="18"/>
              </w:rPr>
            </w:pPr>
            <w:r w:rsidRPr="009D7E3C">
              <w:rPr>
                <w:color w:val="000000"/>
                <w:sz w:val="18"/>
                <w:szCs w:val="18"/>
              </w:rPr>
              <w:t>104,4</w:t>
            </w:r>
          </w:p>
        </w:tc>
        <w:tc>
          <w:tcPr>
            <w:tcW w:w="541" w:type="dxa"/>
            <w:tcBorders>
              <w:top w:val="nil"/>
              <w:left w:val="nil"/>
              <w:bottom w:val="single" w:sz="8" w:space="0" w:color="auto"/>
              <w:right w:val="nil"/>
            </w:tcBorders>
            <w:shd w:val="clear" w:color="auto" w:fill="auto"/>
            <w:vAlign w:val="bottom"/>
          </w:tcPr>
          <w:p w14:paraId="7BF03C8E" w14:textId="77777777" w:rsidR="00C45D5B" w:rsidRPr="009D7E3C" w:rsidRDefault="00C45D5B" w:rsidP="00CF774B">
            <w:pPr>
              <w:jc w:val="center"/>
              <w:rPr>
                <w:color w:val="000000"/>
                <w:sz w:val="20"/>
                <w:szCs w:val="18"/>
              </w:rPr>
            </w:pPr>
            <w:r w:rsidRPr="009D7E3C">
              <w:rPr>
                <w:color w:val="000000"/>
                <w:sz w:val="18"/>
                <w:szCs w:val="18"/>
              </w:rPr>
              <w:t>94,1</w:t>
            </w:r>
          </w:p>
        </w:tc>
        <w:tc>
          <w:tcPr>
            <w:tcW w:w="541" w:type="dxa"/>
            <w:gridSpan w:val="4"/>
            <w:tcBorders>
              <w:top w:val="nil"/>
              <w:left w:val="nil"/>
              <w:bottom w:val="single" w:sz="8" w:space="0" w:color="auto"/>
              <w:right w:val="nil"/>
            </w:tcBorders>
            <w:shd w:val="clear" w:color="auto" w:fill="auto"/>
            <w:vAlign w:val="bottom"/>
          </w:tcPr>
          <w:p w14:paraId="4A501510" w14:textId="77777777" w:rsidR="00C45D5B" w:rsidRPr="009D7E3C" w:rsidRDefault="00C45D5B" w:rsidP="00CF774B">
            <w:pPr>
              <w:jc w:val="center"/>
              <w:rPr>
                <w:color w:val="000000"/>
                <w:sz w:val="20"/>
                <w:szCs w:val="18"/>
              </w:rPr>
            </w:pPr>
            <w:r w:rsidRPr="009D7E3C">
              <w:rPr>
                <w:color w:val="000000"/>
                <w:sz w:val="18"/>
                <w:szCs w:val="18"/>
              </w:rPr>
              <w:t>86,3</w:t>
            </w:r>
          </w:p>
        </w:tc>
        <w:tc>
          <w:tcPr>
            <w:tcW w:w="546" w:type="dxa"/>
            <w:gridSpan w:val="3"/>
            <w:tcBorders>
              <w:top w:val="nil"/>
              <w:left w:val="nil"/>
              <w:bottom w:val="single" w:sz="8" w:space="0" w:color="auto"/>
              <w:right w:val="nil"/>
            </w:tcBorders>
            <w:shd w:val="clear" w:color="auto" w:fill="auto"/>
            <w:vAlign w:val="bottom"/>
          </w:tcPr>
          <w:p w14:paraId="7D44DBDA" w14:textId="77777777" w:rsidR="00C45D5B" w:rsidRPr="009D7E3C" w:rsidRDefault="00C45D5B" w:rsidP="00CF774B">
            <w:pPr>
              <w:jc w:val="center"/>
              <w:rPr>
                <w:color w:val="000000"/>
                <w:sz w:val="20"/>
                <w:szCs w:val="18"/>
              </w:rPr>
            </w:pPr>
            <w:r w:rsidRPr="009D7E3C">
              <w:rPr>
                <w:color w:val="000000"/>
                <w:sz w:val="18"/>
                <w:szCs w:val="18"/>
              </w:rPr>
              <w:t>81,1</w:t>
            </w:r>
          </w:p>
        </w:tc>
      </w:tr>
      <w:tr w:rsidR="00C45D5B" w:rsidRPr="009D7E3C" w14:paraId="429EC9A0" w14:textId="77777777" w:rsidTr="00CF774B">
        <w:trPr>
          <w:gridAfter w:val="6"/>
          <w:wAfter w:w="1477" w:type="dxa"/>
          <w:trHeight w:val="276"/>
          <w:jc w:val="center"/>
        </w:trPr>
        <w:tc>
          <w:tcPr>
            <w:tcW w:w="7280" w:type="dxa"/>
            <w:gridSpan w:val="18"/>
            <w:tcBorders>
              <w:top w:val="nil"/>
              <w:left w:val="nil"/>
              <w:bottom w:val="single" w:sz="4" w:space="0" w:color="FFFFFF" w:themeColor="background1"/>
              <w:right w:val="nil"/>
            </w:tcBorders>
            <w:shd w:val="clear" w:color="auto" w:fill="auto"/>
            <w:noWrap/>
            <w:vAlign w:val="bottom"/>
          </w:tcPr>
          <w:p w14:paraId="58C2C224" w14:textId="77777777" w:rsidR="00C45D5B" w:rsidRPr="009D7E3C" w:rsidRDefault="00C45D5B" w:rsidP="00CF774B">
            <w:pPr>
              <w:rPr>
                <w:rFonts w:eastAsiaTheme="minorHAnsi"/>
                <w:b/>
                <w:color w:val="2C9ADC"/>
                <w:sz w:val="18"/>
                <w:szCs w:val="18"/>
                <w:lang w:eastAsia="en-US"/>
              </w:rPr>
            </w:pPr>
          </w:p>
        </w:tc>
      </w:tr>
      <w:tr w:rsidR="00C45D5B" w:rsidRPr="00C40945" w14:paraId="414B6EEA" w14:textId="77777777" w:rsidTr="00CF774B">
        <w:trPr>
          <w:trHeight w:val="293"/>
          <w:jc w:val="center"/>
        </w:trPr>
        <w:tc>
          <w:tcPr>
            <w:tcW w:w="6897" w:type="dxa"/>
            <w:gridSpan w:val="16"/>
            <w:tcBorders>
              <w:top w:val="nil"/>
              <w:left w:val="nil"/>
              <w:bottom w:val="single" w:sz="8" w:space="0" w:color="auto"/>
              <w:right w:val="nil"/>
            </w:tcBorders>
            <w:shd w:val="clear" w:color="auto" w:fill="auto"/>
            <w:noWrap/>
            <w:vAlign w:val="bottom"/>
            <w:hideMark/>
          </w:tcPr>
          <w:p w14:paraId="60A9E434" w14:textId="71B9FA9C" w:rsidR="00C45D5B" w:rsidRPr="00C40945" w:rsidRDefault="00C45D5B" w:rsidP="00CF774B">
            <w:pPr>
              <w:rPr>
                <w:rFonts w:eastAsiaTheme="minorHAnsi"/>
                <w:b/>
                <w:color w:val="2C9ADC"/>
                <w:sz w:val="18"/>
                <w:szCs w:val="18"/>
                <w:lang w:eastAsia="en-US"/>
              </w:rPr>
            </w:pPr>
            <w:bookmarkStart w:id="276" w:name="_Toc71622471"/>
            <w:bookmarkStart w:id="277" w:name="_Toc101880712"/>
            <w:r w:rsidRPr="00C40945">
              <w:rPr>
                <w:rFonts w:eastAsiaTheme="minorHAnsi"/>
                <w:b/>
                <w:color w:val="2C9ADC"/>
                <w:sz w:val="20"/>
                <w:szCs w:val="18"/>
                <w:lang w:eastAsia="en-US"/>
              </w:rPr>
              <w:t xml:space="preserve">TABUĽKA </w:t>
            </w:r>
            <w:r w:rsidRPr="00C40945">
              <w:rPr>
                <w:rFonts w:eastAsiaTheme="minorHAnsi"/>
                <w:b/>
                <w:color w:val="2C9ADC"/>
                <w:sz w:val="20"/>
                <w:szCs w:val="18"/>
                <w:lang w:eastAsia="en-US"/>
              </w:rPr>
              <w:fldChar w:fldCharType="begin"/>
            </w:r>
            <w:r w:rsidRPr="00C40945">
              <w:rPr>
                <w:rFonts w:eastAsiaTheme="minorHAnsi"/>
                <w:b/>
                <w:color w:val="2C9ADC"/>
                <w:sz w:val="20"/>
                <w:szCs w:val="18"/>
                <w:lang w:eastAsia="en-US"/>
              </w:rPr>
              <w:instrText xml:space="preserve"> SEQ TABUĽKA \* ARABIC </w:instrText>
            </w:r>
            <w:r w:rsidRPr="00C40945">
              <w:rPr>
                <w:rFonts w:eastAsiaTheme="minorHAnsi"/>
                <w:b/>
                <w:color w:val="2C9ADC"/>
                <w:sz w:val="20"/>
                <w:szCs w:val="18"/>
                <w:lang w:eastAsia="en-US"/>
              </w:rPr>
              <w:fldChar w:fldCharType="separate"/>
            </w:r>
            <w:r w:rsidR="005D3280">
              <w:rPr>
                <w:rFonts w:eastAsiaTheme="minorHAnsi"/>
                <w:b/>
                <w:noProof/>
                <w:color w:val="2C9ADC"/>
                <w:sz w:val="20"/>
                <w:szCs w:val="18"/>
                <w:lang w:eastAsia="en-US"/>
              </w:rPr>
              <w:t>33</w:t>
            </w:r>
            <w:r w:rsidRPr="00C40945">
              <w:rPr>
                <w:rFonts w:eastAsiaTheme="minorHAnsi"/>
                <w:b/>
                <w:color w:val="2C9ADC"/>
                <w:sz w:val="20"/>
                <w:szCs w:val="18"/>
                <w:lang w:eastAsia="en-US"/>
              </w:rPr>
              <w:fldChar w:fldCharType="end"/>
            </w:r>
            <w:r w:rsidRPr="00C40945">
              <w:rPr>
                <w:rFonts w:eastAsiaTheme="minorHAnsi"/>
                <w:b/>
                <w:color w:val="2C9ADC"/>
                <w:sz w:val="20"/>
                <w:szCs w:val="18"/>
                <w:lang w:eastAsia="en-US"/>
              </w:rPr>
              <w:t xml:space="preserve"> (Tabuľka 9a) – Vplyv Plánu obnovy (granty)*</w:t>
            </w:r>
            <w:bookmarkEnd w:id="276"/>
            <w:bookmarkEnd w:id="277"/>
          </w:p>
        </w:tc>
        <w:tc>
          <w:tcPr>
            <w:tcW w:w="930" w:type="dxa"/>
            <w:gridSpan w:val="5"/>
            <w:tcBorders>
              <w:top w:val="nil"/>
              <w:left w:val="nil"/>
              <w:bottom w:val="single" w:sz="8" w:space="0" w:color="auto"/>
              <w:right w:val="nil"/>
            </w:tcBorders>
          </w:tcPr>
          <w:p w14:paraId="70A47A00" w14:textId="77777777" w:rsidR="00C45D5B" w:rsidRPr="00C40945" w:rsidRDefault="00C45D5B" w:rsidP="00CF774B">
            <w:pPr>
              <w:rPr>
                <w:rFonts w:eastAsiaTheme="minorHAnsi"/>
                <w:b/>
                <w:color w:val="2C9ADC"/>
                <w:sz w:val="18"/>
                <w:szCs w:val="18"/>
                <w:lang w:eastAsia="en-US"/>
              </w:rPr>
            </w:pPr>
          </w:p>
        </w:tc>
        <w:tc>
          <w:tcPr>
            <w:tcW w:w="930" w:type="dxa"/>
            <w:gridSpan w:val="3"/>
            <w:tcBorders>
              <w:top w:val="nil"/>
              <w:left w:val="nil"/>
              <w:bottom w:val="single" w:sz="8" w:space="0" w:color="auto"/>
              <w:right w:val="nil"/>
            </w:tcBorders>
            <w:shd w:val="clear" w:color="auto" w:fill="auto"/>
            <w:noWrap/>
            <w:vAlign w:val="bottom"/>
            <w:hideMark/>
          </w:tcPr>
          <w:p w14:paraId="70E94D67" w14:textId="77777777" w:rsidR="00C45D5B" w:rsidRPr="00C40945" w:rsidRDefault="00C45D5B" w:rsidP="00CF774B">
            <w:pPr>
              <w:rPr>
                <w:rFonts w:eastAsiaTheme="minorHAnsi"/>
                <w:b/>
                <w:color w:val="2C9ADC"/>
                <w:sz w:val="18"/>
                <w:szCs w:val="18"/>
                <w:lang w:eastAsia="en-US"/>
              </w:rPr>
            </w:pPr>
          </w:p>
        </w:tc>
      </w:tr>
      <w:tr w:rsidR="00C45D5B" w:rsidRPr="00C40945" w14:paraId="3C795C5D" w14:textId="77777777" w:rsidTr="00CF774B">
        <w:trPr>
          <w:gridAfter w:val="1"/>
          <w:wAfter w:w="106" w:type="dxa"/>
          <w:trHeight w:val="238"/>
          <w:jc w:val="center"/>
        </w:trPr>
        <w:tc>
          <w:tcPr>
            <w:tcW w:w="3059" w:type="dxa"/>
            <w:gridSpan w:val="3"/>
            <w:tcBorders>
              <w:top w:val="nil"/>
              <w:left w:val="nil"/>
              <w:bottom w:val="single" w:sz="4" w:space="0" w:color="auto"/>
              <w:right w:val="nil"/>
            </w:tcBorders>
            <w:shd w:val="clear" w:color="auto" w:fill="auto"/>
            <w:noWrap/>
            <w:vAlign w:val="bottom"/>
            <w:hideMark/>
          </w:tcPr>
          <w:p w14:paraId="05EAE2A6" w14:textId="77777777" w:rsidR="00C45D5B" w:rsidRPr="00C40945" w:rsidRDefault="00C45D5B" w:rsidP="00CF774B">
            <w:pPr>
              <w:rPr>
                <w:color w:val="000000"/>
                <w:sz w:val="18"/>
                <w:szCs w:val="18"/>
              </w:rPr>
            </w:pPr>
          </w:p>
        </w:tc>
        <w:tc>
          <w:tcPr>
            <w:tcW w:w="937" w:type="dxa"/>
            <w:gridSpan w:val="2"/>
            <w:tcBorders>
              <w:top w:val="nil"/>
              <w:left w:val="nil"/>
              <w:bottom w:val="single" w:sz="4" w:space="0" w:color="auto"/>
              <w:right w:val="nil"/>
            </w:tcBorders>
            <w:shd w:val="clear" w:color="auto" w:fill="auto"/>
            <w:vAlign w:val="bottom"/>
            <w:hideMark/>
          </w:tcPr>
          <w:p w14:paraId="1F05B367" w14:textId="77777777" w:rsidR="00C45D5B" w:rsidRPr="00C40945" w:rsidRDefault="00C45D5B" w:rsidP="00CF774B">
            <w:pPr>
              <w:rPr>
                <w:b/>
                <w:color w:val="000000"/>
                <w:sz w:val="18"/>
                <w:szCs w:val="18"/>
              </w:rPr>
            </w:pPr>
            <w:r w:rsidRPr="00C40945">
              <w:rPr>
                <w:b/>
                <w:color w:val="000000"/>
                <w:sz w:val="18"/>
                <w:szCs w:val="18"/>
              </w:rPr>
              <w:t>ESA</w:t>
            </w:r>
          </w:p>
        </w:tc>
        <w:tc>
          <w:tcPr>
            <w:tcW w:w="931" w:type="dxa"/>
            <w:gridSpan w:val="2"/>
            <w:tcBorders>
              <w:top w:val="nil"/>
              <w:left w:val="nil"/>
              <w:bottom w:val="single" w:sz="4" w:space="0" w:color="auto"/>
              <w:right w:val="nil"/>
            </w:tcBorders>
            <w:shd w:val="clear" w:color="auto" w:fill="auto"/>
            <w:vAlign w:val="bottom"/>
            <w:hideMark/>
          </w:tcPr>
          <w:p w14:paraId="38C039A1" w14:textId="77777777" w:rsidR="00C45D5B" w:rsidRPr="00C40945" w:rsidRDefault="00C45D5B" w:rsidP="00CF774B">
            <w:pPr>
              <w:jc w:val="center"/>
              <w:rPr>
                <w:b/>
                <w:color w:val="000000"/>
                <w:sz w:val="18"/>
                <w:szCs w:val="18"/>
              </w:rPr>
            </w:pPr>
            <w:r w:rsidRPr="00C40945">
              <w:rPr>
                <w:b/>
                <w:color w:val="000000"/>
                <w:sz w:val="18"/>
                <w:szCs w:val="18"/>
              </w:rPr>
              <w:t>2021</w:t>
            </w:r>
          </w:p>
          <w:p w14:paraId="416FACB4" w14:textId="77777777" w:rsidR="00C45D5B" w:rsidRPr="00C40945" w:rsidRDefault="00C45D5B" w:rsidP="00CF774B">
            <w:pPr>
              <w:jc w:val="center"/>
              <w:rPr>
                <w:b/>
                <w:color w:val="000000"/>
                <w:sz w:val="18"/>
                <w:szCs w:val="18"/>
              </w:rPr>
            </w:pPr>
            <w:r w:rsidRPr="00C40945">
              <w:rPr>
                <w:b/>
                <w:color w:val="000000"/>
                <w:sz w:val="18"/>
                <w:szCs w:val="18"/>
              </w:rPr>
              <w:t>(% HDP)</w:t>
            </w:r>
          </w:p>
        </w:tc>
        <w:tc>
          <w:tcPr>
            <w:tcW w:w="931" w:type="dxa"/>
            <w:gridSpan w:val="4"/>
            <w:tcBorders>
              <w:top w:val="nil"/>
              <w:left w:val="nil"/>
              <w:bottom w:val="single" w:sz="4" w:space="0" w:color="auto"/>
              <w:right w:val="nil"/>
            </w:tcBorders>
            <w:shd w:val="clear" w:color="auto" w:fill="auto"/>
            <w:vAlign w:val="bottom"/>
            <w:hideMark/>
          </w:tcPr>
          <w:p w14:paraId="74415FB6" w14:textId="77777777" w:rsidR="00C45D5B" w:rsidRPr="00C40945" w:rsidRDefault="00C45D5B" w:rsidP="00CF774B">
            <w:pPr>
              <w:jc w:val="center"/>
              <w:rPr>
                <w:b/>
                <w:color w:val="000000"/>
                <w:sz w:val="18"/>
                <w:szCs w:val="18"/>
              </w:rPr>
            </w:pPr>
            <w:r w:rsidRPr="00C40945">
              <w:rPr>
                <w:b/>
                <w:color w:val="000000"/>
                <w:sz w:val="18"/>
                <w:szCs w:val="18"/>
              </w:rPr>
              <w:t>2022</w:t>
            </w:r>
          </w:p>
          <w:p w14:paraId="0B01BFA8" w14:textId="77777777" w:rsidR="00C45D5B" w:rsidRPr="00C40945" w:rsidRDefault="00C45D5B" w:rsidP="00CF774B">
            <w:pPr>
              <w:jc w:val="center"/>
              <w:rPr>
                <w:b/>
                <w:color w:val="000000"/>
                <w:sz w:val="18"/>
                <w:szCs w:val="18"/>
              </w:rPr>
            </w:pPr>
            <w:r w:rsidRPr="00C40945">
              <w:rPr>
                <w:b/>
                <w:color w:val="000000"/>
                <w:sz w:val="18"/>
                <w:szCs w:val="18"/>
              </w:rPr>
              <w:t>(% HDP)</w:t>
            </w:r>
          </w:p>
        </w:tc>
        <w:tc>
          <w:tcPr>
            <w:tcW w:w="931" w:type="dxa"/>
            <w:gridSpan w:val="4"/>
            <w:tcBorders>
              <w:top w:val="nil"/>
              <w:left w:val="nil"/>
              <w:bottom w:val="single" w:sz="4" w:space="0" w:color="auto"/>
              <w:right w:val="nil"/>
            </w:tcBorders>
            <w:shd w:val="clear" w:color="auto" w:fill="auto"/>
            <w:vAlign w:val="bottom"/>
            <w:hideMark/>
          </w:tcPr>
          <w:p w14:paraId="5D22514B" w14:textId="77777777" w:rsidR="00C45D5B" w:rsidRPr="00C40945" w:rsidRDefault="00C45D5B" w:rsidP="00CF774B">
            <w:pPr>
              <w:jc w:val="center"/>
              <w:rPr>
                <w:b/>
                <w:color w:val="000000"/>
                <w:sz w:val="18"/>
                <w:szCs w:val="18"/>
              </w:rPr>
            </w:pPr>
            <w:r w:rsidRPr="00C40945">
              <w:rPr>
                <w:b/>
                <w:color w:val="000000"/>
                <w:sz w:val="18"/>
                <w:szCs w:val="18"/>
              </w:rPr>
              <w:t>2023</w:t>
            </w:r>
          </w:p>
          <w:p w14:paraId="08958C1B" w14:textId="77777777" w:rsidR="00C45D5B" w:rsidRPr="00C40945" w:rsidRDefault="00C45D5B" w:rsidP="00CF774B">
            <w:pPr>
              <w:jc w:val="center"/>
              <w:rPr>
                <w:b/>
                <w:color w:val="000000"/>
                <w:sz w:val="18"/>
                <w:szCs w:val="18"/>
              </w:rPr>
            </w:pPr>
            <w:r w:rsidRPr="00C40945">
              <w:rPr>
                <w:b/>
                <w:color w:val="000000"/>
                <w:sz w:val="18"/>
                <w:szCs w:val="18"/>
              </w:rPr>
              <w:t>(% HDP)</w:t>
            </w:r>
          </w:p>
        </w:tc>
        <w:tc>
          <w:tcPr>
            <w:tcW w:w="932" w:type="dxa"/>
            <w:gridSpan w:val="5"/>
            <w:tcBorders>
              <w:top w:val="nil"/>
              <w:left w:val="nil"/>
              <w:bottom w:val="single" w:sz="4" w:space="0" w:color="auto"/>
              <w:right w:val="nil"/>
            </w:tcBorders>
            <w:shd w:val="clear" w:color="auto" w:fill="auto"/>
            <w:vAlign w:val="bottom"/>
            <w:hideMark/>
          </w:tcPr>
          <w:p w14:paraId="6C2CA3D3" w14:textId="77777777" w:rsidR="00C45D5B" w:rsidRPr="00C40945" w:rsidRDefault="00C45D5B" w:rsidP="00CF774B">
            <w:pPr>
              <w:jc w:val="center"/>
              <w:rPr>
                <w:b/>
                <w:color w:val="000000"/>
                <w:sz w:val="18"/>
                <w:szCs w:val="18"/>
              </w:rPr>
            </w:pPr>
            <w:r w:rsidRPr="00C40945">
              <w:rPr>
                <w:b/>
                <w:color w:val="000000"/>
                <w:sz w:val="18"/>
                <w:szCs w:val="18"/>
              </w:rPr>
              <w:t>2024</w:t>
            </w:r>
          </w:p>
          <w:p w14:paraId="0795C274" w14:textId="77777777" w:rsidR="00C45D5B" w:rsidRPr="00C40945" w:rsidRDefault="00C45D5B" w:rsidP="00CF774B">
            <w:pPr>
              <w:jc w:val="center"/>
              <w:rPr>
                <w:b/>
                <w:color w:val="000000"/>
                <w:sz w:val="18"/>
                <w:szCs w:val="18"/>
              </w:rPr>
            </w:pPr>
            <w:r w:rsidRPr="00C40945">
              <w:rPr>
                <w:b/>
                <w:color w:val="000000"/>
                <w:sz w:val="18"/>
                <w:szCs w:val="18"/>
              </w:rPr>
              <w:t>(% HDP)</w:t>
            </w:r>
          </w:p>
        </w:tc>
        <w:tc>
          <w:tcPr>
            <w:tcW w:w="930" w:type="dxa"/>
            <w:gridSpan w:val="3"/>
            <w:tcBorders>
              <w:top w:val="nil"/>
              <w:left w:val="nil"/>
              <w:bottom w:val="single" w:sz="4" w:space="0" w:color="auto"/>
              <w:right w:val="nil"/>
            </w:tcBorders>
            <w:vAlign w:val="bottom"/>
          </w:tcPr>
          <w:p w14:paraId="175185BB" w14:textId="77777777" w:rsidR="00C45D5B" w:rsidRPr="00C40945" w:rsidRDefault="00C45D5B" w:rsidP="00CF774B">
            <w:pPr>
              <w:jc w:val="center"/>
              <w:rPr>
                <w:b/>
                <w:color w:val="000000"/>
                <w:sz w:val="18"/>
                <w:szCs w:val="18"/>
              </w:rPr>
            </w:pPr>
            <w:r w:rsidRPr="00C40945">
              <w:rPr>
                <w:b/>
                <w:color w:val="000000"/>
                <w:sz w:val="18"/>
                <w:szCs w:val="18"/>
              </w:rPr>
              <w:t>2025</w:t>
            </w:r>
          </w:p>
          <w:p w14:paraId="2D840325" w14:textId="77777777" w:rsidR="00C45D5B" w:rsidRPr="00C40945" w:rsidRDefault="00C45D5B" w:rsidP="00CF774B">
            <w:pPr>
              <w:jc w:val="center"/>
              <w:rPr>
                <w:b/>
                <w:color w:val="000000"/>
                <w:sz w:val="18"/>
                <w:szCs w:val="18"/>
              </w:rPr>
            </w:pPr>
            <w:r w:rsidRPr="00C40945">
              <w:rPr>
                <w:b/>
                <w:color w:val="000000"/>
                <w:sz w:val="18"/>
                <w:szCs w:val="18"/>
              </w:rPr>
              <w:t>(% HDP)</w:t>
            </w:r>
          </w:p>
        </w:tc>
      </w:tr>
      <w:tr w:rsidR="00C45D5B" w:rsidRPr="00C40945" w14:paraId="59C047D4" w14:textId="77777777" w:rsidTr="00CF774B">
        <w:trPr>
          <w:gridAfter w:val="1"/>
          <w:wAfter w:w="106" w:type="dxa"/>
          <w:trHeight w:val="238"/>
          <w:jc w:val="center"/>
        </w:trPr>
        <w:tc>
          <w:tcPr>
            <w:tcW w:w="3059" w:type="dxa"/>
            <w:gridSpan w:val="3"/>
            <w:tcBorders>
              <w:top w:val="single" w:sz="4" w:space="0" w:color="auto"/>
              <w:left w:val="nil"/>
              <w:bottom w:val="single" w:sz="4" w:space="0" w:color="auto"/>
              <w:right w:val="nil"/>
            </w:tcBorders>
            <w:shd w:val="clear" w:color="auto" w:fill="auto"/>
            <w:vAlign w:val="bottom"/>
            <w:hideMark/>
          </w:tcPr>
          <w:p w14:paraId="16D91EEC" w14:textId="77777777" w:rsidR="00C45D5B" w:rsidRPr="00C40945" w:rsidRDefault="00C45D5B" w:rsidP="00CF774B">
            <w:pPr>
              <w:rPr>
                <w:rFonts w:cs="Times New Roman"/>
                <w:b/>
                <w:bCs/>
                <w:sz w:val="18"/>
                <w:szCs w:val="18"/>
              </w:rPr>
            </w:pPr>
            <w:r w:rsidRPr="00C40945">
              <w:rPr>
                <w:rFonts w:cs="Times New Roman"/>
                <w:b/>
                <w:bCs/>
                <w:sz w:val="18"/>
                <w:szCs w:val="18"/>
              </w:rPr>
              <w:t>Príjmy z RRF grantov</w:t>
            </w:r>
          </w:p>
        </w:tc>
        <w:tc>
          <w:tcPr>
            <w:tcW w:w="937" w:type="dxa"/>
            <w:gridSpan w:val="2"/>
            <w:tcBorders>
              <w:top w:val="single" w:sz="4" w:space="0" w:color="auto"/>
              <w:left w:val="nil"/>
              <w:bottom w:val="single" w:sz="4" w:space="0" w:color="auto"/>
              <w:right w:val="nil"/>
            </w:tcBorders>
            <w:shd w:val="clear" w:color="auto" w:fill="auto"/>
            <w:vAlign w:val="bottom"/>
            <w:hideMark/>
          </w:tcPr>
          <w:p w14:paraId="228413FC" w14:textId="77777777" w:rsidR="00C45D5B" w:rsidRPr="00C40945" w:rsidRDefault="00C45D5B" w:rsidP="00CF774B">
            <w:pPr>
              <w:rPr>
                <w:rFonts w:cs="Times New Roman"/>
                <w:b/>
                <w:color w:val="000000"/>
                <w:sz w:val="18"/>
                <w:szCs w:val="18"/>
              </w:rPr>
            </w:pPr>
            <w:r w:rsidRPr="00C40945">
              <w:rPr>
                <w:rFonts w:cs="Times New Roman"/>
                <w:b/>
                <w:color w:val="000000"/>
                <w:sz w:val="18"/>
                <w:szCs w:val="18"/>
              </w:rPr>
              <w:t> </w:t>
            </w:r>
          </w:p>
        </w:tc>
        <w:tc>
          <w:tcPr>
            <w:tcW w:w="931" w:type="dxa"/>
            <w:gridSpan w:val="2"/>
            <w:tcBorders>
              <w:top w:val="single" w:sz="4" w:space="0" w:color="auto"/>
              <w:left w:val="nil"/>
              <w:bottom w:val="single" w:sz="4" w:space="0" w:color="auto"/>
              <w:right w:val="nil"/>
            </w:tcBorders>
            <w:shd w:val="clear" w:color="auto" w:fill="auto"/>
            <w:noWrap/>
            <w:vAlign w:val="bottom"/>
            <w:hideMark/>
          </w:tcPr>
          <w:p w14:paraId="3FFF72A1" w14:textId="77777777" w:rsidR="00C45D5B" w:rsidRPr="00C40945" w:rsidRDefault="00C45D5B" w:rsidP="00CF774B">
            <w:pPr>
              <w:rPr>
                <w:rFonts w:cs="Times New Roman"/>
                <w:b/>
                <w:color w:val="000000"/>
                <w:sz w:val="18"/>
                <w:szCs w:val="18"/>
              </w:rPr>
            </w:pPr>
            <w:r w:rsidRPr="00C40945">
              <w:rPr>
                <w:rFonts w:cs="Times New Roman"/>
                <w:b/>
                <w:color w:val="000000"/>
                <w:sz w:val="18"/>
                <w:szCs w:val="18"/>
              </w:rPr>
              <w:t> </w:t>
            </w:r>
          </w:p>
        </w:tc>
        <w:tc>
          <w:tcPr>
            <w:tcW w:w="931" w:type="dxa"/>
            <w:gridSpan w:val="4"/>
            <w:tcBorders>
              <w:top w:val="single" w:sz="4" w:space="0" w:color="auto"/>
              <w:left w:val="nil"/>
              <w:bottom w:val="single" w:sz="4" w:space="0" w:color="auto"/>
              <w:right w:val="nil"/>
            </w:tcBorders>
            <w:shd w:val="clear" w:color="auto" w:fill="auto"/>
            <w:noWrap/>
            <w:vAlign w:val="center"/>
            <w:hideMark/>
          </w:tcPr>
          <w:p w14:paraId="45DD5A49" w14:textId="77777777" w:rsidR="00C45D5B" w:rsidRPr="00C40945" w:rsidRDefault="00C45D5B" w:rsidP="00CF774B">
            <w:pPr>
              <w:jc w:val="center"/>
              <w:rPr>
                <w:rFonts w:cs="Times New Roman"/>
                <w:b/>
                <w:color w:val="000000"/>
                <w:sz w:val="18"/>
                <w:szCs w:val="18"/>
              </w:rPr>
            </w:pPr>
          </w:p>
        </w:tc>
        <w:tc>
          <w:tcPr>
            <w:tcW w:w="931" w:type="dxa"/>
            <w:gridSpan w:val="4"/>
            <w:tcBorders>
              <w:top w:val="single" w:sz="4" w:space="0" w:color="auto"/>
              <w:left w:val="nil"/>
              <w:bottom w:val="single" w:sz="4" w:space="0" w:color="auto"/>
              <w:right w:val="nil"/>
            </w:tcBorders>
            <w:shd w:val="clear" w:color="auto" w:fill="auto"/>
            <w:noWrap/>
            <w:vAlign w:val="center"/>
            <w:hideMark/>
          </w:tcPr>
          <w:p w14:paraId="57DD8D84" w14:textId="77777777" w:rsidR="00C45D5B" w:rsidRPr="00C40945" w:rsidRDefault="00C45D5B" w:rsidP="00CF774B">
            <w:pPr>
              <w:jc w:val="center"/>
              <w:rPr>
                <w:rFonts w:cs="Times New Roman"/>
                <w:b/>
                <w:color w:val="000000"/>
                <w:sz w:val="18"/>
                <w:szCs w:val="18"/>
              </w:rPr>
            </w:pPr>
          </w:p>
        </w:tc>
        <w:tc>
          <w:tcPr>
            <w:tcW w:w="932" w:type="dxa"/>
            <w:gridSpan w:val="5"/>
            <w:tcBorders>
              <w:top w:val="single" w:sz="4" w:space="0" w:color="auto"/>
              <w:left w:val="nil"/>
              <w:bottom w:val="single" w:sz="4" w:space="0" w:color="auto"/>
              <w:right w:val="nil"/>
            </w:tcBorders>
            <w:shd w:val="clear" w:color="auto" w:fill="auto"/>
            <w:noWrap/>
            <w:vAlign w:val="center"/>
            <w:hideMark/>
          </w:tcPr>
          <w:p w14:paraId="698AE97A" w14:textId="77777777" w:rsidR="00C45D5B" w:rsidRPr="00C40945" w:rsidRDefault="00C45D5B" w:rsidP="00CF774B">
            <w:pPr>
              <w:jc w:val="center"/>
              <w:rPr>
                <w:rFonts w:cs="Times New Roman"/>
                <w:b/>
                <w:color w:val="000000"/>
                <w:sz w:val="18"/>
                <w:szCs w:val="18"/>
              </w:rPr>
            </w:pPr>
          </w:p>
        </w:tc>
        <w:tc>
          <w:tcPr>
            <w:tcW w:w="930" w:type="dxa"/>
            <w:gridSpan w:val="3"/>
            <w:tcBorders>
              <w:top w:val="single" w:sz="4" w:space="0" w:color="auto"/>
              <w:left w:val="nil"/>
              <w:bottom w:val="single" w:sz="4" w:space="0" w:color="auto"/>
              <w:right w:val="nil"/>
            </w:tcBorders>
            <w:vAlign w:val="center"/>
          </w:tcPr>
          <w:p w14:paraId="112BD613" w14:textId="77777777" w:rsidR="00C45D5B" w:rsidRPr="00C40945" w:rsidRDefault="00C45D5B" w:rsidP="00CF774B">
            <w:pPr>
              <w:jc w:val="center"/>
              <w:rPr>
                <w:rFonts w:cs="Times New Roman"/>
                <w:b/>
                <w:color w:val="000000"/>
                <w:sz w:val="18"/>
                <w:szCs w:val="18"/>
              </w:rPr>
            </w:pPr>
          </w:p>
        </w:tc>
      </w:tr>
      <w:tr w:rsidR="00C45D5B" w:rsidRPr="00C40945" w14:paraId="5FE87671" w14:textId="77777777" w:rsidTr="00CF774B">
        <w:trPr>
          <w:gridAfter w:val="1"/>
          <w:wAfter w:w="106" w:type="dxa"/>
          <w:trHeight w:val="238"/>
          <w:jc w:val="center"/>
        </w:trPr>
        <w:tc>
          <w:tcPr>
            <w:tcW w:w="3059" w:type="dxa"/>
            <w:gridSpan w:val="3"/>
            <w:tcBorders>
              <w:top w:val="single" w:sz="4" w:space="0" w:color="auto"/>
              <w:left w:val="nil"/>
              <w:right w:val="nil"/>
            </w:tcBorders>
            <w:shd w:val="clear" w:color="auto" w:fill="auto"/>
            <w:vAlign w:val="bottom"/>
            <w:hideMark/>
          </w:tcPr>
          <w:p w14:paraId="4090814F" w14:textId="77777777" w:rsidR="00C45D5B" w:rsidRPr="004A0C29" w:rsidRDefault="00C45D5B" w:rsidP="00CF774B">
            <w:pPr>
              <w:rPr>
                <w:rFonts w:cs="Times New Roman"/>
                <w:bCs/>
                <w:sz w:val="18"/>
                <w:szCs w:val="18"/>
              </w:rPr>
            </w:pPr>
            <w:r w:rsidRPr="004A0C29">
              <w:rPr>
                <w:rFonts w:cs="Times New Roman"/>
                <w:bCs/>
                <w:sz w:val="18"/>
                <w:szCs w:val="18"/>
              </w:rPr>
              <w:t>1. RRF granty zahrnuté v projekciách</w:t>
            </w:r>
          </w:p>
        </w:tc>
        <w:tc>
          <w:tcPr>
            <w:tcW w:w="937" w:type="dxa"/>
            <w:gridSpan w:val="2"/>
            <w:tcBorders>
              <w:top w:val="single" w:sz="4" w:space="0" w:color="auto"/>
              <w:left w:val="nil"/>
              <w:right w:val="nil"/>
            </w:tcBorders>
            <w:shd w:val="clear" w:color="auto" w:fill="auto"/>
            <w:vAlign w:val="bottom"/>
            <w:hideMark/>
          </w:tcPr>
          <w:p w14:paraId="02BD7FC1" w14:textId="77777777" w:rsidR="00C45D5B" w:rsidRPr="004A0C29" w:rsidRDefault="00C45D5B" w:rsidP="00CF774B">
            <w:pPr>
              <w:rPr>
                <w:rFonts w:cs="Times New Roman"/>
                <w:color w:val="000000"/>
                <w:sz w:val="18"/>
                <w:szCs w:val="18"/>
              </w:rPr>
            </w:pPr>
            <w:r w:rsidRPr="004A0C29">
              <w:rPr>
                <w:rFonts w:cs="Times New Roman"/>
                <w:color w:val="000000"/>
                <w:sz w:val="18"/>
                <w:szCs w:val="18"/>
              </w:rPr>
              <w:t> </w:t>
            </w:r>
          </w:p>
        </w:tc>
        <w:tc>
          <w:tcPr>
            <w:tcW w:w="931" w:type="dxa"/>
            <w:gridSpan w:val="2"/>
            <w:tcBorders>
              <w:top w:val="single" w:sz="4" w:space="0" w:color="auto"/>
              <w:left w:val="nil"/>
              <w:right w:val="nil"/>
            </w:tcBorders>
            <w:shd w:val="clear" w:color="auto" w:fill="auto"/>
            <w:noWrap/>
            <w:vAlign w:val="center"/>
            <w:hideMark/>
          </w:tcPr>
          <w:p w14:paraId="3ADAD09A" w14:textId="77777777" w:rsidR="00C45D5B" w:rsidRPr="004A0C29" w:rsidRDefault="00C45D5B" w:rsidP="00CF774B">
            <w:pPr>
              <w:jc w:val="center"/>
              <w:rPr>
                <w:rFonts w:cs="Times New Roman"/>
                <w:color w:val="000000"/>
                <w:sz w:val="18"/>
                <w:szCs w:val="18"/>
              </w:rPr>
            </w:pPr>
          </w:p>
        </w:tc>
        <w:tc>
          <w:tcPr>
            <w:tcW w:w="931" w:type="dxa"/>
            <w:gridSpan w:val="4"/>
            <w:tcBorders>
              <w:top w:val="single" w:sz="4" w:space="0" w:color="auto"/>
              <w:left w:val="nil"/>
              <w:right w:val="nil"/>
            </w:tcBorders>
            <w:shd w:val="clear" w:color="auto" w:fill="auto"/>
            <w:noWrap/>
            <w:vAlign w:val="center"/>
            <w:hideMark/>
          </w:tcPr>
          <w:p w14:paraId="77817458" w14:textId="77777777" w:rsidR="00C45D5B" w:rsidRPr="004A0C29" w:rsidRDefault="00C45D5B" w:rsidP="00CF774B">
            <w:pPr>
              <w:jc w:val="center"/>
              <w:rPr>
                <w:rFonts w:cs="Times New Roman"/>
                <w:color w:val="000000"/>
                <w:sz w:val="18"/>
                <w:szCs w:val="18"/>
              </w:rPr>
            </w:pPr>
            <w:r w:rsidRPr="004A0C29">
              <w:rPr>
                <w:sz w:val="18"/>
                <w:szCs w:val="18"/>
              </w:rPr>
              <w:t>0,7</w:t>
            </w:r>
          </w:p>
        </w:tc>
        <w:tc>
          <w:tcPr>
            <w:tcW w:w="931" w:type="dxa"/>
            <w:gridSpan w:val="4"/>
            <w:tcBorders>
              <w:top w:val="single" w:sz="4" w:space="0" w:color="auto"/>
              <w:left w:val="nil"/>
              <w:right w:val="nil"/>
            </w:tcBorders>
            <w:shd w:val="clear" w:color="auto" w:fill="auto"/>
            <w:noWrap/>
            <w:vAlign w:val="center"/>
            <w:hideMark/>
          </w:tcPr>
          <w:p w14:paraId="3C5940FD" w14:textId="77777777" w:rsidR="00C45D5B" w:rsidRPr="004A0C29" w:rsidRDefault="00C45D5B" w:rsidP="00CF774B">
            <w:pPr>
              <w:jc w:val="center"/>
              <w:rPr>
                <w:rFonts w:cs="Times New Roman"/>
                <w:color w:val="000000"/>
                <w:sz w:val="18"/>
                <w:szCs w:val="18"/>
              </w:rPr>
            </w:pPr>
            <w:r w:rsidRPr="004A0C29">
              <w:rPr>
                <w:sz w:val="18"/>
                <w:szCs w:val="18"/>
              </w:rPr>
              <w:t>0,8</w:t>
            </w:r>
          </w:p>
        </w:tc>
        <w:tc>
          <w:tcPr>
            <w:tcW w:w="932" w:type="dxa"/>
            <w:gridSpan w:val="5"/>
            <w:tcBorders>
              <w:top w:val="single" w:sz="4" w:space="0" w:color="auto"/>
              <w:left w:val="nil"/>
              <w:right w:val="nil"/>
            </w:tcBorders>
            <w:shd w:val="clear" w:color="auto" w:fill="auto"/>
            <w:noWrap/>
            <w:vAlign w:val="center"/>
            <w:hideMark/>
          </w:tcPr>
          <w:p w14:paraId="471F0ED7" w14:textId="77777777" w:rsidR="00C45D5B" w:rsidRPr="004A0C29" w:rsidRDefault="00C45D5B" w:rsidP="00CF774B">
            <w:pPr>
              <w:jc w:val="center"/>
              <w:rPr>
                <w:rFonts w:cs="Times New Roman"/>
                <w:color w:val="000000"/>
                <w:sz w:val="18"/>
                <w:szCs w:val="18"/>
              </w:rPr>
            </w:pPr>
            <w:r w:rsidRPr="004A0C29">
              <w:rPr>
                <w:sz w:val="18"/>
                <w:szCs w:val="18"/>
              </w:rPr>
              <w:t>0,7</w:t>
            </w:r>
          </w:p>
        </w:tc>
        <w:tc>
          <w:tcPr>
            <w:tcW w:w="930" w:type="dxa"/>
            <w:gridSpan w:val="3"/>
            <w:tcBorders>
              <w:top w:val="single" w:sz="4" w:space="0" w:color="auto"/>
              <w:left w:val="nil"/>
              <w:right w:val="nil"/>
            </w:tcBorders>
            <w:vAlign w:val="center"/>
          </w:tcPr>
          <w:p w14:paraId="0D891B49" w14:textId="77777777" w:rsidR="00C45D5B" w:rsidRPr="004A0C29" w:rsidRDefault="00C45D5B" w:rsidP="00CF774B">
            <w:pPr>
              <w:jc w:val="center"/>
              <w:rPr>
                <w:rFonts w:cs="Times New Roman"/>
                <w:color w:val="000000"/>
                <w:sz w:val="18"/>
                <w:szCs w:val="18"/>
              </w:rPr>
            </w:pPr>
            <w:r w:rsidRPr="004A0C29">
              <w:rPr>
                <w:sz w:val="18"/>
                <w:szCs w:val="18"/>
              </w:rPr>
              <w:t>0,5</w:t>
            </w:r>
          </w:p>
        </w:tc>
      </w:tr>
      <w:tr w:rsidR="00C45D5B" w:rsidRPr="00C40945" w14:paraId="5347364B" w14:textId="77777777" w:rsidTr="00CF774B">
        <w:trPr>
          <w:gridAfter w:val="1"/>
          <w:wAfter w:w="106" w:type="dxa"/>
          <w:trHeight w:val="238"/>
          <w:jc w:val="center"/>
        </w:trPr>
        <w:tc>
          <w:tcPr>
            <w:tcW w:w="3059" w:type="dxa"/>
            <w:gridSpan w:val="3"/>
            <w:tcBorders>
              <w:top w:val="nil"/>
              <w:left w:val="nil"/>
              <w:bottom w:val="single" w:sz="4" w:space="0" w:color="auto"/>
              <w:right w:val="nil"/>
            </w:tcBorders>
            <w:shd w:val="clear" w:color="auto" w:fill="auto"/>
            <w:vAlign w:val="bottom"/>
            <w:hideMark/>
          </w:tcPr>
          <w:p w14:paraId="7414AC5B" w14:textId="77777777" w:rsidR="00C45D5B" w:rsidRPr="004A0C29" w:rsidRDefault="00C45D5B" w:rsidP="00CF774B">
            <w:pPr>
              <w:rPr>
                <w:rFonts w:cs="Times New Roman"/>
                <w:bCs/>
                <w:sz w:val="18"/>
                <w:szCs w:val="18"/>
              </w:rPr>
            </w:pPr>
            <w:r w:rsidRPr="004A0C29">
              <w:rPr>
                <w:rFonts w:cs="Times New Roman"/>
                <w:bCs/>
                <w:sz w:val="18"/>
                <w:szCs w:val="18"/>
              </w:rPr>
              <w:t>2. Vyplatené RRF granty z EÚ</w:t>
            </w:r>
          </w:p>
        </w:tc>
        <w:tc>
          <w:tcPr>
            <w:tcW w:w="937" w:type="dxa"/>
            <w:gridSpan w:val="2"/>
            <w:tcBorders>
              <w:top w:val="nil"/>
              <w:left w:val="nil"/>
              <w:bottom w:val="single" w:sz="4" w:space="0" w:color="auto"/>
              <w:right w:val="nil"/>
            </w:tcBorders>
            <w:shd w:val="clear" w:color="auto" w:fill="auto"/>
            <w:vAlign w:val="bottom"/>
            <w:hideMark/>
          </w:tcPr>
          <w:p w14:paraId="5825210F" w14:textId="77777777" w:rsidR="00C45D5B" w:rsidRPr="004A0C29" w:rsidRDefault="00C45D5B" w:rsidP="00CF774B">
            <w:pPr>
              <w:rPr>
                <w:rFonts w:cs="Times New Roman"/>
                <w:color w:val="000000"/>
                <w:sz w:val="18"/>
                <w:szCs w:val="18"/>
              </w:rPr>
            </w:pPr>
            <w:r w:rsidRPr="004A0C29">
              <w:rPr>
                <w:rFonts w:cs="Times New Roman"/>
                <w:color w:val="000000"/>
                <w:sz w:val="18"/>
                <w:szCs w:val="18"/>
              </w:rPr>
              <w:t> </w:t>
            </w:r>
          </w:p>
        </w:tc>
        <w:tc>
          <w:tcPr>
            <w:tcW w:w="931" w:type="dxa"/>
            <w:gridSpan w:val="2"/>
            <w:tcBorders>
              <w:top w:val="nil"/>
              <w:left w:val="nil"/>
              <w:bottom w:val="single" w:sz="4" w:space="0" w:color="auto"/>
              <w:right w:val="nil"/>
            </w:tcBorders>
            <w:shd w:val="clear" w:color="auto" w:fill="auto"/>
            <w:noWrap/>
            <w:vAlign w:val="center"/>
            <w:hideMark/>
          </w:tcPr>
          <w:p w14:paraId="23721BFC" w14:textId="77777777" w:rsidR="00C45D5B" w:rsidRPr="004A0C29" w:rsidRDefault="00C45D5B" w:rsidP="00CF774B">
            <w:pPr>
              <w:jc w:val="center"/>
              <w:rPr>
                <w:rFonts w:cs="Times New Roman"/>
                <w:color w:val="000000"/>
                <w:sz w:val="18"/>
                <w:szCs w:val="18"/>
              </w:rPr>
            </w:pPr>
            <w:r>
              <w:rPr>
                <w:rFonts w:cs="Calibri"/>
                <w:color w:val="000000"/>
                <w:sz w:val="18"/>
                <w:szCs w:val="18"/>
              </w:rPr>
              <w:t>0,8</w:t>
            </w:r>
          </w:p>
        </w:tc>
        <w:tc>
          <w:tcPr>
            <w:tcW w:w="931" w:type="dxa"/>
            <w:gridSpan w:val="4"/>
            <w:tcBorders>
              <w:top w:val="nil"/>
              <w:left w:val="nil"/>
              <w:bottom w:val="single" w:sz="4" w:space="0" w:color="auto"/>
              <w:right w:val="nil"/>
            </w:tcBorders>
            <w:shd w:val="clear" w:color="auto" w:fill="auto"/>
            <w:noWrap/>
            <w:vAlign w:val="center"/>
          </w:tcPr>
          <w:p w14:paraId="6BA85CB9" w14:textId="77777777" w:rsidR="00C45D5B" w:rsidRPr="004A0C29" w:rsidRDefault="00C45D5B" w:rsidP="00CF774B">
            <w:pPr>
              <w:jc w:val="center"/>
              <w:rPr>
                <w:rFonts w:cs="Times New Roman"/>
                <w:color w:val="000000"/>
                <w:sz w:val="18"/>
                <w:szCs w:val="18"/>
              </w:rPr>
            </w:pPr>
            <w:r>
              <w:rPr>
                <w:rFonts w:cs="Calibri"/>
                <w:color w:val="000000"/>
                <w:sz w:val="18"/>
                <w:szCs w:val="18"/>
              </w:rPr>
              <w:t>1,0</w:t>
            </w:r>
          </w:p>
        </w:tc>
        <w:tc>
          <w:tcPr>
            <w:tcW w:w="931" w:type="dxa"/>
            <w:gridSpan w:val="4"/>
            <w:tcBorders>
              <w:top w:val="nil"/>
              <w:left w:val="nil"/>
              <w:bottom w:val="single" w:sz="4" w:space="0" w:color="auto"/>
              <w:right w:val="nil"/>
            </w:tcBorders>
            <w:shd w:val="clear" w:color="auto" w:fill="auto"/>
            <w:noWrap/>
            <w:vAlign w:val="center"/>
          </w:tcPr>
          <w:p w14:paraId="34FA1EAB" w14:textId="77777777" w:rsidR="00C45D5B" w:rsidRPr="004A0C29" w:rsidRDefault="00C45D5B" w:rsidP="00CF774B">
            <w:pPr>
              <w:jc w:val="center"/>
              <w:rPr>
                <w:rFonts w:cs="Times New Roman"/>
                <w:color w:val="000000"/>
                <w:sz w:val="18"/>
                <w:szCs w:val="18"/>
              </w:rPr>
            </w:pPr>
            <w:r>
              <w:rPr>
                <w:rFonts w:cs="Calibri"/>
                <w:color w:val="000000"/>
                <w:sz w:val="18"/>
                <w:szCs w:val="18"/>
              </w:rPr>
              <w:t>1,3</w:t>
            </w:r>
          </w:p>
        </w:tc>
        <w:tc>
          <w:tcPr>
            <w:tcW w:w="932" w:type="dxa"/>
            <w:gridSpan w:val="5"/>
            <w:tcBorders>
              <w:top w:val="nil"/>
              <w:left w:val="nil"/>
              <w:bottom w:val="single" w:sz="4" w:space="0" w:color="auto"/>
              <w:right w:val="nil"/>
            </w:tcBorders>
            <w:shd w:val="clear" w:color="auto" w:fill="auto"/>
            <w:noWrap/>
            <w:vAlign w:val="center"/>
          </w:tcPr>
          <w:p w14:paraId="7A774A87" w14:textId="77777777" w:rsidR="00C45D5B" w:rsidRPr="004A0C29" w:rsidRDefault="00C45D5B" w:rsidP="00CF774B">
            <w:pPr>
              <w:jc w:val="center"/>
              <w:rPr>
                <w:rFonts w:cs="Times New Roman"/>
                <w:color w:val="000000"/>
                <w:sz w:val="18"/>
                <w:szCs w:val="18"/>
              </w:rPr>
            </w:pPr>
            <w:r>
              <w:rPr>
                <w:rFonts w:cs="Calibri"/>
                <w:color w:val="000000"/>
                <w:sz w:val="18"/>
                <w:szCs w:val="18"/>
              </w:rPr>
              <w:t>1,2</w:t>
            </w:r>
          </w:p>
        </w:tc>
        <w:tc>
          <w:tcPr>
            <w:tcW w:w="930" w:type="dxa"/>
            <w:gridSpan w:val="3"/>
            <w:tcBorders>
              <w:top w:val="nil"/>
              <w:left w:val="nil"/>
              <w:bottom w:val="single" w:sz="4" w:space="0" w:color="auto"/>
              <w:right w:val="nil"/>
            </w:tcBorders>
            <w:vAlign w:val="center"/>
          </w:tcPr>
          <w:p w14:paraId="4D731707" w14:textId="77777777" w:rsidR="00C45D5B" w:rsidRPr="004A0C29" w:rsidRDefault="00C45D5B" w:rsidP="00CF774B">
            <w:pPr>
              <w:jc w:val="center"/>
              <w:rPr>
                <w:rFonts w:cs="Times New Roman"/>
                <w:color w:val="000000"/>
                <w:sz w:val="18"/>
                <w:szCs w:val="18"/>
              </w:rPr>
            </w:pPr>
            <w:r>
              <w:rPr>
                <w:rFonts w:cs="Calibri"/>
                <w:color w:val="000000"/>
                <w:sz w:val="18"/>
                <w:szCs w:val="18"/>
              </w:rPr>
              <w:t>0,8</w:t>
            </w:r>
          </w:p>
        </w:tc>
      </w:tr>
      <w:tr w:rsidR="00C45D5B" w:rsidRPr="00C40945" w14:paraId="3A823809" w14:textId="77777777" w:rsidTr="00CF774B">
        <w:trPr>
          <w:gridAfter w:val="1"/>
          <w:wAfter w:w="106" w:type="dxa"/>
          <w:trHeight w:val="238"/>
          <w:jc w:val="center"/>
        </w:trPr>
        <w:tc>
          <w:tcPr>
            <w:tcW w:w="3059" w:type="dxa"/>
            <w:gridSpan w:val="3"/>
            <w:tcBorders>
              <w:top w:val="single" w:sz="4" w:space="0" w:color="auto"/>
              <w:left w:val="nil"/>
              <w:bottom w:val="single" w:sz="4" w:space="0" w:color="auto"/>
              <w:right w:val="nil"/>
            </w:tcBorders>
            <w:shd w:val="clear" w:color="auto" w:fill="auto"/>
            <w:vAlign w:val="bottom"/>
            <w:hideMark/>
          </w:tcPr>
          <w:p w14:paraId="6DFAB169" w14:textId="77777777" w:rsidR="00C45D5B" w:rsidRPr="00C40945" w:rsidRDefault="00C45D5B" w:rsidP="00CF774B">
            <w:pPr>
              <w:rPr>
                <w:rFonts w:cs="Times New Roman"/>
                <w:b/>
                <w:bCs/>
                <w:sz w:val="18"/>
                <w:szCs w:val="18"/>
              </w:rPr>
            </w:pPr>
            <w:r w:rsidRPr="00C40945">
              <w:rPr>
                <w:rFonts w:cs="Times New Roman"/>
                <w:b/>
                <w:bCs/>
                <w:sz w:val="18"/>
                <w:szCs w:val="18"/>
              </w:rPr>
              <w:t>Výdavky financované RRF grantami</w:t>
            </w:r>
          </w:p>
        </w:tc>
        <w:tc>
          <w:tcPr>
            <w:tcW w:w="937" w:type="dxa"/>
            <w:gridSpan w:val="2"/>
            <w:tcBorders>
              <w:top w:val="single" w:sz="4" w:space="0" w:color="auto"/>
              <w:left w:val="nil"/>
              <w:bottom w:val="single" w:sz="4" w:space="0" w:color="auto"/>
              <w:right w:val="nil"/>
            </w:tcBorders>
            <w:shd w:val="clear" w:color="auto" w:fill="auto"/>
            <w:vAlign w:val="bottom"/>
            <w:hideMark/>
          </w:tcPr>
          <w:p w14:paraId="45750500" w14:textId="77777777" w:rsidR="00C45D5B" w:rsidRPr="00C40945" w:rsidRDefault="00C45D5B" w:rsidP="00CF774B">
            <w:pPr>
              <w:rPr>
                <w:rFonts w:cs="Times New Roman"/>
                <w:b/>
                <w:color w:val="000000"/>
                <w:sz w:val="18"/>
                <w:szCs w:val="18"/>
              </w:rPr>
            </w:pPr>
            <w:r w:rsidRPr="00C40945">
              <w:rPr>
                <w:rFonts w:cs="Times New Roman"/>
                <w:b/>
                <w:color w:val="000000"/>
                <w:sz w:val="18"/>
                <w:szCs w:val="18"/>
              </w:rPr>
              <w:t> </w:t>
            </w:r>
          </w:p>
        </w:tc>
        <w:tc>
          <w:tcPr>
            <w:tcW w:w="931" w:type="dxa"/>
            <w:gridSpan w:val="2"/>
            <w:tcBorders>
              <w:top w:val="single" w:sz="4" w:space="0" w:color="auto"/>
              <w:left w:val="nil"/>
              <w:bottom w:val="single" w:sz="4" w:space="0" w:color="auto"/>
              <w:right w:val="nil"/>
            </w:tcBorders>
            <w:shd w:val="clear" w:color="auto" w:fill="auto"/>
            <w:noWrap/>
            <w:vAlign w:val="center"/>
            <w:hideMark/>
          </w:tcPr>
          <w:p w14:paraId="354DB495" w14:textId="77777777" w:rsidR="00C45D5B" w:rsidRPr="00C40945" w:rsidRDefault="00C45D5B" w:rsidP="00CF774B">
            <w:pPr>
              <w:jc w:val="center"/>
              <w:rPr>
                <w:rFonts w:cs="Times New Roman"/>
                <w:b/>
                <w:color w:val="000000"/>
                <w:sz w:val="18"/>
                <w:szCs w:val="18"/>
              </w:rPr>
            </w:pPr>
          </w:p>
        </w:tc>
        <w:tc>
          <w:tcPr>
            <w:tcW w:w="931" w:type="dxa"/>
            <w:gridSpan w:val="4"/>
            <w:tcBorders>
              <w:top w:val="single" w:sz="4" w:space="0" w:color="auto"/>
              <w:left w:val="nil"/>
              <w:bottom w:val="single" w:sz="4" w:space="0" w:color="auto"/>
              <w:right w:val="nil"/>
            </w:tcBorders>
            <w:shd w:val="clear" w:color="auto" w:fill="auto"/>
            <w:noWrap/>
            <w:vAlign w:val="center"/>
            <w:hideMark/>
          </w:tcPr>
          <w:p w14:paraId="01157AF8" w14:textId="77777777" w:rsidR="00C45D5B" w:rsidRPr="00C40945" w:rsidRDefault="00C45D5B" w:rsidP="00CF774B">
            <w:pPr>
              <w:jc w:val="center"/>
              <w:rPr>
                <w:rFonts w:cs="Times New Roman"/>
                <w:b/>
                <w:color w:val="000000"/>
                <w:sz w:val="18"/>
                <w:szCs w:val="18"/>
              </w:rPr>
            </w:pPr>
          </w:p>
        </w:tc>
        <w:tc>
          <w:tcPr>
            <w:tcW w:w="931" w:type="dxa"/>
            <w:gridSpan w:val="4"/>
            <w:tcBorders>
              <w:top w:val="single" w:sz="4" w:space="0" w:color="auto"/>
              <w:left w:val="nil"/>
              <w:bottom w:val="single" w:sz="4" w:space="0" w:color="auto"/>
              <w:right w:val="nil"/>
            </w:tcBorders>
            <w:shd w:val="clear" w:color="auto" w:fill="auto"/>
            <w:noWrap/>
            <w:vAlign w:val="center"/>
            <w:hideMark/>
          </w:tcPr>
          <w:p w14:paraId="301B3078" w14:textId="77777777" w:rsidR="00C45D5B" w:rsidRPr="00C40945" w:rsidRDefault="00C45D5B" w:rsidP="00CF774B">
            <w:pPr>
              <w:jc w:val="center"/>
              <w:rPr>
                <w:rFonts w:cs="Times New Roman"/>
                <w:b/>
                <w:color w:val="000000"/>
                <w:sz w:val="18"/>
                <w:szCs w:val="18"/>
              </w:rPr>
            </w:pPr>
          </w:p>
        </w:tc>
        <w:tc>
          <w:tcPr>
            <w:tcW w:w="932" w:type="dxa"/>
            <w:gridSpan w:val="5"/>
            <w:tcBorders>
              <w:top w:val="single" w:sz="4" w:space="0" w:color="auto"/>
              <w:left w:val="nil"/>
              <w:bottom w:val="single" w:sz="4" w:space="0" w:color="auto"/>
              <w:right w:val="nil"/>
            </w:tcBorders>
            <w:shd w:val="clear" w:color="auto" w:fill="auto"/>
            <w:noWrap/>
            <w:vAlign w:val="center"/>
            <w:hideMark/>
          </w:tcPr>
          <w:p w14:paraId="1E1F442A" w14:textId="77777777" w:rsidR="00C45D5B" w:rsidRPr="00C40945" w:rsidRDefault="00C45D5B" w:rsidP="00CF774B">
            <w:pPr>
              <w:jc w:val="center"/>
              <w:rPr>
                <w:rFonts w:cs="Times New Roman"/>
                <w:b/>
                <w:color w:val="000000"/>
                <w:sz w:val="18"/>
                <w:szCs w:val="18"/>
              </w:rPr>
            </w:pPr>
          </w:p>
        </w:tc>
        <w:tc>
          <w:tcPr>
            <w:tcW w:w="930" w:type="dxa"/>
            <w:gridSpan w:val="3"/>
            <w:tcBorders>
              <w:top w:val="single" w:sz="4" w:space="0" w:color="auto"/>
              <w:left w:val="nil"/>
              <w:bottom w:val="single" w:sz="4" w:space="0" w:color="auto"/>
              <w:right w:val="nil"/>
            </w:tcBorders>
            <w:vAlign w:val="center"/>
          </w:tcPr>
          <w:p w14:paraId="3086B2B3" w14:textId="77777777" w:rsidR="00C45D5B" w:rsidRPr="00C40945" w:rsidRDefault="00C45D5B" w:rsidP="00CF774B">
            <w:pPr>
              <w:jc w:val="center"/>
              <w:rPr>
                <w:rFonts w:cs="Times New Roman"/>
                <w:b/>
                <w:color w:val="000000"/>
                <w:sz w:val="18"/>
                <w:szCs w:val="18"/>
              </w:rPr>
            </w:pPr>
          </w:p>
        </w:tc>
      </w:tr>
      <w:tr w:rsidR="00C45D5B" w:rsidRPr="00C40945" w14:paraId="5EBF94DF" w14:textId="77777777" w:rsidTr="00CF774B">
        <w:trPr>
          <w:gridAfter w:val="1"/>
          <w:wAfter w:w="106" w:type="dxa"/>
          <w:trHeight w:val="238"/>
          <w:jc w:val="center"/>
        </w:trPr>
        <w:tc>
          <w:tcPr>
            <w:tcW w:w="3059" w:type="dxa"/>
            <w:gridSpan w:val="3"/>
            <w:tcBorders>
              <w:top w:val="single" w:sz="4" w:space="0" w:color="auto"/>
              <w:left w:val="nil"/>
              <w:bottom w:val="nil"/>
              <w:right w:val="nil"/>
            </w:tcBorders>
            <w:shd w:val="clear" w:color="auto" w:fill="auto"/>
            <w:vAlign w:val="bottom"/>
            <w:hideMark/>
          </w:tcPr>
          <w:p w14:paraId="30AC798A" w14:textId="77777777" w:rsidR="00C45D5B" w:rsidRPr="00C40945" w:rsidRDefault="00C45D5B" w:rsidP="00CF774B">
            <w:pPr>
              <w:rPr>
                <w:rFonts w:cs="Times New Roman"/>
                <w:b/>
                <w:bCs/>
                <w:sz w:val="18"/>
                <w:szCs w:val="18"/>
              </w:rPr>
            </w:pPr>
            <w:r w:rsidRPr="00C40945">
              <w:rPr>
                <w:rFonts w:cs="Times New Roman"/>
                <w:b/>
                <w:bCs/>
                <w:sz w:val="18"/>
                <w:szCs w:val="18"/>
              </w:rPr>
              <w:t>3.Celkové bežné výdavky</w:t>
            </w:r>
          </w:p>
        </w:tc>
        <w:tc>
          <w:tcPr>
            <w:tcW w:w="937" w:type="dxa"/>
            <w:gridSpan w:val="2"/>
            <w:tcBorders>
              <w:top w:val="single" w:sz="4" w:space="0" w:color="auto"/>
              <w:left w:val="nil"/>
              <w:bottom w:val="nil"/>
              <w:right w:val="nil"/>
            </w:tcBorders>
            <w:shd w:val="clear" w:color="auto" w:fill="auto"/>
            <w:vAlign w:val="bottom"/>
            <w:hideMark/>
          </w:tcPr>
          <w:p w14:paraId="63BF7135" w14:textId="77777777" w:rsidR="00C45D5B" w:rsidRPr="00C40945" w:rsidRDefault="00C45D5B" w:rsidP="00CF774B">
            <w:pPr>
              <w:rPr>
                <w:rFonts w:cs="Times New Roman"/>
                <w:b/>
                <w:color w:val="000000"/>
                <w:sz w:val="18"/>
                <w:szCs w:val="18"/>
              </w:rPr>
            </w:pPr>
            <w:r w:rsidRPr="00C40945">
              <w:rPr>
                <w:rFonts w:cs="Times New Roman"/>
                <w:b/>
                <w:color w:val="000000"/>
                <w:sz w:val="18"/>
                <w:szCs w:val="18"/>
              </w:rPr>
              <w:t> </w:t>
            </w:r>
          </w:p>
        </w:tc>
        <w:tc>
          <w:tcPr>
            <w:tcW w:w="931" w:type="dxa"/>
            <w:gridSpan w:val="2"/>
            <w:tcBorders>
              <w:top w:val="single" w:sz="4" w:space="0" w:color="auto"/>
              <w:left w:val="nil"/>
              <w:bottom w:val="nil"/>
              <w:right w:val="nil"/>
            </w:tcBorders>
            <w:shd w:val="clear" w:color="auto" w:fill="auto"/>
            <w:noWrap/>
            <w:vAlign w:val="center"/>
            <w:hideMark/>
          </w:tcPr>
          <w:p w14:paraId="4266E26F" w14:textId="77777777" w:rsidR="00C45D5B" w:rsidRPr="00C40945" w:rsidRDefault="00C45D5B" w:rsidP="00CF774B">
            <w:pPr>
              <w:jc w:val="center"/>
              <w:rPr>
                <w:rFonts w:cs="Times New Roman"/>
                <w:b/>
                <w:color w:val="000000"/>
                <w:sz w:val="18"/>
                <w:szCs w:val="18"/>
              </w:rPr>
            </w:pPr>
          </w:p>
        </w:tc>
        <w:tc>
          <w:tcPr>
            <w:tcW w:w="931" w:type="dxa"/>
            <w:gridSpan w:val="4"/>
            <w:tcBorders>
              <w:top w:val="single" w:sz="4" w:space="0" w:color="auto"/>
              <w:left w:val="nil"/>
              <w:bottom w:val="nil"/>
              <w:right w:val="nil"/>
            </w:tcBorders>
            <w:shd w:val="clear" w:color="auto" w:fill="auto"/>
            <w:noWrap/>
            <w:vAlign w:val="center"/>
            <w:hideMark/>
          </w:tcPr>
          <w:p w14:paraId="0009908C" w14:textId="77777777" w:rsidR="00C45D5B" w:rsidRPr="00C40945" w:rsidRDefault="00C45D5B" w:rsidP="00CF774B">
            <w:pPr>
              <w:jc w:val="center"/>
              <w:rPr>
                <w:rFonts w:cs="Times New Roman"/>
                <w:b/>
                <w:color w:val="000000"/>
                <w:sz w:val="18"/>
                <w:szCs w:val="18"/>
              </w:rPr>
            </w:pPr>
            <w:r>
              <w:rPr>
                <w:b/>
                <w:bCs/>
                <w:color w:val="000000"/>
                <w:sz w:val="18"/>
                <w:szCs w:val="18"/>
              </w:rPr>
              <w:t>0,1</w:t>
            </w:r>
          </w:p>
        </w:tc>
        <w:tc>
          <w:tcPr>
            <w:tcW w:w="931" w:type="dxa"/>
            <w:gridSpan w:val="4"/>
            <w:tcBorders>
              <w:top w:val="single" w:sz="4" w:space="0" w:color="auto"/>
              <w:left w:val="nil"/>
              <w:bottom w:val="nil"/>
              <w:right w:val="nil"/>
            </w:tcBorders>
            <w:shd w:val="clear" w:color="auto" w:fill="auto"/>
            <w:noWrap/>
            <w:vAlign w:val="center"/>
            <w:hideMark/>
          </w:tcPr>
          <w:p w14:paraId="09FB04A2" w14:textId="77777777" w:rsidR="00C45D5B" w:rsidRPr="00C40945" w:rsidRDefault="00C45D5B" w:rsidP="00CF774B">
            <w:pPr>
              <w:jc w:val="center"/>
              <w:rPr>
                <w:rFonts w:cs="Times New Roman"/>
                <w:b/>
                <w:color w:val="000000"/>
                <w:sz w:val="18"/>
                <w:szCs w:val="18"/>
              </w:rPr>
            </w:pPr>
            <w:r>
              <w:rPr>
                <w:b/>
                <w:bCs/>
                <w:color w:val="000000"/>
                <w:sz w:val="18"/>
                <w:szCs w:val="18"/>
              </w:rPr>
              <w:t>0,1</w:t>
            </w:r>
          </w:p>
        </w:tc>
        <w:tc>
          <w:tcPr>
            <w:tcW w:w="932" w:type="dxa"/>
            <w:gridSpan w:val="5"/>
            <w:tcBorders>
              <w:top w:val="single" w:sz="4" w:space="0" w:color="auto"/>
              <w:left w:val="nil"/>
              <w:bottom w:val="nil"/>
              <w:right w:val="nil"/>
            </w:tcBorders>
            <w:shd w:val="clear" w:color="auto" w:fill="auto"/>
            <w:noWrap/>
            <w:vAlign w:val="center"/>
            <w:hideMark/>
          </w:tcPr>
          <w:p w14:paraId="7DED700C" w14:textId="77777777" w:rsidR="00C45D5B" w:rsidRPr="00C40945" w:rsidRDefault="00C45D5B" w:rsidP="00CF774B">
            <w:pPr>
              <w:jc w:val="center"/>
              <w:rPr>
                <w:rFonts w:cs="Times New Roman"/>
                <w:b/>
                <w:color w:val="000000"/>
                <w:sz w:val="18"/>
                <w:szCs w:val="18"/>
              </w:rPr>
            </w:pPr>
            <w:r>
              <w:rPr>
                <w:b/>
                <w:bCs/>
                <w:color w:val="000000"/>
                <w:sz w:val="18"/>
                <w:szCs w:val="18"/>
              </w:rPr>
              <w:t>0,2</w:t>
            </w:r>
          </w:p>
        </w:tc>
        <w:tc>
          <w:tcPr>
            <w:tcW w:w="930" w:type="dxa"/>
            <w:gridSpan w:val="3"/>
            <w:tcBorders>
              <w:top w:val="single" w:sz="4" w:space="0" w:color="auto"/>
              <w:left w:val="nil"/>
              <w:bottom w:val="nil"/>
              <w:right w:val="nil"/>
            </w:tcBorders>
            <w:vAlign w:val="center"/>
          </w:tcPr>
          <w:p w14:paraId="18F088DF" w14:textId="77777777" w:rsidR="00C45D5B" w:rsidRPr="00C40945" w:rsidRDefault="00C45D5B" w:rsidP="00CF774B">
            <w:pPr>
              <w:jc w:val="center"/>
              <w:rPr>
                <w:rFonts w:cs="Times New Roman"/>
                <w:b/>
                <w:color w:val="000000"/>
                <w:sz w:val="18"/>
                <w:szCs w:val="18"/>
              </w:rPr>
            </w:pPr>
            <w:r>
              <w:rPr>
                <w:b/>
                <w:bCs/>
                <w:color w:val="000000"/>
                <w:sz w:val="18"/>
                <w:szCs w:val="18"/>
              </w:rPr>
              <w:t>0,1</w:t>
            </w:r>
          </w:p>
        </w:tc>
      </w:tr>
      <w:tr w:rsidR="00C45D5B" w:rsidRPr="00C40945" w14:paraId="107F6D21" w14:textId="77777777" w:rsidTr="00CF774B">
        <w:trPr>
          <w:gridAfter w:val="2"/>
          <w:wAfter w:w="159" w:type="dxa"/>
          <w:trHeight w:val="238"/>
          <w:jc w:val="center"/>
        </w:trPr>
        <w:tc>
          <w:tcPr>
            <w:tcW w:w="2992" w:type="dxa"/>
            <w:gridSpan w:val="2"/>
            <w:tcBorders>
              <w:top w:val="nil"/>
              <w:left w:val="nil"/>
              <w:bottom w:val="nil"/>
              <w:right w:val="nil"/>
            </w:tcBorders>
            <w:shd w:val="clear" w:color="auto" w:fill="auto"/>
            <w:vAlign w:val="bottom"/>
            <w:hideMark/>
          </w:tcPr>
          <w:p w14:paraId="76BF2240" w14:textId="77777777" w:rsidR="00C45D5B" w:rsidRPr="00C40945" w:rsidRDefault="00C45D5B" w:rsidP="00CF774B">
            <w:pPr>
              <w:rPr>
                <w:rFonts w:cs="Arial"/>
                <w:color w:val="000000"/>
                <w:sz w:val="18"/>
                <w:szCs w:val="18"/>
              </w:rPr>
            </w:pPr>
            <w:r w:rsidRPr="00C40945">
              <w:rPr>
                <w:rFonts w:cs="Arial"/>
                <w:color w:val="000000"/>
                <w:sz w:val="18"/>
                <w:szCs w:val="18"/>
              </w:rPr>
              <w:t>Z toho:</w:t>
            </w:r>
          </w:p>
        </w:tc>
        <w:tc>
          <w:tcPr>
            <w:tcW w:w="952" w:type="dxa"/>
            <w:gridSpan w:val="2"/>
            <w:tcBorders>
              <w:top w:val="nil"/>
              <w:left w:val="nil"/>
              <w:bottom w:val="nil"/>
              <w:right w:val="nil"/>
            </w:tcBorders>
            <w:shd w:val="clear" w:color="auto" w:fill="auto"/>
            <w:vAlign w:val="bottom"/>
            <w:hideMark/>
          </w:tcPr>
          <w:p w14:paraId="1D91D907" w14:textId="77777777" w:rsidR="00C45D5B" w:rsidRPr="00C40945" w:rsidRDefault="00C45D5B" w:rsidP="00CF774B">
            <w:pPr>
              <w:rPr>
                <w:rFonts w:cs="Times New Roman"/>
                <w:color w:val="000000"/>
                <w:sz w:val="18"/>
                <w:szCs w:val="18"/>
              </w:rPr>
            </w:pPr>
            <w:r w:rsidRPr="00C40945">
              <w:rPr>
                <w:rFonts w:cs="Times New Roman"/>
                <w:color w:val="000000"/>
                <w:sz w:val="18"/>
                <w:szCs w:val="18"/>
              </w:rPr>
              <w:t> </w:t>
            </w:r>
          </w:p>
        </w:tc>
        <w:tc>
          <w:tcPr>
            <w:tcW w:w="931" w:type="dxa"/>
            <w:gridSpan w:val="2"/>
            <w:tcBorders>
              <w:top w:val="nil"/>
              <w:left w:val="nil"/>
              <w:bottom w:val="nil"/>
              <w:right w:val="nil"/>
            </w:tcBorders>
            <w:shd w:val="clear" w:color="auto" w:fill="auto"/>
            <w:noWrap/>
            <w:vAlign w:val="center"/>
            <w:hideMark/>
          </w:tcPr>
          <w:p w14:paraId="7F3FAB0B"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4891CC77"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1C5DDAA8" w14:textId="77777777" w:rsidR="00C45D5B" w:rsidRPr="00C40945" w:rsidRDefault="00C45D5B" w:rsidP="00CF774B">
            <w:pPr>
              <w:jc w:val="center"/>
              <w:rPr>
                <w:rFonts w:cs="Times New Roman"/>
                <w:color w:val="000000"/>
                <w:sz w:val="18"/>
                <w:szCs w:val="18"/>
              </w:rPr>
            </w:pPr>
          </w:p>
        </w:tc>
        <w:tc>
          <w:tcPr>
            <w:tcW w:w="931" w:type="dxa"/>
            <w:gridSpan w:val="5"/>
            <w:tcBorders>
              <w:top w:val="nil"/>
              <w:left w:val="nil"/>
              <w:bottom w:val="nil"/>
              <w:right w:val="nil"/>
            </w:tcBorders>
            <w:shd w:val="clear" w:color="auto" w:fill="auto"/>
            <w:noWrap/>
            <w:vAlign w:val="center"/>
            <w:hideMark/>
          </w:tcPr>
          <w:p w14:paraId="579A284F" w14:textId="77777777" w:rsidR="00C45D5B" w:rsidRPr="00C40945" w:rsidRDefault="00C45D5B" w:rsidP="00CF774B">
            <w:pPr>
              <w:jc w:val="center"/>
              <w:rPr>
                <w:rFonts w:cs="Times New Roman"/>
                <w:color w:val="000000"/>
                <w:sz w:val="18"/>
                <w:szCs w:val="18"/>
              </w:rPr>
            </w:pPr>
          </w:p>
        </w:tc>
        <w:tc>
          <w:tcPr>
            <w:tcW w:w="930" w:type="dxa"/>
            <w:gridSpan w:val="3"/>
            <w:tcBorders>
              <w:top w:val="nil"/>
              <w:left w:val="nil"/>
              <w:bottom w:val="nil"/>
              <w:right w:val="nil"/>
            </w:tcBorders>
            <w:vAlign w:val="center"/>
          </w:tcPr>
          <w:p w14:paraId="50095144" w14:textId="77777777" w:rsidR="00C45D5B" w:rsidRPr="00C40945" w:rsidRDefault="00C45D5B" w:rsidP="00CF774B">
            <w:pPr>
              <w:jc w:val="center"/>
              <w:rPr>
                <w:rFonts w:cs="Times New Roman"/>
                <w:color w:val="000000"/>
                <w:sz w:val="18"/>
                <w:szCs w:val="18"/>
              </w:rPr>
            </w:pPr>
          </w:p>
        </w:tc>
      </w:tr>
      <w:tr w:rsidR="00C45D5B" w:rsidRPr="00C40945" w14:paraId="0EE19C85" w14:textId="77777777" w:rsidTr="00CF774B">
        <w:trPr>
          <w:gridAfter w:val="2"/>
          <w:wAfter w:w="159" w:type="dxa"/>
          <w:trHeight w:val="238"/>
          <w:jc w:val="center"/>
        </w:trPr>
        <w:tc>
          <w:tcPr>
            <w:tcW w:w="2992" w:type="dxa"/>
            <w:gridSpan w:val="2"/>
            <w:tcBorders>
              <w:top w:val="nil"/>
              <w:left w:val="nil"/>
              <w:bottom w:val="nil"/>
              <w:right w:val="nil"/>
            </w:tcBorders>
            <w:shd w:val="clear" w:color="auto" w:fill="auto"/>
            <w:vAlign w:val="bottom"/>
            <w:hideMark/>
          </w:tcPr>
          <w:p w14:paraId="038A5326" w14:textId="77777777" w:rsidR="00C45D5B" w:rsidRPr="00C40945" w:rsidRDefault="00C45D5B" w:rsidP="00CF774B">
            <w:pPr>
              <w:rPr>
                <w:rFonts w:cs="Arial"/>
                <w:color w:val="000000"/>
                <w:sz w:val="18"/>
                <w:szCs w:val="18"/>
              </w:rPr>
            </w:pPr>
            <w:r w:rsidRPr="00C40945">
              <w:rPr>
                <w:rFonts w:cs="Arial"/>
                <w:color w:val="000000"/>
                <w:sz w:val="18"/>
                <w:szCs w:val="18"/>
              </w:rPr>
              <w:t>- Odmeny zamestnancov</w:t>
            </w:r>
          </w:p>
        </w:tc>
        <w:tc>
          <w:tcPr>
            <w:tcW w:w="952" w:type="dxa"/>
            <w:gridSpan w:val="2"/>
            <w:tcBorders>
              <w:top w:val="nil"/>
              <w:left w:val="nil"/>
              <w:bottom w:val="nil"/>
              <w:right w:val="nil"/>
            </w:tcBorders>
            <w:shd w:val="clear" w:color="auto" w:fill="auto"/>
            <w:vAlign w:val="bottom"/>
            <w:hideMark/>
          </w:tcPr>
          <w:p w14:paraId="6CA48935" w14:textId="77777777" w:rsidR="00C45D5B" w:rsidRPr="00C40945" w:rsidRDefault="00C45D5B" w:rsidP="00CF774B">
            <w:pPr>
              <w:rPr>
                <w:rFonts w:cs="Times New Roman"/>
                <w:color w:val="000000"/>
                <w:sz w:val="18"/>
                <w:szCs w:val="18"/>
              </w:rPr>
            </w:pPr>
            <w:r w:rsidRPr="00C40945">
              <w:rPr>
                <w:rFonts w:cs="Times New Roman"/>
                <w:color w:val="000000"/>
                <w:sz w:val="18"/>
                <w:szCs w:val="18"/>
              </w:rPr>
              <w:t>D.1</w:t>
            </w:r>
          </w:p>
        </w:tc>
        <w:tc>
          <w:tcPr>
            <w:tcW w:w="931" w:type="dxa"/>
            <w:gridSpan w:val="2"/>
            <w:tcBorders>
              <w:top w:val="nil"/>
              <w:left w:val="nil"/>
              <w:bottom w:val="nil"/>
              <w:right w:val="nil"/>
            </w:tcBorders>
            <w:shd w:val="clear" w:color="auto" w:fill="auto"/>
            <w:noWrap/>
            <w:vAlign w:val="center"/>
          </w:tcPr>
          <w:p w14:paraId="7F309D20" w14:textId="77777777" w:rsidR="00C45D5B" w:rsidRPr="00C40945" w:rsidRDefault="00C45D5B" w:rsidP="00CF774B">
            <w:pPr>
              <w:jc w:val="center"/>
              <w:rPr>
                <w:rFonts w:cs="Times New Roman"/>
                <w:color w:val="A6A6A6" w:themeColor="background1" w:themeShade="A6"/>
                <w:sz w:val="18"/>
                <w:szCs w:val="18"/>
              </w:rPr>
            </w:pPr>
          </w:p>
        </w:tc>
        <w:tc>
          <w:tcPr>
            <w:tcW w:w="931" w:type="dxa"/>
            <w:gridSpan w:val="4"/>
            <w:tcBorders>
              <w:top w:val="nil"/>
              <w:left w:val="nil"/>
              <w:bottom w:val="nil"/>
              <w:right w:val="nil"/>
            </w:tcBorders>
            <w:shd w:val="clear" w:color="auto" w:fill="auto"/>
            <w:noWrap/>
            <w:vAlign w:val="center"/>
          </w:tcPr>
          <w:p w14:paraId="0708E3F7"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0,0</w:t>
            </w:r>
          </w:p>
        </w:tc>
        <w:tc>
          <w:tcPr>
            <w:tcW w:w="931" w:type="dxa"/>
            <w:gridSpan w:val="4"/>
            <w:tcBorders>
              <w:top w:val="nil"/>
              <w:left w:val="nil"/>
              <w:bottom w:val="nil"/>
              <w:right w:val="nil"/>
            </w:tcBorders>
            <w:shd w:val="clear" w:color="auto" w:fill="auto"/>
            <w:noWrap/>
            <w:vAlign w:val="center"/>
          </w:tcPr>
          <w:p w14:paraId="7B1E40A3"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0,0</w:t>
            </w:r>
          </w:p>
        </w:tc>
        <w:tc>
          <w:tcPr>
            <w:tcW w:w="931" w:type="dxa"/>
            <w:gridSpan w:val="5"/>
            <w:tcBorders>
              <w:top w:val="nil"/>
              <w:left w:val="nil"/>
              <w:bottom w:val="nil"/>
              <w:right w:val="nil"/>
            </w:tcBorders>
            <w:shd w:val="clear" w:color="auto" w:fill="auto"/>
            <w:noWrap/>
            <w:vAlign w:val="center"/>
          </w:tcPr>
          <w:p w14:paraId="52A2991C"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0,0</w:t>
            </w:r>
          </w:p>
        </w:tc>
        <w:tc>
          <w:tcPr>
            <w:tcW w:w="930" w:type="dxa"/>
            <w:gridSpan w:val="3"/>
            <w:tcBorders>
              <w:top w:val="nil"/>
              <w:left w:val="nil"/>
              <w:bottom w:val="nil"/>
              <w:right w:val="nil"/>
            </w:tcBorders>
            <w:vAlign w:val="center"/>
          </w:tcPr>
          <w:p w14:paraId="42D8B697"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0,0</w:t>
            </w:r>
          </w:p>
        </w:tc>
      </w:tr>
      <w:tr w:rsidR="00C45D5B" w:rsidRPr="00C40945" w14:paraId="7CF4F60E" w14:textId="77777777" w:rsidTr="00CF774B">
        <w:trPr>
          <w:gridAfter w:val="2"/>
          <w:wAfter w:w="159" w:type="dxa"/>
          <w:trHeight w:val="238"/>
          <w:jc w:val="center"/>
        </w:trPr>
        <w:tc>
          <w:tcPr>
            <w:tcW w:w="2992" w:type="dxa"/>
            <w:gridSpan w:val="2"/>
            <w:tcBorders>
              <w:top w:val="nil"/>
              <w:left w:val="nil"/>
              <w:bottom w:val="nil"/>
              <w:right w:val="nil"/>
            </w:tcBorders>
            <w:shd w:val="clear" w:color="auto" w:fill="auto"/>
            <w:vAlign w:val="bottom"/>
            <w:hideMark/>
          </w:tcPr>
          <w:p w14:paraId="003E4FBF" w14:textId="77777777" w:rsidR="00C45D5B" w:rsidRPr="00C40945" w:rsidRDefault="00C45D5B" w:rsidP="00CF774B">
            <w:pPr>
              <w:rPr>
                <w:rFonts w:cs="Arial"/>
                <w:color w:val="000000"/>
                <w:sz w:val="18"/>
                <w:szCs w:val="18"/>
              </w:rPr>
            </w:pPr>
            <w:r w:rsidRPr="00C40945">
              <w:rPr>
                <w:rFonts w:cs="Arial"/>
                <w:color w:val="000000"/>
                <w:sz w:val="18"/>
                <w:szCs w:val="18"/>
              </w:rPr>
              <w:t>- Medzispotreba</w:t>
            </w:r>
          </w:p>
        </w:tc>
        <w:tc>
          <w:tcPr>
            <w:tcW w:w="952" w:type="dxa"/>
            <w:gridSpan w:val="2"/>
            <w:tcBorders>
              <w:top w:val="nil"/>
              <w:left w:val="nil"/>
              <w:bottom w:val="nil"/>
              <w:right w:val="nil"/>
            </w:tcBorders>
            <w:shd w:val="clear" w:color="auto" w:fill="auto"/>
            <w:vAlign w:val="bottom"/>
            <w:hideMark/>
          </w:tcPr>
          <w:p w14:paraId="7185F30E" w14:textId="77777777" w:rsidR="00C45D5B" w:rsidRPr="00C40945" w:rsidRDefault="00C45D5B" w:rsidP="00CF774B">
            <w:pPr>
              <w:rPr>
                <w:rFonts w:cs="Times New Roman"/>
                <w:color w:val="000000"/>
                <w:sz w:val="18"/>
                <w:szCs w:val="18"/>
              </w:rPr>
            </w:pPr>
            <w:r w:rsidRPr="00C40945">
              <w:rPr>
                <w:rFonts w:cs="Times New Roman"/>
                <w:color w:val="000000"/>
                <w:sz w:val="18"/>
                <w:szCs w:val="18"/>
              </w:rPr>
              <w:t>P.2</w:t>
            </w:r>
          </w:p>
        </w:tc>
        <w:tc>
          <w:tcPr>
            <w:tcW w:w="931" w:type="dxa"/>
            <w:gridSpan w:val="2"/>
            <w:tcBorders>
              <w:top w:val="nil"/>
              <w:left w:val="nil"/>
              <w:bottom w:val="nil"/>
              <w:right w:val="nil"/>
            </w:tcBorders>
            <w:shd w:val="clear" w:color="auto" w:fill="auto"/>
            <w:noWrap/>
            <w:vAlign w:val="center"/>
          </w:tcPr>
          <w:p w14:paraId="3ACA416B" w14:textId="77777777" w:rsidR="00C45D5B" w:rsidRPr="00C40945" w:rsidRDefault="00C45D5B" w:rsidP="00CF774B">
            <w:pPr>
              <w:jc w:val="center"/>
              <w:rPr>
                <w:rFonts w:cs="Times New Roman"/>
                <w:color w:val="A6A6A6" w:themeColor="background1" w:themeShade="A6"/>
                <w:sz w:val="18"/>
                <w:szCs w:val="18"/>
              </w:rPr>
            </w:pPr>
          </w:p>
        </w:tc>
        <w:tc>
          <w:tcPr>
            <w:tcW w:w="931" w:type="dxa"/>
            <w:gridSpan w:val="4"/>
            <w:tcBorders>
              <w:top w:val="nil"/>
              <w:left w:val="nil"/>
              <w:bottom w:val="nil"/>
              <w:right w:val="nil"/>
            </w:tcBorders>
            <w:shd w:val="clear" w:color="auto" w:fill="auto"/>
            <w:noWrap/>
            <w:vAlign w:val="center"/>
          </w:tcPr>
          <w:p w14:paraId="7C3C8C4B"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0,1</w:t>
            </w:r>
          </w:p>
        </w:tc>
        <w:tc>
          <w:tcPr>
            <w:tcW w:w="931" w:type="dxa"/>
            <w:gridSpan w:val="4"/>
            <w:tcBorders>
              <w:top w:val="nil"/>
              <w:left w:val="nil"/>
              <w:bottom w:val="nil"/>
              <w:right w:val="nil"/>
            </w:tcBorders>
            <w:shd w:val="clear" w:color="auto" w:fill="auto"/>
            <w:noWrap/>
            <w:vAlign w:val="center"/>
          </w:tcPr>
          <w:p w14:paraId="39DF2510"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0,1</w:t>
            </w:r>
          </w:p>
        </w:tc>
        <w:tc>
          <w:tcPr>
            <w:tcW w:w="931" w:type="dxa"/>
            <w:gridSpan w:val="5"/>
            <w:tcBorders>
              <w:top w:val="nil"/>
              <w:left w:val="nil"/>
              <w:bottom w:val="nil"/>
              <w:right w:val="nil"/>
            </w:tcBorders>
            <w:shd w:val="clear" w:color="auto" w:fill="auto"/>
            <w:noWrap/>
            <w:vAlign w:val="center"/>
          </w:tcPr>
          <w:p w14:paraId="409DAE8E"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0,1</w:t>
            </w:r>
          </w:p>
        </w:tc>
        <w:tc>
          <w:tcPr>
            <w:tcW w:w="930" w:type="dxa"/>
            <w:gridSpan w:val="3"/>
            <w:tcBorders>
              <w:top w:val="nil"/>
              <w:left w:val="nil"/>
              <w:bottom w:val="nil"/>
              <w:right w:val="nil"/>
            </w:tcBorders>
            <w:vAlign w:val="center"/>
          </w:tcPr>
          <w:p w14:paraId="7C3E4BF5"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0,1</w:t>
            </w:r>
          </w:p>
        </w:tc>
      </w:tr>
      <w:tr w:rsidR="00C45D5B" w:rsidRPr="00C40945" w14:paraId="3E40AF55" w14:textId="77777777" w:rsidTr="00CF774B">
        <w:trPr>
          <w:gridAfter w:val="2"/>
          <w:wAfter w:w="159" w:type="dxa"/>
          <w:trHeight w:val="238"/>
          <w:jc w:val="center"/>
        </w:trPr>
        <w:tc>
          <w:tcPr>
            <w:tcW w:w="2992" w:type="dxa"/>
            <w:gridSpan w:val="2"/>
            <w:tcBorders>
              <w:top w:val="nil"/>
              <w:left w:val="nil"/>
              <w:bottom w:val="nil"/>
              <w:right w:val="nil"/>
            </w:tcBorders>
            <w:shd w:val="clear" w:color="auto" w:fill="auto"/>
            <w:vAlign w:val="bottom"/>
            <w:hideMark/>
          </w:tcPr>
          <w:p w14:paraId="5C906142" w14:textId="77777777" w:rsidR="00C45D5B" w:rsidRPr="00C40945" w:rsidRDefault="00C45D5B" w:rsidP="00CF774B">
            <w:pPr>
              <w:rPr>
                <w:rFonts w:cs="Arial"/>
                <w:color w:val="000000"/>
                <w:sz w:val="18"/>
                <w:szCs w:val="18"/>
              </w:rPr>
            </w:pPr>
            <w:r w:rsidRPr="00C40945">
              <w:rPr>
                <w:rFonts w:cs="Arial"/>
                <w:color w:val="000000"/>
                <w:sz w:val="18"/>
                <w:szCs w:val="18"/>
              </w:rPr>
              <w:t>- Sociálne dávky</w:t>
            </w:r>
          </w:p>
        </w:tc>
        <w:tc>
          <w:tcPr>
            <w:tcW w:w="952" w:type="dxa"/>
            <w:gridSpan w:val="2"/>
            <w:tcBorders>
              <w:top w:val="nil"/>
              <w:left w:val="nil"/>
              <w:bottom w:val="nil"/>
              <w:right w:val="nil"/>
            </w:tcBorders>
            <w:shd w:val="clear" w:color="auto" w:fill="auto"/>
            <w:vAlign w:val="bottom"/>
            <w:hideMark/>
          </w:tcPr>
          <w:p w14:paraId="29F009A7" w14:textId="77777777" w:rsidR="00C45D5B" w:rsidRPr="00C40945" w:rsidRDefault="00C45D5B" w:rsidP="00CF774B">
            <w:pPr>
              <w:rPr>
                <w:rFonts w:cs="Times New Roman"/>
                <w:color w:val="000000"/>
                <w:sz w:val="18"/>
                <w:szCs w:val="18"/>
              </w:rPr>
            </w:pPr>
            <w:r w:rsidRPr="00C40945">
              <w:rPr>
                <w:rFonts w:cs="Times New Roman"/>
                <w:color w:val="000000"/>
                <w:sz w:val="18"/>
                <w:szCs w:val="18"/>
              </w:rPr>
              <w:t>D.62+D.632</w:t>
            </w:r>
          </w:p>
        </w:tc>
        <w:tc>
          <w:tcPr>
            <w:tcW w:w="931" w:type="dxa"/>
            <w:gridSpan w:val="2"/>
            <w:tcBorders>
              <w:top w:val="nil"/>
              <w:left w:val="nil"/>
              <w:bottom w:val="nil"/>
              <w:right w:val="nil"/>
            </w:tcBorders>
            <w:shd w:val="clear" w:color="auto" w:fill="auto"/>
            <w:noWrap/>
            <w:vAlign w:val="center"/>
            <w:hideMark/>
          </w:tcPr>
          <w:p w14:paraId="78AF1BFD"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70D1AE52"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4"/>
            <w:tcBorders>
              <w:top w:val="nil"/>
              <w:left w:val="nil"/>
              <w:bottom w:val="nil"/>
              <w:right w:val="nil"/>
            </w:tcBorders>
            <w:shd w:val="clear" w:color="auto" w:fill="auto"/>
            <w:noWrap/>
            <w:vAlign w:val="center"/>
            <w:hideMark/>
          </w:tcPr>
          <w:p w14:paraId="371971E8"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5"/>
            <w:tcBorders>
              <w:top w:val="nil"/>
              <w:left w:val="nil"/>
              <w:bottom w:val="nil"/>
              <w:right w:val="nil"/>
            </w:tcBorders>
            <w:shd w:val="clear" w:color="auto" w:fill="auto"/>
            <w:noWrap/>
            <w:vAlign w:val="center"/>
            <w:hideMark/>
          </w:tcPr>
          <w:p w14:paraId="66339D55"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0" w:type="dxa"/>
            <w:gridSpan w:val="3"/>
            <w:tcBorders>
              <w:top w:val="nil"/>
              <w:left w:val="nil"/>
              <w:bottom w:val="nil"/>
              <w:right w:val="nil"/>
            </w:tcBorders>
            <w:vAlign w:val="center"/>
          </w:tcPr>
          <w:p w14:paraId="6527ADBA" w14:textId="77777777" w:rsidR="00C45D5B" w:rsidRPr="00C40945" w:rsidRDefault="00C45D5B" w:rsidP="00CF774B">
            <w:pPr>
              <w:jc w:val="center"/>
              <w:rPr>
                <w:rFonts w:cs="Times New Roman"/>
                <w:color w:val="000000"/>
                <w:sz w:val="18"/>
                <w:szCs w:val="18"/>
              </w:rPr>
            </w:pPr>
            <w:r>
              <w:rPr>
                <w:color w:val="000000"/>
                <w:sz w:val="18"/>
                <w:szCs w:val="18"/>
              </w:rPr>
              <w:t>0,0</w:t>
            </w:r>
          </w:p>
        </w:tc>
      </w:tr>
      <w:tr w:rsidR="00C45D5B" w:rsidRPr="00C40945" w14:paraId="77049D28" w14:textId="77777777" w:rsidTr="00CF774B">
        <w:trPr>
          <w:gridAfter w:val="2"/>
          <w:wAfter w:w="159" w:type="dxa"/>
          <w:trHeight w:val="238"/>
          <w:jc w:val="center"/>
        </w:trPr>
        <w:tc>
          <w:tcPr>
            <w:tcW w:w="2992" w:type="dxa"/>
            <w:gridSpan w:val="2"/>
            <w:tcBorders>
              <w:top w:val="nil"/>
              <w:left w:val="nil"/>
              <w:bottom w:val="nil"/>
              <w:right w:val="nil"/>
            </w:tcBorders>
            <w:shd w:val="clear" w:color="auto" w:fill="auto"/>
            <w:vAlign w:val="bottom"/>
            <w:hideMark/>
          </w:tcPr>
          <w:p w14:paraId="529325E5" w14:textId="77777777" w:rsidR="00C45D5B" w:rsidRPr="00C40945" w:rsidRDefault="00C45D5B" w:rsidP="00CF774B">
            <w:pPr>
              <w:rPr>
                <w:rFonts w:cs="Arial"/>
                <w:color w:val="000000"/>
                <w:sz w:val="18"/>
                <w:szCs w:val="18"/>
              </w:rPr>
            </w:pPr>
            <w:r w:rsidRPr="00C40945">
              <w:rPr>
                <w:rFonts w:cs="Arial"/>
                <w:color w:val="000000"/>
                <w:sz w:val="18"/>
                <w:szCs w:val="18"/>
              </w:rPr>
              <w:t>- Úrokové náklady</w:t>
            </w:r>
          </w:p>
        </w:tc>
        <w:tc>
          <w:tcPr>
            <w:tcW w:w="952" w:type="dxa"/>
            <w:gridSpan w:val="2"/>
            <w:tcBorders>
              <w:top w:val="nil"/>
              <w:left w:val="nil"/>
              <w:bottom w:val="nil"/>
              <w:right w:val="nil"/>
            </w:tcBorders>
            <w:shd w:val="clear" w:color="auto" w:fill="auto"/>
            <w:vAlign w:val="bottom"/>
            <w:hideMark/>
          </w:tcPr>
          <w:p w14:paraId="7221B01C" w14:textId="77777777" w:rsidR="00C45D5B" w:rsidRPr="00C40945" w:rsidRDefault="00C45D5B" w:rsidP="00CF774B">
            <w:pPr>
              <w:rPr>
                <w:rFonts w:cs="Times New Roman"/>
                <w:color w:val="000000"/>
                <w:sz w:val="18"/>
                <w:szCs w:val="18"/>
              </w:rPr>
            </w:pPr>
            <w:r w:rsidRPr="00C40945">
              <w:rPr>
                <w:rFonts w:cs="Times New Roman"/>
                <w:color w:val="000000"/>
                <w:sz w:val="18"/>
                <w:szCs w:val="18"/>
              </w:rPr>
              <w:t>D.41</w:t>
            </w:r>
          </w:p>
        </w:tc>
        <w:tc>
          <w:tcPr>
            <w:tcW w:w="931" w:type="dxa"/>
            <w:gridSpan w:val="2"/>
            <w:tcBorders>
              <w:top w:val="nil"/>
              <w:left w:val="nil"/>
              <w:bottom w:val="nil"/>
              <w:right w:val="nil"/>
            </w:tcBorders>
            <w:shd w:val="clear" w:color="auto" w:fill="auto"/>
            <w:noWrap/>
            <w:vAlign w:val="center"/>
            <w:hideMark/>
          </w:tcPr>
          <w:p w14:paraId="116E0DEC"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4618D201"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4"/>
            <w:tcBorders>
              <w:top w:val="nil"/>
              <w:left w:val="nil"/>
              <w:bottom w:val="nil"/>
              <w:right w:val="nil"/>
            </w:tcBorders>
            <w:shd w:val="clear" w:color="auto" w:fill="auto"/>
            <w:noWrap/>
            <w:vAlign w:val="center"/>
            <w:hideMark/>
          </w:tcPr>
          <w:p w14:paraId="413D3DD7"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5"/>
            <w:tcBorders>
              <w:top w:val="nil"/>
              <w:left w:val="nil"/>
              <w:bottom w:val="nil"/>
              <w:right w:val="nil"/>
            </w:tcBorders>
            <w:shd w:val="clear" w:color="auto" w:fill="auto"/>
            <w:noWrap/>
            <w:vAlign w:val="center"/>
            <w:hideMark/>
          </w:tcPr>
          <w:p w14:paraId="657A33E6"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0" w:type="dxa"/>
            <w:gridSpan w:val="3"/>
            <w:tcBorders>
              <w:top w:val="nil"/>
              <w:left w:val="nil"/>
              <w:bottom w:val="nil"/>
              <w:right w:val="nil"/>
            </w:tcBorders>
            <w:vAlign w:val="center"/>
          </w:tcPr>
          <w:p w14:paraId="1C25F3BF" w14:textId="77777777" w:rsidR="00C45D5B" w:rsidRPr="00C40945" w:rsidRDefault="00C45D5B" w:rsidP="00CF774B">
            <w:pPr>
              <w:jc w:val="center"/>
              <w:rPr>
                <w:rFonts w:cs="Times New Roman"/>
                <w:color w:val="000000"/>
                <w:sz w:val="18"/>
                <w:szCs w:val="18"/>
              </w:rPr>
            </w:pPr>
            <w:r>
              <w:rPr>
                <w:color w:val="000000"/>
                <w:sz w:val="18"/>
                <w:szCs w:val="18"/>
              </w:rPr>
              <w:t>0,0</w:t>
            </w:r>
          </w:p>
        </w:tc>
      </w:tr>
      <w:tr w:rsidR="00C45D5B" w:rsidRPr="00C40945" w14:paraId="14045008" w14:textId="77777777" w:rsidTr="00CF774B">
        <w:trPr>
          <w:gridAfter w:val="2"/>
          <w:wAfter w:w="159" w:type="dxa"/>
          <w:trHeight w:val="238"/>
          <w:jc w:val="center"/>
        </w:trPr>
        <w:tc>
          <w:tcPr>
            <w:tcW w:w="2992" w:type="dxa"/>
            <w:gridSpan w:val="2"/>
            <w:tcBorders>
              <w:top w:val="nil"/>
              <w:left w:val="nil"/>
              <w:bottom w:val="nil"/>
              <w:right w:val="nil"/>
            </w:tcBorders>
            <w:shd w:val="clear" w:color="auto" w:fill="auto"/>
            <w:vAlign w:val="bottom"/>
            <w:hideMark/>
          </w:tcPr>
          <w:p w14:paraId="070DFF45" w14:textId="77777777" w:rsidR="00C45D5B" w:rsidRPr="00C40945" w:rsidRDefault="00C45D5B" w:rsidP="00CF774B">
            <w:pPr>
              <w:rPr>
                <w:rFonts w:cs="Arial"/>
                <w:color w:val="000000"/>
                <w:sz w:val="18"/>
                <w:szCs w:val="18"/>
              </w:rPr>
            </w:pPr>
            <w:r w:rsidRPr="00C40945">
              <w:rPr>
                <w:rFonts w:cs="Arial"/>
                <w:color w:val="000000"/>
                <w:sz w:val="18"/>
                <w:szCs w:val="18"/>
              </w:rPr>
              <w:t>- Dotácie</w:t>
            </w:r>
          </w:p>
        </w:tc>
        <w:tc>
          <w:tcPr>
            <w:tcW w:w="952" w:type="dxa"/>
            <w:gridSpan w:val="2"/>
            <w:tcBorders>
              <w:top w:val="nil"/>
              <w:left w:val="nil"/>
              <w:bottom w:val="nil"/>
              <w:right w:val="nil"/>
            </w:tcBorders>
            <w:shd w:val="clear" w:color="auto" w:fill="auto"/>
            <w:vAlign w:val="bottom"/>
            <w:hideMark/>
          </w:tcPr>
          <w:p w14:paraId="3F06B7BC" w14:textId="77777777" w:rsidR="00C45D5B" w:rsidRPr="00C40945" w:rsidRDefault="00C45D5B" w:rsidP="00CF774B">
            <w:pPr>
              <w:rPr>
                <w:rFonts w:cs="Times New Roman"/>
                <w:color w:val="000000"/>
                <w:sz w:val="18"/>
                <w:szCs w:val="18"/>
              </w:rPr>
            </w:pPr>
            <w:r w:rsidRPr="00C40945">
              <w:rPr>
                <w:rFonts w:cs="Times New Roman"/>
                <w:color w:val="000000"/>
                <w:sz w:val="18"/>
                <w:szCs w:val="18"/>
              </w:rPr>
              <w:t>D.3</w:t>
            </w:r>
          </w:p>
        </w:tc>
        <w:tc>
          <w:tcPr>
            <w:tcW w:w="931" w:type="dxa"/>
            <w:gridSpan w:val="2"/>
            <w:tcBorders>
              <w:top w:val="nil"/>
              <w:left w:val="nil"/>
              <w:bottom w:val="nil"/>
              <w:right w:val="nil"/>
            </w:tcBorders>
            <w:shd w:val="clear" w:color="auto" w:fill="auto"/>
            <w:noWrap/>
            <w:vAlign w:val="center"/>
            <w:hideMark/>
          </w:tcPr>
          <w:p w14:paraId="7FC36D93"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074FAF25"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4"/>
            <w:tcBorders>
              <w:top w:val="nil"/>
              <w:left w:val="nil"/>
              <w:bottom w:val="nil"/>
              <w:right w:val="nil"/>
            </w:tcBorders>
            <w:shd w:val="clear" w:color="auto" w:fill="auto"/>
            <w:noWrap/>
            <w:vAlign w:val="center"/>
            <w:hideMark/>
          </w:tcPr>
          <w:p w14:paraId="16FED2F8"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5"/>
            <w:tcBorders>
              <w:top w:val="nil"/>
              <w:left w:val="nil"/>
              <w:bottom w:val="nil"/>
              <w:right w:val="nil"/>
            </w:tcBorders>
            <w:shd w:val="clear" w:color="auto" w:fill="auto"/>
            <w:noWrap/>
            <w:vAlign w:val="center"/>
            <w:hideMark/>
          </w:tcPr>
          <w:p w14:paraId="48F0343B"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0" w:type="dxa"/>
            <w:gridSpan w:val="3"/>
            <w:tcBorders>
              <w:top w:val="nil"/>
              <w:left w:val="nil"/>
              <w:bottom w:val="nil"/>
              <w:right w:val="nil"/>
            </w:tcBorders>
            <w:vAlign w:val="center"/>
          </w:tcPr>
          <w:p w14:paraId="4210A7DB" w14:textId="77777777" w:rsidR="00C45D5B" w:rsidRPr="00C40945" w:rsidRDefault="00C45D5B" w:rsidP="00CF774B">
            <w:pPr>
              <w:jc w:val="center"/>
              <w:rPr>
                <w:rFonts w:cs="Times New Roman"/>
                <w:color w:val="000000"/>
                <w:sz w:val="18"/>
                <w:szCs w:val="18"/>
              </w:rPr>
            </w:pPr>
            <w:r>
              <w:rPr>
                <w:color w:val="000000"/>
                <w:sz w:val="18"/>
                <w:szCs w:val="18"/>
              </w:rPr>
              <w:t>0,0</w:t>
            </w:r>
          </w:p>
        </w:tc>
      </w:tr>
      <w:tr w:rsidR="00C45D5B" w:rsidRPr="00C40945" w14:paraId="7A48DDD4" w14:textId="77777777" w:rsidTr="00CF774B">
        <w:trPr>
          <w:gridAfter w:val="2"/>
          <w:wAfter w:w="159" w:type="dxa"/>
          <w:trHeight w:val="238"/>
          <w:jc w:val="center"/>
        </w:trPr>
        <w:tc>
          <w:tcPr>
            <w:tcW w:w="2992" w:type="dxa"/>
            <w:gridSpan w:val="2"/>
            <w:tcBorders>
              <w:top w:val="nil"/>
              <w:left w:val="nil"/>
              <w:bottom w:val="nil"/>
              <w:right w:val="nil"/>
            </w:tcBorders>
            <w:shd w:val="clear" w:color="auto" w:fill="auto"/>
            <w:vAlign w:val="bottom"/>
            <w:hideMark/>
          </w:tcPr>
          <w:p w14:paraId="047F03B9" w14:textId="77777777" w:rsidR="00C45D5B" w:rsidRPr="00C40945" w:rsidRDefault="00C45D5B" w:rsidP="00CF774B">
            <w:pPr>
              <w:rPr>
                <w:rFonts w:cs="Arial"/>
                <w:color w:val="000000"/>
                <w:sz w:val="18"/>
                <w:szCs w:val="18"/>
              </w:rPr>
            </w:pPr>
            <w:r w:rsidRPr="00C40945">
              <w:rPr>
                <w:rFonts w:cs="Arial"/>
                <w:color w:val="000000"/>
                <w:sz w:val="18"/>
                <w:szCs w:val="18"/>
              </w:rPr>
              <w:t>- Bežné transfery</w:t>
            </w:r>
          </w:p>
        </w:tc>
        <w:tc>
          <w:tcPr>
            <w:tcW w:w="952" w:type="dxa"/>
            <w:gridSpan w:val="2"/>
            <w:tcBorders>
              <w:top w:val="nil"/>
              <w:left w:val="nil"/>
              <w:bottom w:val="nil"/>
              <w:right w:val="nil"/>
            </w:tcBorders>
            <w:shd w:val="clear" w:color="auto" w:fill="auto"/>
            <w:vAlign w:val="bottom"/>
            <w:hideMark/>
          </w:tcPr>
          <w:p w14:paraId="17BE8842" w14:textId="77777777" w:rsidR="00C45D5B" w:rsidRPr="00C40945" w:rsidRDefault="00C45D5B" w:rsidP="00CF774B">
            <w:pPr>
              <w:rPr>
                <w:rFonts w:cs="Times New Roman"/>
                <w:color w:val="000000"/>
                <w:sz w:val="18"/>
                <w:szCs w:val="18"/>
              </w:rPr>
            </w:pPr>
            <w:r w:rsidRPr="00C40945">
              <w:rPr>
                <w:rFonts w:cs="Times New Roman"/>
                <w:color w:val="000000"/>
                <w:sz w:val="18"/>
                <w:szCs w:val="18"/>
              </w:rPr>
              <w:t>D.7</w:t>
            </w:r>
          </w:p>
        </w:tc>
        <w:tc>
          <w:tcPr>
            <w:tcW w:w="931" w:type="dxa"/>
            <w:gridSpan w:val="2"/>
            <w:tcBorders>
              <w:top w:val="nil"/>
              <w:left w:val="nil"/>
              <w:bottom w:val="nil"/>
              <w:right w:val="nil"/>
            </w:tcBorders>
            <w:shd w:val="clear" w:color="auto" w:fill="auto"/>
            <w:noWrap/>
            <w:vAlign w:val="center"/>
            <w:hideMark/>
          </w:tcPr>
          <w:p w14:paraId="037DFA5C"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12FA5F9C"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4"/>
            <w:tcBorders>
              <w:top w:val="nil"/>
              <w:left w:val="nil"/>
              <w:bottom w:val="nil"/>
              <w:right w:val="nil"/>
            </w:tcBorders>
            <w:shd w:val="clear" w:color="auto" w:fill="auto"/>
            <w:noWrap/>
            <w:vAlign w:val="center"/>
            <w:hideMark/>
          </w:tcPr>
          <w:p w14:paraId="2A32A263"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5"/>
            <w:tcBorders>
              <w:top w:val="nil"/>
              <w:left w:val="nil"/>
              <w:bottom w:val="nil"/>
              <w:right w:val="nil"/>
            </w:tcBorders>
            <w:shd w:val="clear" w:color="auto" w:fill="auto"/>
            <w:noWrap/>
            <w:vAlign w:val="center"/>
            <w:hideMark/>
          </w:tcPr>
          <w:p w14:paraId="738C8B13"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0" w:type="dxa"/>
            <w:gridSpan w:val="3"/>
            <w:tcBorders>
              <w:top w:val="nil"/>
              <w:left w:val="nil"/>
              <w:bottom w:val="nil"/>
              <w:right w:val="nil"/>
            </w:tcBorders>
            <w:vAlign w:val="center"/>
          </w:tcPr>
          <w:p w14:paraId="71C0534E" w14:textId="77777777" w:rsidR="00C45D5B" w:rsidRPr="00C40945" w:rsidRDefault="00C45D5B" w:rsidP="00CF774B">
            <w:pPr>
              <w:jc w:val="center"/>
              <w:rPr>
                <w:rFonts w:cs="Times New Roman"/>
                <w:color w:val="000000"/>
                <w:sz w:val="18"/>
                <w:szCs w:val="18"/>
              </w:rPr>
            </w:pPr>
            <w:r>
              <w:rPr>
                <w:color w:val="000000"/>
                <w:sz w:val="18"/>
                <w:szCs w:val="18"/>
              </w:rPr>
              <w:t>0,0</w:t>
            </w:r>
          </w:p>
        </w:tc>
      </w:tr>
      <w:tr w:rsidR="00C45D5B" w:rsidRPr="00C40945" w14:paraId="35509676" w14:textId="77777777" w:rsidTr="00CF774B">
        <w:trPr>
          <w:gridAfter w:val="1"/>
          <w:wAfter w:w="106" w:type="dxa"/>
          <w:trHeight w:val="238"/>
          <w:jc w:val="center"/>
        </w:trPr>
        <w:tc>
          <w:tcPr>
            <w:tcW w:w="3059" w:type="dxa"/>
            <w:gridSpan w:val="3"/>
            <w:tcBorders>
              <w:top w:val="nil"/>
              <w:left w:val="nil"/>
              <w:bottom w:val="nil"/>
              <w:right w:val="nil"/>
            </w:tcBorders>
            <w:shd w:val="clear" w:color="auto" w:fill="auto"/>
            <w:vAlign w:val="bottom"/>
            <w:hideMark/>
          </w:tcPr>
          <w:p w14:paraId="58731004" w14:textId="77777777" w:rsidR="00C45D5B" w:rsidRPr="00C40945" w:rsidRDefault="00C45D5B" w:rsidP="00CF774B">
            <w:pPr>
              <w:rPr>
                <w:rFonts w:cs="Times New Roman"/>
                <w:b/>
                <w:bCs/>
                <w:sz w:val="18"/>
                <w:szCs w:val="18"/>
              </w:rPr>
            </w:pPr>
            <w:r w:rsidRPr="00C40945">
              <w:rPr>
                <w:rFonts w:cs="Times New Roman"/>
                <w:b/>
                <w:bCs/>
                <w:sz w:val="18"/>
                <w:szCs w:val="18"/>
              </w:rPr>
              <w:t>4. Celkové kapitálové výdavky</w:t>
            </w:r>
          </w:p>
        </w:tc>
        <w:tc>
          <w:tcPr>
            <w:tcW w:w="937" w:type="dxa"/>
            <w:gridSpan w:val="2"/>
            <w:tcBorders>
              <w:top w:val="nil"/>
              <w:left w:val="nil"/>
              <w:bottom w:val="nil"/>
              <w:right w:val="nil"/>
            </w:tcBorders>
            <w:shd w:val="clear" w:color="auto" w:fill="auto"/>
            <w:vAlign w:val="center"/>
            <w:hideMark/>
          </w:tcPr>
          <w:p w14:paraId="513A48FC" w14:textId="77777777" w:rsidR="00C45D5B" w:rsidRPr="00C40945" w:rsidRDefault="00C45D5B" w:rsidP="00CF774B">
            <w:pPr>
              <w:jc w:val="center"/>
              <w:rPr>
                <w:rFonts w:cs="Times New Roman"/>
                <w:b/>
                <w:color w:val="000000"/>
                <w:sz w:val="18"/>
                <w:szCs w:val="18"/>
              </w:rPr>
            </w:pPr>
          </w:p>
        </w:tc>
        <w:tc>
          <w:tcPr>
            <w:tcW w:w="931" w:type="dxa"/>
            <w:gridSpan w:val="2"/>
            <w:tcBorders>
              <w:top w:val="nil"/>
              <w:left w:val="nil"/>
              <w:bottom w:val="nil"/>
              <w:right w:val="nil"/>
            </w:tcBorders>
            <w:shd w:val="clear" w:color="auto" w:fill="auto"/>
            <w:noWrap/>
            <w:vAlign w:val="center"/>
            <w:hideMark/>
          </w:tcPr>
          <w:p w14:paraId="440EDC17" w14:textId="77777777" w:rsidR="00C45D5B" w:rsidRPr="00C40945" w:rsidRDefault="00C45D5B" w:rsidP="00CF774B">
            <w:pPr>
              <w:jc w:val="center"/>
              <w:rPr>
                <w:rFonts w:cs="Times New Roman"/>
                <w:b/>
                <w:color w:val="000000"/>
                <w:sz w:val="18"/>
                <w:szCs w:val="18"/>
              </w:rPr>
            </w:pPr>
          </w:p>
        </w:tc>
        <w:tc>
          <w:tcPr>
            <w:tcW w:w="931" w:type="dxa"/>
            <w:gridSpan w:val="4"/>
            <w:tcBorders>
              <w:top w:val="nil"/>
              <w:left w:val="nil"/>
              <w:bottom w:val="nil"/>
              <w:right w:val="nil"/>
            </w:tcBorders>
            <w:shd w:val="clear" w:color="auto" w:fill="auto"/>
            <w:noWrap/>
            <w:vAlign w:val="center"/>
            <w:hideMark/>
          </w:tcPr>
          <w:p w14:paraId="091E3174" w14:textId="77777777" w:rsidR="00C45D5B" w:rsidRPr="00C40945" w:rsidRDefault="00C45D5B" w:rsidP="00CF774B">
            <w:pPr>
              <w:jc w:val="center"/>
              <w:rPr>
                <w:rFonts w:cs="Times New Roman"/>
                <w:b/>
                <w:sz w:val="18"/>
                <w:szCs w:val="18"/>
              </w:rPr>
            </w:pPr>
            <w:r>
              <w:rPr>
                <w:b/>
                <w:bCs/>
                <w:color w:val="000000"/>
                <w:sz w:val="18"/>
                <w:szCs w:val="18"/>
              </w:rPr>
              <w:t>0,6</w:t>
            </w:r>
          </w:p>
        </w:tc>
        <w:tc>
          <w:tcPr>
            <w:tcW w:w="931" w:type="dxa"/>
            <w:gridSpan w:val="4"/>
            <w:tcBorders>
              <w:top w:val="nil"/>
              <w:left w:val="nil"/>
              <w:bottom w:val="nil"/>
              <w:right w:val="nil"/>
            </w:tcBorders>
            <w:shd w:val="clear" w:color="auto" w:fill="auto"/>
            <w:noWrap/>
            <w:vAlign w:val="center"/>
            <w:hideMark/>
          </w:tcPr>
          <w:p w14:paraId="665BF379" w14:textId="77777777" w:rsidR="00C45D5B" w:rsidRPr="00C40945" w:rsidRDefault="00C45D5B" w:rsidP="00CF774B">
            <w:pPr>
              <w:jc w:val="center"/>
              <w:rPr>
                <w:rFonts w:cs="Times New Roman"/>
                <w:b/>
                <w:sz w:val="18"/>
                <w:szCs w:val="18"/>
              </w:rPr>
            </w:pPr>
            <w:r>
              <w:rPr>
                <w:b/>
                <w:bCs/>
                <w:color w:val="000000"/>
                <w:sz w:val="18"/>
                <w:szCs w:val="18"/>
              </w:rPr>
              <w:t>0,7</w:t>
            </w:r>
          </w:p>
        </w:tc>
        <w:tc>
          <w:tcPr>
            <w:tcW w:w="932" w:type="dxa"/>
            <w:gridSpan w:val="5"/>
            <w:tcBorders>
              <w:top w:val="nil"/>
              <w:left w:val="nil"/>
              <w:bottom w:val="nil"/>
              <w:right w:val="nil"/>
            </w:tcBorders>
            <w:shd w:val="clear" w:color="auto" w:fill="auto"/>
            <w:noWrap/>
            <w:vAlign w:val="center"/>
            <w:hideMark/>
          </w:tcPr>
          <w:p w14:paraId="70985BF8" w14:textId="77777777" w:rsidR="00C45D5B" w:rsidRPr="00C40945" w:rsidRDefault="00C45D5B" w:rsidP="00CF774B">
            <w:pPr>
              <w:jc w:val="center"/>
              <w:rPr>
                <w:rFonts w:cs="Times New Roman"/>
                <w:b/>
                <w:sz w:val="18"/>
                <w:szCs w:val="18"/>
              </w:rPr>
            </w:pPr>
            <w:r>
              <w:rPr>
                <w:b/>
                <w:bCs/>
                <w:color w:val="000000"/>
                <w:sz w:val="18"/>
                <w:szCs w:val="18"/>
              </w:rPr>
              <w:t>0,5</w:t>
            </w:r>
          </w:p>
        </w:tc>
        <w:tc>
          <w:tcPr>
            <w:tcW w:w="930" w:type="dxa"/>
            <w:gridSpan w:val="3"/>
            <w:tcBorders>
              <w:top w:val="nil"/>
              <w:left w:val="nil"/>
              <w:bottom w:val="nil"/>
              <w:right w:val="nil"/>
            </w:tcBorders>
            <w:vAlign w:val="center"/>
          </w:tcPr>
          <w:p w14:paraId="200D3254" w14:textId="77777777" w:rsidR="00C45D5B" w:rsidRPr="00C40945" w:rsidRDefault="00C45D5B" w:rsidP="00CF774B">
            <w:pPr>
              <w:jc w:val="center"/>
              <w:rPr>
                <w:rFonts w:cs="Times New Roman"/>
                <w:b/>
                <w:sz w:val="18"/>
                <w:szCs w:val="18"/>
              </w:rPr>
            </w:pPr>
            <w:r>
              <w:rPr>
                <w:b/>
                <w:bCs/>
                <w:color w:val="000000"/>
                <w:sz w:val="18"/>
                <w:szCs w:val="18"/>
              </w:rPr>
              <w:t>0,3</w:t>
            </w:r>
          </w:p>
        </w:tc>
      </w:tr>
      <w:tr w:rsidR="00C45D5B" w:rsidRPr="00C40945" w14:paraId="7C233512" w14:textId="77777777" w:rsidTr="00CF774B">
        <w:trPr>
          <w:gridAfter w:val="1"/>
          <w:wAfter w:w="106" w:type="dxa"/>
          <w:trHeight w:val="238"/>
          <w:jc w:val="center"/>
        </w:trPr>
        <w:tc>
          <w:tcPr>
            <w:tcW w:w="3059" w:type="dxa"/>
            <w:gridSpan w:val="3"/>
            <w:tcBorders>
              <w:top w:val="nil"/>
              <w:left w:val="nil"/>
              <w:bottom w:val="nil"/>
              <w:right w:val="nil"/>
            </w:tcBorders>
            <w:shd w:val="clear" w:color="auto" w:fill="auto"/>
            <w:vAlign w:val="bottom"/>
            <w:hideMark/>
          </w:tcPr>
          <w:p w14:paraId="6FA8ED74" w14:textId="77777777" w:rsidR="00C45D5B" w:rsidRPr="00C40945" w:rsidRDefault="00C45D5B" w:rsidP="00CF774B">
            <w:pPr>
              <w:rPr>
                <w:rFonts w:cs="Arial"/>
                <w:color w:val="000000"/>
                <w:sz w:val="18"/>
                <w:szCs w:val="18"/>
              </w:rPr>
            </w:pPr>
            <w:r w:rsidRPr="00C40945">
              <w:rPr>
                <w:rFonts w:cs="Arial"/>
                <w:color w:val="000000"/>
                <w:sz w:val="18"/>
                <w:szCs w:val="18"/>
              </w:rPr>
              <w:t>z toho:</w:t>
            </w:r>
          </w:p>
        </w:tc>
        <w:tc>
          <w:tcPr>
            <w:tcW w:w="937" w:type="dxa"/>
            <w:gridSpan w:val="2"/>
            <w:tcBorders>
              <w:top w:val="nil"/>
              <w:left w:val="nil"/>
              <w:bottom w:val="nil"/>
              <w:right w:val="nil"/>
            </w:tcBorders>
            <w:shd w:val="clear" w:color="auto" w:fill="auto"/>
            <w:vAlign w:val="bottom"/>
            <w:hideMark/>
          </w:tcPr>
          <w:p w14:paraId="3EAA6B02" w14:textId="77777777" w:rsidR="00C45D5B" w:rsidRPr="00C40945" w:rsidRDefault="00C45D5B" w:rsidP="00CF774B">
            <w:pPr>
              <w:rPr>
                <w:rFonts w:cs="Times New Roman"/>
                <w:color w:val="000000"/>
                <w:sz w:val="18"/>
                <w:szCs w:val="18"/>
              </w:rPr>
            </w:pPr>
            <w:r w:rsidRPr="00C40945">
              <w:rPr>
                <w:rFonts w:cs="Times New Roman"/>
                <w:color w:val="000000"/>
                <w:sz w:val="18"/>
                <w:szCs w:val="18"/>
              </w:rPr>
              <w:t> </w:t>
            </w:r>
          </w:p>
        </w:tc>
        <w:tc>
          <w:tcPr>
            <w:tcW w:w="931" w:type="dxa"/>
            <w:gridSpan w:val="2"/>
            <w:tcBorders>
              <w:top w:val="nil"/>
              <w:left w:val="nil"/>
              <w:bottom w:val="nil"/>
              <w:right w:val="nil"/>
            </w:tcBorders>
            <w:shd w:val="clear" w:color="auto" w:fill="auto"/>
            <w:noWrap/>
            <w:vAlign w:val="center"/>
            <w:hideMark/>
          </w:tcPr>
          <w:p w14:paraId="2AD80CE9"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3D7410AD"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28B08202" w14:textId="77777777" w:rsidR="00C45D5B" w:rsidRPr="00C40945" w:rsidRDefault="00C45D5B" w:rsidP="00CF774B">
            <w:pPr>
              <w:jc w:val="center"/>
              <w:rPr>
                <w:rFonts w:cs="Times New Roman"/>
                <w:color w:val="000000"/>
                <w:sz w:val="18"/>
                <w:szCs w:val="18"/>
              </w:rPr>
            </w:pPr>
          </w:p>
        </w:tc>
        <w:tc>
          <w:tcPr>
            <w:tcW w:w="932" w:type="dxa"/>
            <w:gridSpan w:val="5"/>
            <w:tcBorders>
              <w:top w:val="nil"/>
              <w:left w:val="nil"/>
              <w:bottom w:val="nil"/>
              <w:right w:val="nil"/>
            </w:tcBorders>
            <w:shd w:val="clear" w:color="auto" w:fill="auto"/>
            <w:noWrap/>
            <w:vAlign w:val="center"/>
            <w:hideMark/>
          </w:tcPr>
          <w:p w14:paraId="1678534E" w14:textId="77777777" w:rsidR="00C45D5B" w:rsidRPr="00C40945" w:rsidRDefault="00C45D5B" w:rsidP="00CF774B">
            <w:pPr>
              <w:jc w:val="center"/>
              <w:rPr>
                <w:rFonts w:cs="Times New Roman"/>
                <w:color w:val="000000"/>
                <w:sz w:val="18"/>
                <w:szCs w:val="18"/>
              </w:rPr>
            </w:pPr>
          </w:p>
        </w:tc>
        <w:tc>
          <w:tcPr>
            <w:tcW w:w="930" w:type="dxa"/>
            <w:gridSpan w:val="3"/>
            <w:tcBorders>
              <w:top w:val="nil"/>
              <w:left w:val="nil"/>
              <w:bottom w:val="nil"/>
              <w:right w:val="nil"/>
            </w:tcBorders>
            <w:vAlign w:val="center"/>
          </w:tcPr>
          <w:p w14:paraId="2120A33E" w14:textId="77777777" w:rsidR="00C45D5B" w:rsidRPr="00C40945" w:rsidRDefault="00C45D5B" w:rsidP="00CF774B">
            <w:pPr>
              <w:jc w:val="center"/>
              <w:rPr>
                <w:rFonts w:cs="Times New Roman"/>
                <w:color w:val="000000"/>
                <w:sz w:val="18"/>
                <w:szCs w:val="18"/>
              </w:rPr>
            </w:pPr>
          </w:p>
        </w:tc>
      </w:tr>
      <w:tr w:rsidR="00C45D5B" w:rsidRPr="00C40945" w14:paraId="0457A2C4" w14:textId="77777777" w:rsidTr="00CF774B">
        <w:trPr>
          <w:gridAfter w:val="1"/>
          <w:wAfter w:w="106" w:type="dxa"/>
          <w:trHeight w:val="238"/>
          <w:jc w:val="center"/>
        </w:trPr>
        <w:tc>
          <w:tcPr>
            <w:tcW w:w="3059" w:type="dxa"/>
            <w:gridSpan w:val="3"/>
            <w:tcBorders>
              <w:top w:val="nil"/>
              <w:left w:val="nil"/>
              <w:bottom w:val="nil"/>
              <w:right w:val="nil"/>
            </w:tcBorders>
            <w:shd w:val="clear" w:color="auto" w:fill="auto"/>
            <w:vAlign w:val="bottom"/>
            <w:hideMark/>
          </w:tcPr>
          <w:p w14:paraId="6DB7F28A" w14:textId="77777777" w:rsidR="00C45D5B" w:rsidRPr="00C40945" w:rsidRDefault="00C45D5B" w:rsidP="00CF774B">
            <w:pPr>
              <w:rPr>
                <w:rFonts w:cs="Times New Roman"/>
                <w:bCs/>
                <w:sz w:val="18"/>
                <w:szCs w:val="18"/>
              </w:rPr>
            </w:pPr>
            <w:r w:rsidRPr="00C40945">
              <w:rPr>
                <w:rFonts w:cs="Times New Roman"/>
                <w:bCs/>
                <w:sz w:val="18"/>
                <w:szCs w:val="18"/>
              </w:rPr>
              <w:t>- Tvorba hrubého fixného kapitálu</w:t>
            </w:r>
          </w:p>
        </w:tc>
        <w:tc>
          <w:tcPr>
            <w:tcW w:w="937" w:type="dxa"/>
            <w:gridSpan w:val="2"/>
            <w:tcBorders>
              <w:top w:val="nil"/>
              <w:left w:val="nil"/>
              <w:bottom w:val="nil"/>
              <w:right w:val="nil"/>
            </w:tcBorders>
            <w:shd w:val="clear" w:color="auto" w:fill="auto"/>
            <w:vAlign w:val="bottom"/>
            <w:hideMark/>
          </w:tcPr>
          <w:p w14:paraId="44E093D7" w14:textId="77777777" w:rsidR="00C45D5B" w:rsidRPr="00C40945" w:rsidRDefault="00C45D5B" w:rsidP="00CF774B">
            <w:pPr>
              <w:rPr>
                <w:rFonts w:cs="Times New Roman"/>
                <w:color w:val="000000"/>
                <w:sz w:val="18"/>
                <w:szCs w:val="18"/>
              </w:rPr>
            </w:pPr>
            <w:r w:rsidRPr="00C40945">
              <w:rPr>
                <w:rFonts w:cs="Times New Roman"/>
                <w:color w:val="000000"/>
                <w:sz w:val="18"/>
                <w:szCs w:val="18"/>
              </w:rPr>
              <w:t>P.51g</w:t>
            </w:r>
          </w:p>
        </w:tc>
        <w:tc>
          <w:tcPr>
            <w:tcW w:w="931" w:type="dxa"/>
            <w:gridSpan w:val="2"/>
            <w:tcBorders>
              <w:top w:val="nil"/>
              <w:left w:val="nil"/>
              <w:bottom w:val="nil"/>
              <w:right w:val="nil"/>
            </w:tcBorders>
            <w:shd w:val="clear" w:color="auto" w:fill="auto"/>
            <w:noWrap/>
            <w:vAlign w:val="center"/>
          </w:tcPr>
          <w:p w14:paraId="769474BF" w14:textId="77777777" w:rsidR="00C45D5B" w:rsidRPr="00C40945" w:rsidRDefault="00C45D5B" w:rsidP="00CF774B">
            <w:pPr>
              <w:jc w:val="center"/>
              <w:rPr>
                <w:rFonts w:cs="Times New Roman"/>
                <w:color w:val="A6A6A6" w:themeColor="background1" w:themeShade="A6"/>
                <w:sz w:val="18"/>
                <w:szCs w:val="18"/>
              </w:rPr>
            </w:pPr>
          </w:p>
        </w:tc>
        <w:tc>
          <w:tcPr>
            <w:tcW w:w="931" w:type="dxa"/>
            <w:gridSpan w:val="4"/>
            <w:tcBorders>
              <w:top w:val="nil"/>
              <w:left w:val="nil"/>
              <w:bottom w:val="nil"/>
              <w:right w:val="nil"/>
            </w:tcBorders>
            <w:shd w:val="clear" w:color="auto" w:fill="auto"/>
            <w:noWrap/>
            <w:vAlign w:val="center"/>
          </w:tcPr>
          <w:p w14:paraId="384FB4D4"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0,6</w:t>
            </w:r>
          </w:p>
        </w:tc>
        <w:tc>
          <w:tcPr>
            <w:tcW w:w="931" w:type="dxa"/>
            <w:gridSpan w:val="4"/>
            <w:tcBorders>
              <w:top w:val="nil"/>
              <w:left w:val="nil"/>
              <w:bottom w:val="nil"/>
              <w:right w:val="nil"/>
            </w:tcBorders>
            <w:shd w:val="clear" w:color="auto" w:fill="auto"/>
            <w:noWrap/>
            <w:vAlign w:val="center"/>
          </w:tcPr>
          <w:p w14:paraId="64D90327"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0,7</w:t>
            </w:r>
          </w:p>
        </w:tc>
        <w:tc>
          <w:tcPr>
            <w:tcW w:w="932" w:type="dxa"/>
            <w:gridSpan w:val="5"/>
            <w:tcBorders>
              <w:top w:val="nil"/>
              <w:left w:val="nil"/>
              <w:bottom w:val="nil"/>
              <w:right w:val="nil"/>
            </w:tcBorders>
            <w:shd w:val="clear" w:color="auto" w:fill="auto"/>
            <w:noWrap/>
            <w:vAlign w:val="center"/>
          </w:tcPr>
          <w:p w14:paraId="745ADCB6"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0,5</w:t>
            </w:r>
          </w:p>
        </w:tc>
        <w:tc>
          <w:tcPr>
            <w:tcW w:w="930" w:type="dxa"/>
            <w:gridSpan w:val="3"/>
            <w:tcBorders>
              <w:top w:val="nil"/>
              <w:left w:val="nil"/>
              <w:bottom w:val="nil"/>
              <w:right w:val="nil"/>
            </w:tcBorders>
            <w:vAlign w:val="center"/>
          </w:tcPr>
          <w:p w14:paraId="5CD22162" w14:textId="77777777" w:rsidR="00C45D5B" w:rsidRPr="00C40945" w:rsidRDefault="00C45D5B" w:rsidP="00CF774B">
            <w:pPr>
              <w:jc w:val="center"/>
              <w:rPr>
                <w:rFonts w:cs="Times New Roman"/>
                <w:color w:val="A6A6A6" w:themeColor="background1" w:themeShade="A6"/>
                <w:sz w:val="18"/>
                <w:szCs w:val="18"/>
              </w:rPr>
            </w:pPr>
            <w:r>
              <w:rPr>
                <w:color w:val="000000"/>
                <w:sz w:val="18"/>
                <w:szCs w:val="18"/>
              </w:rPr>
              <w:t>0,3</w:t>
            </w:r>
          </w:p>
        </w:tc>
      </w:tr>
      <w:tr w:rsidR="00C45D5B" w:rsidRPr="00C40945" w14:paraId="67F9F911" w14:textId="77777777" w:rsidTr="00CF774B">
        <w:trPr>
          <w:gridAfter w:val="1"/>
          <w:wAfter w:w="106" w:type="dxa"/>
          <w:trHeight w:val="238"/>
          <w:jc w:val="center"/>
        </w:trPr>
        <w:tc>
          <w:tcPr>
            <w:tcW w:w="3059" w:type="dxa"/>
            <w:gridSpan w:val="3"/>
            <w:tcBorders>
              <w:top w:val="nil"/>
              <w:left w:val="nil"/>
              <w:bottom w:val="nil"/>
              <w:right w:val="nil"/>
            </w:tcBorders>
            <w:shd w:val="clear" w:color="auto" w:fill="auto"/>
            <w:vAlign w:val="bottom"/>
            <w:hideMark/>
          </w:tcPr>
          <w:p w14:paraId="310BFDD7" w14:textId="77777777" w:rsidR="00C45D5B" w:rsidRPr="00C40945" w:rsidRDefault="00C45D5B" w:rsidP="00CF774B">
            <w:pPr>
              <w:rPr>
                <w:rFonts w:cs="Times New Roman"/>
                <w:bCs/>
                <w:sz w:val="18"/>
                <w:szCs w:val="18"/>
              </w:rPr>
            </w:pPr>
            <w:r w:rsidRPr="00C40945">
              <w:rPr>
                <w:rFonts w:cs="Times New Roman"/>
                <w:bCs/>
                <w:sz w:val="18"/>
                <w:szCs w:val="18"/>
              </w:rPr>
              <w:t>- Kapitálové transfery</w:t>
            </w:r>
          </w:p>
        </w:tc>
        <w:tc>
          <w:tcPr>
            <w:tcW w:w="937" w:type="dxa"/>
            <w:gridSpan w:val="2"/>
            <w:tcBorders>
              <w:top w:val="nil"/>
              <w:left w:val="nil"/>
              <w:bottom w:val="nil"/>
              <w:right w:val="nil"/>
            </w:tcBorders>
            <w:shd w:val="clear" w:color="auto" w:fill="auto"/>
            <w:vAlign w:val="bottom"/>
            <w:hideMark/>
          </w:tcPr>
          <w:p w14:paraId="3415E345" w14:textId="77777777" w:rsidR="00C45D5B" w:rsidRPr="00C40945" w:rsidRDefault="00C45D5B" w:rsidP="00CF774B">
            <w:pPr>
              <w:rPr>
                <w:rFonts w:cs="Times New Roman"/>
                <w:color w:val="000000"/>
                <w:sz w:val="18"/>
                <w:szCs w:val="18"/>
              </w:rPr>
            </w:pPr>
            <w:r w:rsidRPr="00C40945">
              <w:rPr>
                <w:rFonts w:cs="Times New Roman"/>
                <w:color w:val="000000"/>
                <w:sz w:val="18"/>
                <w:szCs w:val="18"/>
              </w:rPr>
              <w:t>D.9</w:t>
            </w:r>
          </w:p>
        </w:tc>
        <w:tc>
          <w:tcPr>
            <w:tcW w:w="931" w:type="dxa"/>
            <w:gridSpan w:val="2"/>
            <w:tcBorders>
              <w:top w:val="nil"/>
              <w:left w:val="nil"/>
              <w:bottom w:val="nil"/>
              <w:right w:val="nil"/>
            </w:tcBorders>
            <w:shd w:val="clear" w:color="auto" w:fill="auto"/>
            <w:noWrap/>
            <w:vAlign w:val="center"/>
            <w:hideMark/>
          </w:tcPr>
          <w:p w14:paraId="46BC9074"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4AFE896F"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1" w:type="dxa"/>
            <w:gridSpan w:val="4"/>
            <w:tcBorders>
              <w:top w:val="nil"/>
              <w:left w:val="nil"/>
              <w:bottom w:val="nil"/>
              <w:right w:val="nil"/>
            </w:tcBorders>
            <w:shd w:val="clear" w:color="auto" w:fill="auto"/>
            <w:noWrap/>
            <w:vAlign w:val="center"/>
            <w:hideMark/>
          </w:tcPr>
          <w:p w14:paraId="21EB3241"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2" w:type="dxa"/>
            <w:gridSpan w:val="5"/>
            <w:tcBorders>
              <w:top w:val="nil"/>
              <w:left w:val="nil"/>
              <w:bottom w:val="nil"/>
              <w:right w:val="nil"/>
            </w:tcBorders>
            <w:shd w:val="clear" w:color="auto" w:fill="auto"/>
            <w:noWrap/>
            <w:vAlign w:val="center"/>
            <w:hideMark/>
          </w:tcPr>
          <w:p w14:paraId="56F3B3AA" w14:textId="77777777" w:rsidR="00C45D5B" w:rsidRPr="00C40945" w:rsidRDefault="00C45D5B" w:rsidP="00CF774B">
            <w:pPr>
              <w:jc w:val="center"/>
              <w:rPr>
                <w:rFonts w:cs="Times New Roman"/>
                <w:color w:val="000000"/>
                <w:sz w:val="18"/>
                <w:szCs w:val="18"/>
              </w:rPr>
            </w:pPr>
            <w:r>
              <w:rPr>
                <w:color w:val="000000"/>
                <w:sz w:val="18"/>
                <w:szCs w:val="18"/>
              </w:rPr>
              <w:t>0,0</w:t>
            </w:r>
          </w:p>
        </w:tc>
        <w:tc>
          <w:tcPr>
            <w:tcW w:w="930" w:type="dxa"/>
            <w:gridSpan w:val="3"/>
            <w:tcBorders>
              <w:top w:val="nil"/>
              <w:left w:val="nil"/>
              <w:bottom w:val="nil"/>
              <w:right w:val="nil"/>
            </w:tcBorders>
            <w:vAlign w:val="center"/>
          </w:tcPr>
          <w:p w14:paraId="5E40689B" w14:textId="77777777" w:rsidR="00C45D5B" w:rsidRPr="00C40945" w:rsidRDefault="00C45D5B" w:rsidP="00CF774B">
            <w:pPr>
              <w:jc w:val="center"/>
              <w:rPr>
                <w:rFonts w:cs="Times New Roman"/>
                <w:color w:val="000000"/>
                <w:sz w:val="18"/>
                <w:szCs w:val="18"/>
              </w:rPr>
            </w:pPr>
            <w:r>
              <w:rPr>
                <w:color w:val="000000"/>
                <w:sz w:val="18"/>
                <w:szCs w:val="18"/>
              </w:rPr>
              <w:t>0,0</w:t>
            </w:r>
          </w:p>
        </w:tc>
      </w:tr>
      <w:tr w:rsidR="00C45D5B" w:rsidRPr="00C40945" w14:paraId="4B9D0931" w14:textId="77777777" w:rsidTr="00CF774B">
        <w:trPr>
          <w:gridAfter w:val="1"/>
          <w:wAfter w:w="106" w:type="dxa"/>
          <w:trHeight w:val="238"/>
          <w:jc w:val="center"/>
        </w:trPr>
        <w:tc>
          <w:tcPr>
            <w:tcW w:w="3059" w:type="dxa"/>
            <w:gridSpan w:val="3"/>
            <w:tcBorders>
              <w:top w:val="nil"/>
              <w:left w:val="nil"/>
              <w:bottom w:val="nil"/>
              <w:right w:val="nil"/>
            </w:tcBorders>
            <w:shd w:val="clear" w:color="auto" w:fill="auto"/>
            <w:vAlign w:val="bottom"/>
            <w:hideMark/>
          </w:tcPr>
          <w:p w14:paraId="7BD4FD8E" w14:textId="77777777" w:rsidR="00C45D5B" w:rsidRPr="00C40945" w:rsidRDefault="00C45D5B" w:rsidP="00CF774B">
            <w:pPr>
              <w:rPr>
                <w:rFonts w:cs="Times New Roman"/>
                <w:bCs/>
                <w:sz w:val="18"/>
                <w:szCs w:val="18"/>
              </w:rPr>
            </w:pPr>
            <w:r w:rsidRPr="00C40945">
              <w:rPr>
                <w:rFonts w:cs="Times New Roman"/>
                <w:bCs/>
                <w:sz w:val="18"/>
                <w:szCs w:val="18"/>
              </w:rPr>
              <w:t>Iné výdavky financované z grantu</w:t>
            </w:r>
          </w:p>
        </w:tc>
        <w:tc>
          <w:tcPr>
            <w:tcW w:w="937" w:type="dxa"/>
            <w:gridSpan w:val="2"/>
            <w:tcBorders>
              <w:top w:val="nil"/>
              <w:left w:val="nil"/>
              <w:bottom w:val="nil"/>
              <w:right w:val="nil"/>
            </w:tcBorders>
            <w:shd w:val="clear" w:color="auto" w:fill="auto"/>
            <w:vAlign w:val="bottom"/>
            <w:hideMark/>
          </w:tcPr>
          <w:p w14:paraId="35101E82" w14:textId="77777777" w:rsidR="00C45D5B" w:rsidRPr="00C40945" w:rsidRDefault="00C45D5B" w:rsidP="00CF774B">
            <w:pPr>
              <w:rPr>
                <w:rFonts w:cs="Times New Roman"/>
                <w:color w:val="000000"/>
                <w:sz w:val="18"/>
                <w:szCs w:val="18"/>
              </w:rPr>
            </w:pPr>
            <w:r w:rsidRPr="00C40945">
              <w:rPr>
                <w:rFonts w:cs="Times New Roman"/>
                <w:color w:val="000000"/>
                <w:sz w:val="18"/>
                <w:szCs w:val="18"/>
              </w:rPr>
              <w:t> </w:t>
            </w:r>
          </w:p>
        </w:tc>
        <w:tc>
          <w:tcPr>
            <w:tcW w:w="931" w:type="dxa"/>
            <w:gridSpan w:val="2"/>
            <w:tcBorders>
              <w:top w:val="nil"/>
              <w:left w:val="nil"/>
              <w:bottom w:val="nil"/>
              <w:right w:val="nil"/>
            </w:tcBorders>
            <w:shd w:val="clear" w:color="auto" w:fill="auto"/>
            <w:noWrap/>
            <w:vAlign w:val="center"/>
            <w:hideMark/>
          </w:tcPr>
          <w:p w14:paraId="466F26AF"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312BF007" w14:textId="77777777" w:rsidR="00C45D5B" w:rsidRPr="00C40945" w:rsidRDefault="00C45D5B" w:rsidP="00CF774B">
            <w:pPr>
              <w:jc w:val="center"/>
              <w:rPr>
                <w:rFonts w:cs="Times New Roman"/>
                <w:color w:val="000000"/>
                <w:sz w:val="18"/>
                <w:szCs w:val="18"/>
              </w:rPr>
            </w:pPr>
          </w:p>
        </w:tc>
        <w:tc>
          <w:tcPr>
            <w:tcW w:w="931" w:type="dxa"/>
            <w:gridSpan w:val="4"/>
            <w:tcBorders>
              <w:top w:val="nil"/>
              <w:left w:val="nil"/>
              <w:bottom w:val="nil"/>
              <w:right w:val="nil"/>
            </w:tcBorders>
            <w:shd w:val="clear" w:color="auto" w:fill="auto"/>
            <w:noWrap/>
            <w:vAlign w:val="center"/>
            <w:hideMark/>
          </w:tcPr>
          <w:p w14:paraId="7DA3F7F5" w14:textId="77777777" w:rsidR="00C45D5B" w:rsidRPr="00C40945" w:rsidRDefault="00C45D5B" w:rsidP="00CF774B">
            <w:pPr>
              <w:jc w:val="center"/>
              <w:rPr>
                <w:rFonts w:cs="Times New Roman"/>
                <w:color w:val="000000"/>
                <w:sz w:val="18"/>
                <w:szCs w:val="18"/>
              </w:rPr>
            </w:pPr>
          </w:p>
        </w:tc>
        <w:tc>
          <w:tcPr>
            <w:tcW w:w="932" w:type="dxa"/>
            <w:gridSpan w:val="5"/>
            <w:tcBorders>
              <w:top w:val="nil"/>
              <w:left w:val="nil"/>
              <w:bottom w:val="nil"/>
              <w:right w:val="nil"/>
            </w:tcBorders>
            <w:shd w:val="clear" w:color="auto" w:fill="auto"/>
            <w:noWrap/>
            <w:vAlign w:val="center"/>
            <w:hideMark/>
          </w:tcPr>
          <w:p w14:paraId="166C73C8" w14:textId="77777777" w:rsidR="00C45D5B" w:rsidRPr="00C40945" w:rsidRDefault="00C45D5B" w:rsidP="00CF774B">
            <w:pPr>
              <w:jc w:val="center"/>
              <w:rPr>
                <w:rFonts w:cs="Times New Roman"/>
                <w:color w:val="000000"/>
                <w:sz w:val="18"/>
                <w:szCs w:val="18"/>
              </w:rPr>
            </w:pPr>
          </w:p>
        </w:tc>
        <w:tc>
          <w:tcPr>
            <w:tcW w:w="930" w:type="dxa"/>
            <w:gridSpan w:val="3"/>
            <w:tcBorders>
              <w:top w:val="nil"/>
              <w:left w:val="nil"/>
              <w:bottom w:val="nil"/>
              <w:right w:val="nil"/>
            </w:tcBorders>
            <w:vAlign w:val="center"/>
          </w:tcPr>
          <w:p w14:paraId="59A28A35" w14:textId="77777777" w:rsidR="00C45D5B" w:rsidRPr="00C40945" w:rsidRDefault="00C45D5B" w:rsidP="00CF774B">
            <w:pPr>
              <w:jc w:val="center"/>
              <w:rPr>
                <w:rFonts w:cs="Times New Roman"/>
                <w:color w:val="000000"/>
                <w:sz w:val="18"/>
                <w:szCs w:val="18"/>
              </w:rPr>
            </w:pPr>
          </w:p>
        </w:tc>
      </w:tr>
      <w:tr w:rsidR="00C45D5B" w:rsidRPr="00C40945" w14:paraId="6FD59612" w14:textId="77777777" w:rsidTr="00CF774B">
        <w:trPr>
          <w:gridAfter w:val="1"/>
          <w:wAfter w:w="106" w:type="dxa"/>
          <w:trHeight w:val="238"/>
          <w:jc w:val="center"/>
        </w:trPr>
        <w:tc>
          <w:tcPr>
            <w:tcW w:w="3059" w:type="dxa"/>
            <w:gridSpan w:val="3"/>
            <w:tcBorders>
              <w:top w:val="nil"/>
              <w:left w:val="nil"/>
              <w:bottom w:val="nil"/>
              <w:right w:val="nil"/>
            </w:tcBorders>
            <w:shd w:val="clear" w:color="auto" w:fill="auto"/>
            <w:vAlign w:val="bottom"/>
            <w:hideMark/>
          </w:tcPr>
          <w:p w14:paraId="627672E4" w14:textId="77777777" w:rsidR="00C45D5B" w:rsidRPr="00C40945" w:rsidRDefault="00C45D5B" w:rsidP="00CF774B">
            <w:pPr>
              <w:rPr>
                <w:rFonts w:cs="Times New Roman"/>
                <w:b/>
                <w:bCs/>
                <w:sz w:val="18"/>
                <w:szCs w:val="18"/>
              </w:rPr>
            </w:pPr>
            <w:r w:rsidRPr="00C40945">
              <w:rPr>
                <w:rFonts w:cs="Times New Roman"/>
                <w:b/>
                <w:bCs/>
                <w:sz w:val="18"/>
                <w:szCs w:val="18"/>
              </w:rPr>
              <w:t>5. Zníženie daňových príjmov</w:t>
            </w:r>
          </w:p>
        </w:tc>
        <w:tc>
          <w:tcPr>
            <w:tcW w:w="937" w:type="dxa"/>
            <w:gridSpan w:val="2"/>
            <w:tcBorders>
              <w:top w:val="nil"/>
              <w:left w:val="nil"/>
              <w:bottom w:val="nil"/>
              <w:right w:val="nil"/>
            </w:tcBorders>
            <w:shd w:val="clear" w:color="auto" w:fill="auto"/>
            <w:vAlign w:val="bottom"/>
            <w:hideMark/>
          </w:tcPr>
          <w:p w14:paraId="752289B7" w14:textId="77777777" w:rsidR="00C45D5B" w:rsidRPr="00C40945" w:rsidRDefault="00C45D5B" w:rsidP="00CF774B">
            <w:pPr>
              <w:rPr>
                <w:rFonts w:cs="Times New Roman"/>
                <w:b/>
                <w:color w:val="000000"/>
                <w:sz w:val="18"/>
                <w:szCs w:val="18"/>
              </w:rPr>
            </w:pPr>
            <w:r w:rsidRPr="00C40945">
              <w:rPr>
                <w:rFonts w:cs="Times New Roman"/>
                <w:b/>
                <w:color w:val="000000"/>
                <w:sz w:val="18"/>
                <w:szCs w:val="18"/>
              </w:rPr>
              <w:t> </w:t>
            </w:r>
          </w:p>
        </w:tc>
        <w:tc>
          <w:tcPr>
            <w:tcW w:w="931" w:type="dxa"/>
            <w:gridSpan w:val="2"/>
            <w:tcBorders>
              <w:top w:val="nil"/>
              <w:left w:val="nil"/>
              <w:bottom w:val="nil"/>
              <w:right w:val="nil"/>
            </w:tcBorders>
            <w:shd w:val="clear" w:color="auto" w:fill="auto"/>
            <w:noWrap/>
            <w:vAlign w:val="center"/>
            <w:hideMark/>
          </w:tcPr>
          <w:p w14:paraId="490A191B" w14:textId="77777777" w:rsidR="00C45D5B" w:rsidRPr="00C40945" w:rsidRDefault="00C45D5B" w:rsidP="00CF774B">
            <w:pPr>
              <w:jc w:val="center"/>
              <w:rPr>
                <w:rFonts w:cs="Times New Roman"/>
                <w:b/>
                <w:color w:val="000000"/>
                <w:sz w:val="18"/>
                <w:szCs w:val="18"/>
              </w:rPr>
            </w:pPr>
          </w:p>
        </w:tc>
        <w:tc>
          <w:tcPr>
            <w:tcW w:w="931" w:type="dxa"/>
            <w:gridSpan w:val="4"/>
            <w:tcBorders>
              <w:top w:val="nil"/>
              <w:left w:val="nil"/>
              <w:bottom w:val="nil"/>
              <w:right w:val="nil"/>
            </w:tcBorders>
            <w:shd w:val="clear" w:color="auto" w:fill="auto"/>
            <w:noWrap/>
            <w:vAlign w:val="center"/>
            <w:hideMark/>
          </w:tcPr>
          <w:p w14:paraId="237202BE"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1" w:type="dxa"/>
            <w:gridSpan w:val="4"/>
            <w:tcBorders>
              <w:top w:val="nil"/>
              <w:left w:val="nil"/>
              <w:bottom w:val="nil"/>
              <w:right w:val="nil"/>
            </w:tcBorders>
            <w:shd w:val="clear" w:color="auto" w:fill="auto"/>
            <w:noWrap/>
            <w:vAlign w:val="center"/>
            <w:hideMark/>
          </w:tcPr>
          <w:p w14:paraId="67DFF602"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2" w:type="dxa"/>
            <w:gridSpan w:val="5"/>
            <w:tcBorders>
              <w:top w:val="nil"/>
              <w:left w:val="nil"/>
              <w:bottom w:val="nil"/>
              <w:right w:val="nil"/>
            </w:tcBorders>
            <w:shd w:val="clear" w:color="auto" w:fill="auto"/>
            <w:noWrap/>
            <w:vAlign w:val="center"/>
            <w:hideMark/>
          </w:tcPr>
          <w:p w14:paraId="15ED9367"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0" w:type="dxa"/>
            <w:gridSpan w:val="3"/>
            <w:tcBorders>
              <w:top w:val="nil"/>
              <w:left w:val="nil"/>
              <w:bottom w:val="nil"/>
              <w:right w:val="nil"/>
            </w:tcBorders>
            <w:vAlign w:val="center"/>
          </w:tcPr>
          <w:p w14:paraId="563CA6BD"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r>
      <w:tr w:rsidR="00C45D5B" w:rsidRPr="00C40945" w14:paraId="7BB6C40B" w14:textId="77777777" w:rsidTr="00CF774B">
        <w:trPr>
          <w:gridAfter w:val="1"/>
          <w:wAfter w:w="106" w:type="dxa"/>
          <w:trHeight w:val="238"/>
          <w:jc w:val="center"/>
        </w:trPr>
        <w:tc>
          <w:tcPr>
            <w:tcW w:w="3059" w:type="dxa"/>
            <w:gridSpan w:val="3"/>
            <w:tcBorders>
              <w:top w:val="nil"/>
              <w:left w:val="nil"/>
              <w:right w:val="nil"/>
            </w:tcBorders>
            <w:shd w:val="clear" w:color="auto" w:fill="auto"/>
            <w:vAlign w:val="bottom"/>
            <w:hideMark/>
          </w:tcPr>
          <w:p w14:paraId="6FEB2294" w14:textId="77777777" w:rsidR="00C45D5B" w:rsidRPr="00C40945" w:rsidRDefault="00C45D5B" w:rsidP="00CF774B">
            <w:pPr>
              <w:rPr>
                <w:rFonts w:cs="Times New Roman"/>
                <w:b/>
                <w:bCs/>
                <w:sz w:val="18"/>
                <w:szCs w:val="18"/>
              </w:rPr>
            </w:pPr>
            <w:r w:rsidRPr="00C40945">
              <w:rPr>
                <w:rFonts w:cs="Times New Roman"/>
                <w:b/>
                <w:bCs/>
                <w:sz w:val="18"/>
                <w:szCs w:val="18"/>
              </w:rPr>
              <w:t>6. Iné výdavky s vplyvom na príjmy</w:t>
            </w:r>
          </w:p>
        </w:tc>
        <w:tc>
          <w:tcPr>
            <w:tcW w:w="937" w:type="dxa"/>
            <w:gridSpan w:val="2"/>
            <w:tcBorders>
              <w:top w:val="nil"/>
              <w:left w:val="nil"/>
              <w:right w:val="nil"/>
            </w:tcBorders>
            <w:shd w:val="clear" w:color="auto" w:fill="auto"/>
            <w:vAlign w:val="bottom"/>
            <w:hideMark/>
          </w:tcPr>
          <w:p w14:paraId="2A9A734A" w14:textId="77777777" w:rsidR="00C45D5B" w:rsidRPr="00C40945" w:rsidRDefault="00C45D5B" w:rsidP="00CF774B">
            <w:pPr>
              <w:rPr>
                <w:rFonts w:cs="Times New Roman"/>
                <w:b/>
                <w:color w:val="000000"/>
                <w:sz w:val="18"/>
                <w:szCs w:val="18"/>
              </w:rPr>
            </w:pPr>
            <w:r w:rsidRPr="00C40945">
              <w:rPr>
                <w:rFonts w:cs="Times New Roman"/>
                <w:b/>
                <w:color w:val="000000"/>
                <w:sz w:val="18"/>
                <w:szCs w:val="18"/>
              </w:rPr>
              <w:t> </w:t>
            </w:r>
          </w:p>
        </w:tc>
        <w:tc>
          <w:tcPr>
            <w:tcW w:w="931" w:type="dxa"/>
            <w:gridSpan w:val="2"/>
            <w:tcBorders>
              <w:top w:val="nil"/>
              <w:left w:val="nil"/>
              <w:right w:val="nil"/>
            </w:tcBorders>
            <w:shd w:val="clear" w:color="auto" w:fill="auto"/>
            <w:noWrap/>
            <w:vAlign w:val="center"/>
            <w:hideMark/>
          </w:tcPr>
          <w:p w14:paraId="0245AA8A" w14:textId="77777777" w:rsidR="00C45D5B" w:rsidRPr="00C40945" w:rsidRDefault="00C45D5B" w:rsidP="00CF774B">
            <w:pPr>
              <w:jc w:val="center"/>
              <w:rPr>
                <w:rFonts w:cs="Times New Roman"/>
                <w:b/>
                <w:color w:val="000000"/>
                <w:sz w:val="18"/>
                <w:szCs w:val="18"/>
              </w:rPr>
            </w:pPr>
          </w:p>
        </w:tc>
        <w:tc>
          <w:tcPr>
            <w:tcW w:w="931" w:type="dxa"/>
            <w:gridSpan w:val="4"/>
            <w:tcBorders>
              <w:top w:val="nil"/>
              <w:left w:val="nil"/>
              <w:right w:val="nil"/>
            </w:tcBorders>
            <w:shd w:val="clear" w:color="auto" w:fill="auto"/>
            <w:noWrap/>
            <w:vAlign w:val="center"/>
            <w:hideMark/>
          </w:tcPr>
          <w:p w14:paraId="45AC1CA4"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1" w:type="dxa"/>
            <w:gridSpan w:val="4"/>
            <w:tcBorders>
              <w:top w:val="nil"/>
              <w:left w:val="nil"/>
              <w:right w:val="nil"/>
            </w:tcBorders>
            <w:shd w:val="clear" w:color="auto" w:fill="auto"/>
            <w:noWrap/>
            <w:vAlign w:val="center"/>
            <w:hideMark/>
          </w:tcPr>
          <w:p w14:paraId="76D3955F"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2" w:type="dxa"/>
            <w:gridSpan w:val="5"/>
            <w:tcBorders>
              <w:top w:val="nil"/>
              <w:left w:val="nil"/>
              <w:right w:val="nil"/>
            </w:tcBorders>
            <w:shd w:val="clear" w:color="auto" w:fill="auto"/>
            <w:noWrap/>
            <w:vAlign w:val="center"/>
            <w:hideMark/>
          </w:tcPr>
          <w:p w14:paraId="2E164D88"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0" w:type="dxa"/>
            <w:gridSpan w:val="3"/>
            <w:tcBorders>
              <w:top w:val="nil"/>
              <w:left w:val="nil"/>
              <w:right w:val="nil"/>
            </w:tcBorders>
            <w:vAlign w:val="center"/>
          </w:tcPr>
          <w:p w14:paraId="28A9232A"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r>
      <w:tr w:rsidR="00C45D5B" w:rsidRPr="00C40945" w14:paraId="0009E334" w14:textId="77777777" w:rsidTr="00CF774B">
        <w:trPr>
          <w:gridAfter w:val="1"/>
          <w:wAfter w:w="106" w:type="dxa"/>
          <w:trHeight w:val="238"/>
          <w:jc w:val="center"/>
        </w:trPr>
        <w:tc>
          <w:tcPr>
            <w:tcW w:w="3059" w:type="dxa"/>
            <w:gridSpan w:val="3"/>
            <w:tcBorders>
              <w:top w:val="nil"/>
              <w:left w:val="nil"/>
              <w:bottom w:val="single" w:sz="4" w:space="0" w:color="auto"/>
              <w:right w:val="nil"/>
            </w:tcBorders>
            <w:shd w:val="clear" w:color="auto" w:fill="auto"/>
            <w:vAlign w:val="bottom"/>
            <w:hideMark/>
          </w:tcPr>
          <w:p w14:paraId="2D8BC645" w14:textId="77777777" w:rsidR="00C45D5B" w:rsidRPr="00C40945" w:rsidRDefault="00C45D5B" w:rsidP="00CF774B">
            <w:pPr>
              <w:rPr>
                <w:rFonts w:cs="Times New Roman"/>
                <w:b/>
                <w:bCs/>
                <w:sz w:val="18"/>
                <w:szCs w:val="18"/>
              </w:rPr>
            </w:pPr>
            <w:r w:rsidRPr="00C40945">
              <w:rPr>
                <w:rFonts w:cs="Times New Roman"/>
                <w:b/>
                <w:bCs/>
                <w:sz w:val="18"/>
                <w:szCs w:val="18"/>
              </w:rPr>
              <w:t>7. Finančné transakcie</w:t>
            </w:r>
          </w:p>
        </w:tc>
        <w:tc>
          <w:tcPr>
            <w:tcW w:w="937" w:type="dxa"/>
            <w:gridSpan w:val="2"/>
            <w:tcBorders>
              <w:top w:val="nil"/>
              <w:left w:val="nil"/>
              <w:bottom w:val="single" w:sz="4" w:space="0" w:color="auto"/>
              <w:right w:val="nil"/>
            </w:tcBorders>
            <w:shd w:val="clear" w:color="auto" w:fill="auto"/>
            <w:vAlign w:val="bottom"/>
            <w:hideMark/>
          </w:tcPr>
          <w:p w14:paraId="66420AAC" w14:textId="77777777" w:rsidR="00C45D5B" w:rsidRPr="00C40945" w:rsidRDefault="00C45D5B" w:rsidP="00CF774B">
            <w:pPr>
              <w:rPr>
                <w:rFonts w:cs="Times New Roman"/>
                <w:b/>
                <w:color w:val="000000"/>
                <w:sz w:val="18"/>
                <w:szCs w:val="18"/>
              </w:rPr>
            </w:pPr>
            <w:r w:rsidRPr="00C40945">
              <w:rPr>
                <w:rFonts w:cs="Times New Roman"/>
                <w:b/>
                <w:color w:val="000000"/>
                <w:sz w:val="18"/>
                <w:szCs w:val="18"/>
              </w:rPr>
              <w:t> </w:t>
            </w:r>
          </w:p>
        </w:tc>
        <w:tc>
          <w:tcPr>
            <w:tcW w:w="931" w:type="dxa"/>
            <w:gridSpan w:val="2"/>
            <w:tcBorders>
              <w:top w:val="nil"/>
              <w:left w:val="nil"/>
              <w:bottom w:val="single" w:sz="4" w:space="0" w:color="auto"/>
              <w:right w:val="nil"/>
            </w:tcBorders>
            <w:shd w:val="clear" w:color="auto" w:fill="auto"/>
            <w:noWrap/>
            <w:vAlign w:val="center"/>
            <w:hideMark/>
          </w:tcPr>
          <w:p w14:paraId="0EA05EE0" w14:textId="77777777" w:rsidR="00C45D5B" w:rsidRPr="00C40945" w:rsidRDefault="00C45D5B" w:rsidP="00CF774B">
            <w:pPr>
              <w:jc w:val="center"/>
              <w:rPr>
                <w:rFonts w:cs="Times New Roman"/>
                <w:b/>
                <w:color w:val="000000"/>
                <w:sz w:val="18"/>
                <w:szCs w:val="18"/>
              </w:rPr>
            </w:pPr>
          </w:p>
        </w:tc>
        <w:tc>
          <w:tcPr>
            <w:tcW w:w="931" w:type="dxa"/>
            <w:gridSpan w:val="4"/>
            <w:tcBorders>
              <w:top w:val="nil"/>
              <w:left w:val="nil"/>
              <w:bottom w:val="single" w:sz="4" w:space="0" w:color="auto"/>
              <w:right w:val="nil"/>
            </w:tcBorders>
            <w:shd w:val="clear" w:color="auto" w:fill="auto"/>
            <w:noWrap/>
            <w:vAlign w:val="center"/>
            <w:hideMark/>
          </w:tcPr>
          <w:p w14:paraId="39646A8D"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1" w:type="dxa"/>
            <w:gridSpan w:val="4"/>
            <w:tcBorders>
              <w:top w:val="nil"/>
              <w:left w:val="nil"/>
              <w:bottom w:val="single" w:sz="4" w:space="0" w:color="auto"/>
              <w:right w:val="nil"/>
            </w:tcBorders>
            <w:shd w:val="clear" w:color="auto" w:fill="auto"/>
            <w:noWrap/>
            <w:vAlign w:val="center"/>
            <w:hideMark/>
          </w:tcPr>
          <w:p w14:paraId="5C587F62"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2" w:type="dxa"/>
            <w:gridSpan w:val="5"/>
            <w:tcBorders>
              <w:top w:val="nil"/>
              <w:left w:val="nil"/>
              <w:bottom w:val="single" w:sz="4" w:space="0" w:color="auto"/>
              <w:right w:val="nil"/>
            </w:tcBorders>
            <w:shd w:val="clear" w:color="auto" w:fill="auto"/>
            <w:noWrap/>
            <w:vAlign w:val="center"/>
            <w:hideMark/>
          </w:tcPr>
          <w:p w14:paraId="4A1BBC7A"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c>
          <w:tcPr>
            <w:tcW w:w="930" w:type="dxa"/>
            <w:gridSpan w:val="3"/>
            <w:tcBorders>
              <w:top w:val="nil"/>
              <w:left w:val="nil"/>
              <w:bottom w:val="single" w:sz="4" w:space="0" w:color="auto"/>
              <w:right w:val="nil"/>
            </w:tcBorders>
            <w:vAlign w:val="center"/>
          </w:tcPr>
          <w:p w14:paraId="251A610D" w14:textId="77777777" w:rsidR="00C45D5B" w:rsidRPr="00C40945" w:rsidRDefault="00C45D5B" w:rsidP="00CF774B">
            <w:pPr>
              <w:jc w:val="center"/>
              <w:rPr>
                <w:rFonts w:cs="Times New Roman"/>
                <w:b/>
                <w:color w:val="000000"/>
                <w:sz w:val="18"/>
                <w:szCs w:val="18"/>
              </w:rPr>
            </w:pPr>
            <w:r w:rsidRPr="00C40945">
              <w:rPr>
                <w:b/>
                <w:bCs/>
                <w:color w:val="000000"/>
                <w:sz w:val="18"/>
                <w:szCs w:val="18"/>
              </w:rPr>
              <w:t>0,0</w:t>
            </w:r>
          </w:p>
        </w:tc>
      </w:tr>
      <w:tr w:rsidR="00C45D5B" w:rsidRPr="008F62FF" w14:paraId="36E79141" w14:textId="77777777" w:rsidTr="00CF774B">
        <w:trPr>
          <w:trHeight w:val="293"/>
          <w:jc w:val="center"/>
        </w:trPr>
        <w:tc>
          <w:tcPr>
            <w:tcW w:w="931" w:type="dxa"/>
            <w:tcBorders>
              <w:top w:val="single" w:sz="4" w:space="0" w:color="auto"/>
              <w:left w:val="nil"/>
              <w:bottom w:val="nil"/>
              <w:right w:val="nil"/>
            </w:tcBorders>
          </w:tcPr>
          <w:p w14:paraId="165DED34" w14:textId="77777777" w:rsidR="00C45D5B" w:rsidRPr="008F62FF" w:rsidRDefault="00C45D5B" w:rsidP="00CF774B">
            <w:pPr>
              <w:tabs>
                <w:tab w:val="left" w:pos="8450"/>
              </w:tabs>
              <w:jc w:val="right"/>
              <w:rPr>
                <w:rFonts w:cs="Times New Roman"/>
                <w:i/>
                <w:iCs/>
                <w:color w:val="000000"/>
                <w:sz w:val="16"/>
                <w:szCs w:val="16"/>
              </w:rPr>
            </w:pPr>
          </w:p>
        </w:tc>
        <w:tc>
          <w:tcPr>
            <w:tcW w:w="7826" w:type="dxa"/>
            <w:gridSpan w:val="23"/>
            <w:tcBorders>
              <w:top w:val="single" w:sz="4" w:space="0" w:color="auto"/>
              <w:left w:val="nil"/>
              <w:bottom w:val="nil"/>
              <w:right w:val="nil"/>
            </w:tcBorders>
            <w:shd w:val="clear" w:color="auto" w:fill="auto"/>
            <w:hideMark/>
          </w:tcPr>
          <w:p w14:paraId="2C6196EB" w14:textId="77777777" w:rsidR="00C45D5B" w:rsidRPr="008F62FF" w:rsidRDefault="00C45D5B" w:rsidP="00CF774B">
            <w:pPr>
              <w:tabs>
                <w:tab w:val="left" w:pos="8450"/>
              </w:tabs>
              <w:jc w:val="right"/>
              <w:rPr>
                <w:rFonts w:cs="Times New Roman"/>
                <w:i/>
                <w:iCs/>
                <w:color w:val="000000"/>
                <w:sz w:val="16"/>
                <w:szCs w:val="16"/>
              </w:rPr>
            </w:pPr>
            <w:r w:rsidRPr="008F62FF">
              <w:rPr>
                <w:rFonts w:cs="Times New Roman"/>
                <w:i/>
                <w:iCs/>
                <w:color w:val="000000"/>
                <w:sz w:val="16"/>
                <w:szCs w:val="16"/>
              </w:rPr>
              <w:t>Zdroj: MF SR</w:t>
            </w:r>
          </w:p>
        </w:tc>
      </w:tr>
    </w:tbl>
    <w:p w14:paraId="6CBC30BE" w14:textId="77777777" w:rsidR="00C45D5B" w:rsidRPr="008F62FF" w:rsidRDefault="00C45D5B" w:rsidP="00C45D5B">
      <w:pPr>
        <w:rPr>
          <w:rFonts w:cs="Arial"/>
          <w:bCs/>
          <w:i/>
          <w:sz w:val="16"/>
          <w:szCs w:val="16"/>
        </w:rPr>
      </w:pPr>
      <w:r w:rsidRPr="008F62FF">
        <w:rPr>
          <w:rFonts w:cs="Arial"/>
          <w:bCs/>
          <w:i/>
          <w:sz w:val="16"/>
          <w:szCs w:val="16"/>
        </w:rPr>
        <w:t xml:space="preserve">*Plán obnovy a odolnosti EÚ (RRP) nie je oficiálnou súčasťou Programu stability, v rámci bilancie VS sú granty a výdavky z RRP uvedené len ako memorandová položka </w:t>
      </w:r>
    </w:p>
    <w:p w14:paraId="0AA6E9D4" w14:textId="77777777" w:rsidR="00C45D5B" w:rsidRPr="00AB54ED" w:rsidRDefault="00C45D5B" w:rsidP="00C45D5B">
      <w:pPr>
        <w:rPr>
          <w:rFonts w:cs="Arial"/>
          <w:b/>
          <w:bCs/>
          <w:color w:val="2C9ADC" w:themeColor="accent1"/>
          <w:sz w:val="24"/>
          <w:szCs w:val="24"/>
          <w:highlight w:val="yellow"/>
        </w:rPr>
      </w:pPr>
    </w:p>
    <w:p w14:paraId="406526C8" w14:textId="6D5688DD" w:rsidR="00C45D5B" w:rsidRPr="000C62F3" w:rsidRDefault="00C45D5B" w:rsidP="00C45D5B">
      <w:pPr>
        <w:rPr>
          <w:rFonts w:cs="Arial"/>
          <w:b/>
          <w:bCs/>
          <w:color w:val="2C9ADC" w:themeColor="accent1"/>
          <w:sz w:val="20"/>
          <w:szCs w:val="18"/>
        </w:rPr>
      </w:pPr>
      <w:bookmarkStart w:id="278" w:name="_Toc71622472"/>
      <w:bookmarkStart w:id="279" w:name="_Toc101880713"/>
      <w:r w:rsidRPr="000C62F3">
        <w:rPr>
          <w:rFonts w:eastAsiaTheme="minorHAnsi"/>
          <w:b/>
          <w:color w:val="2C9ADC"/>
          <w:sz w:val="20"/>
          <w:szCs w:val="18"/>
          <w:lang w:eastAsia="en-US"/>
        </w:rPr>
        <w:t xml:space="preserve">TABUĽKA </w:t>
      </w:r>
      <w:r w:rsidRPr="000C62F3">
        <w:rPr>
          <w:rFonts w:eastAsiaTheme="minorHAnsi"/>
          <w:b/>
          <w:color w:val="2C9ADC"/>
          <w:sz w:val="20"/>
          <w:szCs w:val="18"/>
          <w:lang w:eastAsia="en-US"/>
        </w:rPr>
        <w:fldChar w:fldCharType="begin"/>
      </w:r>
      <w:r w:rsidRPr="000C62F3">
        <w:rPr>
          <w:rFonts w:eastAsiaTheme="minorHAnsi"/>
          <w:b/>
          <w:color w:val="2C9ADC"/>
          <w:sz w:val="20"/>
          <w:szCs w:val="18"/>
          <w:lang w:eastAsia="en-US"/>
        </w:rPr>
        <w:instrText xml:space="preserve"> SEQ TABUĽKA \* ARABIC </w:instrText>
      </w:r>
      <w:r w:rsidRPr="000C62F3">
        <w:rPr>
          <w:rFonts w:eastAsiaTheme="minorHAnsi"/>
          <w:b/>
          <w:color w:val="2C9ADC"/>
          <w:sz w:val="20"/>
          <w:szCs w:val="18"/>
          <w:lang w:eastAsia="en-US"/>
        </w:rPr>
        <w:fldChar w:fldCharType="separate"/>
      </w:r>
      <w:r w:rsidR="005D3280">
        <w:rPr>
          <w:rFonts w:eastAsiaTheme="minorHAnsi"/>
          <w:b/>
          <w:noProof/>
          <w:color w:val="2C9ADC"/>
          <w:sz w:val="20"/>
          <w:szCs w:val="18"/>
          <w:lang w:eastAsia="en-US"/>
        </w:rPr>
        <w:t>34</w:t>
      </w:r>
      <w:r w:rsidRPr="000C62F3">
        <w:rPr>
          <w:rFonts w:eastAsiaTheme="minorHAnsi"/>
          <w:b/>
          <w:color w:val="2C9ADC"/>
          <w:sz w:val="20"/>
          <w:szCs w:val="18"/>
          <w:lang w:eastAsia="en-US"/>
        </w:rPr>
        <w:fldChar w:fldCharType="end"/>
      </w:r>
      <w:r w:rsidRPr="000C62F3">
        <w:rPr>
          <w:rFonts w:eastAsiaTheme="minorHAnsi"/>
          <w:b/>
          <w:color w:val="2C9ADC"/>
          <w:sz w:val="20"/>
          <w:szCs w:val="18"/>
          <w:lang w:eastAsia="en-US"/>
        </w:rPr>
        <w:t xml:space="preserve"> (Tabuľka 9b) – Vplyv Plánu obnovy</w:t>
      </w:r>
      <w:r w:rsidRPr="000C62F3">
        <w:rPr>
          <w:rFonts w:cs="Arial"/>
          <w:b/>
          <w:bCs/>
          <w:color w:val="2C9ADC" w:themeColor="accent1"/>
          <w:sz w:val="20"/>
          <w:szCs w:val="18"/>
        </w:rPr>
        <w:t xml:space="preserve"> (pôžičky)</w:t>
      </w:r>
      <w:bookmarkEnd w:id="278"/>
      <w:bookmarkEnd w:id="279"/>
    </w:p>
    <w:tbl>
      <w:tblPr>
        <w:tblW w:w="9144" w:type="dxa"/>
        <w:tblInd w:w="-70" w:type="dxa"/>
        <w:tblCellMar>
          <w:left w:w="70" w:type="dxa"/>
          <w:right w:w="70" w:type="dxa"/>
        </w:tblCellMar>
        <w:tblLook w:val="04A0" w:firstRow="1" w:lastRow="0" w:firstColumn="1" w:lastColumn="0" w:noHBand="0" w:noVBand="1"/>
      </w:tblPr>
      <w:tblGrid>
        <w:gridCol w:w="60"/>
        <w:gridCol w:w="3552"/>
        <w:gridCol w:w="91"/>
        <w:gridCol w:w="842"/>
        <w:gridCol w:w="68"/>
        <w:gridCol w:w="1039"/>
        <w:gridCol w:w="68"/>
        <w:gridCol w:w="1039"/>
        <w:gridCol w:w="68"/>
        <w:gridCol w:w="1039"/>
        <w:gridCol w:w="68"/>
        <w:gridCol w:w="1039"/>
        <w:gridCol w:w="68"/>
        <w:gridCol w:w="103"/>
      </w:tblGrid>
      <w:tr w:rsidR="00C45D5B" w:rsidRPr="000C62F3" w14:paraId="1EED3D35" w14:textId="77777777" w:rsidTr="00CF774B">
        <w:trPr>
          <w:gridBefore w:val="1"/>
          <w:gridAfter w:val="1"/>
          <w:wBefore w:w="68" w:type="dxa"/>
          <w:wAfter w:w="118" w:type="dxa"/>
          <w:trHeight w:val="258"/>
        </w:trPr>
        <w:tc>
          <w:tcPr>
            <w:tcW w:w="3620" w:type="dxa"/>
            <w:gridSpan w:val="2"/>
            <w:tcBorders>
              <w:top w:val="nil"/>
              <w:left w:val="nil"/>
              <w:bottom w:val="single" w:sz="4" w:space="0" w:color="auto"/>
              <w:right w:val="nil"/>
            </w:tcBorders>
            <w:shd w:val="clear" w:color="auto" w:fill="auto"/>
            <w:noWrap/>
            <w:vAlign w:val="bottom"/>
            <w:hideMark/>
          </w:tcPr>
          <w:p w14:paraId="038DAC6A" w14:textId="77777777" w:rsidR="00C45D5B" w:rsidRPr="000C62F3" w:rsidRDefault="00C45D5B" w:rsidP="00CF774B">
            <w:pPr>
              <w:rPr>
                <w:color w:val="000000"/>
                <w:sz w:val="18"/>
                <w:szCs w:val="18"/>
              </w:rPr>
            </w:pPr>
          </w:p>
        </w:tc>
        <w:tc>
          <w:tcPr>
            <w:tcW w:w="910" w:type="dxa"/>
            <w:gridSpan w:val="2"/>
            <w:tcBorders>
              <w:top w:val="nil"/>
              <w:left w:val="nil"/>
              <w:bottom w:val="single" w:sz="4" w:space="0" w:color="auto"/>
              <w:right w:val="nil"/>
            </w:tcBorders>
            <w:shd w:val="clear" w:color="auto" w:fill="auto"/>
            <w:vAlign w:val="bottom"/>
            <w:hideMark/>
          </w:tcPr>
          <w:p w14:paraId="6D1C053E" w14:textId="77777777" w:rsidR="00C45D5B" w:rsidRPr="000C62F3" w:rsidRDefault="00C45D5B" w:rsidP="00CF774B">
            <w:pPr>
              <w:rPr>
                <w:b/>
                <w:color w:val="000000"/>
                <w:sz w:val="18"/>
                <w:szCs w:val="18"/>
              </w:rPr>
            </w:pPr>
            <w:r w:rsidRPr="000C62F3">
              <w:rPr>
                <w:b/>
                <w:color w:val="000000"/>
                <w:sz w:val="18"/>
                <w:szCs w:val="18"/>
              </w:rPr>
              <w:t>ESA</w:t>
            </w:r>
          </w:p>
        </w:tc>
        <w:tc>
          <w:tcPr>
            <w:tcW w:w="1107" w:type="dxa"/>
            <w:gridSpan w:val="2"/>
            <w:tcBorders>
              <w:top w:val="nil"/>
              <w:left w:val="nil"/>
              <w:bottom w:val="single" w:sz="4" w:space="0" w:color="auto"/>
              <w:right w:val="nil"/>
            </w:tcBorders>
            <w:shd w:val="clear" w:color="auto" w:fill="auto"/>
            <w:vAlign w:val="bottom"/>
            <w:hideMark/>
          </w:tcPr>
          <w:p w14:paraId="67021834" w14:textId="77777777" w:rsidR="00C45D5B" w:rsidRPr="000C62F3" w:rsidRDefault="00C45D5B" w:rsidP="00CF774B">
            <w:pPr>
              <w:rPr>
                <w:b/>
                <w:color w:val="000000"/>
                <w:sz w:val="18"/>
                <w:szCs w:val="18"/>
              </w:rPr>
            </w:pPr>
            <w:r w:rsidRPr="000C62F3">
              <w:rPr>
                <w:b/>
                <w:color w:val="000000"/>
                <w:sz w:val="18"/>
                <w:szCs w:val="18"/>
              </w:rPr>
              <w:t>2021 (% HDP)</w:t>
            </w:r>
          </w:p>
        </w:tc>
        <w:tc>
          <w:tcPr>
            <w:tcW w:w="1107" w:type="dxa"/>
            <w:gridSpan w:val="2"/>
            <w:tcBorders>
              <w:top w:val="nil"/>
              <w:left w:val="nil"/>
              <w:bottom w:val="single" w:sz="4" w:space="0" w:color="auto"/>
              <w:right w:val="nil"/>
            </w:tcBorders>
            <w:shd w:val="clear" w:color="auto" w:fill="auto"/>
            <w:vAlign w:val="bottom"/>
            <w:hideMark/>
          </w:tcPr>
          <w:p w14:paraId="56676652" w14:textId="77777777" w:rsidR="00C45D5B" w:rsidRPr="000C62F3" w:rsidRDefault="00C45D5B" w:rsidP="00CF774B">
            <w:pPr>
              <w:rPr>
                <w:b/>
                <w:color w:val="000000"/>
                <w:sz w:val="18"/>
                <w:szCs w:val="18"/>
              </w:rPr>
            </w:pPr>
            <w:r w:rsidRPr="000C62F3">
              <w:rPr>
                <w:b/>
                <w:color w:val="000000"/>
                <w:sz w:val="18"/>
                <w:szCs w:val="18"/>
              </w:rPr>
              <w:t>2022 (% HDP)</w:t>
            </w:r>
          </w:p>
        </w:tc>
        <w:tc>
          <w:tcPr>
            <w:tcW w:w="1107" w:type="dxa"/>
            <w:gridSpan w:val="2"/>
            <w:tcBorders>
              <w:top w:val="nil"/>
              <w:left w:val="nil"/>
              <w:bottom w:val="single" w:sz="4" w:space="0" w:color="auto"/>
              <w:right w:val="nil"/>
            </w:tcBorders>
            <w:shd w:val="clear" w:color="auto" w:fill="auto"/>
            <w:vAlign w:val="bottom"/>
            <w:hideMark/>
          </w:tcPr>
          <w:p w14:paraId="57CD330D" w14:textId="77777777" w:rsidR="00C45D5B" w:rsidRPr="000C62F3" w:rsidRDefault="00C45D5B" w:rsidP="00CF774B">
            <w:pPr>
              <w:rPr>
                <w:b/>
                <w:color w:val="000000"/>
                <w:sz w:val="18"/>
                <w:szCs w:val="18"/>
              </w:rPr>
            </w:pPr>
            <w:r w:rsidRPr="000C62F3">
              <w:rPr>
                <w:b/>
                <w:color w:val="000000"/>
                <w:sz w:val="18"/>
                <w:szCs w:val="18"/>
              </w:rPr>
              <w:t>2023 (% HDP)</w:t>
            </w:r>
          </w:p>
        </w:tc>
        <w:tc>
          <w:tcPr>
            <w:tcW w:w="1107" w:type="dxa"/>
            <w:gridSpan w:val="2"/>
            <w:tcBorders>
              <w:top w:val="nil"/>
              <w:left w:val="nil"/>
              <w:bottom w:val="single" w:sz="4" w:space="0" w:color="auto"/>
              <w:right w:val="nil"/>
            </w:tcBorders>
            <w:shd w:val="clear" w:color="auto" w:fill="auto"/>
            <w:vAlign w:val="bottom"/>
            <w:hideMark/>
          </w:tcPr>
          <w:p w14:paraId="762C5CB3" w14:textId="77777777" w:rsidR="00C45D5B" w:rsidRPr="000C62F3" w:rsidRDefault="00C45D5B" w:rsidP="00CF774B">
            <w:pPr>
              <w:rPr>
                <w:b/>
                <w:color w:val="000000"/>
                <w:sz w:val="18"/>
                <w:szCs w:val="18"/>
              </w:rPr>
            </w:pPr>
            <w:r w:rsidRPr="000C62F3">
              <w:rPr>
                <w:b/>
                <w:color w:val="000000"/>
                <w:sz w:val="18"/>
                <w:szCs w:val="18"/>
              </w:rPr>
              <w:t>2024 (% HDP)</w:t>
            </w:r>
          </w:p>
        </w:tc>
      </w:tr>
      <w:tr w:rsidR="00C45D5B" w:rsidRPr="000C62F3" w14:paraId="430EA586" w14:textId="77777777" w:rsidTr="00CF774B">
        <w:trPr>
          <w:gridBefore w:val="1"/>
          <w:gridAfter w:val="1"/>
          <w:wBefore w:w="68" w:type="dxa"/>
          <w:wAfter w:w="118" w:type="dxa"/>
          <w:trHeight w:val="258"/>
        </w:trPr>
        <w:tc>
          <w:tcPr>
            <w:tcW w:w="3620" w:type="dxa"/>
            <w:gridSpan w:val="2"/>
            <w:tcBorders>
              <w:top w:val="single" w:sz="4" w:space="0" w:color="auto"/>
              <w:left w:val="nil"/>
              <w:bottom w:val="single" w:sz="4" w:space="0" w:color="auto"/>
              <w:right w:val="nil"/>
            </w:tcBorders>
            <w:shd w:val="clear" w:color="auto" w:fill="auto"/>
            <w:vAlign w:val="bottom"/>
            <w:hideMark/>
          </w:tcPr>
          <w:p w14:paraId="0E51EF9A" w14:textId="77777777" w:rsidR="00C45D5B" w:rsidRPr="000C62F3" w:rsidRDefault="00C45D5B" w:rsidP="00CF774B">
            <w:pPr>
              <w:rPr>
                <w:rFonts w:cs="Times New Roman"/>
                <w:b/>
                <w:bCs/>
                <w:sz w:val="18"/>
                <w:szCs w:val="18"/>
              </w:rPr>
            </w:pPr>
            <w:r w:rsidRPr="000C62F3">
              <w:rPr>
                <w:rFonts w:cs="Times New Roman"/>
                <w:b/>
                <w:bCs/>
                <w:sz w:val="18"/>
                <w:szCs w:val="18"/>
              </w:rPr>
              <w:t>Pôžička z RRF</w:t>
            </w:r>
          </w:p>
        </w:tc>
        <w:tc>
          <w:tcPr>
            <w:tcW w:w="910" w:type="dxa"/>
            <w:gridSpan w:val="2"/>
            <w:tcBorders>
              <w:top w:val="single" w:sz="4" w:space="0" w:color="auto"/>
              <w:left w:val="nil"/>
              <w:bottom w:val="single" w:sz="4" w:space="0" w:color="auto"/>
              <w:right w:val="nil"/>
            </w:tcBorders>
            <w:shd w:val="clear" w:color="auto" w:fill="auto"/>
            <w:vAlign w:val="bottom"/>
            <w:hideMark/>
          </w:tcPr>
          <w:p w14:paraId="78619626"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52CA1A47"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2E5EF3FB"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0BC2A407"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451B4ABA"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r>
      <w:tr w:rsidR="00C45D5B" w:rsidRPr="000C62F3" w14:paraId="7A28D4D6" w14:textId="77777777" w:rsidTr="00CF774B">
        <w:trPr>
          <w:gridBefore w:val="1"/>
          <w:gridAfter w:val="1"/>
          <w:wBefore w:w="68" w:type="dxa"/>
          <w:wAfter w:w="118" w:type="dxa"/>
          <w:trHeight w:val="258"/>
        </w:trPr>
        <w:tc>
          <w:tcPr>
            <w:tcW w:w="3620" w:type="dxa"/>
            <w:gridSpan w:val="2"/>
            <w:tcBorders>
              <w:top w:val="single" w:sz="4" w:space="0" w:color="auto"/>
              <w:left w:val="nil"/>
              <w:right w:val="nil"/>
            </w:tcBorders>
            <w:shd w:val="clear" w:color="auto" w:fill="auto"/>
            <w:vAlign w:val="bottom"/>
            <w:hideMark/>
          </w:tcPr>
          <w:p w14:paraId="23F0EB5C" w14:textId="77777777" w:rsidR="00C45D5B" w:rsidRPr="000C62F3" w:rsidRDefault="00C45D5B" w:rsidP="00CF774B">
            <w:pPr>
              <w:rPr>
                <w:rFonts w:cs="Times New Roman"/>
                <w:bCs/>
                <w:sz w:val="18"/>
                <w:szCs w:val="18"/>
              </w:rPr>
            </w:pPr>
            <w:r w:rsidRPr="000C62F3">
              <w:rPr>
                <w:rFonts w:cs="Times New Roman"/>
                <w:bCs/>
                <w:sz w:val="18"/>
                <w:szCs w:val="18"/>
              </w:rPr>
              <w:t>1. Vyplatená RRF pôžička z EÚ</w:t>
            </w:r>
          </w:p>
        </w:tc>
        <w:tc>
          <w:tcPr>
            <w:tcW w:w="910" w:type="dxa"/>
            <w:gridSpan w:val="2"/>
            <w:tcBorders>
              <w:top w:val="single" w:sz="4" w:space="0" w:color="auto"/>
              <w:left w:val="nil"/>
              <w:right w:val="nil"/>
            </w:tcBorders>
            <w:shd w:val="clear" w:color="auto" w:fill="auto"/>
            <w:vAlign w:val="bottom"/>
            <w:hideMark/>
          </w:tcPr>
          <w:p w14:paraId="6C81EE8D"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single" w:sz="4" w:space="0" w:color="auto"/>
              <w:left w:val="nil"/>
              <w:right w:val="nil"/>
            </w:tcBorders>
            <w:shd w:val="clear" w:color="auto" w:fill="auto"/>
            <w:noWrap/>
            <w:vAlign w:val="bottom"/>
            <w:hideMark/>
          </w:tcPr>
          <w:p w14:paraId="4FA99806"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single" w:sz="4" w:space="0" w:color="auto"/>
              <w:left w:val="nil"/>
              <w:right w:val="nil"/>
            </w:tcBorders>
            <w:shd w:val="clear" w:color="auto" w:fill="auto"/>
            <w:noWrap/>
            <w:vAlign w:val="bottom"/>
            <w:hideMark/>
          </w:tcPr>
          <w:p w14:paraId="383A0150"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single" w:sz="4" w:space="0" w:color="auto"/>
              <w:left w:val="nil"/>
              <w:right w:val="nil"/>
            </w:tcBorders>
            <w:shd w:val="clear" w:color="auto" w:fill="auto"/>
            <w:noWrap/>
            <w:vAlign w:val="bottom"/>
            <w:hideMark/>
          </w:tcPr>
          <w:p w14:paraId="24511974"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single" w:sz="4" w:space="0" w:color="auto"/>
              <w:left w:val="nil"/>
              <w:right w:val="nil"/>
            </w:tcBorders>
            <w:shd w:val="clear" w:color="auto" w:fill="auto"/>
            <w:noWrap/>
            <w:vAlign w:val="bottom"/>
            <w:hideMark/>
          </w:tcPr>
          <w:p w14:paraId="564A443E"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0E14238F" w14:textId="77777777" w:rsidTr="00CF774B">
        <w:trPr>
          <w:gridBefore w:val="1"/>
          <w:gridAfter w:val="1"/>
          <w:wBefore w:w="68" w:type="dxa"/>
          <w:wAfter w:w="118" w:type="dxa"/>
          <w:trHeight w:val="258"/>
        </w:trPr>
        <w:tc>
          <w:tcPr>
            <w:tcW w:w="3620" w:type="dxa"/>
            <w:gridSpan w:val="2"/>
            <w:tcBorders>
              <w:top w:val="nil"/>
              <w:left w:val="nil"/>
              <w:bottom w:val="single" w:sz="4" w:space="0" w:color="auto"/>
              <w:right w:val="nil"/>
            </w:tcBorders>
            <w:shd w:val="clear" w:color="auto" w:fill="auto"/>
            <w:vAlign w:val="bottom"/>
            <w:hideMark/>
          </w:tcPr>
          <w:p w14:paraId="0B7A1F8A" w14:textId="77777777" w:rsidR="00C45D5B" w:rsidRPr="000C62F3" w:rsidRDefault="00C45D5B" w:rsidP="00CF774B">
            <w:pPr>
              <w:rPr>
                <w:rFonts w:cs="Times New Roman"/>
                <w:bCs/>
                <w:sz w:val="18"/>
                <w:szCs w:val="18"/>
              </w:rPr>
            </w:pPr>
            <w:r w:rsidRPr="000C62F3">
              <w:rPr>
                <w:rFonts w:cs="Times New Roman"/>
                <w:bCs/>
                <w:sz w:val="18"/>
                <w:szCs w:val="18"/>
              </w:rPr>
              <w:t>2. Splatená RRF pôžička do EÚ</w:t>
            </w:r>
          </w:p>
        </w:tc>
        <w:tc>
          <w:tcPr>
            <w:tcW w:w="910" w:type="dxa"/>
            <w:gridSpan w:val="2"/>
            <w:tcBorders>
              <w:top w:val="nil"/>
              <w:left w:val="nil"/>
              <w:bottom w:val="single" w:sz="4" w:space="0" w:color="auto"/>
              <w:right w:val="nil"/>
            </w:tcBorders>
            <w:shd w:val="clear" w:color="auto" w:fill="auto"/>
            <w:vAlign w:val="bottom"/>
            <w:hideMark/>
          </w:tcPr>
          <w:p w14:paraId="6718A61B"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37A943C2"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73993D2B"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58CC96B3"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3BBE4970"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120B478F" w14:textId="77777777" w:rsidTr="00CF774B">
        <w:trPr>
          <w:gridBefore w:val="1"/>
          <w:gridAfter w:val="1"/>
          <w:wBefore w:w="68" w:type="dxa"/>
          <w:wAfter w:w="118" w:type="dxa"/>
          <w:trHeight w:val="258"/>
        </w:trPr>
        <w:tc>
          <w:tcPr>
            <w:tcW w:w="3620" w:type="dxa"/>
            <w:gridSpan w:val="2"/>
            <w:tcBorders>
              <w:top w:val="single" w:sz="4" w:space="0" w:color="auto"/>
              <w:left w:val="nil"/>
              <w:bottom w:val="single" w:sz="4" w:space="0" w:color="auto"/>
              <w:right w:val="nil"/>
            </w:tcBorders>
            <w:shd w:val="clear" w:color="auto" w:fill="auto"/>
            <w:vAlign w:val="bottom"/>
            <w:hideMark/>
          </w:tcPr>
          <w:p w14:paraId="35A4DE92" w14:textId="77777777" w:rsidR="00C45D5B" w:rsidRPr="000C62F3" w:rsidRDefault="00C45D5B" w:rsidP="00CF774B">
            <w:pPr>
              <w:rPr>
                <w:rFonts w:cs="Times New Roman"/>
                <w:b/>
                <w:bCs/>
                <w:sz w:val="18"/>
                <w:szCs w:val="18"/>
              </w:rPr>
            </w:pPr>
            <w:r w:rsidRPr="000C62F3">
              <w:rPr>
                <w:rFonts w:cs="Times New Roman"/>
                <w:b/>
                <w:bCs/>
                <w:sz w:val="18"/>
                <w:szCs w:val="18"/>
              </w:rPr>
              <w:t>Výdavky financované RRF pôžičkou</w:t>
            </w:r>
          </w:p>
        </w:tc>
        <w:tc>
          <w:tcPr>
            <w:tcW w:w="910" w:type="dxa"/>
            <w:gridSpan w:val="2"/>
            <w:tcBorders>
              <w:top w:val="single" w:sz="4" w:space="0" w:color="auto"/>
              <w:left w:val="nil"/>
              <w:bottom w:val="single" w:sz="4" w:space="0" w:color="auto"/>
              <w:right w:val="nil"/>
            </w:tcBorders>
            <w:shd w:val="clear" w:color="auto" w:fill="auto"/>
            <w:vAlign w:val="bottom"/>
            <w:hideMark/>
          </w:tcPr>
          <w:p w14:paraId="10FB54AB"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14EBDE7E"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37C34E5B"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5AA1D6F1"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single" w:sz="4" w:space="0" w:color="auto"/>
              <w:right w:val="nil"/>
            </w:tcBorders>
            <w:shd w:val="clear" w:color="auto" w:fill="auto"/>
            <w:noWrap/>
            <w:vAlign w:val="bottom"/>
            <w:hideMark/>
          </w:tcPr>
          <w:p w14:paraId="0DBFCC3F"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r>
      <w:tr w:rsidR="00C45D5B" w:rsidRPr="000C62F3" w14:paraId="071A00A8" w14:textId="77777777" w:rsidTr="00CF774B">
        <w:trPr>
          <w:gridBefore w:val="1"/>
          <w:gridAfter w:val="1"/>
          <w:wBefore w:w="68" w:type="dxa"/>
          <w:wAfter w:w="118" w:type="dxa"/>
          <w:trHeight w:val="258"/>
        </w:trPr>
        <w:tc>
          <w:tcPr>
            <w:tcW w:w="3620" w:type="dxa"/>
            <w:gridSpan w:val="2"/>
            <w:tcBorders>
              <w:top w:val="single" w:sz="4" w:space="0" w:color="auto"/>
              <w:left w:val="nil"/>
              <w:bottom w:val="nil"/>
              <w:right w:val="nil"/>
            </w:tcBorders>
            <w:shd w:val="clear" w:color="auto" w:fill="auto"/>
            <w:vAlign w:val="bottom"/>
            <w:hideMark/>
          </w:tcPr>
          <w:p w14:paraId="55C4F50A" w14:textId="77777777" w:rsidR="00C45D5B" w:rsidRPr="000C62F3" w:rsidRDefault="00C45D5B" w:rsidP="00CF774B">
            <w:pPr>
              <w:rPr>
                <w:rFonts w:cs="Times New Roman"/>
                <w:b/>
                <w:bCs/>
                <w:sz w:val="18"/>
                <w:szCs w:val="18"/>
              </w:rPr>
            </w:pPr>
            <w:r w:rsidRPr="000C62F3">
              <w:rPr>
                <w:rFonts w:cs="Times New Roman"/>
                <w:b/>
                <w:bCs/>
                <w:sz w:val="18"/>
                <w:szCs w:val="18"/>
              </w:rPr>
              <w:t>3.Celkové bežné výdavky</w:t>
            </w:r>
          </w:p>
        </w:tc>
        <w:tc>
          <w:tcPr>
            <w:tcW w:w="910" w:type="dxa"/>
            <w:gridSpan w:val="2"/>
            <w:tcBorders>
              <w:top w:val="single" w:sz="4" w:space="0" w:color="auto"/>
              <w:left w:val="nil"/>
              <w:bottom w:val="nil"/>
              <w:right w:val="nil"/>
            </w:tcBorders>
            <w:shd w:val="clear" w:color="auto" w:fill="auto"/>
            <w:vAlign w:val="bottom"/>
            <w:hideMark/>
          </w:tcPr>
          <w:p w14:paraId="7FF97465"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nil"/>
              <w:right w:val="nil"/>
            </w:tcBorders>
            <w:shd w:val="clear" w:color="auto" w:fill="auto"/>
            <w:noWrap/>
            <w:vAlign w:val="bottom"/>
            <w:hideMark/>
          </w:tcPr>
          <w:p w14:paraId="1FF338E2"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nil"/>
              <w:right w:val="nil"/>
            </w:tcBorders>
            <w:shd w:val="clear" w:color="auto" w:fill="auto"/>
            <w:noWrap/>
            <w:vAlign w:val="bottom"/>
            <w:hideMark/>
          </w:tcPr>
          <w:p w14:paraId="50DA090C"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nil"/>
              <w:right w:val="nil"/>
            </w:tcBorders>
            <w:shd w:val="clear" w:color="auto" w:fill="auto"/>
            <w:noWrap/>
            <w:vAlign w:val="bottom"/>
            <w:hideMark/>
          </w:tcPr>
          <w:p w14:paraId="5799EE1F"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single" w:sz="4" w:space="0" w:color="auto"/>
              <w:left w:val="nil"/>
              <w:bottom w:val="nil"/>
              <w:right w:val="nil"/>
            </w:tcBorders>
            <w:shd w:val="clear" w:color="auto" w:fill="auto"/>
            <w:noWrap/>
            <w:vAlign w:val="bottom"/>
            <w:hideMark/>
          </w:tcPr>
          <w:p w14:paraId="4750F028"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r>
      <w:tr w:rsidR="00C45D5B" w:rsidRPr="000C62F3" w14:paraId="2AD99B1F" w14:textId="77777777" w:rsidTr="00CF774B">
        <w:trPr>
          <w:gridAfter w:val="2"/>
          <w:wAfter w:w="186" w:type="dxa"/>
          <w:trHeight w:val="258"/>
        </w:trPr>
        <w:tc>
          <w:tcPr>
            <w:tcW w:w="3620" w:type="dxa"/>
            <w:gridSpan w:val="2"/>
            <w:tcBorders>
              <w:top w:val="nil"/>
              <w:left w:val="nil"/>
              <w:bottom w:val="nil"/>
              <w:right w:val="nil"/>
            </w:tcBorders>
            <w:shd w:val="clear" w:color="auto" w:fill="auto"/>
            <w:vAlign w:val="bottom"/>
            <w:hideMark/>
          </w:tcPr>
          <w:p w14:paraId="0B97E382" w14:textId="77777777" w:rsidR="00C45D5B" w:rsidRPr="000C62F3" w:rsidRDefault="00C45D5B" w:rsidP="00CF774B">
            <w:pPr>
              <w:rPr>
                <w:rFonts w:cs="Arial"/>
                <w:color w:val="000000"/>
                <w:sz w:val="18"/>
                <w:szCs w:val="18"/>
              </w:rPr>
            </w:pPr>
            <w:r w:rsidRPr="000C62F3">
              <w:rPr>
                <w:rFonts w:cs="Arial"/>
                <w:color w:val="000000"/>
                <w:sz w:val="18"/>
                <w:szCs w:val="18"/>
              </w:rPr>
              <w:t>Z toho:</w:t>
            </w:r>
          </w:p>
        </w:tc>
        <w:tc>
          <w:tcPr>
            <w:tcW w:w="910" w:type="dxa"/>
            <w:gridSpan w:val="2"/>
            <w:tcBorders>
              <w:top w:val="nil"/>
              <w:left w:val="nil"/>
              <w:bottom w:val="nil"/>
              <w:right w:val="nil"/>
            </w:tcBorders>
            <w:shd w:val="clear" w:color="auto" w:fill="auto"/>
            <w:vAlign w:val="bottom"/>
            <w:hideMark/>
          </w:tcPr>
          <w:p w14:paraId="5CFFA7B9"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56D25892"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5E9CB640"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D088D97"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0C2CB99E"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634008F8" w14:textId="77777777" w:rsidTr="00CF774B">
        <w:trPr>
          <w:gridAfter w:val="2"/>
          <w:wAfter w:w="186" w:type="dxa"/>
          <w:trHeight w:val="258"/>
        </w:trPr>
        <w:tc>
          <w:tcPr>
            <w:tcW w:w="3620" w:type="dxa"/>
            <w:gridSpan w:val="2"/>
            <w:tcBorders>
              <w:top w:val="nil"/>
              <w:left w:val="nil"/>
              <w:bottom w:val="nil"/>
              <w:right w:val="nil"/>
            </w:tcBorders>
            <w:shd w:val="clear" w:color="auto" w:fill="auto"/>
            <w:vAlign w:val="bottom"/>
            <w:hideMark/>
          </w:tcPr>
          <w:p w14:paraId="7920BAFE" w14:textId="77777777" w:rsidR="00C45D5B" w:rsidRPr="000C62F3" w:rsidRDefault="00C45D5B" w:rsidP="00CF774B">
            <w:pPr>
              <w:rPr>
                <w:rFonts w:cs="Arial"/>
                <w:color w:val="000000"/>
                <w:sz w:val="18"/>
                <w:szCs w:val="18"/>
              </w:rPr>
            </w:pPr>
            <w:r w:rsidRPr="000C62F3">
              <w:rPr>
                <w:rFonts w:cs="Arial"/>
                <w:color w:val="000000"/>
                <w:sz w:val="18"/>
                <w:szCs w:val="18"/>
              </w:rPr>
              <w:t>- Odmeny zamestnancov</w:t>
            </w:r>
          </w:p>
        </w:tc>
        <w:tc>
          <w:tcPr>
            <w:tcW w:w="910" w:type="dxa"/>
            <w:gridSpan w:val="2"/>
            <w:tcBorders>
              <w:top w:val="nil"/>
              <w:left w:val="nil"/>
              <w:bottom w:val="nil"/>
              <w:right w:val="nil"/>
            </w:tcBorders>
            <w:shd w:val="clear" w:color="auto" w:fill="auto"/>
            <w:vAlign w:val="bottom"/>
            <w:hideMark/>
          </w:tcPr>
          <w:p w14:paraId="77B28E18" w14:textId="77777777" w:rsidR="00C45D5B" w:rsidRPr="000C62F3" w:rsidRDefault="00C45D5B" w:rsidP="00CF774B">
            <w:pPr>
              <w:rPr>
                <w:rFonts w:cs="Times New Roman"/>
                <w:color w:val="000000"/>
                <w:sz w:val="18"/>
                <w:szCs w:val="18"/>
              </w:rPr>
            </w:pPr>
            <w:r w:rsidRPr="000C62F3">
              <w:rPr>
                <w:rFonts w:cs="Times New Roman"/>
                <w:color w:val="000000"/>
                <w:sz w:val="18"/>
                <w:szCs w:val="18"/>
              </w:rPr>
              <w:t>D.1</w:t>
            </w:r>
          </w:p>
        </w:tc>
        <w:tc>
          <w:tcPr>
            <w:tcW w:w="1107" w:type="dxa"/>
            <w:gridSpan w:val="2"/>
            <w:tcBorders>
              <w:top w:val="nil"/>
              <w:left w:val="nil"/>
              <w:bottom w:val="nil"/>
              <w:right w:val="nil"/>
            </w:tcBorders>
            <w:shd w:val="clear" w:color="auto" w:fill="auto"/>
            <w:noWrap/>
            <w:vAlign w:val="bottom"/>
          </w:tcPr>
          <w:p w14:paraId="1802173F"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23428E5A"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4B5BCA97"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1B77F007" w14:textId="77777777" w:rsidR="00C45D5B" w:rsidRPr="000C62F3" w:rsidRDefault="00C45D5B" w:rsidP="00CF774B">
            <w:pPr>
              <w:jc w:val="right"/>
              <w:rPr>
                <w:rFonts w:cs="Times New Roman"/>
                <w:color w:val="000000"/>
                <w:sz w:val="18"/>
                <w:szCs w:val="18"/>
              </w:rPr>
            </w:pPr>
          </w:p>
        </w:tc>
      </w:tr>
      <w:tr w:rsidR="00C45D5B" w:rsidRPr="000C62F3" w14:paraId="2C273815" w14:textId="77777777" w:rsidTr="00CF774B">
        <w:trPr>
          <w:gridAfter w:val="2"/>
          <w:wAfter w:w="186" w:type="dxa"/>
          <w:trHeight w:val="258"/>
        </w:trPr>
        <w:tc>
          <w:tcPr>
            <w:tcW w:w="3620" w:type="dxa"/>
            <w:gridSpan w:val="2"/>
            <w:tcBorders>
              <w:top w:val="nil"/>
              <w:left w:val="nil"/>
              <w:bottom w:val="nil"/>
              <w:right w:val="nil"/>
            </w:tcBorders>
            <w:shd w:val="clear" w:color="auto" w:fill="auto"/>
            <w:vAlign w:val="bottom"/>
            <w:hideMark/>
          </w:tcPr>
          <w:p w14:paraId="2AA4F66D" w14:textId="77777777" w:rsidR="00C45D5B" w:rsidRPr="000C62F3" w:rsidRDefault="00C45D5B" w:rsidP="00CF774B">
            <w:pPr>
              <w:rPr>
                <w:rFonts w:cs="Arial"/>
                <w:color w:val="000000"/>
                <w:sz w:val="18"/>
                <w:szCs w:val="18"/>
              </w:rPr>
            </w:pPr>
            <w:r w:rsidRPr="000C62F3">
              <w:rPr>
                <w:rFonts w:cs="Arial"/>
                <w:color w:val="000000"/>
                <w:sz w:val="18"/>
                <w:szCs w:val="18"/>
              </w:rPr>
              <w:t>- Medzispotreba</w:t>
            </w:r>
          </w:p>
        </w:tc>
        <w:tc>
          <w:tcPr>
            <w:tcW w:w="910" w:type="dxa"/>
            <w:gridSpan w:val="2"/>
            <w:tcBorders>
              <w:top w:val="nil"/>
              <w:left w:val="nil"/>
              <w:bottom w:val="nil"/>
              <w:right w:val="nil"/>
            </w:tcBorders>
            <w:shd w:val="clear" w:color="auto" w:fill="auto"/>
            <w:vAlign w:val="bottom"/>
            <w:hideMark/>
          </w:tcPr>
          <w:p w14:paraId="158E6F65" w14:textId="77777777" w:rsidR="00C45D5B" w:rsidRPr="000C62F3" w:rsidRDefault="00C45D5B" w:rsidP="00CF774B">
            <w:pPr>
              <w:rPr>
                <w:rFonts w:cs="Times New Roman"/>
                <w:color w:val="000000"/>
                <w:sz w:val="18"/>
                <w:szCs w:val="18"/>
              </w:rPr>
            </w:pPr>
            <w:r w:rsidRPr="000C62F3">
              <w:rPr>
                <w:rFonts w:cs="Times New Roman"/>
                <w:color w:val="000000"/>
                <w:sz w:val="18"/>
                <w:szCs w:val="18"/>
              </w:rPr>
              <w:t>P.2</w:t>
            </w:r>
          </w:p>
        </w:tc>
        <w:tc>
          <w:tcPr>
            <w:tcW w:w="1107" w:type="dxa"/>
            <w:gridSpan w:val="2"/>
            <w:tcBorders>
              <w:top w:val="nil"/>
              <w:left w:val="nil"/>
              <w:bottom w:val="nil"/>
              <w:right w:val="nil"/>
            </w:tcBorders>
            <w:shd w:val="clear" w:color="auto" w:fill="auto"/>
            <w:noWrap/>
            <w:vAlign w:val="bottom"/>
          </w:tcPr>
          <w:p w14:paraId="14542739"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7B716BA7"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493BDD7A"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18AC7C3F" w14:textId="77777777" w:rsidR="00C45D5B" w:rsidRPr="000C62F3" w:rsidRDefault="00C45D5B" w:rsidP="00CF774B">
            <w:pPr>
              <w:jc w:val="right"/>
              <w:rPr>
                <w:rFonts w:cs="Times New Roman"/>
                <w:color w:val="000000"/>
                <w:sz w:val="18"/>
                <w:szCs w:val="18"/>
              </w:rPr>
            </w:pPr>
          </w:p>
        </w:tc>
      </w:tr>
      <w:tr w:rsidR="00C45D5B" w:rsidRPr="000C62F3" w14:paraId="57E26B1D" w14:textId="77777777" w:rsidTr="00CF774B">
        <w:trPr>
          <w:gridAfter w:val="2"/>
          <w:wAfter w:w="186" w:type="dxa"/>
          <w:trHeight w:val="258"/>
        </w:trPr>
        <w:tc>
          <w:tcPr>
            <w:tcW w:w="3620" w:type="dxa"/>
            <w:gridSpan w:val="2"/>
            <w:tcBorders>
              <w:top w:val="nil"/>
              <w:left w:val="nil"/>
              <w:bottom w:val="nil"/>
              <w:right w:val="nil"/>
            </w:tcBorders>
            <w:shd w:val="clear" w:color="auto" w:fill="auto"/>
            <w:vAlign w:val="bottom"/>
            <w:hideMark/>
          </w:tcPr>
          <w:p w14:paraId="779F4422" w14:textId="77777777" w:rsidR="00C45D5B" w:rsidRPr="000C62F3" w:rsidRDefault="00C45D5B" w:rsidP="00CF774B">
            <w:pPr>
              <w:rPr>
                <w:rFonts w:cs="Arial"/>
                <w:color w:val="000000"/>
                <w:sz w:val="18"/>
                <w:szCs w:val="18"/>
              </w:rPr>
            </w:pPr>
            <w:r w:rsidRPr="000C62F3">
              <w:rPr>
                <w:rFonts w:cs="Arial"/>
                <w:color w:val="000000"/>
                <w:sz w:val="18"/>
                <w:szCs w:val="18"/>
              </w:rPr>
              <w:t>- Sociálne dávky</w:t>
            </w:r>
          </w:p>
        </w:tc>
        <w:tc>
          <w:tcPr>
            <w:tcW w:w="910" w:type="dxa"/>
            <w:gridSpan w:val="2"/>
            <w:tcBorders>
              <w:top w:val="nil"/>
              <w:left w:val="nil"/>
              <w:bottom w:val="nil"/>
              <w:right w:val="nil"/>
            </w:tcBorders>
            <w:shd w:val="clear" w:color="auto" w:fill="auto"/>
            <w:vAlign w:val="bottom"/>
            <w:hideMark/>
          </w:tcPr>
          <w:p w14:paraId="3405C9A2" w14:textId="77777777" w:rsidR="00C45D5B" w:rsidRPr="000C62F3" w:rsidRDefault="00C45D5B" w:rsidP="00CF774B">
            <w:pPr>
              <w:rPr>
                <w:rFonts w:cs="Times New Roman"/>
                <w:color w:val="000000"/>
                <w:sz w:val="18"/>
                <w:szCs w:val="18"/>
              </w:rPr>
            </w:pPr>
            <w:r w:rsidRPr="000C62F3">
              <w:rPr>
                <w:rFonts w:cs="Times New Roman"/>
                <w:color w:val="000000"/>
                <w:sz w:val="18"/>
                <w:szCs w:val="18"/>
              </w:rPr>
              <w:t>D.62+D.632</w:t>
            </w:r>
          </w:p>
        </w:tc>
        <w:tc>
          <w:tcPr>
            <w:tcW w:w="1107" w:type="dxa"/>
            <w:gridSpan w:val="2"/>
            <w:tcBorders>
              <w:top w:val="nil"/>
              <w:left w:val="nil"/>
              <w:bottom w:val="nil"/>
              <w:right w:val="nil"/>
            </w:tcBorders>
            <w:shd w:val="clear" w:color="auto" w:fill="auto"/>
            <w:noWrap/>
            <w:vAlign w:val="bottom"/>
          </w:tcPr>
          <w:p w14:paraId="5D151A4D" w14:textId="77777777" w:rsidR="00C45D5B" w:rsidRPr="000C62F3" w:rsidRDefault="00C45D5B" w:rsidP="00CF774B">
            <w:pPr>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0D9EDCA2" w14:textId="77777777" w:rsidR="00C45D5B" w:rsidRPr="000C62F3" w:rsidRDefault="00C45D5B" w:rsidP="00CF774B">
            <w:pPr>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2282F278" w14:textId="77777777" w:rsidR="00C45D5B" w:rsidRPr="000C62F3" w:rsidRDefault="00C45D5B" w:rsidP="00CF774B">
            <w:pPr>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149CA13D" w14:textId="77777777" w:rsidR="00C45D5B" w:rsidRPr="000C62F3" w:rsidRDefault="00C45D5B" w:rsidP="00CF774B">
            <w:pPr>
              <w:rPr>
                <w:rFonts w:cs="Times New Roman"/>
                <w:color w:val="000000"/>
                <w:sz w:val="18"/>
                <w:szCs w:val="18"/>
              </w:rPr>
            </w:pPr>
          </w:p>
        </w:tc>
      </w:tr>
      <w:tr w:rsidR="00C45D5B" w:rsidRPr="000C62F3" w14:paraId="4A7E10B5" w14:textId="77777777" w:rsidTr="00CF774B">
        <w:trPr>
          <w:gridAfter w:val="2"/>
          <w:wAfter w:w="186" w:type="dxa"/>
          <w:trHeight w:val="258"/>
        </w:trPr>
        <w:tc>
          <w:tcPr>
            <w:tcW w:w="3620" w:type="dxa"/>
            <w:gridSpan w:val="2"/>
            <w:tcBorders>
              <w:top w:val="nil"/>
              <w:left w:val="nil"/>
              <w:bottom w:val="nil"/>
              <w:right w:val="nil"/>
            </w:tcBorders>
            <w:shd w:val="clear" w:color="auto" w:fill="auto"/>
            <w:vAlign w:val="bottom"/>
            <w:hideMark/>
          </w:tcPr>
          <w:p w14:paraId="24341C17" w14:textId="77777777" w:rsidR="00C45D5B" w:rsidRPr="000C62F3" w:rsidRDefault="00C45D5B" w:rsidP="00CF774B">
            <w:pPr>
              <w:rPr>
                <w:rFonts w:cs="Arial"/>
                <w:color w:val="000000"/>
                <w:sz w:val="18"/>
                <w:szCs w:val="18"/>
              </w:rPr>
            </w:pPr>
            <w:r w:rsidRPr="000C62F3">
              <w:rPr>
                <w:rFonts w:cs="Arial"/>
                <w:color w:val="000000"/>
                <w:sz w:val="18"/>
                <w:szCs w:val="18"/>
              </w:rPr>
              <w:t>- Úrokové náklady</w:t>
            </w:r>
          </w:p>
        </w:tc>
        <w:tc>
          <w:tcPr>
            <w:tcW w:w="910" w:type="dxa"/>
            <w:gridSpan w:val="2"/>
            <w:tcBorders>
              <w:top w:val="nil"/>
              <w:left w:val="nil"/>
              <w:bottom w:val="nil"/>
              <w:right w:val="nil"/>
            </w:tcBorders>
            <w:shd w:val="clear" w:color="auto" w:fill="auto"/>
            <w:vAlign w:val="bottom"/>
            <w:hideMark/>
          </w:tcPr>
          <w:p w14:paraId="7E266F0D" w14:textId="77777777" w:rsidR="00C45D5B" w:rsidRPr="000C62F3" w:rsidRDefault="00C45D5B" w:rsidP="00CF774B">
            <w:pPr>
              <w:rPr>
                <w:rFonts w:cs="Times New Roman"/>
                <w:color w:val="000000"/>
                <w:sz w:val="18"/>
                <w:szCs w:val="18"/>
              </w:rPr>
            </w:pPr>
            <w:r w:rsidRPr="000C62F3">
              <w:rPr>
                <w:rFonts w:cs="Times New Roman"/>
                <w:color w:val="000000"/>
                <w:sz w:val="18"/>
                <w:szCs w:val="18"/>
              </w:rPr>
              <w:t>D.41</w:t>
            </w:r>
          </w:p>
        </w:tc>
        <w:tc>
          <w:tcPr>
            <w:tcW w:w="1107" w:type="dxa"/>
            <w:gridSpan w:val="2"/>
            <w:tcBorders>
              <w:top w:val="nil"/>
              <w:left w:val="nil"/>
              <w:bottom w:val="nil"/>
              <w:right w:val="nil"/>
            </w:tcBorders>
            <w:shd w:val="clear" w:color="auto" w:fill="auto"/>
            <w:noWrap/>
            <w:vAlign w:val="bottom"/>
            <w:hideMark/>
          </w:tcPr>
          <w:p w14:paraId="237F379E"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62855F78"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1AC6BD7"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EB1EA80"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622F29E0" w14:textId="77777777" w:rsidTr="00CF774B">
        <w:trPr>
          <w:gridAfter w:val="2"/>
          <w:wAfter w:w="186" w:type="dxa"/>
          <w:trHeight w:val="258"/>
        </w:trPr>
        <w:tc>
          <w:tcPr>
            <w:tcW w:w="3620" w:type="dxa"/>
            <w:gridSpan w:val="2"/>
            <w:tcBorders>
              <w:top w:val="nil"/>
              <w:left w:val="nil"/>
              <w:bottom w:val="nil"/>
              <w:right w:val="nil"/>
            </w:tcBorders>
            <w:shd w:val="clear" w:color="auto" w:fill="auto"/>
            <w:vAlign w:val="bottom"/>
            <w:hideMark/>
          </w:tcPr>
          <w:p w14:paraId="6153D248" w14:textId="77777777" w:rsidR="00C45D5B" w:rsidRPr="000C62F3" w:rsidRDefault="00C45D5B" w:rsidP="00CF774B">
            <w:pPr>
              <w:rPr>
                <w:rFonts w:cs="Arial"/>
                <w:color w:val="000000"/>
                <w:sz w:val="18"/>
                <w:szCs w:val="18"/>
              </w:rPr>
            </w:pPr>
            <w:r w:rsidRPr="000C62F3">
              <w:rPr>
                <w:rFonts w:cs="Arial"/>
                <w:color w:val="000000"/>
                <w:sz w:val="18"/>
                <w:szCs w:val="18"/>
              </w:rPr>
              <w:t>- Dotácie</w:t>
            </w:r>
          </w:p>
        </w:tc>
        <w:tc>
          <w:tcPr>
            <w:tcW w:w="910" w:type="dxa"/>
            <w:gridSpan w:val="2"/>
            <w:tcBorders>
              <w:top w:val="nil"/>
              <w:left w:val="nil"/>
              <w:bottom w:val="nil"/>
              <w:right w:val="nil"/>
            </w:tcBorders>
            <w:shd w:val="clear" w:color="auto" w:fill="auto"/>
            <w:vAlign w:val="bottom"/>
            <w:hideMark/>
          </w:tcPr>
          <w:p w14:paraId="67B70EE3" w14:textId="77777777" w:rsidR="00C45D5B" w:rsidRPr="000C62F3" w:rsidRDefault="00C45D5B" w:rsidP="00CF774B">
            <w:pPr>
              <w:rPr>
                <w:rFonts w:cs="Times New Roman"/>
                <w:color w:val="000000"/>
                <w:sz w:val="18"/>
                <w:szCs w:val="18"/>
              </w:rPr>
            </w:pPr>
            <w:r w:rsidRPr="000C62F3">
              <w:rPr>
                <w:rFonts w:cs="Times New Roman"/>
                <w:color w:val="000000"/>
                <w:sz w:val="18"/>
                <w:szCs w:val="18"/>
              </w:rPr>
              <w:t>D.3</w:t>
            </w:r>
          </w:p>
        </w:tc>
        <w:tc>
          <w:tcPr>
            <w:tcW w:w="1107" w:type="dxa"/>
            <w:gridSpan w:val="2"/>
            <w:tcBorders>
              <w:top w:val="nil"/>
              <w:left w:val="nil"/>
              <w:bottom w:val="nil"/>
              <w:right w:val="nil"/>
            </w:tcBorders>
            <w:shd w:val="clear" w:color="auto" w:fill="auto"/>
            <w:noWrap/>
            <w:vAlign w:val="bottom"/>
            <w:hideMark/>
          </w:tcPr>
          <w:p w14:paraId="74C30888"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792B4316"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0BB9A299"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6B9F87F1"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1AF6B665" w14:textId="77777777" w:rsidTr="00CF774B">
        <w:trPr>
          <w:gridAfter w:val="2"/>
          <w:wAfter w:w="186" w:type="dxa"/>
          <w:trHeight w:val="258"/>
        </w:trPr>
        <w:tc>
          <w:tcPr>
            <w:tcW w:w="3620" w:type="dxa"/>
            <w:gridSpan w:val="2"/>
            <w:tcBorders>
              <w:top w:val="nil"/>
              <w:left w:val="nil"/>
              <w:bottom w:val="nil"/>
              <w:right w:val="nil"/>
            </w:tcBorders>
            <w:shd w:val="clear" w:color="auto" w:fill="auto"/>
            <w:vAlign w:val="bottom"/>
            <w:hideMark/>
          </w:tcPr>
          <w:p w14:paraId="466663FF" w14:textId="77777777" w:rsidR="00C45D5B" w:rsidRPr="000C62F3" w:rsidRDefault="00C45D5B" w:rsidP="00CF774B">
            <w:pPr>
              <w:rPr>
                <w:rFonts w:cs="Arial"/>
                <w:color w:val="000000"/>
                <w:sz w:val="18"/>
                <w:szCs w:val="18"/>
              </w:rPr>
            </w:pPr>
            <w:r w:rsidRPr="000C62F3">
              <w:rPr>
                <w:rFonts w:cs="Arial"/>
                <w:color w:val="000000"/>
                <w:sz w:val="18"/>
                <w:szCs w:val="18"/>
              </w:rPr>
              <w:t>- Bežné transfery</w:t>
            </w:r>
          </w:p>
        </w:tc>
        <w:tc>
          <w:tcPr>
            <w:tcW w:w="910" w:type="dxa"/>
            <w:gridSpan w:val="2"/>
            <w:tcBorders>
              <w:top w:val="nil"/>
              <w:left w:val="nil"/>
              <w:bottom w:val="nil"/>
              <w:right w:val="nil"/>
            </w:tcBorders>
            <w:shd w:val="clear" w:color="auto" w:fill="auto"/>
            <w:vAlign w:val="bottom"/>
            <w:hideMark/>
          </w:tcPr>
          <w:p w14:paraId="6116FD82" w14:textId="77777777" w:rsidR="00C45D5B" w:rsidRPr="000C62F3" w:rsidRDefault="00C45D5B" w:rsidP="00CF774B">
            <w:pPr>
              <w:rPr>
                <w:rFonts w:cs="Times New Roman"/>
                <w:color w:val="000000"/>
                <w:sz w:val="18"/>
                <w:szCs w:val="18"/>
              </w:rPr>
            </w:pPr>
            <w:r w:rsidRPr="000C62F3">
              <w:rPr>
                <w:rFonts w:cs="Times New Roman"/>
                <w:color w:val="000000"/>
                <w:sz w:val="18"/>
                <w:szCs w:val="18"/>
              </w:rPr>
              <w:t>D.7</w:t>
            </w:r>
          </w:p>
        </w:tc>
        <w:tc>
          <w:tcPr>
            <w:tcW w:w="1107" w:type="dxa"/>
            <w:gridSpan w:val="2"/>
            <w:tcBorders>
              <w:top w:val="nil"/>
              <w:left w:val="nil"/>
              <w:bottom w:val="nil"/>
              <w:right w:val="nil"/>
            </w:tcBorders>
            <w:shd w:val="clear" w:color="auto" w:fill="auto"/>
            <w:noWrap/>
            <w:vAlign w:val="bottom"/>
            <w:hideMark/>
          </w:tcPr>
          <w:p w14:paraId="4A085631"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CDF7A35"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64600603"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52D39B39"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07E8C6F9" w14:textId="77777777" w:rsidTr="00CF774B">
        <w:trPr>
          <w:gridBefore w:val="1"/>
          <w:gridAfter w:val="1"/>
          <w:wBefore w:w="68" w:type="dxa"/>
          <w:wAfter w:w="118" w:type="dxa"/>
          <w:trHeight w:val="258"/>
        </w:trPr>
        <w:tc>
          <w:tcPr>
            <w:tcW w:w="3620" w:type="dxa"/>
            <w:gridSpan w:val="2"/>
            <w:tcBorders>
              <w:top w:val="nil"/>
              <w:left w:val="nil"/>
              <w:bottom w:val="nil"/>
              <w:right w:val="nil"/>
            </w:tcBorders>
            <w:shd w:val="clear" w:color="auto" w:fill="auto"/>
            <w:vAlign w:val="bottom"/>
            <w:hideMark/>
          </w:tcPr>
          <w:p w14:paraId="05C00E9F" w14:textId="77777777" w:rsidR="00C45D5B" w:rsidRPr="000C62F3" w:rsidRDefault="00C45D5B" w:rsidP="00CF774B">
            <w:pPr>
              <w:rPr>
                <w:rFonts w:cs="Times New Roman"/>
                <w:b/>
                <w:bCs/>
                <w:sz w:val="18"/>
                <w:szCs w:val="18"/>
              </w:rPr>
            </w:pPr>
            <w:r w:rsidRPr="000C62F3">
              <w:rPr>
                <w:rFonts w:cs="Times New Roman"/>
                <w:b/>
                <w:bCs/>
                <w:sz w:val="18"/>
                <w:szCs w:val="18"/>
              </w:rPr>
              <w:t>4. Celkové kapitálové výdavky</w:t>
            </w:r>
          </w:p>
        </w:tc>
        <w:tc>
          <w:tcPr>
            <w:tcW w:w="910" w:type="dxa"/>
            <w:gridSpan w:val="2"/>
            <w:tcBorders>
              <w:top w:val="nil"/>
              <w:left w:val="nil"/>
              <w:bottom w:val="nil"/>
              <w:right w:val="nil"/>
            </w:tcBorders>
            <w:shd w:val="clear" w:color="auto" w:fill="auto"/>
            <w:vAlign w:val="bottom"/>
            <w:hideMark/>
          </w:tcPr>
          <w:p w14:paraId="33FD99A4"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22FC050B" w14:textId="77777777" w:rsidR="00C45D5B" w:rsidRPr="000C62F3" w:rsidRDefault="00C45D5B" w:rsidP="00CF774B">
            <w:pPr>
              <w:rPr>
                <w:rFonts w:cs="Times New Roman"/>
                <w:b/>
                <w:color w:val="000000"/>
                <w:sz w:val="18"/>
                <w:szCs w:val="18"/>
              </w:rPr>
            </w:pPr>
          </w:p>
        </w:tc>
        <w:tc>
          <w:tcPr>
            <w:tcW w:w="1107" w:type="dxa"/>
            <w:gridSpan w:val="2"/>
            <w:tcBorders>
              <w:top w:val="nil"/>
              <w:left w:val="nil"/>
              <w:bottom w:val="nil"/>
              <w:right w:val="nil"/>
            </w:tcBorders>
            <w:shd w:val="clear" w:color="auto" w:fill="auto"/>
            <w:noWrap/>
            <w:vAlign w:val="bottom"/>
            <w:hideMark/>
          </w:tcPr>
          <w:p w14:paraId="395A3004" w14:textId="77777777" w:rsidR="00C45D5B" w:rsidRPr="000C62F3" w:rsidRDefault="00C45D5B" w:rsidP="00CF774B">
            <w:pPr>
              <w:rPr>
                <w:rFonts w:cs="Times New Roman"/>
                <w:b/>
                <w:sz w:val="18"/>
                <w:szCs w:val="18"/>
              </w:rPr>
            </w:pPr>
          </w:p>
        </w:tc>
        <w:tc>
          <w:tcPr>
            <w:tcW w:w="1107" w:type="dxa"/>
            <w:gridSpan w:val="2"/>
            <w:tcBorders>
              <w:top w:val="nil"/>
              <w:left w:val="nil"/>
              <w:bottom w:val="nil"/>
              <w:right w:val="nil"/>
            </w:tcBorders>
            <w:shd w:val="clear" w:color="auto" w:fill="auto"/>
            <w:noWrap/>
            <w:vAlign w:val="bottom"/>
            <w:hideMark/>
          </w:tcPr>
          <w:p w14:paraId="53F0EC0F" w14:textId="77777777" w:rsidR="00C45D5B" w:rsidRPr="000C62F3" w:rsidRDefault="00C45D5B" w:rsidP="00CF774B">
            <w:pPr>
              <w:rPr>
                <w:rFonts w:cs="Times New Roman"/>
                <w:b/>
                <w:sz w:val="18"/>
                <w:szCs w:val="18"/>
              </w:rPr>
            </w:pPr>
          </w:p>
        </w:tc>
        <w:tc>
          <w:tcPr>
            <w:tcW w:w="1107" w:type="dxa"/>
            <w:gridSpan w:val="2"/>
            <w:tcBorders>
              <w:top w:val="nil"/>
              <w:left w:val="nil"/>
              <w:bottom w:val="nil"/>
              <w:right w:val="nil"/>
            </w:tcBorders>
            <w:shd w:val="clear" w:color="auto" w:fill="auto"/>
            <w:noWrap/>
            <w:vAlign w:val="bottom"/>
            <w:hideMark/>
          </w:tcPr>
          <w:p w14:paraId="5C9CD6C9" w14:textId="77777777" w:rsidR="00C45D5B" w:rsidRPr="000C62F3" w:rsidRDefault="00C45D5B" w:rsidP="00CF774B">
            <w:pPr>
              <w:rPr>
                <w:rFonts w:cs="Times New Roman"/>
                <w:b/>
                <w:sz w:val="18"/>
                <w:szCs w:val="18"/>
              </w:rPr>
            </w:pPr>
          </w:p>
        </w:tc>
      </w:tr>
      <w:tr w:rsidR="00C45D5B" w:rsidRPr="000C62F3" w14:paraId="049F4BED" w14:textId="77777777" w:rsidTr="00CF774B">
        <w:trPr>
          <w:gridBefore w:val="1"/>
          <w:gridAfter w:val="1"/>
          <w:wBefore w:w="68" w:type="dxa"/>
          <w:wAfter w:w="118" w:type="dxa"/>
          <w:trHeight w:val="258"/>
        </w:trPr>
        <w:tc>
          <w:tcPr>
            <w:tcW w:w="3620" w:type="dxa"/>
            <w:gridSpan w:val="2"/>
            <w:tcBorders>
              <w:top w:val="nil"/>
              <w:left w:val="nil"/>
              <w:bottom w:val="nil"/>
              <w:right w:val="nil"/>
            </w:tcBorders>
            <w:shd w:val="clear" w:color="auto" w:fill="auto"/>
            <w:vAlign w:val="bottom"/>
            <w:hideMark/>
          </w:tcPr>
          <w:p w14:paraId="0825EBCB" w14:textId="77777777" w:rsidR="00C45D5B" w:rsidRPr="000C62F3" w:rsidRDefault="00C45D5B" w:rsidP="00CF774B">
            <w:pPr>
              <w:rPr>
                <w:rFonts w:cs="Arial"/>
                <w:color w:val="000000"/>
                <w:sz w:val="18"/>
                <w:szCs w:val="18"/>
              </w:rPr>
            </w:pPr>
            <w:r w:rsidRPr="000C62F3">
              <w:rPr>
                <w:rFonts w:cs="Arial"/>
                <w:color w:val="000000"/>
                <w:sz w:val="18"/>
                <w:szCs w:val="18"/>
              </w:rPr>
              <w:t>z toho:</w:t>
            </w:r>
          </w:p>
        </w:tc>
        <w:tc>
          <w:tcPr>
            <w:tcW w:w="910" w:type="dxa"/>
            <w:gridSpan w:val="2"/>
            <w:tcBorders>
              <w:top w:val="nil"/>
              <w:left w:val="nil"/>
              <w:bottom w:val="nil"/>
              <w:right w:val="nil"/>
            </w:tcBorders>
            <w:shd w:val="clear" w:color="auto" w:fill="auto"/>
            <w:vAlign w:val="bottom"/>
            <w:hideMark/>
          </w:tcPr>
          <w:p w14:paraId="31D37A1A"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1900097F"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178FCA4"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0980FF91"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4D904F0"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0410FC47" w14:textId="77777777" w:rsidTr="00CF774B">
        <w:trPr>
          <w:gridBefore w:val="1"/>
          <w:gridAfter w:val="1"/>
          <w:wBefore w:w="68" w:type="dxa"/>
          <w:wAfter w:w="118" w:type="dxa"/>
          <w:trHeight w:val="258"/>
        </w:trPr>
        <w:tc>
          <w:tcPr>
            <w:tcW w:w="3620" w:type="dxa"/>
            <w:gridSpan w:val="2"/>
            <w:tcBorders>
              <w:top w:val="nil"/>
              <w:left w:val="nil"/>
              <w:bottom w:val="nil"/>
              <w:right w:val="nil"/>
            </w:tcBorders>
            <w:shd w:val="clear" w:color="auto" w:fill="auto"/>
            <w:vAlign w:val="bottom"/>
            <w:hideMark/>
          </w:tcPr>
          <w:p w14:paraId="6E306350" w14:textId="77777777" w:rsidR="00C45D5B" w:rsidRPr="000C62F3" w:rsidRDefault="00C45D5B" w:rsidP="00CF774B">
            <w:pPr>
              <w:rPr>
                <w:rFonts w:cs="Times New Roman"/>
                <w:bCs/>
                <w:sz w:val="18"/>
                <w:szCs w:val="18"/>
              </w:rPr>
            </w:pPr>
            <w:r w:rsidRPr="000C62F3">
              <w:rPr>
                <w:rFonts w:cs="Times New Roman"/>
                <w:bCs/>
                <w:sz w:val="18"/>
                <w:szCs w:val="18"/>
              </w:rPr>
              <w:t>- Tvorba hrubého fixného kapitál</w:t>
            </w:r>
          </w:p>
        </w:tc>
        <w:tc>
          <w:tcPr>
            <w:tcW w:w="910" w:type="dxa"/>
            <w:gridSpan w:val="2"/>
            <w:tcBorders>
              <w:top w:val="nil"/>
              <w:left w:val="nil"/>
              <w:bottom w:val="nil"/>
              <w:right w:val="nil"/>
            </w:tcBorders>
            <w:shd w:val="clear" w:color="auto" w:fill="auto"/>
            <w:vAlign w:val="bottom"/>
            <w:hideMark/>
          </w:tcPr>
          <w:p w14:paraId="515EF84F" w14:textId="77777777" w:rsidR="00C45D5B" w:rsidRPr="000C62F3" w:rsidRDefault="00C45D5B" w:rsidP="00CF774B">
            <w:pPr>
              <w:rPr>
                <w:rFonts w:cs="Times New Roman"/>
                <w:color w:val="000000"/>
                <w:sz w:val="18"/>
                <w:szCs w:val="18"/>
              </w:rPr>
            </w:pPr>
            <w:r w:rsidRPr="000C62F3">
              <w:rPr>
                <w:rFonts w:cs="Times New Roman"/>
                <w:color w:val="000000"/>
                <w:sz w:val="18"/>
                <w:szCs w:val="18"/>
              </w:rPr>
              <w:t>P.51g</w:t>
            </w:r>
          </w:p>
        </w:tc>
        <w:tc>
          <w:tcPr>
            <w:tcW w:w="1107" w:type="dxa"/>
            <w:gridSpan w:val="2"/>
            <w:tcBorders>
              <w:top w:val="nil"/>
              <w:left w:val="nil"/>
              <w:bottom w:val="nil"/>
              <w:right w:val="nil"/>
            </w:tcBorders>
            <w:shd w:val="clear" w:color="auto" w:fill="auto"/>
            <w:noWrap/>
            <w:vAlign w:val="bottom"/>
          </w:tcPr>
          <w:p w14:paraId="4368DF77"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2951C03C"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404875C5" w14:textId="77777777" w:rsidR="00C45D5B" w:rsidRPr="000C62F3" w:rsidRDefault="00C45D5B" w:rsidP="00CF774B">
            <w:pPr>
              <w:jc w:val="right"/>
              <w:rPr>
                <w:rFonts w:cs="Times New Roman"/>
                <w:color w:val="000000"/>
                <w:sz w:val="18"/>
                <w:szCs w:val="18"/>
              </w:rPr>
            </w:pPr>
          </w:p>
        </w:tc>
        <w:tc>
          <w:tcPr>
            <w:tcW w:w="1107" w:type="dxa"/>
            <w:gridSpan w:val="2"/>
            <w:tcBorders>
              <w:top w:val="nil"/>
              <w:left w:val="nil"/>
              <w:bottom w:val="nil"/>
              <w:right w:val="nil"/>
            </w:tcBorders>
            <w:shd w:val="clear" w:color="auto" w:fill="auto"/>
            <w:noWrap/>
            <w:vAlign w:val="bottom"/>
          </w:tcPr>
          <w:p w14:paraId="36DAD458" w14:textId="77777777" w:rsidR="00C45D5B" w:rsidRPr="000C62F3" w:rsidRDefault="00C45D5B" w:rsidP="00CF774B">
            <w:pPr>
              <w:jc w:val="right"/>
              <w:rPr>
                <w:rFonts w:cs="Times New Roman"/>
                <w:color w:val="000000"/>
                <w:sz w:val="18"/>
                <w:szCs w:val="18"/>
              </w:rPr>
            </w:pPr>
          </w:p>
        </w:tc>
      </w:tr>
      <w:tr w:rsidR="00C45D5B" w:rsidRPr="000C62F3" w14:paraId="64C52074" w14:textId="77777777" w:rsidTr="00CF774B">
        <w:trPr>
          <w:gridBefore w:val="1"/>
          <w:gridAfter w:val="1"/>
          <w:wBefore w:w="68" w:type="dxa"/>
          <w:wAfter w:w="118" w:type="dxa"/>
          <w:trHeight w:val="258"/>
        </w:trPr>
        <w:tc>
          <w:tcPr>
            <w:tcW w:w="3620" w:type="dxa"/>
            <w:gridSpan w:val="2"/>
            <w:tcBorders>
              <w:top w:val="nil"/>
              <w:left w:val="nil"/>
              <w:bottom w:val="nil"/>
              <w:right w:val="nil"/>
            </w:tcBorders>
            <w:shd w:val="clear" w:color="auto" w:fill="auto"/>
            <w:vAlign w:val="bottom"/>
            <w:hideMark/>
          </w:tcPr>
          <w:p w14:paraId="1AAAEE23" w14:textId="77777777" w:rsidR="00C45D5B" w:rsidRPr="000C62F3" w:rsidRDefault="00C45D5B" w:rsidP="00CF774B">
            <w:pPr>
              <w:rPr>
                <w:rFonts w:cs="Times New Roman"/>
                <w:bCs/>
                <w:sz w:val="18"/>
                <w:szCs w:val="18"/>
              </w:rPr>
            </w:pPr>
            <w:r w:rsidRPr="000C62F3">
              <w:rPr>
                <w:rFonts w:cs="Times New Roman"/>
                <w:bCs/>
                <w:sz w:val="18"/>
                <w:szCs w:val="18"/>
              </w:rPr>
              <w:t>- Kapitálové transfery</w:t>
            </w:r>
          </w:p>
        </w:tc>
        <w:tc>
          <w:tcPr>
            <w:tcW w:w="910" w:type="dxa"/>
            <w:gridSpan w:val="2"/>
            <w:tcBorders>
              <w:top w:val="nil"/>
              <w:left w:val="nil"/>
              <w:bottom w:val="nil"/>
              <w:right w:val="nil"/>
            </w:tcBorders>
            <w:shd w:val="clear" w:color="auto" w:fill="auto"/>
            <w:vAlign w:val="bottom"/>
            <w:hideMark/>
          </w:tcPr>
          <w:p w14:paraId="2A7E6CFD" w14:textId="77777777" w:rsidR="00C45D5B" w:rsidRPr="000C62F3" w:rsidRDefault="00C45D5B" w:rsidP="00CF774B">
            <w:pPr>
              <w:rPr>
                <w:rFonts w:cs="Times New Roman"/>
                <w:color w:val="000000"/>
                <w:sz w:val="18"/>
                <w:szCs w:val="18"/>
              </w:rPr>
            </w:pPr>
            <w:r w:rsidRPr="000C62F3">
              <w:rPr>
                <w:rFonts w:cs="Times New Roman"/>
                <w:color w:val="000000"/>
                <w:sz w:val="18"/>
                <w:szCs w:val="18"/>
              </w:rPr>
              <w:t>D.9</w:t>
            </w:r>
          </w:p>
        </w:tc>
        <w:tc>
          <w:tcPr>
            <w:tcW w:w="1107" w:type="dxa"/>
            <w:gridSpan w:val="2"/>
            <w:tcBorders>
              <w:top w:val="nil"/>
              <w:left w:val="nil"/>
              <w:bottom w:val="nil"/>
              <w:right w:val="nil"/>
            </w:tcBorders>
            <w:shd w:val="clear" w:color="auto" w:fill="auto"/>
            <w:noWrap/>
            <w:vAlign w:val="bottom"/>
            <w:hideMark/>
          </w:tcPr>
          <w:p w14:paraId="4F27E932"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492A0159"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6B829988"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0C48ED52"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603B0D99" w14:textId="77777777" w:rsidTr="00CF774B">
        <w:trPr>
          <w:gridBefore w:val="1"/>
          <w:gridAfter w:val="1"/>
          <w:wBefore w:w="68" w:type="dxa"/>
          <w:wAfter w:w="118" w:type="dxa"/>
          <w:trHeight w:val="258"/>
        </w:trPr>
        <w:tc>
          <w:tcPr>
            <w:tcW w:w="3620" w:type="dxa"/>
            <w:gridSpan w:val="2"/>
            <w:tcBorders>
              <w:top w:val="nil"/>
              <w:left w:val="nil"/>
              <w:bottom w:val="nil"/>
              <w:right w:val="nil"/>
            </w:tcBorders>
            <w:shd w:val="clear" w:color="auto" w:fill="auto"/>
            <w:vAlign w:val="bottom"/>
            <w:hideMark/>
          </w:tcPr>
          <w:p w14:paraId="797AEEC9" w14:textId="77777777" w:rsidR="00C45D5B" w:rsidRPr="000C62F3" w:rsidRDefault="00C45D5B" w:rsidP="00CF774B">
            <w:pPr>
              <w:rPr>
                <w:rFonts w:cs="Times New Roman"/>
                <w:bCs/>
                <w:sz w:val="18"/>
                <w:szCs w:val="18"/>
              </w:rPr>
            </w:pPr>
            <w:r w:rsidRPr="000C62F3">
              <w:rPr>
                <w:rFonts w:cs="Times New Roman"/>
                <w:bCs/>
                <w:sz w:val="18"/>
                <w:szCs w:val="18"/>
              </w:rPr>
              <w:t>Iné výdavky financované z pôžičky</w:t>
            </w:r>
          </w:p>
        </w:tc>
        <w:tc>
          <w:tcPr>
            <w:tcW w:w="910" w:type="dxa"/>
            <w:gridSpan w:val="2"/>
            <w:tcBorders>
              <w:top w:val="nil"/>
              <w:left w:val="nil"/>
              <w:bottom w:val="nil"/>
              <w:right w:val="nil"/>
            </w:tcBorders>
            <w:shd w:val="clear" w:color="auto" w:fill="auto"/>
            <w:vAlign w:val="bottom"/>
            <w:hideMark/>
          </w:tcPr>
          <w:p w14:paraId="7C277D64"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12026695"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01262259"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2F0056FF"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B1643FD" w14:textId="77777777" w:rsidR="00C45D5B" w:rsidRPr="000C62F3" w:rsidRDefault="00C45D5B" w:rsidP="00CF774B">
            <w:pPr>
              <w:rPr>
                <w:rFonts w:cs="Times New Roman"/>
                <w:color w:val="000000"/>
                <w:sz w:val="18"/>
                <w:szCs w:val="18"/>
              </w:rPr>
            </w:pPr>
            <w:r w:rsidRPr="000C62F3">
              <w:rPr>
                <w:rFonts w:cs="Times New Roman"/>
                <w:color w:val="000000"/>
                <w:sz w:val="18"/>
                <w:szCs w:val="18"/>
              </w:rPr>
              <w:t> </w:t>
            </w:r>
          </w:p>
        </w:tc>
      </w:tr>
      <w:tr w:rsidR="00C45D5B" w:rsidRPr="000C62F3" w14:paraId="29413313" w14:textId="77777777" w:rsidTr="00CF774B">
        <w:trPr>
          <w:gridBefore w:val="1"/>
          <w:gridAfter w:val="1"/>
          <w:wBefore w:w="68" w:type="dxa"/>
          <w:wAfter w:w="118" w:type="dxa"/>
          <w:trHeight w:val="258"/>
        </w:trPr>
        <w:tc>
          <w:tcPr>
            <w:tcW w:w="3620" w:type="dxa"/>
            <w:gridSpan w:val="2"/>
            <w:tcBorders>
              <w:top w:val="nil"/>
              <w:left w:val="nil"/>
              <w:bottom w:val="nil"/>
              <w:right w:val="nil"/>
            </w:tcBorders>
            <w:shd w:val="clear" w:color="auto" w:fill="auto"/>
            <w:vAlign w:val="bottom"/>
            <w:hideMark/>
          </w:tcPr>
          <w:p w14:paraId="54859015" w14:textId="77777777" w:rsidR="00C45D5B" w:rsidRPr="000C62F3" w:rsidRDefault="00C45D5B" w:rsidP="00CF774B">
            <w:pPr>
              <w:rPr>
                <w:rFonts w:cs="Times New Roman"/>
                <w:b/>
                <w:bCs/>
                <w:sz w:val="18"/>
                <w:szCs w:val="18"/>
              </w:rPr>
            </w:pPr>
            <w:r w:rsidRPr="000C62F3">
              <w:rPr>
                <w:rFonts w:cs="Times New Roman"/>
                <w:b/>
                <w:bCs/>
                <w:sz w:val="18"/>
                <w:szCs w:val="18"/>
              </w:rPr>
              <w:t>5. Zníženie daňových príjmov</w:t>
            </w:r>
          </w:p>
        </w:tc>
        <w:tc>
          <w:tcPr>
            <w:tcW w:w="910" w:type="dxa"/>
            <w:gridSpan w:val="2"/>
            <w:tcBorders>
              <w:top w:val="nil"/>
              <w:left w:val="nil"/>
              <w:bottom w:val="nil"/>
              <w:right w:val="nil"/>
            </w:tcBorders>
            <w:shd w:val="clear" w:color="auto" w:fill="auto"/>
            <w:vAlign w:val="bottom"/>
            <w:hideMark/>
          </w:tcPr>
          <w:p w14:paraId="22F545E1"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368690D2"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636E9816"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24CD6EFE"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nil"/>
              <w:right w:val="nil"/>
            </w:tcBorders>
            <w:shd w:val="clear" w:color="auto" w:fill="auto"/>
            <w:noWrap/>
            <w:vAlign w:val="bottom"/>
            <w:hideMark/>
          </w:tcPr>
          <w:p w14:paraId="7827C86F"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r>
      <w:tr w:rsidR="00C45D5B" w:rsidRPr="000C62F3" w14:paraId="74CA0701" w14:textId="77777777" w:rsidTr="00CF774B">
        <w:trPr>
          <w:gridBefore w:val="1"/>
          <w:gridAfter w:val="1"/>
          <w:wBefore w:w="68" w:type="dxa"/>
          <w:wAfter w:w="118" w:type="dxa"/>
          <w:trHeight w:val="258"/>
        </w:trPr>
        <w:tc>
          <w:tcPr>
            <w:tcW w:w="3620" w:type="dxa"/>
            <w:gridSpan w:val="2"/>
            <w:tcBorders>
              <w:top w:val="nil"/>
              <w:left w:val="nil"/>
              <w:right w:val="nil"/>
            </w:tcBorders>
            <w:shd w:val="clear" w:color="auto" w:fill="auto"/>
            <w:vAlign w:val="bottom"/>
            <w:hideMark/>
          </w:tcPr>
          <w:p w14:paraId="45513758" w14:textId="77777777" w:rsidR="00C45D5B" w:rsidRPr="000C62F3" w:rsidRDefault="00C45D5B" w:rsidP="00CF774B">
            <w:pPr>
              <w:rPr>
                <w:rFonts w:cs="Times New Roman"/>
                <w:b/>
                <w:bCs/>
                <w:sz w:val="18"/>
                <w:szCs w:val="18"/>
              </w:rPr>
            </w:pPr>
            <w:r w:rsidRPr="000C62F3">
              <w:rPr>
                <w:rFonts w:cs="Times New Roman"/>
                <w:b/>
                <w:bCs/>
                <w:sz w:val="18"/>
                <w:szCs w:val="18"/>
              </w:rPr>
              <w:t>6. Iné výdavky s vplyvom na príjmy</w:t>
            </w:r>
          </w:p>
        </w:tc>
        <w:tc>
          <w:tcPr>
            <w:tcW w:w="910" w:type="dxa"/>
            <w:gridSpan w:val="2"/>
            <w:tcBorders>
              <w:top w:val="nil"/>
              <w:left w:val="nil"/>
              <w:right w:val="nil"/>
            </w:tcBorders>
            <w:shd w:val="clear" w:color="auto" w:fill="auto"/>
            <w:vAlign w:val="bottom"/>
            <w:hideMark/>
          </w:tcPr>
          <w:p w14:paraId="57C503D5"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right w:val="nil"/>
            </w:tcBorders>
            <w:shd w:val="clear" w:color="auto" w:fill="auto"/>
            <w:noWrap/>
            <w:vAlign w:val="bottom"/>
            <w:hideMark/>
          </w:tcPr>
          <w:p w14:paraId="3C30EC8E"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right w:val="nil"/>
            </w:tcBorders>
            <w:shd w:val="clear" w:color="auto" w:fill="auto"/>
            <w:noWrap/>
            <w:vAlign w:val="bottom"/>
            <w:hideMark/>
          </w:tcPr>
          <w:p w14:paraId="3BEFC5D3"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right w:val="nil"/>
            </w:tcBorders>
            <w:shd w:val="clear" w:color="auto" w:fill="auto"/>
            <w:noWrap/>
            <w:vAlign w:val="bottom"/>
            <w:hideMark/>
          </w:tcPr>
          <w:p w14:paraId="7884F901"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right w:val="nil"/>
            </w:tcBorders>
            <w:shd w:val="clear" w:color="auto" w:fill="auto"/>
            <w:noWrap/>
            <w:vAlign w:val="bottom"/>
            <w:hideMark/>
          </w:tcPr>
          <w:p w14:paraId="205194E6"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r>
      <w:tr w:rsidR="00C45D5B" w:rsidRPr="000C62F3" w14:paraId="7641A5AC" w14:textId="77777777" w:rsidTr="00CF774B">
        <w:trPr>
          <w:gridBefore w:val="1"/>
          <w:gridAfter w:val="1"/>
          <w:wBefore w:w="68" w:type="dxa"/>
          <w:wAfter w:w="118" w:type="dxa"/>
          <w:trHeight w:val="258"/>
        </w:trPr>
        <w:tc>
          <w:tcPr>
            <w:tcW w:w="3620" w:type="dxa"/>
            <w:gridSpan w:val="2"/>
            <w:tcBorders>
              <w:top w:val="nil"/>
              <w:left w:val="nil"/>
              <w:bottom w:val="single" w:sz="4" w:space="0" w:color="auto"/>
              <w:right w:val="nil"/>
            </w:tcBorders>
            <w:shd w:val="clear" w:color="auto" w:fill="auto"/>
            <w:vAlign w:val="bottom"/>
            <w:hideMark/>
          </w:tcPr>
          <w:p w14:paraId="057BAE33" w14:textId="77777777" w:rsidR="00C45D5B" w:rsidRPr="000C62F3" w:rsidRDefault="00C45D5B" w:rsidP="00CF774B">
            <w:pPr>
              <w:rPr>
                <w:rFonts w:cs="Times New Roman"/>
                <w:b/>
                <w:bCs/>
                <w:sz w:val="18"/>
                <w:szCs w:val="18"/>
              </w:rPr>
            </w:pPr>
            <w:r w:rsidRPr="000C62F3">
              <w:rPr>
                <w:rFonts w:cs="Times New Roman"/>
                <w:b/>
                <w:bCs/>
                <w:sz w:val="18"/>
                <w:szCs w:val="18"/>
              </w:rPr>
              <w:t>7. Finančné transakcie</w:t>
            </w:r>
          </w:p>
        </w:tc>
        <w:tc>
          <w:tcPr>
            <w:tcW w:w="910" w:type="dxa"/>
            <w:gridSpan w:val="2"/>
            <w:tcBorders>
              <w:top w:val="nil"/>
              <w:left w:val="nil"/>
              <w:bottom w:val="single" w:sz="4" w:space="0" w:color="auto"/>
              <w:right w:val="nil"/>
            </w:tcBorders>
            <w:shd w:val="clear" w:color="auto" w:fill="auto"/>
            <w:vAlign w:val="bottom"/>
            <w:hideMark/>
          </w:tcPr>
          <w:p w14:paraId="74D67F50"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63DF2762"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02F6B63E"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4DBA219E"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c>
          <w:tcPr>
            <w:tcW w:w="1107" w:type="dxa"/>
            <w:gridSpan w:val="2"/>
            <w:tcBorders>
              <w:top w:val="nil"/>
              <w:left w:val="nil"/>
              <w:bottom w:val="single" w:sz="4" w:space="0" w:color="auto"/>
              <w:right w:val="nil"/>
            </w:tcBorders>
            <w:shd w:val="clear" w:color="auto" w:fill="auto"/>
            <w:noWrap/>
            <w:vAlign w:val="bottom"/>
            <w:hideMark/>
          </w:tcPr>
          <w:p w14:paraId="78A893F9" w14:textId="77777777" w:rsidR="00C45D5B" w:rsidRPr="000C62F3" w:rsidRDefault="00C45D5B" w:rsidP="00CF774B">
            <w:pPr>
              <w:rPr>
                <w:rFonts w:cs="Times New Roman"/>
                <w:b/>
                <w:color w:val="000000"/>
                <w:sz w:val="18"/>
                <w:szCs w:val="18"/>
              </w:rPr>
            </w:pPr>
            <w:r w:rsidRPr="000C62F3">
              <w:rPr>
                <w:rFonts w:cs="Times New Roman"/>
                <w:b/>
                <w:color w:val="000000"/>
                <w:sz w:val="18"/>
                <w:szCs w:val="18"/>
              </w:rPr>
              <w:t> </w:t>
            </w:r>
          </w:p>
        </w:tc>
      </w:tr>
      <w:tr w:rsidR="00C45D5B" w:rsidRPr="00AB54ED" w14:paraId="261C1FC1" w14:textId="77777777" w:rsidTr="00CF774B">
        <w:tblPrEx>
          <w:jc w:val="center"/>
          <w:tblInd w:w="0" w:type="dxa"/>
        </w:tblPrEx>
        <w:trPr>
          <w:gridBefore w:val="1"/>
          <w:wBefore w:w="68" w:type="dxa"/>
          <w:trHeight w:val="317"/>
          <w:jc w:val="center"/>
        </w:trPr>
        <w:tc>
          <w:tcPr>
            <w:tcW w:w="9076" w:type="dxa"/>
            <w:gridSpan w:val="13"/>
            <w:tcBorders>
              <w:top w:val="single" w:sz="4" w:space="0" w:color="auto"/>
              <w:left w:val="nil"/>
              <w:bottom w:val="nil"/>
              <w:right w:val="nil"/>
            </w:tcBorders>
            <w:shd w:val="clear" w:color="auto" w:fill="auto"/>
            <w:hideMark/>
          </w:tcPr>
          <w:p w14:paraId="4F7DBF2E" w14:textId="77777777" w:rsidR="00C45D5B" w:rsidRPr="000C62F3" w:rsidRDefault="00C45D5B" w:rsidP="00CF774B">
            <w:pPr>
              <w:tabs>
                <w:tab w:val="left" w:pos="8450"/>
              </w:tabs>
              <w:jc w:val="right"/>
              <w:rPr>
                <w:rFonts w:cs="Times New Roman"/>
                <w:i/>
                <w:iCs/>
                <w:color w:val="000000"/>
                <w:sz w:val="18"/>
                <w:szCs w:val="18"/>
              </w:rPr>
            </w:pPr>
            <w:r w:rsidRPr="000C62F3">
              <w:rPr>
                <w:rFonts w:cs="Times New Roman"/>
                <w:i/>
                <w:iCs/>
                <w:color w:val="000000"/>
                <w:sz w:val="18"/>
                <w:szCs w:val="18"/>
              </w:rPr>
              <w:t>Zdroj: MF SR</w:t>
            </w:r>
          </w:p>
        </w:tc>
      </w:tr>
    </w:tbl>
    <w:p w14:paraId="1FFAF300" w14:textId="77777777" w:rsidR="00C45D5B" w:rsidRPr="00AB54ED" w:rsidRDefault="00C45D5B" w:rsidP="00C45D5B">
      <w:pPr>
        <w:rPr>
          <w:rFonts w:cs="Arial"/>
          <w:b/>
          <w:bCs/>
          <w:color w:val="2C9ADC" w:themeColor="accent1"/>
          <w:sz w:val="18"/>
          <w:szCs w:val="18"/>
          <w:highlight w:val="yellow"/>
        </w:rPr>
      </w:pPr>
    </w:p>
    <w:tbl>
      <w:tblPr>
        <w:tblW w:w="9084" w:type="dxa"/>
        <w:tblInd w:w="-10" w:type="dxa"/>
        <w:tblCellMar>
          <w:left w:w="0" w:type="dxa"/>
          <w:right w:w="0" w:type="dxa"/>
        </w:tblCellMar>
        <w:tblLook w:val="04A0" w:firstRow="1" w:lastRow="0" w:firstColumn="1" w:lastColumn="0" w:noHBand="0" w:noVBand="1"/>
      </w:tblPr>
      <w:tblGrid>
        <w:gridCol w:w="10"/>
        <w:gridCol w:w="1273"/>
        <w:gridCol w:w="4681"/>
        <w:gridCol w:w="1388"/>
        <w:gridCol w:w="864"/>
        <w:gridCol w:w="868"/>
      </w:tblGrid>
      <w:tr w:rsidR="00C45D5B" w:rsidRPr="000216DB" w14:paraId="02FF867E" w14:textId="77777777" w:rsidTr="00CF774B">
        <w:trPr>
          <w:gridBefore w:val="1"/>
          <w:wBefore w:w="10" w:type="dxa"/>
          <w:trHeight w:val="179"/>
        </w:trPr>
        <w:tc>
          <w:tcPr>
            <w:tcW w:w="9070" w:type="dxa"/>
            <w:gridSpan w:val="5"/>
            <w:tcBorders>
              <w:top w:val="nil"/>
              <w:left w:val="nil"/>
              <w:bottom w:val="nil"/>
              <w:right w:val="nil"/>
            </w:tcBorders>
            <w:shd w:val="clear" w:color="000000" w:fill="FFFFFF"/>
            <w:noWrap/>
            <w:tcMar>
              <w:top w:w="15" w:type="dxa"/>
              <w:left w:w="15" w:type="dxa"/>
              <w:bottom w:w="0" w:type="dxa"/>
              <w:right w:w="15" w:type="dxa"/>
            </w:tcMar>
            <w:vAlign w:val="bottom"/>
            <w:hideMark/>
          </w:tcPr>
          <w:p w14:paraId="79491034" w14:textId="76484148" w:rsidR="00C45D5B" w:rsidRPr="000216DB" w:rsidRDefault="00C45D5B" w:rsidP="00CF774B">
            <w:pPr>
              <w:rPr>
                <w:rFonts w:eastAsiaTheme="minorHAnsi"/>
                <w:b/>
                <w:color w:val="2C9ADC"/>
                <w:sz w:val="18"/>
                <w:szCs w:val="18"/>
                <w:lang w:eastAsia="en-US"/>
              </w:rPr>
            </w:pPr>
            <w:bookmarkStart w:id="280" w:name="_Toc71622473"/>
            <w:bookmarkStart w:id="281" w:name="_Toc101880714"/>
            <w:r w:rsidRPr="000216DB">
              <w:rPr>
                <w:rFonts w:eastAsiaTheme="minorHAnsi"/>
                <w:b/>
                <w:color w:val="2C9ADC"/>
                <w:sz w:val="20"/>
                <w:szCs w:val="18"/>
                <w:lang w:eastAsia="en-US"/>
              </w:rPr>
              <w:t xml:space="preserve">TABUĽKA </w:t>
            </w:r>
            <w:r w:rsidRPr="000216DB">
              <w:rPr>
                <w:rFonts w:eastAsiaTheme="minorHAnsi"/>
                <w:b/>
                <w:color w:val="2C9ADC"/>
                <w:sz w:val="20"/>
                <w:szCs w:val="18"/>
                <w:lang w:eastAsia="en-US"/>
              </w:rPr>
              <w:fldChar w:fldCharType="begin"/>
            </w:r>
            <w:r w:rsidRPr="000216DB">
              <w:rPr>
                <w:rFonts w:eastAsiaTheme="minorHAnsi"/>
                <w:b/>
                <w:color w:val="2C9ADC"/>
                <w:sz w:val="20"/>
                <w:szCs w:val="18"/>
                <w:lang w:eastAsia="en-US"/>
              </w:rPr>
              <w:instrText xml:space="preserve"> SEQ TABUĽKA \* ARABIC </w:instrText>
            </w:r>
            <w:r w:rsidRPr="000216DB">
              <w:rPr>
                <w:rFonts w:eastAsiaTheme="minorHAnsi"/>
                <w:b/>
                <w:color w:val="2C9ADC"/>
                <w:sz w:val="20"/>
                <w:szCs w:val="18"/>
                <w:lang w:eastAsia="en-US"/>
              </w:rPr>
              <w:fldChar w:fldCharType="separate"/>
            </w:r>
            <w:r w:rsidR="005D3280">
              <w:rPr>
                <w:rFonts w:eastAsiaTheme="minorHAnsi"/>
                <w:b/>
                <w:noProof/>
                <w:color w:val="2C9ADC"/>
                <w:sz w:val="20"/>
                <w:szCs w:val="18"/>
                <w:lang w:eastAsia="en-US"/>
              </w:rPr>
              <w:t>35</w:t>
            </w:r>
            <w:r w:rsidRPr="000216DB">
              <w:rPr>
                <w:rFonts w:eastAsiaTheme="minorHAnsi"/>
                <w:b/>
                <w:color w:val="2C9ADC"/>
                <w:sz w:val="20"/>
                <w:szCs w:val="18"/>
                <w:lang w:eastAsia="en-US"/>
              </w:rPr>
              <w:fldChar w:fldCharType="end"/>
            </w:r>
            <w:r w:rsidRPr="000216DB">
              <w:rPr>
                <w:rFonts w:eastAsiaTheme="minorHAnsi"/>
                <w:b/>
                <w:color w:val="2C9ADC"/>
                <w:sz w:val="20"/>
                <w:szCs w:val="18"/>
                <w:lang w:eastAsia="en-US"/>
              </w:rPr>
              <w:t xml:space="preserve"> – Stav vládnych záruk (% HDP)</w:t>
            </w:r>
            <w:bookmarkEnd w:id="280"/>
            <w:bookmarkEnd w:id="281"/>
          </w:p>
        </w:tc>
      </w:tr>
      <w:tr w:rsidR="00C45D5B" w:rsidRPr="000216DB" w14:paraId="157E7FC1" w14:textId="77777777" w:rsidTr="00CF774B">
        <w:trPr>
          <w:gridBefore w:val="1"/>
          <w:wBefore w:w="10" w:type="dxa"/>
          <w:trHeight w:val="179"/>
        </w:trPr>
        <w:tc>
          <w:tcPr>
            <w:tcW w:w="0" w:type="auto"/>
            <w:tcBorders>
              <w:top w:val="nil"/>
              <w:left w:val="nil"/>
              <w:bottom w:val="single" w:sz="8" w:space="0" w:color="auto"/>
              <w:right w:val="nil"/>
            </w:tcBorders>
            <w:shd w:val="clear" w:color="000000" w:fill="FFFFFF"/>
            <w:noWrap/>
            <w:tcMar>
              <w:top w:w="15" w:type="dxa"/>
              <w:left w:w="15" w:type="dxa"/>
              <w:bottom w:w="0" w:type="dxa"/>
              <w:right w:w="15" w:type="dxa"/>
            </w:tcMar>
            <w:vAlign w:val="bottom"/>
            <w:hideMark/>
          </w:tcPr>
          <w:p w14:paraId="1FD73CF5" w14:textId="77777777" w:rsidR="00C45D5B" w:rsidRPr="000216DB" w:rsidRDefault="00C45D5B" w:rsidP="00CF774B">
            <w:pPr>
              <w:rPr>
                <w:color w:val="000000" w:themeColor="text1"/>
                <w:sz w:val="16"/>
              </w:rPr>
            </w:pPr>
          </w:p>
        </w:tc>
        <w:tc>
          <w:tcPr>
            <w:tcW w:w="4681"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1F4A4ACA" w14:textId="77777777" w:rsidR="00C45D5B" w:rsidRPr="000216DB" w:rsidRDefault="00C45D5B" w:rsidP="00CF774B">
            <w:pPr>
              <w:rPr>
                <w:color w:val="000000" w:themeColor="text1"/>
                <w:sz w:val="16"/>
              </w:rPr>
            </w:pPr>
            <w:r w:rsidRPr="000216DB">
              <w:rPr>
                <w:color w:val="000000" w:themeColor="text1"/>
                <w:sz w:val="16"/>
              </w:rPr>
              <w:t> </w:t>
            </w:r>
          </w:p>
        </w:tc>
        <w:tc>
          <w:tcPr>
            <w:tcW w:w="1388" w:type="dxa"/>
            <w:tcBorders>
              <w:top w:val="nil"/>
              <w:left w:val="nil"/>
              <w:bottom w:val="nil"/>
              <w:right w:val="nil"/>
            </w:tcBorders>
            <w:shd w:val="clear" w:color="000000" w:fill="FFFFFF"/>
            <w:noWrap/>
            <w:tcMar>
              <w:top w:w="15" w:type="dxa"/>
              <w:left w:w="15" w:type="dxa"/>
              <w:bottom w:w="0" w:type="dxa"/>
              <w:right w:w="15" w:type="dxa"/>
            </w:tcMar>
            <w:vAlign w:val="bottom"/>
            <w:hideMark/>
          </w:tcPr>
          <w:p w14:paraId="0023F251" w14:textId="77777777" w:rsidR="00C45D5B" w:rsidRPr="000216DB" w:rsidRDefault="00C45D5B" w:rsidP="00CF774B">
            <w:pPr>
              <w:rPr>
                <w:color w:val="000000" w:themeColor="text1"/>
                <w:sz w:val="16"/>
              </w:rPr>
            </w:pPr>
            <w:r w:rsidRPr="000216DB">
              <w:rPr>
                <w:color w:val="000000" w:themeColor="text1"/>
                <w:sz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7E13B31C" w14:textId="77777777" w:rsidR="00C45D5B" w:rsidRPr="000216DB" w:rsidRDefault="00C45D5B" w:rsidP="00CF774B">
            <w:pPr>
              <w:rPr>
                <w:color w:val="000000" w:themeColor="text1"/>
                <w:sz w:val="16"/>
              </w:rPr>
            </w:pPr>
            <w:r w:rsidRPr="000216DB">
              <w:rPr>
                <w:color w:val="000000" w:themeColor="text1"/>
                <w:sz w:val="16"/>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54CB4763" w14:textId="77777777" w:rsidR="00C45D5B" w:rsidRPr="000216DB" w:rsidRDefault="00C45D5B" w:rsidP="00CF774B">
            <w:pPr>
              <w:rPr>
                <w:color w:val="000000" w:themeColor="text1"/>
                <w:sz w:val="16"/>
              </w:rPr>
            </w:pPr>
            <w:r w:rsidRPr="000216DB">
              <w:rPr>
                <w:color w:val="000000" w:themeColor="text1"/>
                <w:sz w:val="16"/>
              </w:rPr>
              <w:t> </w:t>
            </w:r>
          </w:p>
        </w:tc>
      </w:tr>
      <w:tr w:rsidR="00C45D5B" w:rsidRPr="000216DB" w14:paraId="3953F08F" w14:textId="77777777" w:rsidTr="00CF774B">
        <w:trPr>
          <w:gridBefore w:val="1"/>
          <w:wBefore w:w="10" w:type="dxa"/>
          <w:trHeight w:val="888"/>
        </w:trPr>
        <w:tc>
          <w:tcPr>
            <w:tcW w:w="0" w:type="auto"/>
            <w:tcBorders>
              <w:top w:val="nil"/>
              <w:left w:val="nil"/>
              <w:bottom w:val="nil"/>
              <w:right w:val="nil"/>
            </w:tcBorders>
            <w:shd w:val="clear" w:color="000000" w:fill="FFFFFF"/>
            <w:noWrap/>
            <w:tcMar>
              <w:top w:w="15" w:type="dxa"/>
              <w:left w:w="15" w:type="dxa"/>
              <w:bottom w:w="0" w:type="dxa"/>
              <w:right w:w="15" w:type="dxa"/>
            </w:tcMar>
            <w:vAlign w:val="bottom"/>
            <w:hideMark/>
          </w:tcPr>
          <w:p w14:paraId="30F7B9F9" w14:textId="77777777" w:rsidR="00C45D5B" w:rsidRPr="000216DB" w:rsidRDefault="00C45D5B" w:rsidP="00CF774B">
            <w:pPr>
              <w:rPr>
                <w:color w:val="000000" w:themeColor="text1"/>
                <w:sz w:val="16"/>
              </w:rPr>
            </w:pPr>
            <w:r w:rsidRPr="000216DB">
              <w:rPr>
                <w:color w:val="000000" w:themeColor="text1"/>
                <w:sz w:val="16"/>
              </w:rPr>
              <w:t> </w:t>
            </w:r>
          </w:p>
        </w:tc>
        <w:tc>
          <w:tcPr>
            <w:tcW w:w="4681" w:type="dxa"/>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AA65B67" w14:textId="77777777" w:rsidR="00C45D5B" w:rsidRPr="000216DB" w:rsidRDefault="00C45D5B" w:rsidP="00CF774B">
            <w:pPr>
              <w:jc w:val="center"/>
              <w:rPr>
                <w:rFonts w:cs="Arial"/>
                <w:b/>
                <w:bCs/>
                <w:color w:val="000000" w:themeColor="text1"/>
                <w:sz w:val="16"/>
                <w:szCs w:val="24"/>
              </w:rPr>
            </w:pPr>
            <w:r w:rsidRPr="000216DB">
              <w:rPr>
                <w:rFonts w:cs="Arial"/>
                <w:b/>
                <w:bCs/>
                <w:color w:val="000000" w:themeColor="text1"/>
                <w:sz w:val="16"/>
              </w:rPr>
              <w:t>Opatrenie</w:t>
            </w:r>
          </w:p>
        </w:tc>
        <w:tc>
          <w:tcPr>
            <w:tcW w:w="1388"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0D3F01" w14:textId="77777777" w:rsidR="00C45D5B" w:rsidRPr="000216DB" w:rsidRDefault="00C45D5B" w:rsidP="00CF774B">
            <w:pPr>
              <w:jc w:val="center"/>
              <w:rPr>
                <w:rFonts w:cs="Arial"/>
                <w:b/>
                <w:bCs/>
                <w:color w:val="000000" w:themeColor="text1"/>
                <w:sz w:val="16"/>
              </w:rPr>
            </w:pPr>
            <w:r w:rsidRPr="000216DB">
              <w:rPr>
                <w:rFonts w:cs="Arial"/>
                <w:b/>
                <w:bCs/>
                <w:color w:val="000000" w:themeColor="text1"/>
                <w:sz w:val="16"/>
              </w:rPr>
              <w:t xml:space="preserve">Implementácia </w:t>
            </w:r>
          </w:p>
        </w:tc>
        <w:tc>
          <w:tcPr>
            <w:tcW w:w="864" w:type="dxa"/>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14:paraId="5636F93B" w14:textId="77777777" w:rsidR="00C45D5B" w:rsidRPr="000216DB" w:rsidRDefault="00C45D5B" w:rsidP="00CF774B">
            <w:pPr>
              <w:jc w:val="center"/>
              <w:rPr>
                <w:rFonts w:cs="Arial"/>
                <w:b/>
                <w:bCs/>
                <w:color w:val="000000" w:themeColor="text1"/>
                <w:sz w:val="16"/>
              </w:rPr>
            </w:pPr>
            <w:r w:rsidRPr="000216DB">
              <w:rPr>
                <w:rFonts w:cs="Arial"/>
                <w:b/>
                <w:bCs/>
                <w:color w:val="000000" w:themeColor="text1"/>
                <w:sz w:val="16"/>
              </w:rPr>
              <w:t>Maximálna hodnota</w:t>
            </w:r>
            <w:r w:rsidRPr="000216DB">
              <w:rPr>
                <w:rFonts w:cs="Arial"/>
                <w:b/>
                <w:bCs/>
                <w:color w:val="000000" w:themeColor="text1"/>
                <w:sz w:val="16"/>
                <w:vertAlign w:val="superscript"/>
              </w:rPr>
              <w:t xml:space="preserve"> </w:t>
            </w:r>
            <w:r w:rsidRPr="000216DB">
              <w:rPr>
                <w:rFonts w:cs="Arial"/>
                <w:b/>
                <w:bCs/>
                <w:color w:val="000000" w:themeColor="text1"/>
                <w:sz w:val="16"/>
              </w:rPr>
              <w:t xml:space="preserve">                 </w:t>
            </w:r>
          </w:p>
        </w:tc>
        <w:tc>
          <w:tcPr>
            <w:tcW w:w="864"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16042D8B" w14:textId="77777777" w:rsidR="00C45D5B" w:rsidRPr="000216DB" w:rsidRDefault="00C45D5B" w:rsidP="00CF774B">
            <w:pPr>
              <w:jc w:val="center"/>
              <w:rPr>
                <w:rFonts w:cs="Arial"/>
                <w:b/>
                <w:bCs/>
                <w:color w:val="000000" w:themeColor="text1"/>
                <w:sz w:val="16"/>
              </w:rPr>
            </w:pPr>
            <w:r w:rsidRPr="000216DB">
              <w:rPr>
                <w:rFonts w:cs="Arial"/>
                <w:b/>
                <w:bCs/>
                <w:color w:val="000000" w:themeColor="text1"/>
                <w:sz w:val="16"/>
              </w:rPr>
              <w:t xml:space="preserve">Odhadované čerpanie       </w:t>
            </w:r>
          </w:p>
        </w:tc>
      </w:tr>
      <w:tr w:rsidR="00C45D5B" w:rsidRPr="000216DB" w14:paraId="3A0770B1" w14:textId="77777777" w:rsidTr="00CF774B">
        <w:trPr>
          <w:gridBefore w:val="1"/>
          <w:wBefore w:w="10" w:type="dxa"/>
          <w:trHeight w:val="170"/>
        </w:trPr>
        <w:tc>
          <w:tcPr>
            <w:tcW w:w="1273" w:type="dxa"/>
            <w:vMerge w:val="restart"/>
            <w:tcBorders>
              <w:top w:val="single" w:sz="8" w:space="0" w:color="auto"/>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6440673A"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Reakcia na COVID-19</w:t>
            </w:r>
          </w:p>
        </w:tc>
        <w:tc>
          <w:tcPr>
            <w:tcW w:w="4681"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5C50EA3" w14:textId="77777777" w:rsidR="00C45D5B" w:rsidRPr="000216DB" w:rsidRDefault="00C45D5B" w:rsidP="00CF774B">
            <w:pPr>
              <w:rPr>
                <w:rFonts w:cs="Arial"/>
                <w:color w:val="000000" w:themeColor="text1"/>
                <w:sz w:val="16"/>
              </w:rPr>
            </w:pPr>
            <w:r w:rsidRPr="000216DB">
              <w:rPr>
                <w:rFonts w:cs="Arial"/>
                <w:color w:val="000000" w:themeColor="text1"/>
                <w:sz w:val="16"/>
              </w:rPr>
              <w:t>Anti-korona z</w:t>
            </w:r>
            <w:r w:rsidRPr="000216DB">
              <w:rPr>
                <w:rFonts w:cs="Arial"/>
                <w:color w:val="000000" w:themeColor="text1"/>
                <w:sz w:val="16"/>
                <w:lang w:val="en-US"/>
              </w:rPr>
              <w:t>á</w:t>
            </w:r>
            <w:r w:rsidRPr="000216DB">
              <w:rPr>
                <w:rFonts w:cs="Arial"/>
                <w:color w:val="000000" w:themeColor="text1"/>
                <w:sz w:val="16"/>
              </w:rPr>
              <w:t>ruky (kumulatívne od 2020)</w:t>
            </w:r>
          </w:p>
        </w:tc>
        <w:tc>
          <w:tcPr>
            <w:tcW w:w="1388"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43CF52A4"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2020</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3A225BD"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2,1</w:t>
            </w:r>
          </w:p>
        </w:tc>
        <w:tc>
          <w:tcPr>
            <w:tcW w:w="0" w:type="auto"/>
            <w:tcBorders>
              <w:top w:val="single" w:sz="8" w:space="0" w:color="auto"/>
              <w:left w:val="nil"/>
              <w:bottom w:val="nil"/>
              <w:right w:val="nil"/>
            </w:tcBorders>
            <w:shd w:val="clear" w:color="auto" w:fill="auto"/>
            <w:noWrap/>
            <w:tcMar>
              <w:top w:w="15" w:type="dxa"/>
              <w:left w:w="15" w:type="dxa"/>
              <w:bottom w:w="0" w:type="dxa"/>
              <w:right w:w="15" w:type="dxa"/>
            </w:tcMar>
            <w:vAlign w:val="center"/>
            <w:hideMark/>
          </w:tcPr>
          <w:p w14:paraId="7E8E740F"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0,9</w:t>
            </w:r>
          </w:p>
        </w:tc>
      </w:tr>
      <w:tr w:rsidR="00C45D5B" w:rsidRPr="000216DB" w14:paraId="21C7516A" w14:textId="77777777" w:rsidTr="00CF774B">
        <w:trPr>
          <w:gridBefore w:val="1"/>
          <w:wBefore w:w="10" w:type="dxa"/>
          <w:trHeight w:val="170"/>
        </w:trPr>
        <w:tc>
          <w:tcPr>
            <w:tcW w:w="0" w:type="auto"/>
            <w:vMerge/>
            <w:tcBorders>
              <w:top w:val="single" w:sz="8" w:space="0" w:color="auto"/>
              <w:left w:val="nil"/>
              <w:bottom w:val="single" w:sz="4" w:space="0" w:color="000000"/>
              <w:right w:val="single" w:sz="4" w:space="0" w:color="auto"/>
            </w:tcBorders>
            <w:vAlign w:val="center"/>
            <w:hideMark/>
          </w:tcPr>
          <w:p w14:paraId="4A7AF8E9" w14:textId="77777777" w:rsidR="00C45D5B" w:rsidRPr="000216DB" w:rsidRDefault="00C45D5B" w:rsidP="00CF774B">
            <w:pPr>
              <w:rPr>
                <w:rFonts w:cs="Arial"/>
                <w:color w:val="000000" w:themeColor="text1"/>
                <w:sz w:val="16"/>
              </w:rPr>
            </w:pPr>
          </w:p>
        </w:tc>
        <w:tc>
          <w:tcPr>
            <w:tcW w:w="4681"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ABEED7" w14:textId="77777777" w:rsidR="00C45D5B" w:rsidRPr="000216DB" w:rsidRDefault="00C45D5B" w:rsidP="00CF774B">
            <w:pPr>
              <w:rPr>
                <w:rFonts w:cs="Arial"/>
                <w:color w:val="000000" w:themeColor="text1"/>
                <w:sz w:val="16"/>
              </w:rPr>
            </w:pPr>
            <w:r w:rsidRPr="000216DB">
              <w:rPr>
                <w:rFonts w:cs="Arial"/>
                <w:color w:val="000000" w:themeColor="text1"/>
                <w:sz w:val="16"/>
              </w:rPr>
              <w:t> </w:t>
            </w:r>
          </w:p>
        </w:tc>
        <w:tc>
          <w:tcPr>
            <w:tcW w:w="1388" w:type="dxa"/>
            <w:tcBorders>
              <w:top w:val="single" w:sz="4"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0F69308" w14:textId="77777777" w:rsidR="00C45D5B" w:rsidRPr="000216DB" w:rsidRDefault="00C45D5B" w:rsidP="00CF774B">
            <w:pPr>
              <w:jc w:val="center"/>
              <w:rPr>
                <w:rFonts w:cs="Arial"/>
                <w:color w:val="000000" w:themeColor="text1"/>
                <w:sz w:val="16"/>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738D71" w14:textId="77777777" w:rsidR="00C45D5B" w:rsidRPr="000216DB" w:rsidRDefault="00C45D5B" w:rsidP="00CF774B">
            <w:pPr>
              <w:jc w:val="center"/>
              <w:rPr>
                <w:rFonts w:cs="Arial"/>
                <w:color w:val="000000" w:themeColor="text1"/>
                <w:sz w:val="16"/>
              </w:rPr>
            </w:pP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14:paraId="62062BB3" w14:textId="77777777" w:rsidR="00C45D5B" w:rsidRPr="000216DB" w:rsidRDefault="00C45D5B" w:rsidP="00CF774B">
            <w:pPr>
              <w:jc w:val="center"/>
              <w:rPr>
                <w:rFonts w:cs="Arial"/>
                <w:color w:val="000000" w:themeColor="text1"/>
                <w:sz w:val="16"/>
              </w:rPr>
            </w:pPr>
          </w:p>
        </w:tc>
      </w:tr>
      <w:tr w:rsidR="00C45D5B" w:rsidRPr="000216DB" w14:paraId="4F8FAC8F" w14:textId="77777777" w:rsidTr="00CF774B">
        <w:trPr>
          <w:gridBefore w:val="1"/>
          <w:wBefore w:w="10" w:type="dxa"/>
          <w:trHeight w:val="170"/>
        </w:trPr>
        <w:tc>
          <w:tcPr>
            <w:tcW w:w="0" w:type="auto"/>
            <w:vMerge/>
            <w:tcBorders>
              <w:top w:val="single" w:sz="8" w:space="0" w:color="auto"/>
              <w:left w:val="nil"/>
              <w:bottom w:val="single" w:sz="4" w:space="0" w:color="000000"/>
              <w:right w:val="single" w:sz="4" w:space="0" w:color="auto"/>
            </w:tcBorders>
            <w:vAlign w:val="center"/>
            <w:hideMark/>
          </w:tcPr>
          <w:p w14:paraId="768B0BBF" w14:textId="77777777" w:rsidR="00C45D5B" w:rsidRPr="000216DB" w:rsidRDefault="00C45D5B" w:rsidP="00CF774B">
            <w:pPr>
              <w:rPr>
                <w:rFonts w:cs="Arial"/>
                <w:color w:val="000000" w:themeColor="text1"/>
                <w:sz w:val="16"/>
              </w:rPr>
            </w:pPr>
          </w:p>
        </w:tc>
        <w:tc>
          <w:tcPr>
            <w:tcW w:w="46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EA016" w14:textId="77777777" w:rsidR="00C45D5B" w:rsidRPr="000216DB" w:rsidRDefault="00C45D5B" w:rsidP="00CF774B">
            <w:pPr>
              <w:rPr>
                <w:rFonts w:cs="Arial"/>
                <w:color w:val="000000" w:themeColor="text1"/>
                <w:sz w:val="16"/>
              </w:rPr>
            </w:pPr>
            <w:r w:rsidRPr="000216DB">
              <w:rPr>
                <w:rFonts w:cs="Arial"/>
                <w:color w:val="000000" w:themeColor="text1"/>
                <w:sz w:val="16"/>
              </w:rPr>
              <w:t> </w:t>
            </w:r>
          </w:p>
        </w:tc>
        <w:tc>
          <w:tcPr>
            <w:tcW w:w="13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605605"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D0B21F"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94DFA7F" w14:textId="77777777" w:rsidR="00C45D5B" w:rsidRPr="000216DB" w:rsidRDefault="00C45D5B" w:rsidP="00CF774B">
            <w:pPr>
              <w:jc w:val="center"/>
              <w:rPr>
                <w:rFonts w:cs="Arial"/>
                <w:color w:val="000000" w:themeColor="text1"/>
                <w:sz w:val="16"/>
              </w:rPr>
            </w:pPr>
          </w:p>
        </w:tc>
      </w:tr>
      <w:tr w:rsidR="00C45D5B" w:rsidRPr="000216DB" w14:paraId="52F26C5E" w14:textId="77777777" w:rsidTr="00CF774B">
        <w:trPr>
          <w:gridBefore w:val="1"/>
          <w:wBefore w:w="10" w:type="dxa"/>
          <w:trHeight w:val="170"/>
        </w:trPr>
        <w:tc>
          <w:tcPr>
            <w:tcW w:w="0" w:type="auto"/>
            <w:vMerge/>
            <w:tcBorders>
              <w:top w:val="single" w:sz="8" w:space="0" w:color="auto"/>
              <w:left w:val="nil"/>
              <w:bottom w:val="single" w:sz="4" w:space="0" w:color="000000"/>
              <w:right w:val="single" w:sz="4" w:space="0" w:color="auto"/>
            </w:tcBorders>
            <w:vAlign w:val="center"/>
            <w:hideMark/>
          </w:tcPr>
          <w:p w14:paraId="55DBBC4B" w14:textId="77777777" w:rsidR="00C45D5B" w:rsidRPr="000216DB" w:rsidRDefault="00C45D5B" w:rsidP="00CF774B">
            <w:pPr>
              <w:rPr>
                <w:rFonts w:cs="Arial"/>
                <w:color w:val="000000" w:themeColor="text1"/>
                <w:sz w:val="16"/>
              </w:rPr>
            </w:pPr>
          </w:p>
        </w:tc>
        <w:tc>
          <w:tcPr>
            <w:tcW w:w="46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D37AFC" w14:textId="77777777" w:rsidR="00C45D5B" w:rsidRPr="000216DB" w:rsidRDefault="00C45D5B" w:rsidP="00CF774B">
            <w:pPr>
              <w:rPr>
                <w:rFonts w:cs="Arial"/>
                <w:color w:val="000000" w:themeColor="text1"/>
                <w:sz w:val="16"/>
              </w:rPr>
            </w:pPr>
            <w:r w:rsidRPr="000216DB">
              <w:rPr>
                <w:rFonts w:cs="Arial"/>
                <w:color w:val="000000" w:themeColor="text1"/>
                <w:sz w:val="16"/>
              </w:rPr>
              <w:t> </w:t>
            </w:r>
          </w:p>
        </w:tc>
        <w:tc>
          <w:tcPr>
            <w:tcW w:w="13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1220B68"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C8A45"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BF14BB6" w14:textId="77777777" w:rsidR="00C45D5B" w:rsidRPr="000216DB" w:rsidRDefault="00C45D5B" w:rsidP="00CF774B">
            <w:pPr>
              <w:jc w:val="center"/>
              <w:rPr>
                <w:rFonts w:cs="Arial"/>
                <w:color w:val="000000" w:themeColor="text1"/>
                <w:sz w:val="16"/>
              </w:rPr>
            </w:pPr>
          </w:p>
        </w:tc>
      </w:tr>
      <w:tr w:rsidR="00C45D5B" w:rsidRPr="000216DB" w14:paraId="5370B9D1" w14:textId="77777777" w:rsidTr="00CF774B">
        <w:trPr>
          <w:gridBefore w:val="1"/>
          <w:wBefore w:w="10" w:type="dxa"/>
          <w:trHeight w:val="170"/>
        </w:trPr>
        <w:tc>
          <w:tcPr>
            <w:tcW w:w="0" w:type="auto"/>
            <w:vMerge/>
            <w:tcBorders>
              <w:top w:val="single" w:sz="8" w:space="0" w:color="auto"/>
              <w:left w:val="nil"/>
              <w:bottom w:val="single" w:sz="4" w:space="0" w:color="000000"/>
              <w:right w:val="single" w:sz="4" w:space="0" w:color="auto"/>
            </w:tcBorders>
            <w:vAlign w:val="center"/>
            <w:hideMark/>
          </w:tcPr>
          <w:p w14:paraId="39343787" w14:textId="77777777" w:rsidR="00C45D5B" w:rsidRPr="000216DB" w:rsidRDefault="00C45D5B" w:rsidP="00CF774B">
            <w:pPr>
              <w:rPr>
                <w:rFonts w:cs="Arial"/>
                <w:color w:val="000000" w:themeColor="text1"/>
                <w:sz w:val="16"/>
              </w:rPr>
            </w:pPr>
          </w:p>
        </w:tc>
        <w:tc>
          <w:tcPr>
            <w:tcW w:w="46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4306AB" w14:textId="77777777" w:rsidR="00C45D5B" w:rsidRPr="000216DB" w:rsidRDefault="00C45D5B" w:rsidP="00CF774B">
            <w:pPr>
              <w:rPr>
                <w:rFonts w:cs="Arial"/>
                <w:color w:val="000000" w:themeColor="text1"/>
                <w:sz w:val="16"/>
              </w:rPr>
            </w:pPr>
            <w:r w:rsidRPr="000216DB">
              <w:rPr>
                <w:rFonts w:cs="Arial"/>
                <w:color w:val="000000" w:themeColor="text1"/>
                <w:sz w:val="16"/>
              </w:rPr>
              <w:t> </w:t>
            </w:r>
          </w:p>
        </w:tc>
        <w:tc>
          <w:tcPr>
            <w:tcW w:w="1388" w:type="dxa"/>
            <w:tcBorders>
              <w:top w:val="nil"/>
              <w:left w:val="nil"/>
              <w:bottom w:val="nil"/>
              <w:right w:val="single" w:sz="8" w:space="0" w:color="auto"/>
            </w:tcBorders>
            <w:shd w:val="clear" w:color="auto" w:fill="auto"/>
            <w:noWrap/>
            <w:tcMar>
              <w:top w:w="15" w:type="dxa"/>
              <w:left w:w="15" w:type="dxa"/>
              <w:bottom w:w="0" w:type="dxa"/>
              <w:right w:w="15" w:type="dxa"/>
            </w:tcMar>
            <w:vAlign w:val="center"/>
            <w:hideMark/>
          </w:tcPr>
          <w:p w14:paraId="5D6392AE" w14:textId="77777777" w:rsidR="00C45D5B" w:rsidRPr="000216DB" w:rsidRDefault="00C45D5B" w:rsidP="00CF774B">
            <w:pPr>
              <w:jc w:val="center"/>
              <w:rPr>
                <w:rFonts w:cs="Arial"/>
                <w:color w:val="000000" w:themeColor="text1"/>
                <w:sz w:val="16"/>
              </w:rPr>
            </w:pP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FFEFEC4" w14:textId="77777777" w:rsidR="00C45D5B" w:rsidRPr="000216DB" w:rsidRDefault="00C45D5B" w:rsidP="00CF774B">
            <w:pPr>
              <w:jc w:val="center"/>
              <w:rPr>
                <w:rFonts w:cs="Arial"/>
                <w:color w:val="000000" w:themeColor="text1"/>
                <w:sz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809214" w14:textId="77777777" w:rsidR="00C45D5B" w:rsidRPr="000216DB" w:rsidRDefault="00C45D5B" w:rsidP="00CF774B">
            <w:pPr>
              <w:jc w:val="center"/>
              <w:rPr>
                <w:rFonts w:cs="Arial"/>
                <w:color w:val="000000" w:themeColor="text1"/>
                <w:sz w:val="16"/>
              </w:rPr>
            </w:pPr>
          </w:p>
        </w:tc>
      </w:tr>
      <w:tr w:rsidR="00C45D5B" w:rsidRPr="000216DB" w14:paraId="21BCA7C8" w14:textId="77777777" w:rsidTr="00CF774B">
        <w:trPr>
          <w:gridBefore w:val="1"/>
          <w:wBefore w:w="10" w:type="dxa"/>
          <w:trHeight w:val="179"/>
        </w:trPr>
        <w:tc>
          <w:tcPr>
            <w:tcW w:w="0" w:type="auto"/>
            <w:vMerge/>
            <w:tcBorders>
              <w:top w:val="single" w:sz="8" w:space="0" w:color="auto"/>
              <w:left w:val="nil"/>
              <w:bottom w:val="single" w:sz="8" w:space="0" w:color="auto"/>
              <w:right w:val="single" w:sz="4" w:space="0" w:color="auto"/>
            </w:tcBorders>
            <w:vAlign w:val="center"/>
            <w:hideMark/>
          </w:tcPr>
          <w:p w14:paraId="26957BBE" w14:textId="77777777" w:rsidR="00C45D5B" w:rsidRPr="000216DB" w:rsidRDefault="00C45D5B" w:rsidP="00CF774B">
            <w:pPr>
              <w:rPr>
                <w:rFonts w:cs="Arial"/>
                <w:color w:val="000000" w:themeColor="text1"/>
                <w:sz w:val="16"/>
              </w:rPr>
            </w:pPr>
          </w:p>
        </w:tc>
        <w:tc>
          <w:tcPr>
            <w:tcW w:w="4681" w:type="dxa"/>
            <w:tcBorders>
              <w:top w:val="single" w:sz="8" w:space="0" w:color="auto"/>
              <w:left w:val="nil"/>
              <w:bottom w:val="single" w:sz="8" w:space="0" w:color="auto"/>
              <w:right w:val="nil"/>
            </w:tcBorders>
            <w:shd w:val="clear" w:color="000000" w:fill="E7E6E6"/>
            <w:tcMar>
              <w:top w:w="15" w:type="dxa"/>
              <w:left w:w="15" w:type="dxa"/>
              <w:bottom w:w="0" w:type="dxa"/>
              <w:right w:w="15" w:type="dxa"/>
            </w:tcMar>
            <w:vAlign w:val="center"/>
            <w:hideMark/>
          </w:tcPr>
          <w:p w14:paraId="4FB8E251"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 xml:space="preserve">Medzisúčet     </w:t>
            </w:r>
          </w:p>
        </w:tc>
        <w:tc>
          <w:tcPr>
            <w:tcW w:w="1388" w:type="dxa"/>
            <w:tcBorders>
              <w:top w:val="single" w:sz="8" w:space="0" w:color="auto"/>
              <w:left w:val="single" w:sz="4" w:space="0" w:color="auto"/>
              <w:bottom w:val="single" w:sz="8" w:space="0" w:color="auto"/>
              <w:right w:val="single" w:sz="8" w:space="0" w:color="auto"/>
            </w:tcBorders>
            <w:shd w:val="clear" w:color="000000" w:fill="E7E6E6"/>
            <w:noWrap/>
            <w:tcMar>
              <w:top w:w="15" w:type="dxa"/>
              <w:left w:w="15" w:type="dxa"/>
              <w:bottom w:w="0" w:type="dxa"/>
              <w:right w:w="15" w:type="dxa"/>
            </w:tcMar>
            <w:vAlign w:val="center"/>
            <w:hideMark/>
          </w:tcPr>
          <w:p w14:paraId="02CF2368" w14:textId="77777777" w:rsidR="00C45D5B" w:rsidRPr="000216DB" w:rsidRDefault="00C45D5B" w:rsidP="00CF774B">
            <w:pPr>
              <w:jc w:val="center"/>
              <w:rPr>
                <w:rFonts w:cs="Arial"/>
                <w:color w:val="000000" w:themeColor="text1"/>
                <w:sz w:val="16"/>
              </w:rPr>
            </w:pPr>
          </w:p>
        </w:tc>
        <w:tc>
          <w:tcPr>
            <w:tcW w:w="0" w:type="auto"/>
            <w:tcBorders>
              <w:top w:val="single" w:sz="8" w:space="0" w:color="auto"/>
              <w:left w:val="nil"/>
              <w:bottom w:val="single" w:sz="8" w:space="0" w:color="auto"/>
              <w:right w:val="single" w:sz="4" w:space="0" w:color="auto"/>
            </w:tcBorders>
            <w:shd w:val="clear" w:color="000000" w:fill="E7E6E6"/>
            <w:noWrap/>
            <w:tcMar>
              <w:top w:w="15" w:type="dxa"/>
              <w:left w:w="15" w:type="dxa"/>
              <w:bottom w:w="0" w:type="dxa"/>
              <w:right w:w="15" w:type="dxa"/>
            </w:tcMar>
            <w:vAlign w:val="center"/>
            <w:hideMark/>
          </w:tcPr>
          <w:p w14:paraId="5F8E086C" w14:textId="77777777" w:rsidR="00C45D5B" w:rsidRPr="000216DB" w:rsidRDefault="00C45D5B" w:rsidP="00CF774B">
            <w:pPr>
              <w:jc w:val="center"/>
              <w:rPr>
                <w:rFonts w:cs="Arial"/>
                <w:color w:val="000000" w:themeColor="text1"/>
                <w:sz w:val="16"/>
              </w:rPr>
            </w:pPr>
            <w:r>
              <w:rPr>
                <w:rFonts w:cs="Arial"/>
                <w:color w:val="000000" w:themeColor="text1"/>
                <w:sz w:val="16"/>
              </w:rPr>
              <w:t>2,1</w:t>
            </w:r>
          </w:p>
        </w:tc>
        <w:tc>
          <w:tcPr>
            <w:tcW w:w="0" w:type="auto"/>
            <w:tcBorders>
              <w:top w:val="single" w:sz="8" w:space="0" w:color="auto"/>
              <w:left w:val="nil"/>
              <w:bottom w:val="single" w:sz="8" w:space="0" w:color="auto"/>
            </w:tcBorders>
            <w:shd w:val="clear" w:color="000000" w:fill="E7E6E6"/>
            <w:noWrap/>
            <w:tcMar>
              <w:top w:w="15" w:type="dxa"/>
              <w:left w:w="15" w:type="dxa"/>
              <w:bottom w:w="0" w:type="dxa"/>
              <w:right w:w="15" w:type="dxa"/>
            </w:tcMar>
            <w:vAlign w:val="center"/>
            <w:hideMark/>
          </w:tcPr>
          <w:p w14:paraId="66E6078D"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0,9</w:t>
            </w:r>
          </w:p>
        </w:tc>
      </w:tr>
      <w:tr w:rsidR="00C45D5B" w:rsidRPr="000216DB" w14:paraId="64F2E550" w14:textId="77777777" w:rsidTr="00CF774B">
        <w:trPr>
          <w:gridBefore w:val="1"/>
          <w:wBefore w:w="10" w:type="dxa"/>
          <w:trHeight w:val="170"/>
        </w:trPr>
        <w:tc>
          <w:tcPr>
            <w:tcW w:w="1273" w:type="dxa"/>
            <w:vMerge w:val="restart"/>
            <w:tcBorders>
              <w:top w:val="single" w:sz="8" w:space="0" w:color="auto"/>
              <w:left w:val="nil"/>
              <w:bottom w:val="single" w:sz="12" w:space="0" w:color="auto"/>
              <w:right w:val="single" w:sz="4" w:space="0" w:color="auto"/>
            </w:tcBorders>
            <w:shd w:val="clear" w:color="000000" w:fill="FFFFFF"/>
            <w:tcMar>
              <w:top w:w="15" w:type="dxa"/>
              <w:left w:w="15" w:type="dxa"/>
              <w:bottom w:w="0" w:type="dxa"/>
              <w:right w:w="15" w:type="dxa"/>
            </w:tcMar>
            <w:vAlign w:val="center"/>
            <w:hideMark/>
          </w:tcPr>
          <w:p w14:paraId="5D7D6B49"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Ostatné</w:t>
            </w:r>
          </w:p>
        </w:tc>
        <w:tc>
          <w:tcPr>
            <w:tcW w:w="4681"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89C23C" w14:textId="77777777" w:rsidR="00C45D5B" w:rsidRPr="000216DB" w:rsidRDefault="00C45D5B" w:rsidP="00CF774B">
            <w:pPr>
              <w:rPr>
                <w:rFonts w:cs="Arial"/>
                <w:color w:val="000000" w:themeColor="text1"/>
                <w:sz w:val="16"/>
              </w:rPr>
            </w:pPr>
            <w:r w:rsidRPr="000216DB">
              <w:rPr>
                <w:rFonts w:cs="Arial"/>
                <w:color w:val="000000" w:themeColor="text1"/>
                <w:sz w:val="16"/>
              </w:rPr>
              <w:t>EFSF a ESM</w:t>
            </w:r>
          </w:p>
        </w:tc>
        <w:tc>
          <w:tcPr>
            <w:tcW w:w="13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2ED5528"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E8C5CE"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8,7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DF96DB6" w14:textId="77777777" w:rsidR="00C45D5B" w:rsidRPr="000216DB" w:rsidRDefault="00C45D5B" w:rsidP="00CF774B">
            <w:pPr>
              <w:jc w:val="center"/>
              <w:rPr>
                <w:rFonts w:cs="Arial"/>
                <w:color w:val="000000" w:themeColor="text1"/>
                <w:sz w:val="16"/>
              </w:rPr>
            </w:pPr>
          </w:p>
        </w:tc>
      </w:tr>
      <w:tr w:rsidR="00C45D5B" w:rsidRPr="000216DB" w14:paraId="7979C683" w14:textId="77777777" w:rsidTr="00CF774B">
        <w:trPr>
          <w:gridBefore w:val="1"/>
          <w:wBefore w:w="10" w:type="dxa"/>
          <w:trHeight w:val="170"/>
        </w:trPr>
        <w:tc>
          <w:tcPr>
            <w:tcW w:w="0" w:type="auto"/>
            <w:vMerge/>
            <w:tcBorders>
              <w:top w:val="double" w:sz="6" w:space="0" w:color="000000"/>
              <w:left w:val="nil"/>
              <w:bottom w:val="single" w:sz="12" w:space="0" w:color="auto"/>
              <w:right w:val="single" w:sz="4" w:space="0" w:color="auto"/>
            </w:tcBorders>
            <w:vAlign w:val="center"/>
            <w:hideMark/>
          </w:tcPr>
          <w:p w14:paraId="55541430" w14:textId="77777777" w:rsidR="00C45D5B" w:rsidRPr="000216DB" w:rsidRDefault="00C45D5B" w:rsidP="00CF774B">
            <w:pPr>
              <w:rPr>
                <w:rFonts w:cs="Arial"/>
                <w:color w:val="000000" w:themeColor="text1"/>
                <w:sz w:val="16"/>
              </w:rPr>
            </w:pPr>
          </w:p>
        </w:tc>
        <w:tc>
          <w:tcPr>
            <w:tcW w:w="46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5976562" w14:textId="77777777" w:rsidR="00C45D5B" w:rsidRPr="000216DB" w:rsidRDefault="00C45D5B" w:rsidP="00CF774B">
            <w:pPr>
              <w:rPr>
                <w:rFonts w:cs="Arial"/>
                <w:color w:val="000000" w:themeColor="text1"/>
                <w:sz w:val="16"/>
              </w:rPr>
            </w:pPr>
            <w:r w:rsidRPr="000216DB">
              <w:rPr>
                <w:rFonts w:cs="Arial"/>
                <w:color w:val="000000" w:themeColor="text1"/>
                <w:sz w:val="16"/>
              </w:rPr>
              <w:t>Medzinárodné finančné inštitúcie</w:t>
            </w:r>
          </w:p>
        </w:tc>
        <w:tc>
          <w:tcPr>
            <w:tcW w:w="13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192250"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63C5E"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1,3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86ABCD" w14:textId="77777777" w:rsidR="00C45D5B" w:rsidRPr="000216DB" w:rsidRDefault="00C45D5B" w:rsidP="00CF774B">
            <w:pPr>
              <w:jc w:val="center"/>
              <w:rPr>
                <w:rFonts w:cs="Arial"/>
                <w:color w:val="000000" w:themeColor="text1"/>
                <w:sz w:val="16"/>
              </w:rPr>
            </w:pPr>
          </w:p>
        </w:tc>
      </w:tr>
      <w:tr w:rsidR="00C45D5B" w:rsidRPr="000216DB" w14:paraId="6EB421F3" w14:textId="77777777" w:rsidTr="00CF774B">
        <w:trPr>
          <w:gridBefore w:val="1"/>
          <w:wBefore w:w="10" w:type="dxa"/>
          <w:trHeight w:val="170"/>
        </w:trPr>
        <w:tc>
          <w:tcPr>
            <w:tcW w:w="0" w:type="auto"/>
            <w:vMerge/>
            <w:tcBorders>
              <w:top w:val="double" w:sz="6" w:space="0" w:color="000000"/>
              <w:left w:val="nil"/>
              <w:bottom w:val="single" w:sz="12" w:space="0" w:color="auto"/>
              <w:right w:val="single" w:sz="4" w:space="0" w:color="auto"/>
            </w:tcBorders>
            <w:vAlign w:val="center"/>
            <w:hideMark/>
          </w:tcPr>
          <w:p w14:paraId="4FC19749" w14:textId="77777777" w:rsidR="00C45D5B" w:rsidRPr="000216DB" w:rsidRDefault="00C45D5B" w:rsidP="00CF774B">
            <w:pPr>
              <w:rPr>
                <w:rFonts w:cs="Arial"/>
                <w:color w:val="000000" w:themeColor="text1"/>
                <w:sz w:val="16"/>
              </w:rPr>
            </w:pPr>
          </w:p>
        </w:tc>
        <w:tc>
          <w:tcPr>
            <w:tcW w:w="46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5A38F" w14:textId="77777777" w:rsidR="00C45D5B" w:rsidRPr="000216DB" w:rsidRDefault="00C45D5B" w:rsidP="00CF774B">
            <w:pPr>
              <w:rPr>
                <w:rFonts w:cs="Arial"/>
                <w:color w:val="000000" w:themeColor="text1"/>
                <w:sz w:val="16"/>
              </w:rPr>
            </w:pPr>
            <w:r w:rsidRPr="000216DB">
              <w:rPr>
                <w:rFonts w:cs="Arial"/>
                <w:color w:val="000000" w:themeColor="text1"/>
                <w:sz w:val="16"/>
              </w:rPr>
              <w:t>Finančné inštitúcie s účasťou štátu</w:t>
            </w:r>
          </w:p>
        </w:tc>
        <w:tc>
          <w:tcPr>
            <w:tcW w:w="13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EF08F33"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260BB"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F35D188" w14:textId="77777777" w:rsidR="00C45D5B" w:rsidRPr="000216DB" w:rsidRDefault="00C45D5B" w:rsidP="00CF774B">
            <w:pPr>
              <w:jc w:val="center"/>
              <w:rPr>
                <w:rFonts w:cs="Arial"/>
                <w:color w:val="000000" w:themeColor="text1"/>
                <w:sz w:val="16"/>
              </w:rPr>
            </w:pPr>
            <w:r>
              <w:rPr>
                <w:rFonts w:cs="Arial"/>
                <w:color w:val="000000" w:themeColor="text1"/>
                <w:sz w:val="16"/>
              </w:rPr>
              <w:t>0,2</w:t>
            </w:r>
          </w:p>
        </w:tc>
      </w:tr>
      <w:tr w:rsidR="00C45D5B" w:rsidRPr="000216DB" w14:paraId="234BC82A" w14:textId="77777777" w:rsidTr="00CF774B">
        <w:trPr>
          <w:gridBefore w:val="1"/>
          <w:wBefore w:w="10" w:type="dxa"/>
          <w:trHeight w:val="170"/>
        </w:trPr>
        <w:tc>
          <w:tcPr>
            <w:tcW w:w="0" w:type="auto"/>
            <w:vMerge/>
            <w:tcBorders>
              <w:top w:val="double" w:sz="6" w:space="0" w:color="000000"/>
              <w:left w:val="nil"/>
              <w:bottom w:val="single" w:sz="12" w:space="0" w:color="auto"/>
              <w:right w:val="single" w:sz="4" w:space="0" w:color="auto"/>
            </w:tcBorders>
            <w:vAlign w:val="center"/>
            <w:hideMark/>
          </w:tcPr>
          <w:p w14:paraId="0F87556D" w14:textId="77777777" w:rsidR="00C45D5B" w:rsidRPr="000216DB" w:rsidRDefault="00C45D5B" w:rsidP="00CF774B">
            <w:pPr>
              <w:rPr>
                <w:rFonts w:cs="Arial"/>
                <w:color w:val="000000" w:themeColor="text1"/>
                <w:sz w:val="16"/>
              </w:rPr>
            </w:pPr>
          </w:p>
        </w:tc>
        <w:tc>
          <w:tcPr>
            <w:tcW w:w="46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E4EAAC" w14:textId="77777777" w:rsidR="00C45D5B" w:rsidRPr="000216DB" w:rsidRDefault="00C45D5B" w:rsidP="00CF774B">
            <w:pPr>
              <w:rPr>
                <w:rFonts w:cs="Arial"/>
                <w:color w:val="000000" w:themeColor="text1"/>
                <w:sz w:val="16"/>
              </w:rPr>
            </w:pPr>
            <w:r w:rsidRPr="000216DB">
              <w:rPr>
                <w:rFonts w:cs="Arial"/>
                <w:color w:val="000000" w:themeColor="text1"/>
                <w:sz w:val="16"/>
              </w:rPr>
              <w:t> </w:t>
            </w:r>
          </w:p>
        </w:tc>
        <w:tc>
          <w:tcPr>
            <w:tcW w:w="13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A0BAB8A"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C0ABEB"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46902798" w14:textId="77777777" w:rsidR="00C45D5B" w:rsidRPr="000216DB" w:rsidRDefault="00C45D5B" w:rsidP="00CF774B">
            <w:pPr>
              <w:jc w:val="center"/>
              <w:rPr>
                <w:rFonts w:cs="Arial"/>
                <w:color w:val="000000" w:themeColor="text1"/>
                <w:sz w:val="16"/>
              </w:rPr>
            </w:pPr>
          </w:p>
        </w:tc>
      </w:tr>
      <w:tr w:rsidR="00C45D5B" w:rsidRPr="000216DB" w14:paraId="2B9CFD8D" w14:textId="77777777" w:rsidTr="00CF774B">
        <w:trPr>
          <w:gridBefore w:val="1"/>
          <w:wBefore w:w="10" w:type="dxa"/>
          <w:trHeight w:val="179"/>
        </w:trPr>
        <w:tc>
          <w:tcPr>
            <w:tcW w:w="0" w:type="auto"/>
            <w:vMerge/>
            <w:tcBorders>
              <w:top w:val="double" w:sz="6" w:space="0" w:color="000000"/>
              <w:left w:val="nil"/>
              <w:bottom w:val="single" w:sz="12" w:space="0" w:color="auto"/>
              <w:right w:val="single" w:sz="4" w:space="0" w:color="auto"/>
            </w:tcBorders>
            <w:vAlign w:val="center"/>
            <w:hideMark/>
          </w:tcPr>
          <w:p w14:paraId="2D4AB3D9" w14:textId="77777777" w:rsidR="00C45D5B" w:rsidRPr="000216DB" w:rsidRDefault="00C45D5B" w:rsidP="00CF774B">
            <w:pPr>
              <w:rPr>
                <w:rFonts w:cs="Arial"/>
                <w:color w:val="000000" w:themeColor="text1"/>
                <w:sz w:val="16"/>
              </w:rPr>
            </w:pPr>
          </w:p>
        </w:tc>
        <w:tc>
          <w:tcPr>
            <w:tcW w:w="46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E25557" w14:textId="77777777" w:rsidR="00C45D5B" w:rsidRPr="000216DB" w:rsidRDefault="00C45D5B" w:rsidP="00CF774B">
            <w:pPr>
              <w:rPr>
                <w:rFonts w:cs="Arial"/>
                <w:color w:val="000000" w:themeColor="text1"/>
                <w:sz w:val="16"/>
              </w:rPr>
            </w:pPr>
            <w:r w:rsidRPr="000216DB">
              <w:rPr>
                <w:rFonts w:cs="Arial"/>
                <w:color w:val="000000" w:themeColor="text1"/>
                <w:sz w:val="16"/>
              </w:rPr>
              <w:t> </w:t>
            </w:r>
          </w:p>
        </w:tc>
        <w:tc>
          <w:tcPr>
            <w:tcW w:w="1388"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6F0A559"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0430C3" w14:textId="77777777" w:rsidR="00C45D5B" w:rsidRPr="000216DB" w:rsidRDefault="00C45D5B" w:rsidP="00CF774B">
            <w:pPr>
              <w:jc w:val="center"/>
              <w:rPr>
                <w:rFonts w:cs="Arial"/>
                <w:color w:val="000000" w:themeColor="text1"/>
                <w:sz w:val="16"/>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0CF4BD6" w14:textId="77777777" w:rsidR="00C45D5B" w:rsidRPr="000216DB" w:rsidRDefault="00C45D5B" w:rsidP="00CF774B">
            <w:pPr>
              <w:jc w:val="center"/>
              <w:rPr>
                <w:rFonts w:cs="Arial"/>
                <w:color w:val="000000" w:themeColor="text1"/>
                <w:sz w:val="16"/>
              </w:rPr>
            </w:pPr>
          </w:p>
        </w:tc>
      </w:tr>
      <w:tr w:rsidR="00C45D5B" w:rsidRPr="000216DB" w14:paraId="40421F02" w14:textId="77777777" w:rsidTr="00CF774B">
        <w:trPr>
          <w:gridBefore w:val="1"/>
          <w:wBefore w:w="10" w:type="dxa"/>
          <w:trHeight w:val="188"/>
        </w:trPr>
        <w:tc>
          <w:tcPr>
            <w:tcW w:w="0" w:type="auto"/>
            <w:vMerge/>
            <w:tcBorders>
              <w:top w:val="double" w:sz="6" w:space="0" w:color="000000"/>
              <w:left w:val="nil"/>
              <w:bottom w:val="single" w:sz="12" w:space="0" w:color="auto"/>
              <w:right w:val="single" w:sz="4" w:space="0" w:color="auto"/>
            </w:tcBorders>
            <w:vAlign w:val="center"/>
            <w:hideMark/>
          </w:tcPr>
          <w:p w14:paraId="40B7D587" w14:textId="77777777" w:rsidR="00C45D5B" w:rsidRPr="000216DB" w:rsidRDefault="00C45D5B" w:rsidP="00CF774B">
            <w:pPr>
              <w:rPr>
                <w:rFonts w:cs="Arial"/>
                <w:color w:val="000000" w:themeColor="text1"/>
                <w:sz w:val="16"/>
              </w:rPr>
            </w:pPr>
          </w:p>
        </w:tc>
        <w:tc>
          <w:tcPr>
            <w:tcW w:w="4681" w:type="dxa"/>
            <w:tcBorders>
              <w:top w:val="single" w:sz="4" w:space="0" w:color="auto"/>
              <w:left w:val="nil"/>
              <w:bottom w:val="single" w:sz="12" w:space="0" w:color="auto"/>
              <w:right w:val="nil"/>
            </w:tcBorders>
            <w:shd w:val="clear" w:color="000000" w:fill="E7E6E6"/>
            <w:tcMar>
              <w:top w:w="15" w:type="dxa"/>
              <w:left w:w="15" w:type="dxa"/>
              <w:bottom w:w="0" w:type="dxa"/>
              <w:right w:w="15" w:type="dxa"/>
            </w:tcMar>
            <w:vAlign w:val="center"/>
            <w:hideMark/>
          </w:tcPr>
          <w:p w14:paraId="67877013" w14:textId="77777777" w:rsidR="00C45D5B" w:rsidRPr="000216DB" w:rsidRDefault="00C45D5B" w:rsidP="00CF774B">
            <w:pPr>
              <w:jc w:val="center"/>
              <w:rPr>
                <w:rFonts w:cs="Arial"/>
                <w:color w:val="000000" w:themeColor="text1"/>
                <w:sz w:val="16"/>
              </w:rPr>
            </w:pPr>
            <w:r w:rsidRPr="000216DB">
              <w:rPr>
                <w:rFonts w:cs="Arial"/>
                <w:color w:val="000000" w:themeColor="text1"/>
                <w:sz w:val="16"/>
              </w:rPr>
              <w:t xml:space="preserve">Medzisúčet     </w:t>
            </w:r>
          </w:p>
        </w:tc>
        <w:tc>
          <w:tcPr>
            <w:tcW w:w="1388" w:type="dxa"/>
            <w:tcBorders>
              <w:top w:val="single" w:sz="4" w:space="0" w:color="auto"/>
              <w:left w:val="single" w:sz="4" w:space="0" w:color="auto"/>
              <w:bottom w:val="single" w:sz="12" w:space="0" w:color="auto"/>
              <w:right w:val="single" w:sz="8" w:space="0" w:color="auto"/>
            </w:tcBorders>
            <w:shd w:val="clear" w:color="000000" w:fill="E7E6E6"/>
            <w:noWrap/>
            <w:tcMar>
              <w:top w:w="15" w:type="dxa"/>
              <w:left w:w="15" w:type="dxa"/>
              <w:bottom w:w="0" w:type="dxa"/>
              <w:right w:w="15" w:type="dxa"/>
            </w:tcMar>
            <w:vAlign w:val="center"/>
            <w:hideMark/>
          </w:tcPr>
          <w:p w14:paraId="51E36AC2" w14:textId="77777777" w:rsidR="00C45D5B" w:rsidRPr="000216DB" w:rsidRDefault="00C45D5B" w:rsidP="00CF774B">
            <w:pPr>
              <w:jc w:val="center"/>
              <w:rPr>
                <w:rFonts w:cs="Arial"/>
                <w:color w:val="000000" w:themeColor="text1"/>
                <w:sz w:val="16"/>
              </w:rPr>
            </w:pPr>
          </w:p>
        </w:tc>
        <w:tc>
          <w:tcPr>
            <w:tcW w:w="0" w:type="auto"/>
            <w:tcBorders>
              <w:top w:val="single" w:sz="4" w:space="0" w:color="auto"/>
              <w:left w:val="nil"/>
              <w:bottom w:val="single" w:sz="12" w:space="0" w:color="auto"/>
              <w:right w:val="single" w:sz="4" w:space="0" w:color="auto"/>
            </w:tcBorders>
            <w:shd w:val="clear" w:color="000000" w:fill="E7E6E6"/>
            <w:noWrap/>
            <w:tcMar>
              <w:top w:w="15" w:type="dxa"/>
              <w:left w:w="15" w:type="dxa"/>
              <w:bottom w:w="0" w:type="dxa"/>
              <w:right w:w="15" w:type="dxa"/>
            </w:tcMar>
            <w:vAlign w:val="center"/>
            <w:hideMark/>
          </w:tcPr>
          <w:p w14:paraId="1C8376DC" w14:textId="77777777" w:rsidR="00C45D5B" w:rsidRPr="000216DB" w:rsidRDefault="00C45D5B" w:rsidP="00CF774B">
            <w:pPr>
              <w:jc w:val="center"/>
              <w:rPr>
                <w:rFonts w:cs="Arial"/>
                <w:color w:val="000000" w:themeColor="text1"/>
                <w:sz w:val="16"/>
              </w:rPr>
            </w:pPr>
            <w:r>
              <w:rPr>
                <w:rFonts w:cs="Arial"/>
                <w:color w:val="000000" w:themeColor="text1"/>
                <w:sz w:val="16"/>
              </w:rPr>
              <w:t>10,0</w:t>
            </w:r>
          </w:p>
        </w:tc>
        <w:tc>
          <w:tcPr>
            <w:tcW w:w="0" w:type="auto"/>
            <w:tcBorders>
              <w:top w:val="single" w:sz="4" w:space="0" w:color="auto"/>
              <w:left w:val="nil"/>
              <w:bottom w:val="single" w:sz="12" w:space="0" w:color="auto"/>
            </w:tcBorders>
            <w:shd w:val="clear" w:color="000000" w:fill="E7E6E6"/>
            <w:noWrap/>
            <w:tcMar>
              <w:top w:w="15" w:type="dxa"/>
              <w:left w:w="15" w:type="dxa"/>
              <w:bottom w:w="0" w:type="dxa"/>
              <w:right w:w="15" w:type="dxa"/>
            </w:tcMar>
            <w:vAlign w:val="center"/>
            <w:hideMark/>
          </w:tcPr>
          <w:p w14:paraId="7A739C5A" w14:textId="77777777" w:rsidR="00C45D5B" w:rsidRPr="000216DB" w:rsidRDefault="00C45D5B" w:rsidP="00CF774B">
            <w:pPr>
              <w:jc w:val="center"/>
              <w:rPr>
                <w:rFonts w:cs="Arial"/>
                <w:color w:val="000000" w:themeColor="text1"/>
                <w:sz w:val="16"/>
              </w:rPr>
            </w:pPr>
            <w:r>
              <w:rPr>
                <w:rFonts w:cs="Arial"/>
                <w:color w:val="000000" w:themeColor="text1"/>
                <w:sz w:val="16"/>
              </w:rPr>
              <w:t>0,2</w:t>
            </w:r>
          </w:p>
        </w:tc>
      </w:tr>
      <w:tr w:rsidR="00C45D5B" w:rsidRPr="000216DB" w14:paraId="0CB5154E" w14:textId="77777777" w:rsidTr="00CF774B">
        <w:trPr>
          <w:gridBefore w:val="1"/>
          <w:wBefore w:w="10" w:type="dxa"/>
          <w:trHeight w:val="284"/>
        </w:trPr>
        <w:tc>
          <w:tcPr>
            <w:tcW w:w="0" w:type="auto"/>
            <w:tcBorders>
              <w:top w:val="single" w:sz="12" w:space="0" w:color="auto"/>
              <w:left w:val="nil"/>
              <w:bottom w:val="single" w:sz="8" w:space="0" w:color="auto"/>
              <w:right w:val="nil"/>
            </w:tcBorders>
            <w:shd w:val="clear" w:color="000000" w:fill="FFFFFF"/>
            <w:noWrap/>
            <w:tcMar>
              <w:top w:w="15" w:type="dxa"/>
              <w:left w:w="15" w:type="dxa"/>
              <w:bottom w:w="0" w:type="dxa"/>
              <w:right w:w="15" w:type="dxa"/>
            </w:tcMar>
            <w:vAlign w:val="center"/>
            <w:hideMark/>
          </w:tcPr>
          <w:p w14:paraId="43AC625F" w14:textId="77777777" w:rsidR="00C45D5B" w:rsidRPr="000216DB" w:rsidRDefault="00C45D5B" w:rsidP="00CF774B">
            <w:pPr>
              <w:rPr>
                <w:rFonts w:cs="Times New Roman"/>
                <w:color w:val="000000" w:themeColor="text1"/>
                <w:sz w:val="16"/>
              </w:rPr>
            </w:pPr>
            <w:r w:rsidRPr="000216DB">
              <w:rPr>
                <w:color w:val="000000" w:themeColor="text1"/>
                <w:sz w:val="16"/>
              </w:rPr>
              <w:t> </w:t>
            </w:r>
          </w:p>
        </w:tc>
        <w:tc>
          <w:tcPr>
            <w:tcW w:w="4681" w:type="dxa"/>
            <w:tcBorders>
              <w:top w:val="single" w:sz="12"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4746BDC3" w14:textId="77777777" w:rsidR="00C45D5B" w:rsidRPr="000216DB" w:rsidRDefault="00C45D5B" w:rsidP="00CF774B">
            <w:pPr>
              <w:jc w:val="center"/>
              <w:rPr>
                <w:rFonts w:cs="Arial"/>
                <w:b/>
                <w:bCs/>
                <w:color w:val="000000" w:themeColor="text1"/>
                <w:sz w:val="16"/>
                <w:szCs w:val="24"/>
              </w:rPr>
            </w:pPr>
            <w:r w:rsidRPr="000216DB">
              <w:rPr>
                <w:rFonts w:cs="Arial"/>
                <w:b/>
                <w:bCs/>
                <w:color w:val="000000" w:themeColor="text1"/>
                <w:sz w:val="16"/>
              </w:rPr>
              <w:t>Spolu</w:t>
            </w:r>
          </w:p>
        </w:tc>
        <w:tc>
          <w:tcPr>
            <w:tcW w:w="1388" w:type="dxa"/>
            <w:tcBorders>
              <w:top w:val="single" w:sz="12"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FEAC737" w14:textId="77777777" w:rsidR="00C45D5B" w:rsidRPr="000216DB" w:rsidRDefault="00C45D5B" w:rsidP="00CF774B">
            <w:pPr>
              <w:jc w:val="center"/>
              <w:rPr>
                <w:rFonts w:cs="Arial"/>
                <w:b/>
                <w:bCs/>
                <w:color w:val="000000" w:themeColor="text1"/>
                <w:sz w:val="16"/>
              </w:rPr>
            </w:pPr>
          </w:p>
        </w:tc>
        <w:tc>
          <w:tcPr>
            <w:tcW w:w="0" w:type="auto"/>
            <w:tcBorders>
              <w:top w:val="single" w:sz="12"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6CE97FF7" w14:textId="77777777" w:rsidR="00C45D5B" w:rsidRPr="000216DB" w:rsidRDefault="00C45D5B" w:rsidP="00CF774B">
            <w:pPr>
              <w:jc w:val="center"/>
              <w:rPr>
                <w:rFonts w:cs="Arial"/>
                <w:b/>
                <w:bCs/>
                <w:color w:val="000000" w:themeColor="text1"/>
                <w:sz w:val="16"/>
              </w:rPr>
            </w:pPr>
            <w:r>
              <w:rPr>
                <w:rFonts w:cs="Arial"/>
                <w:b/>
                <w:bCs/>
                <w:color w:val="000000" w:themeColor="text1"/>
                <w:sz w:val="16"/>
              </w:rPr>
              <w:t>12,1</w:t>
            </w:r>
          </w:p>
        </w:tc>
        <w:tc>
          <w:tcPr>
            <w:tcW w:w="0" w:type="auto"/>
            <w:tcBorders>
              <w:top w:val="single" w:sz="12" w:space="0" w:color="auto"/>
              <w:left w:val="nil"/>
              <w:bottom w:val="single" w:sz="8" w:space="0" w:color="auto"/>
            </w:tcBorders>
            <w:shd w:val="clear" w:color="auto" w:fill="auto"/>
            <w:noWrap/>
            <w:tcMar>
              <w:top w:w="15" w:type="dxa"/>
              <w:left w:w="15" w:type="dxa"/>
              <w:bottom w:w="0" w:type="dxa"/>
              <w:right w:w="15" w:type="dxa"/>
            </w:tcMar>
            <w:vAlign w:val="center"/>
            <w:hideMark/>
          </w:tcPr>
          <w:p w14:paraId="54DF11A7" w14:textId="77777777" w:rsidR="00C45D5B" w:rsidRPr="000216DB" w:rsidRDefault="00C45D5B" w:rsidP="00CF774B">
            <w:pPr>
              <w:jc w:val="center"/>
              <w:rPr>
                <w:rFonts w:cs="Arial"/>
                <w:b/>
                <w:bCs/>
                <w:color w:val="000000" w:themeColor="text1"/>
                <w:sz w:val="16"/>
              </w:rPr>
            </w:pPr>
            <w:r>
              <w:rPr>
                <w:rFonts w:cs="Arial"/>
                <w:b/>
                <w:bCs/>
                <w:color w:val="000000" w:themeColor="text1"/>
                <w:sz w:val="16"/>
              </w:rPr>
              <w:t>1,1</w:t>
            </w:r>
          </w:p>
        </w:tc>
      </w:tr>
      <w:tr w:rsidR="00C45D5B" w:rsidRPr="00AB54ED" w14:paraId="658E2692" w14:textId="77777777" w:rsidTr="00CF774B">
        <w:tblPrEx>
          <w:jc w:val="center"/>
          <w:tblInd w:w="0" w:type="dxa"/>
          <w:tblCellMar>
            <w:left w:w="70" w:type="dxa"/>
            <w:right w:w="70" w:type="dxa"/>
          </w:tblCellMar>
        </w:tblPrEx>
        <w:trPr>
          <w:trHeight w:val="317"/>
          <w:jc w:val="center"/>
        </w:trPr>
        <w:tc>
          <w:tcPr>
            <w:tcW w:w="9084" w:type="dxa"/>
            <w:gridSpan w:val="6"/>
            <w:tcBorders>
              <w:top w:val="single" w:sz="4" w:space="0" w:color="auto"/>
              <w:left w:val="nil"/>
              <w:bottom w:val="nil"/>
              <w:right w:val="nil"/>
            </w:tcBorders>
            <w:shd w:val="clear" w:color="auto" w:fill="auto"/>
            <w:hideMark/>
          </w:tcPr>
          <w:p w14:paraId="19FEF873" w14:textId="77777777" w:rsidR="00C45D5B" w:rsidRPr="000216DB" w:rsidRDefault="00C45D5B" w:rsidP="00CF774B">
            <w:pPr>
              <w:tabs>
                <w:tab w:val="left" w:pos="8450"/>
              </w:tabs>
              <w:jc w:val="right"/>
              <w:rPr>
                <w:rFonts w:cs="Times New Roman"/>
                <w:i/>
                <w:iCs/>
                <w:color w:val="000000"/>
                <w:sz w:val="18"/>
                <w:szCs w:val="18"/>
              </w:rPr>
            </w:pPr>
            <w:r w:rsidRPr="000216DB">
              <w:rPr>
                <w:rFonts w:cs="Times New Roman"/>
                <w:i/>
                <w:iCs/>
                <w:color w:val="000000"/>
                <w:sz w:val="18"/>
                <w:szCs w:val="18"/>
              </w:rPr>
              <w:t>Zdroj: MF SR</w:t>
            </w:r>
          </w:p>
        </w:tc>
      </w:tr>
    </w:tbl>
    <w:p w14:paraId="196AA43B" w14:textId="77777777" w:rsidR="00C45D5B" w:rsidRPr="00AB54ED" w:rsidRDefault="00C45D5B" w:rsidP="00C45D5B">
      <w:pPr>
        <w:rPr>
          <w:rFonts w:cs="Arial"/>
          <w:b/>
          <w:bCs/>
          <w:color w:val="2C9ADC" w:themeColor="accent1"/>
          <w:sz w:val="18"/>
          <w:szCs w:val="18"/>
          <w:highlight w:val="yellow"/>
        </w:rPr>
      </w:pPr>
      <w:r w:rsidRPr="00AB54ED">
        <w:rPr>
          <w:rFonts w:cs="Arial"/>
          <w:b/>
          <w:bCs/>
          <w:color w:val="2C9ADC" w:themeColor="accent1"/>
          <w:sz w:val="18"/>
          <w:szCs w:val="18"/>
          <w:highlight w:val="yellow"/>
        </w:rPr>
        <w:t xml:space="preserve"> </w:t>
      </w:r>
      <w:r w:rsidRPr="00AB54ED">
        <w:rPr>
          <w:rFonts w:cs="Arial"/>
          <w:b/>
          <w:bCs/>
          <w:color w:val="2C9ADC" w:themeColor="accent1"/>
          <w:sz w:val="18"/>
          <w:szCs w:val="18"/>
          <w:highlight w:val="yellow"/>
        </w:rPr>
        <w:br w:type="page"/>
      </w:r>
    </w:p>
    <w:p w14:paraId="2B2B2235" w14:textId="77777777" w:rsidR="00C45D5B" w:rsidRPr="00866AF1" w:rsidRDefault="00C45D5B" w:rsidP="00C45D5B">
      <w:pPr>
        <w:pStyle w:val="Nadpis3"/>
        <w:spacing w:before="120" w:after="120"/>
        <w:rPr>
          <w:color w:val="2C9ADC" w:themeColor="accent1"/>
          <w:sz w:val="24"/>
          <w:szCs w:val="24"/>
        </w:rPr>
      </w:pPr>
      <w:r w:rsidRPr="00866AF1">
        <w:rPr>
          <w:color w:val="2C9ADC" w:themeColor="accent1"/>
          <w:sz w:val="24"/>
          <w:szCs w:val="24"/>
        </w:rPr>
        <w:t xml:space="preserve">Príloha 2 – Diskrečné opatrenia prijaté v boji proti pandémii COVID-19 </w:t>
      </w:r>
    </w:p>
    <w:tbl>
      <w:tblPr>
        <w:tblW w:w="9079" w:type="dxa"/>
        <w:tblLayout w:type="fixed"/>
        <w:tblCellMar>
          <w:left w:w="0" w:type="dxa"/>
          <w:right w:w="0" w:type="dxa"/>
        </w:tblCellMar>
        <w:tblLook w:val="04A0" w:firstRow="1" w:lastRow="0" w:firstColumn="1" w:lastColumn="0" w:noHBand="0" w:noVBand="1"/>
      </w:tblPr>
      <w:tblGrid>
        <w:gridCol w:w="8926"/>
        <w:gridCol w:w="153"/>
      </w:tblGrid>
      <w:tr w:rsidR="00C45D5B" w:rsidRPr="00AB54ED" w14:paraId="21730A02" w14:textId="77777777" w:rsidTr="00CF774B">
        <w:trPr>
          <w:gridAfter w:val="1"/>
          <w:wAfter w:w="153" w:type="dxa"/>
          <w:trHeight w:val="227"/>
        </w:trPr>
        <w:tc>
          <w:tcPr>
            <w:tcW w:w="8926" w:type="dxa"/>
            <w:tcBorders>
              <w:top w:val="nil"/>
              <w:left w:val="nil"/>
              <w:right w:val="nil"/>
            </w:tcBorders>
            <w:shd w:val="clear" w:color="auto" w:fill="auto"/>
            <w:noWrap/>
            <w:vAlign w:val="bottom"/>
            <w:hideMark/>
          </w:tcPr>
          <w:p w14:paraId="30CC1CA1" w14:textId="5A97E6B5" w:rsidR="00C45D5B" w:rsidRPr="00866AF1" w:rsidRDefault="00C45D5B" w:rsidP="00CF774B">
            <w:pPr>
              <w:pStyle w:val="Nadpis3"/>
              <w:spacing w:before="120" w:after="120"/>
              <w:rPr>
                <w:color w:val="2C9ADC" w:themeColor="accent1"/>
                <w:sz w:val="18"/>
                <w:szCs w:val="22"/>
              </w:rPr>
            </w:pPr>
            <w:bookmarkStart w:id="282" w:name="_Toc40186684"/>
            <w:bookmarkStart w:id="283" w:name="_Toc71622474"/>
            <w:bookmarkStart w:id="284" w:name="_Toc101880715"/>
            <w:r w:rsidRPr="00866AF1">
              <w:rPr>
                <w:color w:val="2C9ADC" w:themeColor="accent1"/>
                <w:sz w:val="18"/>
                <w:szCs w:val="22"/>
              </w:rPr>
              <w:t xml:space="preserve">TABUĽKA </w:t>
            </w:r>
            <w:r w:rsidRPr="00866AF1">
              <w:rPr>
                <w:color w:val="2C9ADC" w:themeColor="accent1"/>
                <w:sz w:val="18"/>
                <w:szCs w:val="22"/>
              </w:rPr>
              <w:fldChar w:fldCharType="begin"/>
            </w:r>
            <w:r w:rsidRPr="00866AF1">
              <w:rPr>
                <w:color w:val="2C9ADC" w:themeColor="accent1"/>
                <w:sz w:val="18"/>
                <w:szCs w:val="22"/>
              </w:rPr>
              <w:instrText xml:space="preserve"> SEQ TABUĽKA \* ARABIC </w:instrText>
            </w:r>
            <w:r w:rsidRPr="00866AF1">
              <w:rPr>
                <w:color w:val="2C9ADC" w:themeColor="accent1"/>
                <w:sz w:val="18"/>
                <w:szCs w:val="22"/>
              </w:rPr>
              <w:fldChar w:fldCharType="separate"/>
            </w:r>
            <w:r w:rsidR="005D3280">
              <w:rPr>
                <w:noProof/>
                <w:color w:val="2C9ADC" w:themeColor="accent1"/>
                <w:sz w:val="18"/>
                <w:szCs w:val="22"/>
              </w:rPr>
              <w:t>36</w:t>
            </w:r>
            <w:r w:rsidRPr="00866AF1">
              <w:rPr>
                <w:color w:val="2C9ADC" w:themeColor="accent1"/>
                <w:sz w:val="18"/>
                <w:szCs w:val="22"/>
              </w:rPr>
              <w:fldChar w:fldCharType="end"/>
            </w:r>
            <w:r w:rsidRPr="00866AF1">
              <w:rPr>
                <w:color w:val="2C9ADC" w:themeColor="accent1"/>
                <w:sz w:val="18"/>
                <w:szCs w:val="22"/>
              </w:rPr>
              <w:t xml:space="preserve"> – Zoznam opatrení prijatých v b</w:t>
            </w:r>
            <w:r>
              <w:rPr>
                <w:color w:val="2C9ADC" w:themeColor="accent1"/>
                <w:sz w:val="18"/>
                <w:szCs w:val="22"/>
              </w:rPr>
              <w:t>oji proti koronavírusu (rok 2022</w:t>
            </w:r>
            <w:r w:rsidRPr="00866AF1">
              <w:rPr>
                <w:color w:val="2C9ADC" w:themeColor="accent1"/>
                <w:sz w:val="18"/>
                <w:szCs w:val="22"/>
              </w:rPr>
              <w:t xml:space="preserve"> je odhad do konca roka)</w:t>
            </w:r>
            <w:bookmarkEnd w:id="282"/>
            <w:bookmarkEnd w:id="283"/>
            <w:bookmarkEnd w:id="284"/>
          </w:p>
        </w:tc>
      </w:tr>
      <w:tr w:rsidR="00C45D5B" w:rsidRPr="00AB54ED" w14:paraId="7114A8B0" w14:textId="77777777" w:rsidTr="00CF774B">
        <w:tblPrEx>
          <w:tblCellMar>
            <w:left w:w="70" w:type="dxa"/>
            <w:right w:w="70" w:type="dxa"/>
          </w:tblCellMar>
        </w:tblPrEx>
        <w:trPr>
          <w:trHeight w:val="227"/>
        </w:trPr>
        <w:tc>
          <w:tcPr>
            <w:tcW w:w="9079" w:type="dxa"/>
            <w:gridSpan w:val="2"/>
            <w:tcBorders>
              <w:top w:val="nil"/>
              <w:left w:val="nil"/>
              <w:bottom w:val="nil"/>
              <w:right w:val="nil"/>
            </w:tcBorders>
            <w:shd w:val="clear" w:color="auto" w:fill="auto"/>
            <w:noWrap/>
            <w:vAlign w:val="bottom"/>
            <w:hideMark/>
          </w:tcPr>
          <w:tbl>
            <w:tblPr>
              <w:tblW w:w="8919" w:type="dxa"/>
              <w:tblLayout w:type="fixed"/>
              <w:tblCellMar>
                <w:left w:w="70" w:type="dxa"/>
                <w:right w:w="70" w:type="dxa"/>
              </w:tblCellMar>
              <w:tblLook w:val="04A0" w:firstRow="1" w:lastRow="0" w:firstColumn="1" w:lastColumn="0" w:noHBand="0" w:noVBand="1"/>
            </w:tblPr>
            <w:tblGrid>
              <w:gridCol w:w="2621"/>
              <w:gridCol w:w="708"/>
              <w:gridCol w:w="567"/>
              <w:gridCol w:w="567"/>
              <w:gridCol w:w="589"/>
              <w:gridCol w:w="545"/>
              <w:gridCol w:w="709"/>
              <w:gridCol w:w="567"/>
              <w:gridCol w:w="709"/>
              <w:gridCol w:w="567"/>
              <w:gridCol w:w="770"/>
            </w:tblGrid>
            <w:tr w:rsidR="00C45D5B" w:rsidRPr="004F7036" w14:paraId="25D56FAD"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5553A712"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14:paraId="053D4E29"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BEC2E99"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1156" w:type="dxa"/>
                  <w:gridSpan w:val="2"/>
                  <w:tcBorders>
                    <w:top w:val="nil"/>
                    <w:left w:val="nil"/>
                    <w:bottom w:val="single" w:sz="4" w:space="0" w:color="auto"/>
                    <w:right w:val="single" w:sz="4" w:space="0" w:color="000000"/>
                  </w:tcBorders>
                  <w:shd w:val="clear" w:color="auto" w:fill="auto"/>
                  <w:noWrap/>
                  <w:vAlign w:val="bottom"/>
                  <w:hideMark/>
                </w:tcPr>
                <w:p w14:paraId="4EC463CC"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2020</w:t>
                  </w:r>
                </w:p>
              </w:tc>
              <w:tc>
                <w:tcPr>
                  <w:tcW w:w="1254" w:type="dxa"/>
                  <w:gridSpan w:val="2"/>
                  <w:tcBorders>
                    <w:top w:val="nil"/>
                    <w:left w:val="nil"/>
                    <w:bottom w:val="single" w:sz="4" w:space="0" w:color="auto"/>
                    <w:right w:val="single" w:sz="4" w:space="0" w:color="000000"/>
                  </w:tcBorders>
                  <w:shd w:val="clear" w:color="auto" w:fill="auto"/>
                  <w:noWrap/>
                  <w:vAlign w:val="bottom"/>
                  <w:hideMark/>
                </w:tcPr>
                <w:p w14:paraId="5F355622"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2021</w:t>
                  </w:r>
                </w:p>
              </w:tc>
              <w:tc>
                <w:tcPr>
                  <w:tcW w:w="1276" w:type="dxa"/>
                  <w:gridSpan w:val="2"/>
                  <w:tcBorders>
                    <w:top w:val="nil"/>
                    <w:left w:val="nil"/>
                    <w:bottom w:val="single" w:sz="4" w:space="0" w:color="auto"/>
                    <w:right w:val="single" w:sz="4" w:space="0" w:color="000000"/>
                  </w:tcBorders>
                  <w:shd w:val="clear" w:color="auto" w:fill="auto"/>
                  <w:noWrap/>
                  <w:vAlign w:val="bottom"/>
                  <w:hideMark/>
                </w:tcPr>
                <w:p w14:paraId="1C364C1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2022</w:t>
                  </w:r>
                </w:p>
              </w:tc>
              <w:tc>
                <w:tcPr>
                  <w:tcW w:w="1337" w:type="dxa"/>
                  <w:gridSpan w:val="2"/>
                  <w:tcBorders>
                    <w:top w:val="nil"/>
                    <w:left w:val="nil"/>
                    <w:bottom w:val="single" w:sz="4" w:space="0" w:color="auto"/>
                    <w:right w:val="nil"/>
                  </w:tcBorders>
                  <w:shd w:val="clear" w:color="auto" w:fill="auto"/>
                  <w:noWrap/>
                  <w:vAlign w:val="bottom"/>
                  <w:hideMark/>
                </w:tcPr>
                <w:p w14:paraId="6A10E95C"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Spolu</w:t>
                  </w:r>
                </w:p>
              </w:tc>
            </w:tr>
            <w:tr w:rsidR="00C45D5B" w:rsidRPr="004F7036" w14:paraId="252E687D"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0829FFFD"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14:paraId="4E4E52F8"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EKRK</w:t>
                  </w:r>
                </w:p>
              </w:tc>
              <w:tc>
                <w:tcPr>
                  <w:tcW w:w="567" w:type="dxa"/>
                  <w:tcBorders>
                    <w:top w:val="nil"/>
                    <w:left w:val="nil"/>
                    <w:bottom w:val="single" w:sz="4" w:space="0" w:color="auto"/>
                    <w:right w:val="single" w:sz="4" w:space="0" w:color="auto"/>
                  </w:tcBorders>
                  <w:shd w:val="clear" w:color="auto" w:fill="auto"/>
                  <w:noWrap/>
                  <w:vAlign w:val="bottom"/>
                  <w:hideMark/>
                </w:tcPr>
                <w:p w14:paraId="2DD1C79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ESA</w:t>
                  </w:r>
                </w:p>
              </w:tc>
              <w:tc>
                <w:tcPr>
                  <w:tcW w:w="567" w:type="dxa"/>
                  <w:tcBorders>
                    <w:top w:val="nil"/>
                    <w:left w:val="nil"/>
                    <w:bottom w:val="single" w:sz="4" w:space="0" w:color="auto"/>
                    <w:right w:val="nil"/>
                  </w:tcBorders>
                  <w:shd w:val="clear" w:color="auto" w:fill="auto"/>
                  <w:noWrap/>
                  <w:vAlign w:val="bottom"/>
                  <w:hideMark/>
                </w:tcPr>
                <w:p w14:paraId="63E1C67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v mil.</w:t>
                  </w:r>
                </w:p>
              </w:tc>
              <w:tc>
                <w:tcPr>
                  <w:tcW w:w="589" w:type="dxa"/>
                  <w:tcBorders>
                    <w:top w:val="nil"/>
                    <w:left w:val="nil"/>
                    <w:bottom w:val="single" w:sz="4" w:space="0" w:color="auto"/>
                    <w:right w:val="single" w:sz="4" w:space="0" w:color="auto"/>
                  </w:tcBorders>
                  <w:shd w:val="clear" w:color="auto" w:fill="auto"/>
                  <w:noWrap/>
                  <w:vAlign w:val="bottom"/>
                  <w:hideMark/>
                </w:tcPr>
                <w:p w14:paraId="678887D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HDP</w:t>
                  </w:r>
                </w:p>
              </w:tc>
              <w:tc>
                <w:tcPr>
                  <w:tcW w:w="545" w:type="dxa"/>
                  <w:tcBorders>
                    <w:top w:val="nil"/>
                    <w:left w:val="nil"/>
                    <w:bottom w:val="single" w:sz="4" w:space="0" w:color="auto"/>
                    <w:right w:val="nil"/>
                  </w:tcBorders>
                  <w:shd w:val="clear" w:color="auto" w:fill="auto"/>
                  <w:noWrap/>
                  <w:vAlign w:val="bottom"/>
                  <w:hideMark/>
                </w:tcPr>
                <w:p w14:paraId="7BCF5808"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v mil.</w:t>
                  </w:r>
                </w:p>
              </w:tc>
              <w:tc>
                <w:tcPr>
                  <w:tcW w:w="709" w:type="dxa"/>
                  <w:tcBorders>
                    <w:top w:val="nil"/>
                    <w:left w:val="nil"/>
                    <w:bottom w:val="single" w:sz="4" w:space="0" w:color="auto"/>
                    <w:right w:val="single" w:sz="4" w:space="0" w:color="auto"/>
                  </w:tcBorders>
                  <w:shd w:val="clear" w:color="auto" w:fill="auto"/>
                  <w:noWrap/>
                  <w:vAlign w:val="bottom"/>
                  <w:hideMark/>
                </w:tcPr>
                <w:p w14:paraId="5C71157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HDP</w:t>
                  </w:r>
                </w:p>
              </w:tc>
              <w:tc>
                <w:tcPr>
                  <w:tcW w:w="567" w:type="dxa"/>
                  <w:tcBorders>
                    <w:top w:val="nil"/>
                    <w:left w:val="nil"/>
                    <w:bottom w:val="single" w:sz="4" w:space="0" w:color="auto"/>
                    <w:right w:val="nil"/>
                  </w:tcBorders>
                  <w:shd w:val="clear" w:color="auto" w:fill="auto"/>
                  <w:noWrap/>
                  <w:vAlign w:val="bottom"/>
                  <w:hideMark/>
                </w:tcPr>
                <w:p w14:paraId="7950E85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v mil.</w:t>
                  </w:r>
                </w:p>
              </w:tc>
              <w:tc>
                <w:tcPr>
                  <w:tcW w:w="709" w:type="dxa"/>
                  <w:tcBorders>
                    <w:top w:val="nil"/>
                    <w:left w:val="nil"/>
                    <w:bottom w:val="single" w:sz="4" w:space="0" w:color="auto"/>
                    <w:right w:val="single" w:sz="4" w:space="0" w:color="auto"/>
                  </w:tcBorders>
                  <w:shd w:val="clear" w:color="auto" w:fill="auto"/>
                  <w:noWrap/>
                  <w:vAlign w:val="bottom"/>
                  <w:hideMark/>
                </w:tcPr>
                <w:p w14:paraId="2FEF4733"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HDP</w:t>
                  </w:r>
                </w:p>
              </w:tc>
              <w:tc>
                <w:tcPr>
                  <w:tcW w:w="567" w:type="dxa"/>
                  <w:tcBorders>
                    <w:top w:val="nil"/>
                    <w:left w:val="nil"/>
                    <w:bottom w:val="single" w:sz="4" w:space="0" w:color="auto"/>
                    <w:right w:val="nil"/>
                  </w:tcBorders>
                  <w:shd w:val="clear" w:color="auto" w:fill="auto"/>
                  <w:noWrap/>
                  <w:vAlign w:val="bottom"/>
                  <w:hideMark/>
                </w:tcPr>
                <w:p w14:paraId="098B3C7B"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v mil.</w:t>
                  </w:r>
                </w:p>
              </w:tc>
              <w:tc>
                <w:tcPr>
                  <w:tcW w:w="770" w:type="dxa"/>
                  <w:tcBorders>
                    <w:top w:val="nil"/>
                    <w:left w:val="nil"/>
                    <w:bottom w:val="single" w:sz="4" w:space="0" w:color="auto"/>
                    <w:right w:val="nil"/>
                  </w:tcBorders>
                  <w:shd w:val="clear" w:color="auto" w:fill="auto"/>
                  <w:noWrap/>
                  <w:vAlign w:val="bottom"/>
                  <w:hideMark/>
                </w:tcPr>
                <w:p w14:paraId="3D9C031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HDP</w:t>
                  </w:r>
                </w:p>
              </w:tc>
            </w:tr>
            <w:tr w:rsidR="00C45D5B" w:rsidRPr="004F7036" w14:paraId="388BB56B"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center"/>
                  <w:hideMark/>
                </w:tcPr>
                <w:p w14:paraId="006B3791" w14:textId="77777777" w:rsidR="00C45D5B" w:rsidRPr="001B009D" w:rsidRDefault="00C45D5B" w:rsidP="00CF774B">
                  <w:pPr>
                    <w:rPr>
                      <w:rFonts w:cs="Calibri"/>
                      <w:b/>
                      <w:bCs/>
                      <w:color w:val="000000"/>
                      <w:sz w:val="16"/>
                      <w:szCs w:val="16"/>
                    </w:rPr>
                  </w:pPr>
                  <w:r w:rsidRPr="001B009D">
                    <w:rPr>
                      <w:rFonts w:cs="Calibri"/>
                      <w:b/>
                      <w:bCs/>
                      <w:color w:val="000000"/>
                      <w:sz w:val="16"/>
                      <w:szCs w:val="16"/>
                    </w:rPr>
                    <w:t>Priama pomoc spolu</w:t>
                  </w:r>
                </w:p>
              </w:tc>
              <w:tc>
                <w:tcPr>
                  <w:tcW w:w="708" w:type="dxa"/>
                  <w:tcBorders>
                    <w:top w:val="nil"/>
                    <w:left w:val="nil"/>
                    <w:bottom w:val="single" w:sz="4" w:space="0" w:color="auto"/>
                    <w:right w:val="single" w:sz="4" w:space="0" w:color="auto"/>
                  </w:tcBorders>
                  <w:shd w:val="clear" w:color="auto" w:fill="auto"/>
                  <w:noWrap/>
                  <w:vAlign w:val="center"/>
                  <w:hideMark/>
                </w:tcPr>
                <w:p w14:paraId="2C3F52F9"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145EF520"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nil"/>
                  </w:tcBorders>
                  <w:shd w:val="clear" w:color="auto" w:fill="auto"/>
                  <w:noWrap/>
                  <w:vAlign w:val="center"/>
                  <w:hideMark/>
                </w:tcPr>
                <w:p w14:paraId="19EE835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2185</w:t>
                  </w:r>
                </w:p>
              </w:tc>
              <w:tc>
                <w:tcPr>
                  <w:tcW w:w="589" w:type="dxa"/>
                  <w:tcBorders>
                    <w:top w:val="nil"/>
                    <w:left w:val="nil"/>
                    <w:bottom w:val="single" w:sz="4" w:space="0" w:color="auto"/>
                    <w:right w:val="single" w:sz="4" w:space="0" w:color="auto"/>
                  </w:tcBorders>
                  <w:shd w:val="clear" w:color="auto" w:fill="auto"/>
                  <w:noWrap/>
                  <w:vAlign w:val="center"/>
                  <w:hideMark/>
                </w:tcPr>
                <w:p w14:paraId="6E32417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2,37</w:t>
                  </w:r>
                </w:p>
              </w:tc>
              <w:tc>
                <w:tcPr>
                  <w:tcW w:w="545" w:type="dxa"/>
                  <w:tcBorders>
                    <w:top w:val="nil"/>
                    <w:left w:val="nil"/>
                    <w:bottom w:val="single" w:sz="4" w:space="0" w:color="auto"/>
                    <w:right w:val="nil"/>
                  </w:tcBorders>
                  <w:shd w:val="clear" w:color="auto" w:fill="auto"/>
                  <w:noWrap/>
                  <w:vAlign w:val="center"/>
                  <w:hideMark/>
                </w:tcPr>
                <w:p w14:paraId="19075189"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3385</w:t>
                  </w:r>
                </w:p>
              </w:tc>
              <w:tc>
                <w:tcPr>
                  <w:tcW w:w="709" w:type="dxa"/>
                  <w:tcBorders>
                    <w:top w:val="nil"/>
                    <w:left w:val="nil"/>
                    <w:bottom w:val="single" w:sz="4" w:space="0" w:color="auto"/>
                    <w:right w:val="single" w:sz="4" w:space="0" w:color="auto"/>
                  </w:tcBorders>
                  <w:shd w:val="clear" w:color="auto" w:fill="auto"/>
                  <w:noWrap/>
                  <w:vAlign w:val="center"/>
                  <w:hideMark/>
                </w:tcPr>
                <w:p w14:paraId="48CFAD0A"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3,49</w:t>
                  </w:r>
                </w:p>
              </w:tc>
              <w:tc>
                <w:tcPr>
                  <w:tcW w:w="567" w:type="dxa"/>
                  <w:tcBorders>
                    <w:top w:val="nil"/>
                    <w:left w:val="nil"/>
                    <w:bottom w:val="single" w:sz="4" w:space="0" w:color="auto"/>
                    <w:right w:val="nil"/>
                  </w:tcBorders>
                  <w:shd w:val="clear" w:color="auto" w:fill="auto"/>
                  <w:noWrap/>
                  <w:vAlign w:val="center"/>
                  <w:hideMark/>
                </w:tcPr>
                <w:p w14:paraId="622E4248"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1034</w:t>
                  </w:r>
                </w:p>
              </w:tc>
              <w:tc>
                <w:tcPr>
                  <w:tcW w:w="709" w:type="dxa"/>
                  <w:tcBorders>
                    <w:top w:val="nil"/>
                    <w:left w:val="nil"/>
                    <w:bottom w:val="single" w:sz="4" w:space="0" w:color="auto"/>
                    <w:right w:val="single" w:sz="4" w:space="0" w:color="auto"/>
                  </w:tcBorders>
                  <w:shd w:val="clear" w:color="auto" w:fill="auto"/>
                  <w:noWrap/>
                  <w:vAlign w:val="center"/>
                  <w:hideMark/>
                </w:tcPr>
                <w:p w14:paraId="23B1A258"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0,97</w:t>
                  </w:r>
                </w:p>
              </w:tc>
              <w:tc>
                <w:tcPr>
                  <w:tcW w:w="567" w:type="dxa"/>
                  <w:tcBorders>
                    <w:top w:val="nil"/>
                    <w:left w:val="nil"/>
                    <w:bottom w:val="single" w:sz="4" w:space="0" w:color="auto"/>
                    <w:right w:val="nil"/>
                  </w:tcBorders>
                  <w:shd w:val="clear" w:color="auto" w:fill="auto"/>
                  <w:noWrap/>
                  <w:vAlign w:val="center"/>
                  <w:hideMark/>
                </w:tcPr>
                <w:p w14:paraId="70ADC9C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6604</w:t>
                  </w:r>
                </w:p>
              </w:tc>
              <w:tc>
                <w:tcPr>
                  <w:tcW w:w="770" w:type="dxa"/>
                  <w:tcBorders>
                    <w:top w:val="nil"/>
                    <w:left w:val="nil"/>
                    <w:bottom w:val="single" w:sz="4" w:space="0" w:color="auto"/>
                    <w:right w:val="nil"/>
                  </w:tcBorders>
                  <w:shd w:val="clear" w:color="auto" w:fill="auto"/>
                  <w:noWrap/>
                  <w:vAlign w:val="center"/>
                  <w:hideMark/>
                </w:tcPr>
                <w:p w14:paraId="5623DAB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6,83</w:t>
                  </w:r>
                </w:p>
              </w:tc>
            </w:tr>
            <w:tr w:rsidR="00C45D5B" w:rsidRPr="004F7036" w14:paraId="1857D708"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center"/>
                  <w:hideMark/>
                </w:tcPr>
                <w:p w14:paraId="62BB9027" w14:textId="77777777" w:rsidR="00C45D5B" w:rsidRPr="001B009D" w:rsidRDefault="00C45D5B" w:rsidP="00CF774B">
                  <w:pPr>
                    <w:rPr>
                      <w:rFonts w:cs="Calibri"/>
                      <w:b/>
                      <w:bCs/>
                      <w:color w:val="000000"/>
                      <w:sz w:val="16"/>
                      <w:szCs w:val="16"/>
                    </w:rPr>
                  </w:pPr>
                  <w:r w:rsidRPr="001B009D">
                    <w:rPr>
                      <w:rFonts w:cs="Calibri"/>
                      <w:b/>
                      <w:bCs/>
                      <w:color w:val="000000"/>
                      <w:sz w:val="16"/>
                      <w:szCs w:val="16"/>
                    </w:rPr>
                    <w:t>Podpora udržania zamestnanosti</w:t>
                  </w:r>
                </w:p>
              </w:tc>
              <w:tc>
                <w:tcPr>
                  <w:tcW w:w="708" w:type="dxa"/>
                  <w:tcBorders>
                    <w:top w:val="nil"/>
                    <w:left w:val="nil"/>
                    <w:bottom w:val="single" w:sz="4" w:space="0" w:color="auto"/>
                    <w:right w:val="single" w:sz="4" w:space="0" w:color="auto"/>
                  </w:tcBorders>
                  <w:shd w:val="clear" w:color="auto" w:fill="auto"/>
                  <w:noWrap/>
                  <w:vAlign w:val="center"/>
                  <w:hideMark/>
                </w:tcPr>
                <w:p w14:paraId="5096108B"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28057F50"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nil"/>
                  </w:tcBorders>
                  <w:shd w:val="clear" w:color="auto" w:fill="auto"/>
                  <w:noWrap/>
                  <w:vAlign w:val="center"/>
                  <w:hideMark/>
                </w:tcPr>
                <w:p w14:paraId="75F1D93B"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1151</w:t>
                  </w:r>
                </w:p>
              </w:tc>
              <w:tc>
                <w:tcPr>
                  <w:tcW w:w="589" w:type="dxa"/>
                  <w:tcBorders>
                    <w:top w:val="nil"/>
                    <w:left w:val="nil"/>
                    <w:bottom w:val="single" w:sz="4" w:space="0" w:color="auto"/>
                    <w:right w:val="single" w:sz="4" w:space="0" w:color="auto"/>
                  </w:tcBorders>
                  <w:shd w:val="clear" w:color="auto" w:fill="auto"/>
                  <w:noWrap/>
                  <w:vAlign w:val="center"/>
                  <w:hideMark/>
                </w:tcPr>
                <w:p w14:paraId="5A279CFA"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1,25</w:t>
                  </w:r>
                </w:p>
              </w:tc>
              <w:tc>
                <w:tcPr>
                  <w:tcW w:w="545" w:type="dxa"/>
                  <w:tcBorders>
                    <w:top w:val="nil"/>
                    <w:left w:val="nil"/>
                    <w:bottom w:val="single" w:sz="4" w:space="0" w:color="auto"/>
                    <w:right w:val="nil"/>
                  </w:tcBorders>
                  <w:shd w:val="clear" w:color="auto" w:fill="auto"/>
                  <w:noWrap/>
                  <w:vAlign w:val="center"/>
                  <w:hideMark/>
                </w:tcPr>
                <w:p w14:paraId="3CBDF61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1506</w:t>
                  </w:r>
                </w:p>
              </w:tc>
              <w:tc>
                <w:tcPr>
                  <w:tcW w:w="709" w:type="dxa"/>
                  <w:tcBorders>
                    <w:top w:val="nil"/>
                    <w:left w:val="nil"/>
                    <w:bottom w:val="single" w:sz="4" w:space="0" w:color="auto"/>
                    <w:right w:val="single" w:sz="4" w:space="0" w:color="auto"/>
                  </w:tcBorders>
                  <w:shd w:val="clear" w:color="auto" w:fill="auto"/>
                  <w:noWrap/>
                  <w:vAlign w:val="center"/>
                  <w:hideMark/>
                </w:tcPr>
                <w:p w14:paraId="5E95BC72"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1,55</w:t>
                  </w:r>
                </w:p>
              </w:tc>
              <w:tc>
                <w:tcPr>
                  <w:tcW w:w="567" w:type="dxa"/>
                  <w:tcBorders>
                    <w:top w:val="nil"/>
                    <w:left w:val="nil"/>
                    <w:bottom w:val="single" w:sz="4" w:space="0" w:color="auto"/>
                    <w:right w:val="nil"/>
                  </w:tcBorders>
                  <w:shd w:val="clear" w:color="auto" w:fill="auto"/>
                  <w:noWrap/>
                  <w:vAlign w:val="center"/>
                  <w:hideMark/>
                </w:tcPr>
                <w:p w14:paraId="316B4C3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453</w:t>
                  </w:r>
                </w:p>
              </w:tc>
              <w:tc>
                <w:tcPr>
                  <w:tcW w:w="709" w:type="dxa"/>
                  <w:tcBorders>
                    <w:top w:val="nil"/>
                    <w:left w:val="nil"/>
                    <w:bottom w:val="single" w:sz="4" w:space="0" w:color="auto"/>
                    <w:right w:val="single" w:sz="4" w:space="0" w:color="auto"/>
                  </w:tcBorders>
                  <w:shd w:val="clear" w:color="auto" w:fill="auto"/>
                  <w:noWrap/>
                  <w:vAlign w:val="center"/>
                  <w:hideMark/>
                </w:tcPr>
                <w:p w14:paraId="7C56A10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0,43</w:t>
                  </w:r>
                </w:p>
              </w:tc>
              <w:tc>
                <w:tcPr>
                  <w:tcW w:w="567" w:type="dxa"/>
                  <w:tcBorders>
                    <w:top w:val="nil"/>
                    <w:left w:val="nil"/>
                    <w:bottom w:val="single" w:sz="4" w:space="0" w:color="auto"/>
                    <w:right w:val="nil"/>
                  </w:tcBorders>
                  <w:shd w:val="clear" w:color="auto" w:fill="auto"/>
                  <w:noWrap/>
                  <w:vAlign w:val="center"/>
                  <w:hideMark/>
                </w:tcPr>
                <w:p w14:paraId="226D8B33"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3111</w:t>
                  </w:r>
                </w:p>
              </w:tc>
              <w:tc>
                <w:tcPr>
                  <w:tcW w:w="770" w:type="dxa"/>
                  <w:tcBorders>
                    <w:top w:val="nil"/>
                    <w:left w:val="nil"/>
                    <w:bottom w:val="single" w:sz="4" w:space="0" w:color="auto"/>
                    <w:right w:val="nil"/>
                  </w:tcBorders>
                  <w:shd w:val="clear" w:color="auto" w:fill="auto"/>
                  <w:noWrap/>
                  <w:vAlign w:val="center"/>
                  <w:hideMark/>
                </w:tcPr>
                <w:p w14:paraId="5F81F9C5"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3,23</w:t>
                  </w:r>
                </w:p>
              </w:tc>
            </w:tr>
            <w:tr w:rsidR="00C45D5B" w:rsidRPr="004F7036" w14:paraId="0FD5055D"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7CE106EC" w14:textId="77777777" w:rsidR="00C45D5B" w:rsidRPr="001B009D" w:rsidRDefault="00C45D5B" w:rsidP="00CF774B">
                  <w:pPr>
                    <w:rPr>
                      <w:rFonts w:cs="Calibri"/>
                      <w:color w:val="000000"/>
                      <w:sz w:val="16"/>
                      <w:szCs w:val="16"/>
                    </w:rPr>
                  </w:pPr>
                  <w:r w:rsidRPr="001B009D">
                    <w:rPr>
                      <w:rFonts w:cs="Calibri"/>
                      <w:color w:val="000000"/>
                      <w:sz w:val="16"/>
                      <w:szCs w:val="16"/>
                    </w:rPr>
                    <w:t>Spolu opatrenia 1 až 4B (Kurzarbeit)</w:t>
                  </w:r>
                </w:p>
              </w:tc>
              <w:tc>
                <w:tcPr>
                  <w:tcW w:w="708" w:type="dxa"/>
                  <w:tcBorders>
                    <w:top w:val="nil"/>
                    <w:left w:val="nil"/>
                    <w:bottom w:val="nil"/>
                    <w:right w:val="single" w:sz="4" w:space="0" w:color="auto"/>
                  </w:tcBorders>
                  <w:shd w:val="clear" w:color="auto" w:fill="auto"/>
                  <w:noWrap/>
                  <w:vAlign w:val="center"/>
                  <w:hideMark/>
                </w:tcPr>
                <w:p w14:paraId="5FD394B4" w14:textId="77777777" w:rsidR="00C45D5B" w:rsidRPr="001B009D" w:rsidRDefault="00C45D5B" w:rsidP="00CF774B">
                  <w:pPr>
                    <w:jc w:val="center"/>
                    <w:rPr>
                      <w:rFonts w:cs="Calibri"/>
                      <w:color w:val="000000"/>
                      <w:sz w:val="16"/>
                      <w:szCs w:val="16"/>
                    </w:rPr>
                  </w:pPr>
                  <w:r w:rsidRPr="001B009D">
                    <w:rPr>
                      <w:rFonts w:cs="Calibri"/>
                      <w:color w:val="000000"/>
                      <w:sz w:val="16"/>
                      <w:szCs w:val="16"/>
                    </w:rPr>
                    <w:t>640</w:t>
                  </w:r>
                </w:p>
              </w:tc>
              <w:tc>
                <w:tcPr>
                  <w:tcW w:w="567" w:type="dxa"/>
                  <w:tcBorders>
                    <w:top w:val="nil"/>
                    <w:left w:val="nil"/>
                    <w:bottom w:val="nil"/>
                    <w:right w:val="single" w:sz="4" w:space="0" w:color="auto"/>
                  </w:tcBorders>
                  <w:shd w:val="clear" w:color="auto" w:fill="auto"/>
                  <w:noWrap/>
                  <w:vAlign w:val="center"/>
                  <w:hideMark/>
                </w:tcPr>
                <w:p w14:paraId="52FC98BA" w14:textId="77777777" w:rsidR="00C45D5B" w:rsidRPr="001B009D" w:rsidRDefault="00C45D5B" w:rsidP="00CF774B">
                  <w:pPr>
                    <w:jc w:val="center"/>
                    <w:rPr>
                      <w:rFonts w:cs="Calibri"/>
                      <w:color w:val="000000"/>
                      <w:sz w:val="16"/>
                      <w:szCs w:val="16"/>
                    </w:rPr>
                  </w:pPr>
                  <w:r w:rsidRPr="001B009D">
                    <w:rPr>
                      <w:rFonts w:cs="Calibri"/>
                      <w:color w:val="000000"/>
                      <w:sz w:val="16"/>
                      <w:szCs w:val="16"/>
                    </w:rPr>
                    <w:t>D.75</w:t>
                  </w:r>
                </w:p>
              </w:tc>
              <w:tc>
                <w:tcPr>
                  <w:tcW w:w="567" w:type="dxa"/>
                  <w:tcBorders>
                    <w:top w:val="nil"/>
                    <w:left w:val="nil"/>
                    <w:bottom w:val="nil"/>
                    <w:right w:val="nil"/>
                  </w:tcBorders>
                  <w:shd w:val="clear" w:color="auto" w:fill="auto"/>
                  <w:noWrap/>
                  <w:vAlign w:val="center"/>
                  <w:hideMark/>
                </w:tcPr>
                <w:p w14:paraId="3F7C0185" w14:textId="77777777" w:rsidR="00C45D5B" w:rsidRPr="001B009D" w:rsidRDefault="00C45D5B" w:rsidP="00CF774B">
                  <w:pPr>
                    <w:jc w:val="center"/>
                    <w:rPr>
                      <w:rFonts w:cs="Calibri"/>
                      <w:color w:val="000000"/>
                      <w:sz w:val="16"/>
                      <w:szCs w:val="16"/>
                    </w:rPr>
                  </w:pPr>
                  <w:r w:rsidRPr="001B009D">
                    <w:rPr>
                      <w:rFonts w:cs="Calibri"/>
                      <w:color w:val="000000"/>
                      <w:sz w:val="16"/>
                      <w:szCs w:val="16"/>
                    </w:rPr>
                    <w:t>997</w:t>
                  </w:r>
                </w:p>
              </w:tc>
              <w:tc>
                <w:tcPr>
                  <w:tcW w:w="589" w:type="dxa"/>
                  <w:tcBorders>
                    <w:top w:val="nil"/>
                    <w:left w:val="nil"/>
                    <w:bottom w:val="nil"/>
                    <w:right w:val="single" w:sz="4" w:space="0" w:color="auto"/>
                  </w:tcBorders>
                  <w:shd w:val="clear" w:color="auto" w:fill="auto"/>
                  <w:noWrap/>
                  <w:vAlign w:val="center"/>
                  <w:hideMark/>
                </w:tcPr>
                <w:p w14:paraId="13531F04" w14:textId="77777777" w:rsidR="00C45D5B" w:rsidRPr="001B009D" w:rsidRDefault="00C45D5B" w:rsidP="00CF774B">
                  <w:pPr>
                    <w:jc w:val="center"/>
                    <w:rPr>
                      <w:rFonts w:cs="Calibri"/>
                      <w:color w:val="000000"/>
                      <w:sz w:val="16"/>
                      <w:szCs w:val="16"/>
                    </w:rPr>
                  </w:pPr>
                  <w:r w:rsidRPr="001B009D">
                    <w:rPr>
                      <w:rFonts w:cs="Calibri"/>
                      <w:color w:val="000000"/>
                      <w:sz w:val="16"/>
                      <w:szCs w:val="16"/>
                    </w:rPr>
                    <w:t>1,08</w:t>
                  </w:r>
                </w:p>
              </w:tc>
              <w:tc>
                <w:tcPr>
                  <w:tcW w:w="545" w:type="dxa"/>
                  <w:tcBorders>
                    <w:top w:val="nil"/>
                    <w:left w:val="nil"/>
                    <w:bottom w:val="nil"/>
                    <w:right w:val="nil"/>
                  </w:tcBorders>
                  <w:shd w:val="clear" w:color="auto" w:fill="auto"/>
                  <w:noWrap/>
                  <w:vAlign w:val="center"/>
                  <w:hideMark/>
                </w:tcPr>
                <w:p w14:paraId="76D98BCE" w14:textId="77777777" w:rsidR="00C45D5B" w:rsidRPr="001B009D" w:rsidRDefault="00C45D5B" w:rsidP="00CF774B">
                  <w:pPr>
                    <w:jc w:val="center"/>
                    <w:rPr>
                      <w:rFonts w:cs="Calibri"/>
                      <w:color w:val="000000"/>
                      <w:sz w:val="16"/>
                      <w:szCs w:val="16"/>
                    </w:rPr>
                  </w:pPr>
                  <w:r w:rsidRPr="001B009D">
                    <w:rPr>
                      <w:rFonts w:cs="Calibri"/>
                      <w:color w:val="000000"/>
                      <w:sz w:val="16"/>
                      <w:szCs w:val="16"/>
                    </w:rPr>
                    <w:t>1266</w:t>
                  </w:r>
                </w:p>
              </w:tc>
              <w:tc>
                <w:tcPr>
                  <w:tcW w:w="709" w:type="dxa"/>
                  <w:tcBorders>
                    <w:top w:val="nil"/>
                    <w:left w:val="nil"/>
                    <w:bottom w:val="nil"/>
                    <w:right w:val="single" w:sz="4" w:space="0" w:color="auto"/>
                  </w:tcBorders>
                  <w:shd w:val="clear" w:color="auto" w:fill="auto"/>
                  <w:noWrap/>
                  <w:vAlign w:val="center"/>
                  <w:hideMark/>
                </w:tcPr>
                <w:p w14:paraId="12D55640" w14:textId="77777777" w:rsidR="00C45D5B" w:rsidRPr="001B009D" w:rsidRDefault="00C45D5B" w:rsidP="00CF774B">
                  <w:pPr>
                    <w:jc w:val="center"/>
                    <w:rPr>
                      <w:rFonts w:cs="Calibri"/>
                      <w:color w:val="000000"/>
                      <w:sz w:val="16"/>
                      <w:szCs w:val="16"/>
                    </w:rPr>
                  </w:pPr>
                  <w:r w:rsidRPr="001B009D">
                    <w:rPr>
                      <w:rFonts w:cs="Calibri"/>
                      <w:color w:val="000000"/>
                      <w:sz w:val="16"/>
                      <w:szCs w:val="16"/>
                    </w:rPr>
                    <w:t>1,30</w:t>
                  </w:r>
                </w:p>
              </w:tc>
              <w:tc>
                <w:tcPr>
                  <w:tcW w:w="567" w:type="dxa"/>
                  <w:tcBorders>
                    <w:top w:val="nil"/>
                    <w:left w:val="nil"/>
                    <w:bottom w:val="nil"/>
                    <w:right w:val="nil"/>
                  </w:tcBorders>
                  <w:shd w:val="clear" w:color="auto" w:fill="auto"/>
                  <w:noWrap/>
                  <w:vAlign w:val="center"/>
                  <w:hideMark/>
                </w:tcPr>
                <w:p w14:paraId="1D5A84D5" w14:textId="77777777" w:rsidR="00C45D5B" w:rsidRPr="001B009D" w:rsidRDefault="00C45D5B" w:rsidP="00CF774B">
                  <w:pPr>
                    <w:jc w:val="center"/>
                    <w:rPr>
                      <w:rFonts w:cs="Calibri"/>
                      <w:color w:val="000000"/>
                      <w:sz w:val="16"/>
                      <w:szCs w:val="16"/>
                    </w:rPr>
                  </w:pPr>
                  <w:r w:rsidRPr="001B009D">
                    <w:rPr>
                      <w:rFonts w:cs="Calibri"/>
                      <w:color w:val="000000"/>
                      <w:sz w:val="16"/>
                      <w:szCs w:val="16"/>
                    </w:rPr>
                    <w:t>288</w:t>
                  </w:r>
                </w:p>
              </w:tc>
              <w:tc>
                <w:tcPr>
                  <w:tcW w:w="709" w:type="dxa"/>
                  <w:tcBorders>
                    <w:top w:val="nil"/>
                    <w:left w:val="nil"/>
                    <w:bottom w:val="nil"/>
                    <w:right w:val="single" w:sz="4" w:space="0" w:color="auto"/>
                  </w:tcBorders>
                  <w:shd w:val="clear" w:color="auto" w:fill="auto"/>
                  <w:noWrap/>
                  <w:vAlign w:val="center"/>
                  <w:hideMark/>
                </w:tcPr>
                <w:p w14:paraId="34A69FF8" w14:textId="77777777" w:rsidR="00C45D5B" w:rsidRPr="001B009D" w:rsidRDefault="00C45D5B" w:rsidP="00CF774B">
                  <w:pPr>
                    <w:jc w:val="center"/>
                    <w:rPr>
                      <w:rFonts w:cs="Calibri"/>
                      <w:color w:val="000000"/>
                      <w:sz w:val="16"/>
                      <w:szCs w:val="16"/>
                    </w:rPr>
                  </w:pPr>
                  <w:r w:rsidRPr="001B009D">
                    <w:rPr>
                      <w:rFonts w:cs="Calibri"/>
                      <w:color w:val="000000"/>
                      <w:sz w:val="16"/>
                      <w:szCs w:val="16"/>
                    </w:rPr>
                    <w:t>0,27</w:t>
                  </w:r>
                </w:p>
              </w:tc>
              <w:tc>
                <w:tcPr>
                  <w:tcW w:w="567" w:type="dxa"/>
                  <w:tcBorders>
                    <w:top w:val="nil"/>
                    <w:left w:val="nil"/>
                    <w:bottom w:val="nil"/>
                    <w:right w:val="nil"/>
                  </w:tcBorders>
                  <w:shd w:val="clear" w:color="auto" w:fill="auto"/>
                  <w:noWrap/>
                  <w:vAlign w:val="center"/>
                  <w:hideMark/>
                </w:tcPr>
                <w:p w14:paraId="7753B698" w14:textId="77777777" w:rsidR="00C45D5B" w:rsidRPr="001B009D" w:rsidRDefault="00C45D5B" w:rsidP="00CF774B">
                  <w:pPr>
                    <w:jc w:val="center"/>
                    <w:rPr>
                      <w:rFonts w:cs="Calibri"/>
                      <w:color w:val="000000"/>
                      <w:sz w:val="16"/>
                      <w:szCs w:val="16"/>
                    </w:rPr>
                  </w:pPr>
                  <w:r w:rsidRPr="001B009D">
                    <w:rPr>
                      <w:rFonts w:cs="Calibri"/>
                      <w:color w:val="000000"/>
                      <w:sz w:val="16"/>
                      <w:szCs w:val="16"/>
                    </w:rPr>
                    <w:t>2551</w:t>
                  </w:r>
                </w:p>
              </w:tc>
              <w:tc>
                <w:tcPr>
                  <w:tcW w:w="770" w:type="dxa"/>
                  <w:tcBorders>
                    <w:top w:val="nil"/>
                    <w:left w:val="nil"/>
                    <w:bottom w:val="nil"/>
                    <w:right w:val="nil"/>
                  </w:tcBorders>
                  <w:shd w:val="clear" w:color="auto" w:fill="auto"/>
                  <w:noWrap/>
                  <w:vAlign w:val="center"/>
                  <w:hideMark/>
                </w:tcPr>
                <w:p w14:paraId="6190ECB0" w14:textId="77777777" w:rsidR="00C45D5B" w:rsidRPr="001B009D" w:rsidRDefault="00C45D5B" w:rsidP="00CF774B">
                  <w:pPr>
                    <w:jc w:val="center"/>
                    <w:rPr>
                      <w:rFonts w:cs="Calibri"/>
                      <w:color w:val="000000"/>
                      <w:sz w:val="16"/>
                      <w:szCs w:val="16"/>
                    </w:rPr>
                  </w:pPr>
                  <w:r w:rsidRPr="001B009D">
                    <w:rPr>
                      <w:rFonts w:cs="Calibri"/>
                      <w:color w:val="000000"/>
                      <w:sz w:val="16"/>
                      <w:szCs w:val="16"/>
                    </w:rPr>
                    <w:t>2,66</w:t>
                  </w:r>
                </w:p>
              </w:tc>
            </w:tr>
            <w:tr w:rsidR="00C45D5B" w:rsidRPr="004F7036" w14:paraId="18BD65D6"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7A3B8A10" w14:textId="77777777" w:rsidR="00C45D5B" w:rsidRPr="001B009D" w:rsidRDefault="00C45D5B" w:rsidP="00CF774B">
                  <w:pPr>
                    <w:rPr>
                      <w:rFonts w:cs="Calibri"/>
                      <w:color w:val="000000"/>
                      <w:sz w:val="16"/>
                      <w:szCs w:val="16"/>
                    </w:rPr>
                  </w:pPr>
                  <w:r w:rsidRPr="001B009D">
                    <w:rPr>
                      <w:rFonts w:cs="Calibri"/>
                      <w:color w:val="000000"/>
                      <w:sz w:val="16"/>
                      <w:szCs w:val="16"/>
                    </w:rPr>
                    <w:t>Kurzarbeit pre materské školy a ZUŠ</w:t>
                  </w:r>
                </w:p>
              </w:tc>
              <w:tc>
                <w:tcPr>
                  <w:tcW w:w="708" w:type="dxa"/>
                  <w:tcBorders>
                    <w:top w:val="nil"/>
                    <w:left w:val="nil"/>
                    <w:bottom w:val="nil"/>
                    <w:right w:val="single" w:sz="4" w:space="0" w:color="auto"/>
                  </w:tcBorders>
                  <w:shd w:val="clear" w:color="auto" w:fill="auto"/>
                  <w:noWrap/>
                  <w:vAlign w:val="center"/>
                  <w:hideMark/>
                </w:tcPr>
                <w:p w14:paraId="592C7A60" w14:textId="77777777" w:rsidR="00C45D5B" w:rsidRPr="001B009D" w:rsidRDefault="00C45D5B" w:rsidP="00CF774B">
                  <w:pPr>
                    <w:jc w:val="center"/>
                    <w:rPr>
                      <w:rFonts w:cs="Calibri"/>
                      <w:color w:val="000000"/>
                      <w:sz w:val="16"/>
                      <w:szCs w:val="16"/>
                    </w:rPr>
                  </w:pPr>
                  <w:r w:rsidRPr="001B009D">
                    <w:rPr>
                      <w:rFonts w:cs="Calibri"/>
                      <w:color w:val="000000"/>
                      <w:sz w:val="16"/>
                      <w:szCs w:val="16"/>
                    </w:rPr>
                    <w:t>640</w:t>
                  </w:r>
                </w:p>
              </w:tc>
              <w:tc>
                <w:tcPr>
                  <w:tcW w:w="567" w:type="dxa"/>
                  <w:tcBorders>
                    <w:top w:val="nil"/>
                    <w:left w:val="nil"/>
                    <w:bottom w:val="nil"/>
                    <w:right w:val="single" w:sz="4" w:space="0" w:color="auto"/>
                  </w:tcBorders>
                  <w:shd w:val="clear" w:color="auto" w:fill="auto"/>
                  <w:noWrap/>
                  <w:vAlign w:val="center"/>
                  <w:hideMark/>
                </w:tcPr>
                <w:p w14:paraId="1A5FAABD" w14:textId="77777777" w:rsidR="00C45D5B" w:rsidRPr="001B009D" w:rsidRDefault="00C45D5B" w:rsidP="00CF774B">
                  <w:pPr>
                    <w:jc w:val="center"/>
                    <w:rPr>
                      <w:rFonts w:cs="Calibri"/>
                      <w:color w:val="000000"/>
                      <w:sz w:val="16"/>
                      <w:szCs w:val="16"/>
                    </w:rPr>
                  </w:pPr>
                  <w:r w:rsidRPr="001B009D">
                    <w:rPr>
                      <w:rFonts w:cs="Calibri"/>
                      <w:color w:val="000000"/>
                      <w:sz w:val="16"/>
                      <w:szCs w:val="16"/>
                    </w:rPr>
                    <w:t>D.75</w:t>
                  </w:r>
                </w:p>
              </w:tc>
              <w:tc>
                <w:tcPr>
                  <w:tcW w:w="567" w:type="dxa"/>
                  <w:tcBorders>
                    <w:top w:val="nil"/>
                    <w:left w:val="nil"/>
                    <w:bottom w:val="nil"/>
                    <w:right w:val="nil"/>
                  </w:tcBorders>
                  <w:shd w:val="clear" w:color="auto" w:fill="auto"/>
                  <w:noWrap/>
                  <w:vAlign w:val="center"/>
                  <w:hideMark/>
                </w:tcPr>
                <w:p w14:paraId="6325E3C8" w14:textId="77777777" w:rsidR="00C45D5B" w:rsidRPr="001B009D" w:rsidRDefault="00C45D5B" w:rsidP="00CF774B">
                  <w:pPr>
                    <w:jc w:val="center"/>
                    <w:rPr>
                      <w:rFonts w:cs="Calibri"/>
                      <w:color w:val="000000"/>
                      <w:sz w:val="16"/>
                      <w:szCs w:val="16"/>
                    </w:rPr>
                  </w:pPr>
                  <w:r w:rsidRPr="001B009D">
                    <w:rPr>
                      <w:rFonts w:cs="Calibri"/>
                      <w:color w:val="000000"/>
                      <w:sz w:val="16"/>
                      <w:szCs w:val="16"/>
                    </w:rPr>
                    <w:t>59</w:t>
                  </w:r>
                </w:p>
              </w:tc>
              <w:tc>
                <w:tcPr>
                  <w:tcW w:w="589" w:type="dxa"/>
                  <w:tcBorders>
                    <w:top w:val="nil"/>
                    <w:left w:val="nil"/>
                    <w:bottom w:val="nil"/>
                    <w:right w:val="single" w:sz="4" w:space="0" w:color="auto"/>
                  </w:tcBorders>
                  <w:shd w:val="clear" w:color="auto" w:fill="auto"/>
                  <w:noWrap/>
                  <w:vAlign w:val="center"/>
                  <w:hideMark/>
                </w:tcPr>
                <w:p w14:paraId="3FA068AA" w14:textId="77777777" w:rsidR="00C45D5B" w:rsidRPr="001B009D" w:rsidRDefault="00C45D5B" w:rsidP="00CF774B">
                  <w:pPr>
                    <w:jc w:val="center"/>
                    <w:rPr>
                      <w:rFonts w:cs="Calibri"/>
                      <w:color w:val="000000"/>
                      <w:sz w:val="16"/>
                      <w:szCs w:val="16"/>
                    </w:rPr>
                  </w:pPr>
                  <w:r w:rsidRPr="001B009D">
                    <w:rPr>
                      <w:rFonts w:cs="Calibri"/>
                      <w:color w:val="000000"/>
                      <w:sz w:val="16"/>
                      <w:szCs w:val="16"/>
                    </w:rPr>
                    <w:t>0,06</w:t>
                  </w:r>
                </w:p>
              </w:tc>
              <w:tc>
                <w:tcPr>
                  <w:tcW w:w="545" w:type="dxa"/>
                  <w:tcBorders>
                    <w:top w:val="nil"/>
                    <w:left w:val="nil"/>
                    <w:bottom w:val="nil"/>
                    <w:right w:val="nil"/>
                  </w:tcBorders>
                  <w:shd w:val="clear" w:color="auto" w:fill="auto"/>
                  <w:noWrap/>
                  <w:vAlign w:val="center"/>
                  <w:hideMark/>
                </w:tcPr>
                <w:p w14:paraId="07DC2903" w14:textId="77777777" w:rsidR="00C45D5B" w:rsidRPr="001B009D" w:rsidRDefault="00C45D5B" w:rsidP="00CF774B">
                  <w:pPr>
                    <w:jc w:val="center"/>
                    <w:rPr>
                      <w:rFonts w:cs="Calibri"/>
                      <w:color w:val="000000"/>
                      <w:sz w:val="16"/>
                      <w:szCs w:val="16"/>
                    </w:rPr>
                  </w:pPr>
                  <w:r w:rsidRPr="001B009D">
                    <w:rPr>
                      <w:rFonts w:cs="Calibri"/>
                      <w:color w:val="000000"/>
                      <w:sz w:val="16"/>
                      <w:szCs w:val="16"/>
                    </w:rPr>
                    <w:t>18</w:t>
                  </w:r>
                </w:p>
              </w:tc>
              <w:tc>
                <w:tcPr>
                  <w:tcW w:w="709" w:type="dxa"/>
                  <w:tcBorders>
                    <w:top w:val="nil"/>
                    <w:left w:val="nil"/>
                    <w:bottom w:val="nil"/>
                    <w:right w:val="single" w:sz="4" w:space="0" w:color="auto"/>
                  </w:tcBorders>
                  <w:shd w:val="clear" w:color="auto" w:fill="auto"/>
                  <w:noWrap/>
                  <w:vAlign w:val="center"/>
                  <w:hideMark/>
                </w:tcPr>
                <w:p w14:paraId="241E171B" w14:textId="77777777" w:rsidR="00C45D5B" w:rsidRPr="001B009D" w:rsidRDefault="00C45D5B" w:rsidP="00CF774B">
                  <w:pPr>
                    <w:jc w:val="center"/>
                    <w:rPr>
                      <w:rFonts w:cs="Calibri"/>
                      <w:color w:val="000000"/>
                      <w:sz w:val="16"/>
                      <w:szCs w:val="16"/>
                    </w:rPr>
                  </w:pPr>
                  <w:r w:rsidRPr="001B009D">
                    <w:rPr>
                      <w:rFonts w:cs="Calibri"/>
                      <w:color w:val="000000"/>
                      <w:sz w:val="16"/>
                      <w:szCs w:val="16"/>
                    </w:rPr>
                    <w:t>0,02</w:t>
                  </w:r>
                </w:p>
              </w:tc>
              <w:tc>
                <w:tcPr>
                  <w:tcW w:w="567" w:type="dxa"/>
                  <w:tcBorders>
                    <w:top w:val="nil"/>
                    <w:left w:val="nil"/>
                    <w:bottom w:val="nil"/>
                    <w:right w:val="nil"/>
                  </w:tcBorders>
                  <w:shd w:val="clear" w:color="auto" w:fill="auto"/>
                  <w:noWrap/>
                  <w:vAlign w:val="center"/>
                  <w:hideMark/>
                </w:tcPr>
                <w:p w14:paraId="3169376F"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14:paraId="2C8061E3"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5437FCA8" w14:textId="77777777" w:rsidR="00C45D5B" w:rsidRPr="001B009D" w:rsidRDefault="00C45D5B" w:rsidP="00CF774B">
                  <w:pPr>
                    <w:jc w:val="center"/>
                    <w:rPr>
                      <w:rFonts w:cs="Calibri"/>
                      <w:color w:val="000000"/>
                      <w:sz w:val="16"/>
                      <w:szCs w:val="16"/>
                    </w:rPr>
                  </w:pPr>
                  <w:r w:rsidRPr="001B009D">
                    <w:rPr>
                      <w:rFonts w:cs="Calibri"/>
                      <w:color w:val="000000"/>
                      <w:sz w:val="16"/>
                      <w:szCs w:val="16"/>
                    </w:rPr>
                    <w:t>77</w:t>
                  </w:r>
                </w:p>
              </w:tc>
              <w:tc>
                <w:tcPr>
                  <w:tcW w:w="770" w:type="dxa"/>
                  <w:tcBorders>
                    <w:top w:val="nil"/>
                    <w:left w:val="nil"/>
                    <w:bottom w:val="nil"/>
                    <w:right w:val="nil"/>
                  </w:tcBorders>
                  <w:shd w:val="clear" w:color="auto" w:fill="auto"/>
                  <w:noWrap/>
                  <w:vAlign w:val="center"/>
                  <w:hideMark/>
                </w:tcPr>
                <w:p w14:paraId="02E4A5E8" w14:textId="77777777" w:rsidR="00C45D5B" w:rsidRPr="001B009D" w:rsidRDefault="00C45D5B" w:rsidP="00CF774B">
                  <w:pPr>
                    <w:jc w:val="center"/>
                    <w:rPr>
                      <w:rFonts w:cs="Calibri"/>
                      <w:color w:val="000000"/>
                      <w:sz w:val="16"/>
                      <w:szCs w:val="16"/>
                    </w:rPr>
                  </w:pPr>
                  <w:r w:rsidRPr="001B009D">
                    <w:rPr>
                      <w:rFonts w:cs="Calibri"/>
                      <w:color w:val="000000"/>
                      <w:sz w:val="16"/>
                      <w:szCs w:val="16"/>
                    </w:rPr>
                    <w:t>0,08</w:t>
                  </w:r>
                </w:p>
              </w:tc>
            </w:tr>
            <w:tr w:rsidR="00C45D5B" w:rsidRPr="004F7036" w14:paraId="24082902"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34F89132" w14:textId="77777777" w:rsidR="00C45D5B" w:rsidRPr="001B009D" w:rsidRDefault="00C45D5B" w:rsidP="00CF774B">
                  <w:pPr>
                    <w:rPr>
                      <w:rFonts w:cs="Calibri"/>
                      <w:color w:val="000000"/>
                      <w:sz w:val="16"/>
                      <w:szCs w:val="16"/>
                    </w:rPr>
                  </w:pPr>
                  <w:r w:rsidRPr="001B009D">
                    <w:rPr>
                      <w:rFonts w:cs="Calibri"/>
                      <w:color w:val="000000"/>
                      <w:sz w:val="16"/>
                      <w:szCs w:val="16"/>
                    </w:rPr>
                    <w:t>Podpora podnikania v cestovnom ruchu a gastro</w:t>
                  </w:r>
                </w:p>
              </w:tc>
              <w:tc>
                <w:tcPr>
                  <w:tcW w:w="708" w:type="dxa"/>
                  <w:tcBorders>
                    <w:top w:val="nil"/>
                    <w:left w:val="nil"/>
                    <w:bottom w:val="nil"/>
                    <w:right w:val="single" w:sz="4" w:space="0" w:color="auto"/>
                  </w:tcBorders>
                  <w:shd w:val="clear" w:color="auto" w:fill="auto"/>
                  <w:noWrap/>
                  <w:vAlign w:val="center"/>
                  <w:hideMark/>
                </w:tcPr>
                <w:p w14:paraId="3EE6FC76" w14:textId="77777777" w:rsidR="00C45D5B" w:rsidRPr="001B009D" w:rsidRDefault="00C45D5B" w:rsidP="00CF774B">
                  <w:pPr>
                    <w:jc w:val="center"/>
                    <w:rPr>
                      <w:rFonts w:cs="Calibri"/>
                      <w:color w:val="000000"/>
                      <w:sz w:val="16"/>
                      <w:szCs w:val="16"/>
                    </w:rPr>
                  </w:pPr>
                  <w:r w:rsidRPr="001B009D">
                    <w:rPr>
                      <w:rFonts w:cs="Calibri"/>
                      <w:color w:val="000000"/>
                      <w:sz w:val="16"/>
                      <w:szCs w:val="16"/>
                    </w:rPr>
                    <w:t>644</w:t>
                  </w:r>
                </w:p>
              </w:tc>
              <w:tc>
                <w:tcPr>
                  <w:tcW w:w="567" w:type="dxa"/>
                  <w:tcBorders>
                    <w:top w:val="nil"/>
                    <w:left w:val="nil"/>
                    <w:bottom w:val="nil"/>
                    <w:right w:val="single" w:sz="4" w:space="0" w:color="auto"/>
                  </w:tcBorders>
                  <w:shd w:val="clear" w:color="auto" w:fill="auto"/>
                  <w:noWrap/>
                  <w:vAlign w:val="center"/>
                  <w:hideMark/>
                </w:tcPr>
                <w:p w14:paraId="3E7017C7" w14:textId="77777777" w:rsidR="00C45D5B" w:rsidRPr="001B009D" w:rsidRDefault="00C45D5B" w:rsidP="00CF774B">
                  <w:pPr>
                    <w:jc w:val="center"/>
                    <w:rPr>
                      <w:rFonts w:cs="Calibri"/>
                      <w:color w:val="000000"/>
                      <w:sz w:val="16"/>
                      <w:szCs w:val="16"/>
                    </w:rPr>
                  </w:pPr>
                  <w:r w:rsidRPr="001B009D">
                    <w:rPr>
                      <w:rFonts w:cs="Calibri"/>
                      <w:color w:val="000000"/>
                      <w:sz w:val="16"/>
                      <w:szCs w:val="16"/>
                    </w:rPr>
                    <w:t>D.3p</w:t>
                  </w:r>
                </w:p>
              </w:tc>
              <w:tc>
                <w:tcPr>
                  <w:tcW w:w="567" w:type="dxa"/>
                  <w:tcBorders>
                    <w:top w:val="nil"/>
                    <w:left w:val="nil"/>
                    <w:bottom w:val="nil"/>
                    <w:right w:val="nil"/>
                  </w:tcBorders>
                  <w:shd w:val="clear" w:color="auto" w:fill="auto"/>
                  <w:noWrap/>
                  <w:vAlign w:val="center"/>
                  <w:hideMark/>
                </w:tcPr>
                <w:p w14:paraId="6D4D101F" w14:textId="77777777" w:rsidR="00C45D5B" w:rsidRPr="001B009D" w:rsidRDefault="00C45D5B" w:rsidP="00CF774B">
                  <w:pPr>
                    <w:jc w:val="center"/>
                    <w:rPr>
                      <w:rFonts w:cs="Calibri"/>
                      <w:color w:val="000000"/>
                      <w:sz w:val="16"/>
                      <w:szCs w:val="16"/>
                    </w:rPr>
                  </w:pPr>
                  <w:r w:rsidRPr="001B009D">
                    <w:rPr>
                      <w:rFonts w:cs="Calibri"/>
                      <w:color w:val="000000"/>
                      <w:sz w:val="16"/>
                      <w:szCs w:val="16"/>
                    </w:rPr>
                    <w:t>6</w:t>
                  </w:r>
                </w:p>
              </w:tc>
              <w:tc>
                <w:tcPr>
                  <w:tcW w:w="589" w:type="dxa"/>
                  <w:tcBorders>
                    <w:top w:val="nil"/>
                    <w:left w:val="nil"/>
                    <w:bottom w:val="nil"/>
                    <w:right w:val="single" w:sz="4" w:space="0" w:color="auto"/>
                  </w:tcBorders>
                  <w:shd w:val="clear" w:color="auto" w:fill="auto"/>
                  <w:noWrap/>
                  <w:vAlign w:val="center"/>
                  <w:hideMark/>
                </w:tcPr>
                <w:p w14:paraId="40706581"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center"/>
                  <w:hideMark/>
                </w:tcPr>
                <w:p w14:paraId="32F2E39A" w14:textId="77777777" w:rsidR="00C45D5B" w:rsidRPr="001B009D" w:rsidRDefault="00C45D5B" w:rsidP="00CF774B">
                  <w:pPr>
                    <w:jc w:val="center"/>
                    <w:rPr>
                      <w:rFonts w:cs="Calibri"/>
                      <w:sz w:val="16"/>
                      <w:szCs w:val="16"/>
                    </w:rPr>
                  </w:pPr>
                  <w:r w:rsidRPr="001B009D">
                    <w:rPr>
                      <w:rFonts w:cs="Calibri"/>
                      <w:sz w:val="16"/>
                      <w:szCs w:val="16"/>
                    </w:rPr>
                    <w:t>120</w:t>
                  </w:r>
                </w:p>
              </w:tc>
              <w:tc>
                <w:tcPr>
                  <w:tcW w:w="709" w:type="dxa"/>
                  <w:tcBorders>
                    <w:top w:val="nil"/>
                    <w:left w:val="nil"/>
                    <w:bottom w:val="nil"/>
                    <w:right w:val="single" w:sz="4" w:space="0" w:color="auto"/>
                  </w:tcBorders>
                  <w:shd w:val="clear" w:color="auto" w:fill="auto"/>
                  <w:noWrap/>
                  <w:vAlign w:val="center"/>
                  <w:hideMark/>
                </w:tcPr>
                <w:p w14:paraId="2B124757" w14:textId="77777777" w:rsidR="00C45D5B" w:rsidRPr="001B009D" w:rsidRDefault="00C45D5B" w:rsidP="00CF774B">
                  <w:pPr>
                    <w:jc w:val="center"/>
                    <w:rPr>
                      <w:rFonts w:cs="Calibri"/>
                      <w:color w:val="000000"/>
                      <w:sz w:val="16"/>
                      <w:szCs w:val="16"/>
                    </w:rPr>
                  </w:pPr>
                  <w:r w:rsidRPr="001B009D">
                    <w:rPr>
                      <w:rFonts w:cs="Calibri"/>
                      <w:color w:val="000000"/>
                      <w:sz w:val="16"/>
                      <w:szCs w:val="16"/>
                    </w:rPr>
                    <w:t>0,12</w:t>
                  </w:r>
                </w:p>
              </w:tc>
              <w:tc>
                <w:tcPr>
                  <w:tcW w:w="567" w:type="dxa"/>
                  <w:tcBorders>
                    <w:top w:val="nil"/>
                    <w:left w:val="nil"/>
                    <w:bottom w:val="nil"/>
                    <w:right w:val="nil"/>
                  </w:tcBorders>
                  <w:shd w:val="clear" w:color="auto" w:fill="auto"/>
                  <w:noWrap/>
                  <w:vAlign w:val="center"/>
                  <w:hideMark/>
                </w:tcPr>
                <w:p w14:paraId="77479783" w14:textId="77777777" w:rsidR="00C45D5B" w:rsidRPr="001B009D" w:rsidRDefault="00C45D5B" w:rsidP="00CF774B">
                  <w:pPr>
                    <w:jc w:val="center"/>
                    <w:rPr>
                      <w:rFonts w:cs="Calibri"/>
                      <w:color w:val="000000"/>
                      <w:sz w:val="16"/>
                      <w:szCs w:val="16"/>
                    </w:rPr>
                  </w:pPr>
                  <w:r w:rsidRPr="001B009D">
                    <w:rPr>
                      <w:rFonts w:cs="Calibri"/>
                      <w:color w:val="000000"/>
                      <w:sz w:val="16"/>
                      <w:szCs w:val="16"/>
                    </w:rPr>
                    <w:t>115</w:t>
                  </w:r>
                </w:p>
              </w:tc>
              <w:tc>
                <w:tcPr>
                  <w:tcW w:w="709" w:type="dxa"/>
                  <w:tcBorders>
                    <w:top w:val="nil"/>
                    <w:left w:val="nil"/>
                    <w:bottom w:val="nil"/>
                    <w:right w:val="single" w:sz="4" w:space="0" w:color="auto"/>
                  </w:tcBorders>
                  <w:shd w:val="clear" w:color="auto" w:fill="auto"/>
                  <w:noWrap/>
                  <w:vAlign w:val="center"/>
                  <w:hideMark/>
                </w:tcPr>
                <w:p w14:paraId="108C84AA" w14:textId="77777777" w:rsidR="00C45D5B" w:rsidRPr="001B009D" w:rsidRDefault="00C45D5B" w:rsidP="00CF774B">
                  <w:pPr>
                    <w:jc w:val="center"/>
                    <w:rPr>
                      <w:rFonts w:cs="Calibri"/>
                      <w:color w:val="000000"/>
                      <w:sz w:val="16"/>
                      <w:szCs w:val="16"/>
                    </w:rPr>
                  </w:pPr>
                  <w:r w:rsidRPr="001B009D">
                    <w:rPr>
                      <w:rFonts w:cs="Calibri"/>
                      <w:color w:val="000000"/>
                      <w:sz w:val="16"/>
                      <w:szCs w:val="16"/>
                    </w:rPr>
                    <w:t>0,11</w:t>
                  </w:r>
                </w:p>
              </w:tc>
              <w:tc>
                <w:tcPr>
                  <w:tcW w:w="567" w:type="dxa"/>
                  <w:tcBorders>
                    <w:top w:val="nil"/>
                    <w:left w:val="nil"/>
                    <w:bottom w:val="nil"/>
                    <w:right w:val="nil"/>
                  </w:tcBorders>
                  <w:shd w:val="clear" w:color="auto" w:fill="auto"/>
                  <w:noWrap/>
                  <w:vAlign w:val="center"/>
                  <w:hideMark/>
                </w:tcPr>
                <w:p w14:paraId="79CA1BD6" w14:textId="77777777" w:rsidR="00C45D5B" w:rsidRPr="001B009D" w:rsidRDefault="00C45D5B" w:rsidP="00CF774B">
                  <w:pPr>
                    <w:jc w:val="center"/>
                    <w:rPr>
                      <w:rFonts w:cs="Calibri"/>
                      <w:color w:val="000000"/>
                      <w:sz w:val="16"/>
                      <w:szCs w:val="16"/>
                    </w:rPr>
                  </w:pPr>
                  <w:r w:rsidRPr="001B009D">
                    <w:rPr>
                      <w:rFonts w:cs="Calibri"/>
                      <w:color w:val="000000"/>
                      <w:sz w:val="16"/>
                      <w:szCs w:val="16"/>
                    </w:rPr>
                    <w:t>241</w:t>
                  </w:r>
                </w:p>
              </w:tc>
              <w:tc>
                <w:tcPr>
                  <w:tcW w:w="770" w:type="dxa"/>
                  <w:tcBorders>
                    <w:top w:val="nil"/>
                    <w:left w:val="nil"/>
                    <w:bottom w:val="nil"/>
                    <w:right w:val="nil"/>
                  </w:tcBorders>
                  <w:shd w:val="clear" w:color="auto" w:fill="auto"/>
                  <w:noWrap/>
                  <w:vAlign w:val="center"/>
                  <w:hideMark/>
                </w:tcPr>
                <w:p w14:paraId="599AD5C7" w14:textId="77777777" w:rsidR="00C45D5B" w:rsidRPr="001B009D" w:rsidRDefault="00C45D5B" w:rsidP="00CF774B">
                  <w:pPr>
                    <w:jc w:val="center"/>
                    <w:rPr>
                      <w:rFonts w:cs="Calibri"/>
                      <w:color w:val="000000"/>
                      <w:sz w:val="16"/>
                      <w:szCs w:val="16"/>
                    </w:rPr>
                  </w:pPr>
                  <w:r w:rsidRPr="001B009D">
                    <w:rPr>
                      <w:rFonts w:cs="Calibri"/>
                      <w:color w:val="000000"/>
                      <w:sz w:val="16"/>
                      <w:szCs w:val="16"/>
                    </w:rPr>
                    <w:t>0,23</w:t>
                  </w:r>
                </w:p>
              </w:tc>
            </w:tr>
            <w:tr w:rsidR="00C45D5B" w:rsidRPr="004F7036" w14:paraId="29B475D5"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6819F2E9" w14:textId="77777777" w:rsidR="00C45D5B" w:rsidRPr="001B009D" w:rsidRDefault="00C45D5B" w:rsidP="00CF774B">
                  <w:pPr>
                    <w:rPr>
                      <w:rFonts w:cs="Calibri"/>
                      <w:color w:val="000000"/>
                      <w:sz w:val="16"/>
                      <w:szCs w:val="16"/>
                    </w:rPr>
                  </w:pPr>
                  <w:r w:rsidRPr="001B009D">
                    <w:rPr>
                      <w:rFonts w:cs="Calibri"/>
                      <w:color w:val="000000"/>
                      <w:sz w:val="16"/>
                      <w:szCs w:val="16"/>
                    </w:rPr>
                    <w:t>Podpora podnikania v oblasti kultúry a kreatívneho priemyslu</w:t>
                  </w:r>
                </w:p>
              </w:tc>
              <w:tc>
                <w:tcPr>
                  <w:tcW w:w="708" w:type="dxa"/>
                  <w:tcBorders>
                    <w:top w:val="nil"/>
                    <w:left w:val="nil"/>
                    <w:bottom w:val="nil"/>
                    <w:right w:val="single" w:sz="4" w:space="0" w:color="auto"/>
                  </w:tcBorders>
                  <w:shd w:val="clear" w:color="auto" w:fill="auto"/>
                  <w:noWrap/>
                  <w:vAlign w:val="center"/>
                  <w:hideMark/>
                </w:tcPr>
                <w:p w14:paraId="4688D5E5" w14:textId="77777777" w:rsidR="00C45D5B" w:rsidRPr="001B009D" w:rsidRDefault="00C45D5B" w:rsidP="00CF774B">
                  <w:pPr>
                    <w:jc w:val="center"/>
                    <w:rPr>
                      <w:rFonts w:cs="Calibri"/>
                      <w:color w:val="000000"/>
                      <w:sz w:val="16"/>
                      <w:szCs w:val="16"/>
                    </w:rPr>
                  </w:pPr>
                  <w:r w:rsidRPr="001B009D">
                    <w:rPr>
                      <w:rFonts w:cs="Calibri"/>
                      <w:color w:val="000000"/>
                      <w:sz w:val="16"/>
                      <w:szCs w:val="16"/>
                    </w:rPr>
                    <w:t>644</w:t>
                  </w:r>
                </w:p>
              </w:tc>
              <w:tc>
                <w:tcPr>
                  <w:tcW w:w="567" w:type="dxa"/>
                  <w:tcBorders>
                    <w:top w:val="nil"/>
                    <w:left w:val="nil"/>
                    <w:bottom w:val="nil"/>
                    <w:right w:val="single" w:sz="4" w:space="0" w:color="auto"/>
                  </w:tcBorders>
                  <w:shd w:val="clear" w:color="auto" w:fill="auto"/>
                  <w:noWrap/>
                  <w:vAlign w:val="center"/>
                  <w:hideMark/>
                </w:tcPr>
                <w:p w14:paraId="0A8298B2" w14:textId="77777777" w:rsidR="00C45D5B" w:rsidRPr="001B009D" w:rsidRDefault="00C45D5B" w:rsidP="00CF774B">
                  <w:pPr>
                    <w:jc w:val="center"/>
                    <w:rPr>
                      <w:rFonts w:cs="Calibri"/>
                      <w:color w:val="000000"/>
                      <w:sz w:val="16"/>
                      <w:szCs w:val="16"/>
                    </w:rPr>
                  </w:pPr>
                  <w:r w:rsidRPr="001B009D">
                    <w:rPr>
                      <w:rFonts w:cs="Calibri"/>
                      <w:color w:val="000000"/>
                      <w:sz w:val="16"/>
                      <w:szCs w:val="16"/>
                    </w:rPr>
                    <w:t>D.3p</w:t>
                  </w:r>
                </w:p>
              </w:tc>
              <w:tc>
                <w:tcPr>
                  <w:tcW w:w="567" w:type="dxa"/>
                  <w:tcBorders>
                    <w:top w:val="nil"/>
                    <w:left w:val="nil"/>
                    <w:bottom w:val="nil"/>
                    <w:right w:val="nil"/>
                  </w:tcBorders>
                  <w:shd w:val="clear" w:color="auto" w:fill="auto"/>
                  <w:noWrap/>
                  <w:vAlign w:val="center"/>
                  <w:hideMark/>
                </w:tcPr>
                <w:p w14:paraId="4F28AAB9" w14:textId="77777777" w:rsidR="00C45D5B" w:rsidRPr="001B009D" w:rsidRDefault="00C45D5B" w:rsidP="00CF774B">
                  <w:pPr>
                    <w:jc w:val="center"/>
                    <w:rPr>
                      <w:rFonts w:cs="Calibri"/>
                      <w:color w:val="000000"/>
                      <w:sz w:val="16"/>
                      <w:szCs w:val="16"/>
                    </w:rPr>
                  </w:pPr>
                </w:p>
              </w:tc>
              <w:tc>
                <w:tcPr>
                  <w:tcW w:w="589" w:type="dxa"/>
                  <w:tcBorders>
                    <w:top w:val="nil"/>
                    <w:left w:val="nil"/>
                    <w:bottom w:val="nil"/>
                    <w:right w:val="single" w:sz="4" w:space="0" w:color="auto"/>
                  </w:tcBorders>
                  <w:shd w:val="clear" w:color="auto" w:fill="auto"/>
                  <w:noWrap/>
                  <w:vAlign w:val="center"/>
                  <w:hideMark/>
                </w:tcPr>
                <w:p w14:paraId="662A4EAD"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center"/>
                  <w:hideMark/>
                </w:tcPr>
                <w:p w14:paraId="00192A07" w14:textId="77777777" w:rsidR="00C45D5B" w:rsidRPr="001B009D" w:rsidRDefault="00C45D5B" w:rsidP="00CF774B">
                  <w:pPr>
                    <w:jc w:val="center"/>
                    <w:rPr>
                      <w:rFonts w:cs="Calibri"/>
                      <w:sz w:val="16"/>
                      <w:szCs w:val="16"/>
                    </w:rPr>
                  </w:pPr>
                  <w:r w:rsidRPr="001B009D">
                    <w:rPr>
                      <w:rFonts w:cs="Calibri"/>
                      <w:sz w:val="16"/>
                      <w:szCs w:val="16"/>
                    </w:rPr>
                    <w:t>8</w:t>
                  </w:r>
                </w:p>
              </w:tc>
              <w:tc>
                <w:tcPr>
                  <w:tcW w:w="709" w:type="dxa"/>
                  <w:tcBorders>
                    <w:top w:val="nil"/>
                    <w:left w:val="nil"/>
                    <w:bottom w:val="nil"/>
                    <w:right w:val="single" w:sz="4" w:space="0" w:color="auto"/>
                  </w:tcBorders>
                  <w:shd w:val="clear" w:color="auto" w:fill="auto"/>
                  <w:noWrap/>
                  <w:vAlign w:val="center"/>
                  <w:hideMark/>
                </w:tcPr>
                <w:p w14:paraId="606E0696"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center"/>
                  <w:hideMark/>
                </w:tcPr>
                <w:p w14:paraId="77FFA399"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14:paraId="25341CC5"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5B407287" w14:textId="77777777" w:rsidR="00C45D5B" w:rsidRPr="001B009D" w:rsidRDefault="00C45D5B" w:rsidP="00CF774B">
                  <w:pPr>
                    <w:jc w:val="center"/>
                    <w:rPr>
                      <w:rFonts w:cs="Calibri"/>
                      <w:color w:val="000000"/>
                      <w:sz w:val="16"/>
                      <w:szCs w:val="16"/>
                    </w:rPr>
                  </w:pPr>
                  <w:r w:rsidRPr="001B009D">
                    <w:rPr>
                      <w:rFonts w:cs="Calibri"/>
                      <w:color w:val="000000"/>
                      <w:sz w:val="16"/>
                      <w:szCs w:val="16"/>
                    </w:rPr>
                    <w:t>8</w:t>
                  </w:r>
                </w:p>
              </w:tc>
              <w:tc>
                <w:tcPr>
                  <w:tcW w:w="770" w:type="dxa"/>
                  <w:tcBorders>
                    <w:top w:val="nil"/>
                    <w:left w:val="nil"/>
                    <w:bottom w:val="nil"/>
                    <w:right w:val="nil"/>
                  </w:tcBorders>
                  <w:shd w:val="clear" w:color="auto" w:fill="auto"/>
                  <w:noWrap/>
                  <w:vAlign w:val="center"/>
                  <w:hideMark/>
                </w:tcPr>
                <w:p w14:paraId="52769163"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r>
            <w:tr w:rsidR="00C45D5B" w:rsidRPr="004F7036" w14:paraId="6D4DB158"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B193151" w14:textId="77777777" w:rsidR="00C45D5B" w:rsidRPr="001B009D" w:rsidRDefault="00C45D5B" w:rsidP="00CF774B">
                  <w:pPr>
                    <w:rPr>
                      <w:rFonts w:cs="Calibri"/>
                      <w:color w:val="000000"/>
                      <w:sz w:val="16"/>
                      <w:szCs w:val="16"/>
                    </w:rPr>
                  </w:pPr>
                  <w:r w:rsidRPr="001B009D">
                    <w:rPr>
                      <w:rFonts w:cs="Calibri"/>
                      <w:color w:val="000000"/>
                      <w:sz w:val="16"/>
                      <w:szCs w:val="16"/>
                    </w:rPr>
                    <w:t>Preplácanie nájmu</w:t>
                  </w:r>
                </w:p>
              </w:tc>
              <w:tc>
                <w:tcPr>
                  <w:tcW w:w="708" w:type="dxa"/>
                  <w:tcBorders>
                    <w:top w:val="nil"/>
                    <w:left w:val="nil"/>
                    <w:bottom w:val="nil"/>
                    <w:right w:val="single" w:sz="4" w:space="0" w:color="auto"/>
                  </w:tcBorders>
                  <w:shd w:val="clear" w:color="auto" w:fill="auto"/>
                  <w:noWrap/>
                  <w:vAlign w:val="bottom"/>
                  <w:hideMark/>
                </w:tcPr>
                <w:p w14:paraId="6085A819" w14:textId="77777777" w:rsidR="00C45D5B" w:rsidRPr="001B009D" w:rsidRDefault="00C45D5B" w:rsidP="00CF774B">
                  <w:pPr>
                    <w:jc w:val="center"/>
                    <w:rPr>
                      <w:rFonts w:cs="Calibri"/>
                      <w:color w:val="000000"/>
                      <w:sz w:val="16"/>
                      <w:szCs w:val="16"/>
                    </w:rPr>
                  </w:pPr>
                  <w:r w:rsidRPr="001B009D">
                    <w:rPr>
                      <w:rFonts w:cs="Calibri"/>
                      <w:color w:val="000000"/>
                      <w:sz w:val="16"/>
                      <w:szCs w:val="16"/>
                    </w:rPr>
                    <w:t>644</w:t>
                  </w:r>
                </w:p>
              </w:tc>
              <w:tc>
                <w:tcPr>
                  <w:tcW w:w="567" w:type="dxa"/>
                  <w:tcBorders>
                    <w:top w:val="nil"/>
                    <w:left w:val="nil"/>
                    <w:bottom w:val="nil"/>
                    <w:right w:val="single" w:sz="4" w:space="0" w:color="auto"/>
                  </w:tcBorders>
                  <w:shd w:val="clear" w:color="auto" w:fill="auto"/>
                  <w:noWrap/>
                  <w:vAlign w:val="bottom"/>
                  <w:hideMark/>
                </w:tcPr>
                <w:p w14:paraId="028E9F5A" w14:textId="77777777" w:rsidR="00C45D5B" w:rsidRPr="001B009D" w:rsidRDefault="00C45D5B" w:rsidP="00CF774B">
                  <w:pPr>
                    <w:jc w:val="center"/>
                    <w:rPr>
                      <w:rFonts w:cs="Calibri"/>
                      <w:color w:val="000000"/>
                      <w:sz w:val="16"/>
                      <w:szCs w:val="16"/>
                    </w:rPr>
                  </w:pPr>
                  <w:r w:rsidRPr="001B009D">
                    <w:rPr>
                      <w:rFonts w:cs="Calibri"/>
                      <w:color w:val="000000"/>
                      <w:sz w:val="16"/>
                      <w:szCs w:val="16"/>
                    </w:rPr>
                    <w:t>D.3p</w:t>
                  </w:r>
                </w:p>
              </w:tc>
              <w:tc>
                <w:tcPr>
                  <w:tcW w:w="567" w:type="dxa"/>
                  <w:tcBorders>
                    <w:top w:val="nil"/>
                    <w:left w:val="nil"/>
                    <w:bottom w:val="nil"/>
                    <w:right w:val="nil"/>
                  </w:tcBorders>
                  <w:shd w:val="clear" w:color="auto" w:fill="auto"/>
                  <w:noWrap/>
                  <w:vAlign w:val="bottom"/>
                  <w:hideMark/>
                </w:tcPr>
                <w:p w14:paraId="3483F220" w14:textId="77777777" w:rsidR="00C45D5B" w:rsidRPr="001B009D" w:rsidRDefault="00C45D5B" w:rsidP="00CF774B">
                  <w:pPr>
                    <w:jc w:val="center"/>
                    <w:rPr>
                      <w:rFonts w:cs="Calibri"/>
                      <w:color w:val="000000"/>
                      <w:sz w:val="16"/>
                      <w:szCs w:val="16"/>
                    </w:rPr>
                  </w:pPr>
                  <w:r w:rsidRPr="001B009D">
                    <w:rPr>
                      <w:rFonts w:cs="Calibri"/>
                      <w:color w:val="000000"/>
                      <w:sz w:val="16"/>
                      <w:szCs w:val="16"/>
                    </w:rPr>
                    <w:t>40</w:t>
                  </w:r>
                </w:p>
              </w:tc>
              <w:tc>
                <w:tcPr>
                  <w:tcW w:w="589" w:type="dxa"/>
                  <w:tcBorders>
                    <w:top w:val="nil"/>
                    <w:left w:val="nil"/>
                    <w:bottom w:val="nil"/>
                    <w:right w:val="single" w:sz="4" w:space="0" w:color="auto"/>
                  </w:tcBorders>
                  <w:shd w:val="clear" w:color="auto" w:fill="auto"/>
                  <w:noWrap/>
                  <w:vAlign w:val="bottom"/>
                  <w:hideMark/>
                </w:tcPr>
                <w:p w14:paraId="44EC7278" w14:textId="77777777" w:rsidR="00C45D5B" w:rsidRPr="001B009D" w:rsidRDefault="00C45D5B" w:rsidP="00CF774B">
                  <w:pPr>
                    <w:jc w:val="center"/>
                    <w:rPr>
                      <w:rFonts w:cs="Calibri"/>
                      <w:color w:val="000000"/>
                      <w:sz w:val="16"/>
                      <w:szCs w:val="16"/>
                    </w:rPr>
                  </w:pPr>
                  <w:r w:rsidRPr="001B009D">
                    <w:rPr>
                      <w:rFonts w:cs="Calibri"/>
                      <w:color w:val="000000"/>
                      <w:sz w:val="16"/>
                      <w:szCs w:val="16"/>
                    </w:rPr>
                    <w:t>0,04</w:t>
                  </w:r>
                </w:p>
              </w:tc>
              <w:tc>
                <w:tcPr>
                  <w:tcW w:w="545" w:type="dxa"/>
                  <w:tcBorders>
                    <w:top w:val="nil"/>
                    <w:left w:val="nil"/>
                    <w:bottom w:val="nil"/>
                    <w:right w:val="nil"/>
                  </w:tcBorders>
                  <w:shd w:val="clear" w:color="auto" w:fill="auto"/>
                  <w:noWrap/>
                  <w:vAlign w:val="center"/>
                  <w:hideMark/>
                </w:tcPr>
                <w:p w14:paraId="3DF042F4" w14:textId="77777777" w:rsidR="00C45D5B" w:rsidRPr="001B009D" w:rsidRDefault="00C45D5B" w:rsidP="00CF774B">
                  <w:pPr>
                    <w:jc w:val="center"/>
                    <w:rPr>
                      <w:rFonts w:cs="Calibri"/>
                      <w:sz w:val="16"/>
                      <w:szCs w:val="16"/>
                    </w:rPr>
                  </w:pPr>
                  <w:r w:rsidRPr="001B009D">
                    <w:rPr>
                      <w:rFonts w:cs="Calibri"/>
                      <w:sz w:val="16"/>
                      <w:szCs w:val="16"/>
                    </w:rPr>
                    <w:t>94</w:t>
                  </w:r>
                </w:p>
              </w:tc>
              <w:tc>
                <w:tcPr>
                  <w:tcW w:w="709" w:type="dxa"/>
                  <w:tcBorders>
                    <w:top w:val="nil"/>
                    <w:left w:val="nil"/>
                    <w:bottom w:val="nil"/>
                    <w:right w:val="single" w:sz="4" w:space="0" w:color="auto"/>
                  </w:tcBorders>
                  <w:shd w:val="clear" w:color="auto" w:fill="auto"/>
                  <w:noWrap/>
                  <w:vAlign w:val="bottom"/>
                  <w:hideMark/>
                </w:tcPr>
                <w:p w14:paraId="454570EB" w14:textId="77777777" w:rsidR="00C45D5B" w:rsidRPr="001B009D" w:rsidRDefault="00C45D5B" w:rsidP="00CF774B">
                  <w:pPr>
                    <w:jc w:val="center"/>
                    <w:rPr>
                      <w:rFonts w:cs="Calibri"/>
                      <w:color w:val="000000"/>
                      <w:sz w:val="16"/>
                      <w:szCs w:val="16"/>
                    </w:rPr>
                  </w:pPr>
                  <w:r w:rsidRPr="001B009D">
                    <w:rPr>
                      <w:rFonts w:cs="Calibri"/>
                      <w:color w:val="000000"/>
                      <w:sz w:val="16"/>
                      <w:szCs w:val="16"/>
                    </w:rPr>
                    <w:t>0,10</w:t>
                  </w:r>
                </w:p>
              </w:tc>
              <w:tc>
                <w:tcPr>
                  <w:tcW w:w="567" w:type="dxa"/>
                  <w:tcBorders>
                    <w:top w:val="nil"/>
                    <w:left w:val="nil"/>
                    <w:bottom w:val="nil"/>
                    <w:right w:val="nil"/>
                  </w:tcBorders>
                  <w:shd w:val="clear" w:color="auto" w:fill="auto"/>
                  <w:noWrap/>
                  <w:vAlign w:val="bottom"/>
                  <w:hideMark/>
                </w:tcPr>
                <w:p w14:paraId="1409BEE4" w14:textId="77777777" w:rsidR="00C45D5B" w:rsidRPr="001B009D" w:rsidRDefault="00C45D5B" w:rsidP="00CF774B">
                  <w:pPr>
                    <w:jc w:val="center"/>
                    <w:rPr>
                      <w:rFonts w:cs="Calibri"/>
                      <w:color w:val="000000"/>
                      <w:sz w:val="16"/>
                      <w:szCs w:val="16"/>
                    </w:rPr>
                  </w:pPr>
                  <w:r w:rsidRPr="001B009D">
                    <w:rPr>
                      <w:rFonts w:cs="Calibri"/>
                      <w:color w:val="000000"/>
                      <w:sz w:val="16"/>
                      <w:szCs w:val="16"/>
                    </w:rPr>
                    <w:t>51</w:t>
                  </w:r>
                </w:p>
              </w:tc>
              <w:tc>
                <w:tcPr>
                  <w:tcW w:w="709" w:type="dxa"/>
                  <w:tcBorders>
                    <w:top w:val="nil"/>
                    <w:left w:val="nil"/>
                    <w:bottom w:val="nil"/>
                    <w:right w:val="single" w:sz="4" w:space="0" w:color="auto"/>
                  </w:tcBorders>
                  <w:shd w:val="clear" w:color="auto" w:fill="auto"/>
                  <w:noWrap/>
                  <w:vAlign w:val="center"/>
                  <w:hideMark/>
                </w:tcPr>
                <w:p w14:paraId="54ECEA4C" w14:textId="77777777" w:rsidR="00C45D5B" w:rsidRPr="001B009D" w:rsidRDefault="00C45D5B" w:rsidP="00CF774B">
                  <w:pPr>
                    <w:jc w:val="center"/>
                    <w:rPr>
                      <w:rFonts w:cs="Calibri"/>
                      <w:color w:val="000000"/>
                      <w:sz w:val="16"/>
                      <w:szCs w:val="16"/>
                    </w:rPr>
                  </w:pPr>
                  <w:r w:rsidRPr="001B009D">
                    <w:rPr>
                      <w:rFonts w:cs="Calibri"/>
                      <w:color w:val="000000"/>
                      <w:sz w:val="16"/>
                      <w:szCs w:val="16"/>
                    </w:rPr>
                    <w:t>0,05</w:t>
                  </w:r>
                </w:p>
              </w:tc>
              <w:tc>
                <w:tcPr>
                  <w:tcW w:w="567" w:type="dxa"/>
                  <w:tcBorders>
                    <w:top w:val="nil"/>
                    <w:left w:val="nil"/>
                    <w:bottom w:val="nil"/>
                    <w:right w:val="nil"/>
                  </w:tcBorders>
                  <w:shd w:val="clear" w:color="auto" w:fill="auto"/>
                  <w:noWrap/>
                  <w:vAlign w:val="bottom"/>
                  <w:hideMark/>
                </w:tcPr>
                <w:p w14:paraId="1FE54BAA" w14:textId="77777777" w:rsidR="00C45D5B" w:rsidRPr="001B009D" w:rsidRDefault="00C45D5B" w:rsidP="00CF774B">
                  <w:pPr>
                    <w:jc w:val="center"/>
                    <w:rPr>
                      <w:rFonts w:cs="Calibri"/>
                      <w:color w:val="000000"/>
                      <w:sz w:val="16"/>
                      <w:szCs w:val="16"/>
                    </w:rPr>
                  </w:pPr>
                  <w:r w:rsidRPr="001B009D">
                    <w:rPr>
                      <w:rFonts w:cs="Calibri"/>
                      <w:color w:val="000000"/>
                      <w:sz w:val="16"/>
                      <w:szCs w:val="16"/>
                    </w:rPr>
                    <w:t>184</w:t>
                  </w:r>
                </w:p>
              </w:tc>
              <w:tc>
                <w:tcPr>
                  <w:tcW w:w="770" w:type="dxa"/>
                  <w:tcBorders>
                    <w:top w:val="nil"/>
                    <w:left w:val="nil"/>
                    <w:bottom w:val="nil"/>
                    <w:right w:val="nil"/>
                  </w:tcBorders>
                  <w:shd w:val="clear" w:color="auto" w:fill="auto"/>
                  <w:noWrap/>
                  <w:vAlign w:val="bottom"/>
                  <w:hideMark/>
                </w:tcPr>
                <w:p w14:paraId="3A947B5F" w14:textId="77777777" w:rsidR="00C45D5B" w:rsidRPr="001B009D" w:rsidRDefault="00C45D5B" w:rsidP="00CF774B">
                  <w:pPr>
                    <w:jc w:val="center"/>
                    <w:rPr>
                      <w:rFonts w:cs="Calibri"/>
                      <w:color w:val="000000"/>
                      <w:sz w:val="16"/>
                      <w:szCs w:val="16"/>
                    </w:rPr>
                  </w:pPr>
                  <w:r w:rsidRPr="001B009D">
                    <w:rPr>
                      <w:rFonts w:cs="Calibri"/>
                      <w:color w:val="000000"/>
                      <w:sz w:val="16"/>
                      <w:szCs w:val="16"/>
                    </w:rPr>
                    <w:t>0,19</w:t>
                  </w:r>
                </w:p>
              </w:tc>
            </w:tr>
            <w:tr w:rsidR="00C45D5B" w:rsidRPr="004F7036" w14:paraId="5423D6F8"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589961E5" w14:textId="77777777" w:rsidR="00C45D5B" w:rsidRPr="001B009D" w:rsidRDefault="00C45D5B" w:rsidP="00CF774B">
                  <w:pPr>
                    <w:rPr>
                      <w:rFonts w:cs="Calibri"/>
                      <w:sz w:val="16"/>
                      <w:szCs w:val="16"/>
                    </w:rPr>
                  </w:pPr>
                  <w:r w:rsidRPr="001B009D">
                    <w:rPr>
                      <w:rFonts w:cs="Calibri"/>
                      <w:sz w:val="16"/>
                      <w:szCs w:val="16"/>
                    </w:rPr>
                    <w:t xml:space="preserve">Podpora uchádzačov o zamestnanie </w:t>
                  </w:r>
                </w:p>
              </w:tc>
              <w:tc>
                <w:tcPr>
                  <w:tcW w:w="708" w:type="dxa"/>
                  <w:tcBorders>
                    <w:top w:val="nil"/>
                    <w:left w:val="nil"/>
                    <w:bottom w:val="nil"/>
                    <w:right w:val="single" w:sz="4" w:space="0" w:color="auto"/>
                  </w:tcBorders>
                  <w:shd w:val="clear" w:color="auto" w:fill="auto"/>
                  <w:noWrap/>
                  <w:vAlign w:val="center"/>
                  <w:hideMark/>
                </w:tcPr>
                <w:p w14:paraId="0F4D81CF"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w:t>
                  </w:r>
                </w:p>
              </w:tc>
              <w:tc>
                <w:tcPr>
                  <w:tcW w:w="567" w:type="dxa"/>
                  <w:tcBorders>
                    <w:top w:val="nil"/>
                    <w:left w:val="nil"/>
                    <w:bottom w:val="nil"/>
                    <w:right w:val="single" w:sz="4" w:space="0" w:color="auto"/>
                  </w:tcBorders>
                  <w:shd w:val="clear" w:color="auto" w:fill="auto"/>
                  <w:noWrap/>
                  <w:vAlign w:val="center"/>
                  <w:hideMark/>
                </w:tcPr>
                <w:p w14:paraId="2B79A017"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bottom"/>
                  <w:hideMark/>
                </w:tcPr>
                <w:p w14:paraId="73FF6D8A" w14:textId="77777777" w:rsidR="00C45D5B" w:rsidRPr="001B009D" w:rsidRDefault="00C45D5B" w:rsidP="00CF774B">
                  <w:pPr>
                    <w:jc w:val="center"/>
                    <w:rPr>
                      <w:rFonts w:cs="Calibri"/>
                      <w:sz w:val="16"/>
                      <w:szCs w:val="16"/>
                    </w:rPr>
                  </w:pPr>
                  <w:r w:rsidRPr="001B009D">
                    <w:rPr>
                      <w:rFonts w:cs="Calibri"/>
                      <w:sz w:val="16"/>
                      <w:szCs w:val="16"/>
                    </w:rPr>
                    <w:t>49</w:t>
                  </w:r>
                </w:p>
              </w:tc>
              <w:tc>
                <w:tcPr>
                  <w:tcW w:w="589" w:type="dxa"/>
                  <w:tcBorders>
                    <w:top w:val="nil"/>
                    <w:left w:val="nil"/>
                    <w:bottom w:val="nil"/>
                    <w:right w:val="single" w:sz="4" w:space="0" w:color="auto"/>
                  </w:tcBorders>
                  <w:shd w:val="clear" w:color="auto" w:fill="auto"/>
                  <w:noWrap/>
                  <w:vAlign w:val="bottom"/>
                  <w:hideMark/>
                </w:tcPr>
                <w:p w14:paraId="291A4982" w14:textId="77777777" w:rsidR="00C45D5B" w:rsidRPr="001B009D" w:rsidRDefault="00C45D5B" w:rsidP="00CF774B">
                  <w:pPr>
                    <w:jc w:val="center"/>
                    <w:rPr>
                      <w:rFonts w:cs="Calibri"/>
                      <w:sz w:val="16"/>
                      <w:szCs w:val="16"/>
                    </w:rPr>
                  </w:pPr>
                  <w:r w:rsidRPr="001B009D">
                    <w:rPr>
                      <w:rFonts w:cs="Calibri"/>
                      <w:sz w:val="16"/>
                      <w:szCs w:val="16"/>
                    </w:rPr>
                    <w:t>0,05</w:t>
                  </w:r>
                </w:p>
              </w:tc>
              <w:tc>
                <w:tcPr>
                  <w:tcW w:w="545" w:type="dxa"/>
                  <w:tcBorders>
                    <w:top w:val="nil"/>
                    <w:left w:val="nil"/>
                    <w:bottom w:val="nil"/>
                    <w:right w:val="nil"/>
                  </w:tcBorders>
                  <w:shd w:val="clear" w:color="auto" w:fill="auto"/>
                  <w:noWrap/>
                  <w:vAlign w:val="bottom"/>
                  <w:hideMark/>
                </w:tcPr>
                <w:p w14:paraId="7082DC29"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67450C39"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5EF2E64F"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277A4B5A"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19A98FB1" w14:textId="77777777" w:rsidR="00C45D5B" w:rsidRPr="001B009D" w:rsidRDefault="00C45D5B" w:rsidP="00CF774B">
                  <w:pPr>
                    <w:jc w:val="center"/>
                    <w:rPr>
                      <w:rFonts w:cs="Calibri"/>
                      <w:sz w:val="16"/>
                      <w:szCs w:val="16"/>
                    </w:rPr>
                  </w:pPr>
                  <w:r w:rsidRPr="001B009D">
                    <w:rPr>
                      <w:rFonts w:cs="Calibri"/>
                      <w:sz w:val="16"/>
                      <w:szCs w:val="16"/>
                    </w:rPr>
                    <w:t>49</w:t>
                  </w:r>
                </w:p>
              </w:tc>
              <w:tc>
                <w:tcPr>
                  <w:tcW w:w="770" w:type="dxa"/>
                  <w:tcBorders>
                    <w:top w:val="nil"/>
                    <w:left w:val="nil"/>
                    <w:bottom w:val="nil"/>
                    <w:right w:val="nil"/>
                  </w:tcBorders>
                  <w:shd w:val="clear" w:color="auto" w:fill="auto"/>
                  <w:noWrap/>
                  <w:vAlign w:val="bottom"/>
                  <w:hideMark/>
                </w:tcPr>
                <w:p w14:paraId="18FA4488" w14:textId="77777777" w:rsidR="00C45D5B" w:rsidRPr="001B009D" w:rsidRDefault="00C45D5B" w:rsidP="00CF774B">
                  <w:pPr>
                    <w:jc w:val="center"/>
                    <w:rPr>
                      <w:rFonts w:cs="Calibri"/>
                      <w:sz w:val="16"/>
                      <w:szCs w:val="16"/>
                    </w:rPr>
                  </w:pPr>
                  <w:r w:rsidRPr="001B009D">
                    <w:rPr>
                      <w:rFonts w:cs="Calibri"/>
                      <w:sz w:val="16"/>
                      <w:szCs w:val="16"/>
                    </w:rPr>
                    <w:t>0,05</w:t>
                  </w:r>
                </w:p>
              </w:tc>
            </w:tr>
            <w:tr w:rsidR="00C45D5B" w:rsidRPr="004F7036" w14:paraId="50C202A9" w14:textId="77777777" w:rsidTr="00CF774B">
              <w:trPr>
                <w:trHeight w:val="289"/>
              </w:trPr>
              <w:tc>
                <w:tcPr>
                  <w:tcW w:w="2621" w:type="dxa"/>
                  <w:tcBorders>
                    <w:top w:val="single" w:sz="4" w:space="0" w:color="auto"/>
                    <w:left w:val="nil"/>
                    <w:bottom w:val="single" w:sz="4" w:space="0" w:color="auto"/>
                    <w:right w:val="single" w:sz="4" w:space="0" w:color="auto"/>
                  </w:tcBorders>
                  <w:shd w:val="clear" w:color="auto" w:fill="auto"/>
                  <w:noWrap/>
                  <w:vAlign w:val="center"/>
                  <w:hideMark/>
                </w:tcPr>
                <w:p w14:paraId="7DFABF75" w14:textId="77777777" w:rsidR="00C45D5B" w:rsidRPr="001B009D" w:rsidRDefault="00C45D5B" w:rsidP="00CF774B">
                  <w:pPr>
                    <w:rPr>
                      <w:rFonts w:cs="Calibri"/>
                      <w:b/>
                      <w:bCs/>
                      <w:color w:val="000000"/>
                      <w:sz w:val="16"/>
                      <w:szCs w:val="16"/>
                    </w:rPr>
                  </w:pPr>
                  <w:r w:rsidRPr="001B009D">
                    <w:rPr>
                      <w:rFonts w:cs="Calibri"/>
                      <w:b/>
                      <w:bCs/>
                      <w:color w:val="000000"/>
                      <w:sz w:val="16"/>
                      <w:szCs w:val="16"/>
                    </w:rPr>
                    <w:t xml:space="preserve">Sociálna pomoc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78FE3C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219E37"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vAlign w:val="center"/>
                  <w:hideMark/>
                </w:tcPr>
                <w:p w14:paraId="52BF4672"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301</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14:paraId="0EFE7289"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0,33</w:t>
                  </w:r>
                </w:p>
              </w:tc>
              <w:tc>
                <w:tcPr>
                  <w:tcW w:w="545" w:type="dxa"/>
                  <w:tcBorders>
                    <w:top w:val="single" w:sz="4" w:space="0" w:color="auto"/>
                    <w:left w:val="nil"/>
                    <w:bottom w:val="single" w:sz="4" w:space="0" w:color="auto"/>
                    <w:right w:val="nil"/>
                  </w:tcBorders>
                  <w:shd w:val="clear" w:color="auto" w:fill="auto"/>
                  <w:noWrap/>
                  <w:vAlign w:val="center"/>
                  <w:hideMark/>
                </w:tcPr>
                <w:p w14:paraId="527CB38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485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5013ADC"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0,50</w:t>
                  </w:r>
                </w:p>
              </w:tc>
              <w:tc>
                <w:tcPr>
                  <w:tcW w:w="567" w:type="dxa"/>
                  <w:tcBorders>
                    <w:top w:val="single" w:sz="4" w:space="0" w:color="auto"/>
                    <w:left w:val="nil"/>
                    <w:bottom w:val="single" w:sz="4" w:space="0" w:color="auto"/>
                    <w:right w:val="nil"/>
                  </w:tcBorders>
                  <w:shd w:val="clear" w:color="auto" w:fill="auto"/>
                  <w:noWrap/>
                  <w:vAlign w:val="center"/>
                  <w:hideMark/>
                </w:tcPr>
                <w:p w14:paraId="6B3BCF7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91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092848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0,09</w:t>
                  </w:r>
                </w:p>
              </w:tc>
              <w:tc>
                <w:tcPr>
                  <w:tcW w:w="567" w:type="dxa"/>
                  <w:tcBorders>
                    <w:top w:val="single" w:sz="4" w:space="0" w:color="auto"/>
                    <w:left w:val="nil"/>
                    <w:bottom w:val="single" w:sz="4" w:space="0" w:color="auto"/>
                    <w:right w:val="nil"/>
                  </w:tcBorders>
                  <w:shd w:val="clear" w:color="auto" w:fill="auto"/>
                  <w:noWrap/>
                  <w:vAlign w:val="center"/>
                  <w:hideMark/>
                </w:tcPr>
                <w:p w14:paraId="3FF43FA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877</w:t>
                  </w:r>
                </w:p>
              </w:tc>
              <w:tc>
                <w:tcPr>
                  <w:tcW w:w="770" w:type="dxa"/>
                  <w:tcBorders>
                    <w:top w:val="single" w:sz="4" w:space="0" w:color="auto"/>
                    <w:left w:val="nil"/>
                    <w:bottom w:val="single" w:sz="4" w:space="0" w:color="auto"/>
                    <w:right w:val="nil"/>
                  </w:tcBorders>
                  <w:shd w:val="clear" w:color="auto" w:fill="auto"/>
                  <w:noWrap/>
                  <w:vAlign w:val="center"/>
                  <w:hideMark/>
                </w:tcPr>
                <w:p w14:paraId="183BFF68"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0,91</w:t>
                  </w:r>
                </w:p>
              </w:tc>
            </w:tr>
            <w:tr w:rsidR="00C45D5B" w:rsidRPr="004F7036" w14:paraId="7AB2BEC6"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3DECEAFB" w14:textId="77777777" w:rsidR="00C45D5B" w:rsidRPr="001B009D" w:rsidRDefault="00C45D5B" w:rsidP="00CF774B">
                  <w:pPr>
                    <w:rPr>
                      <w:rFonts w:cs="Calibri"/>
                      <w:color w:val="000000"/>
                      <w:sz w:val="16"/>
                      <w:szCs w:val="16"/>
                    </w:rPr>
                  </w:pPr>
                  <w:r w:rsidRPr="001B009D">
                    <w:rPr>
                      <w:rFonts w:cs="Calibri"/>
                      <w:color w:val="000000"/>
                      <w:sz w:val="16"/>
                      <w:szCs w:val="16"/>
                    </w:rPr>
                    <w:t xml:space="preserve">SOS príspevok </w:t>
                  </w:r>
                </w:p>
              </w:tc>
              <w:tc>
                <w:tcPr>
                  <w:tcW w:w="708" w:type="dxa"/>
                  <w:tcBorders>
                    <w:top w:val="nil"/>
                    <w:left w:val="nil"/>
                    <w:bottom w:val="nil"/>
                    <w:right w:val="single" w:sz="4" w:space="0" w:color="auto"/>
                  </w:tcBorders>
                  <w:shd w:val="clear" w:color="auto" w:fill="auto"/>
                  <w:noWrap/>
                  <w:vAlign w:val="center"/>
                  <w:hideMark/>
                </w:tcPr>
                <w:p w14:paraId="44FF7401"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642032</w:t>
                  </w:r>
                </w:p>
              </w:tc>
              <w:tc>
                <w:tcPr>
                  <w:tcW w:w="567" w:type="dxa"/>
                  <w:tcBorders>
                    <w:top w:val="nil"/>
                    <w:left w:val="nil"/>
                    <w:bottom w:val="nil"/>
                    <w:right w:val="single" w:sz="4" w:space="0" w:color="auto"/>
                  </w:tcBorders>
                  <w:shd w:val="clear" w:color="auto" w:fill="auto"/>
                  <w:noWrap/>
                  <w:vAlign w:val="center"/>
                  <w:hideMark/>
                </w:tcPr>
                <w:p w14:paraId="17121585"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center"/>
                  <w:hideMark/>
                </w:tcPr>
                <w:p w14:paraId="2BD049E9" w14:textId="77777777" w:rsidR="00C45D5B" w:rsidRPr="001B009D" w:rsidRDefault="00C45D5B" w:rsidP="00CF774B">
                  <w:pPr>
                    <w:jc w:val="center"/>
                    <w:rPr>
                      <w:rFonts w:cs="Calibri"/>
                      <w:color w:val="000000"/>
                      <w:sz w:val="16"/>
                      <w:szCs w:val="16"/>
                    </w:rPr>
                  </w:pPr>
                  <w:r w:rsidRPr="001B009D">
                    <w:rPr>
                      <w:rFonts w:cs="Calibri"/>
                      <w:color w:val="000000"/>
                      <w:sz w:val="16"/>
                      <w:szCs w:val="16"/>
                    </w:rPr>
                    <w:t>15</w:t>
                  </w:r>
                </w:p>
              </w:tc>
              <w:tc>
                <w:tcPr>
                  <w:tcW w:w="589" w:type="dxa"/>
                  <w:tcBorders>
                    <w:top w:val="nil"/>
                    <w:left w:val="nil"/>
                    <w:bottom w:val="nil"/>
                    <w:right w:val="single" w:sz="4" w:space="0" w:color="auto"/>
                  </w:tcBorders>
                  <w:shd w:val="clear" w:color="auto" w:fill="auto"/>
                  <w:noWrap/>
                  <w:vAlign w:val="center"/>
                  <w:hideMark/>
                </w:tcPr>
                <w:p w14:paraId="70B04B21" w14:textId="77777777" w:rsidR="00C45D5B" w:rsidRPr="001B009D" w:rsidRDefault="00C45D5B" w:rsidP="00CF774B">
                  <w:pPr>
                    <w:jc w:val="center"/>
                    <w:rPr>
                      <w:rFonts w:cs="Calibri"/>
                      <w:color w:val="000000"/>
                      <w:sz w:val="16"/>
                      <w:szCs w:val="16"/>
                    </w:rPr>
                  </w:pPr>
                  <w:r w:rsidRPr="001B009D">
                    <w:rPr>
                      <w:rFonts w:cs="Calibri"/>
                      <w:color w:val="000000"/>
                      <w:sz w:val="16"/>
                      <w:szCs w:val="16"/>
                    </w:rPr>
                    <w:t>0,02</w:t>
                  </w:r>
                </w:p>
              </w:tc>
              <w:tc>
                <w:tcPr>
                  <w:tcW w:w="545" w:type="dxa"/>
                  <w:tcBorders>
                    <w:top w:val="nil"/>
                    <w:left w:val="nil"/>
                    <w:bottom w:val="nil"/>
                    <w:right w:val="nil"/>
                  </w:tcBorders>
                  <w:shd w:val="clear" w:color="auto" w:fill="auto"/>
                  <w:noWrap/>
                  <w:vAlign w:val="center"/>
                  <w:hideMark/>
                </w:tcPr>
                <w:p w14:paraId="363F28E0" w14:textId="77777777" w:rsidR="00C45D5B" w:rsidRPr="001B009D" w:rsidRDefault="00C45D5B" w:rsidP="00CF774B">
                  <w:pPr>
                    <w:jc w:val="center"/>
                    <w:rPr>
                      <w:rFonts w:cs="Calibri"/>
                      <w:color w:val="000000"/>
                      <w:sz w:val="16"/>
                      <w:szCs w:val="16"/>
                    </w:rPr>
                  </w:pPr>
                  <w:r w:rsidRPr="001B009D">
                    <w:rPr>
                      <w:rFonts w:cs="Calibri"/>
                      <w:color w:val="000000"/>
                      <w:sz w:val="16"/>
                      <w:szCs w:val="16"/>
                    </w:rPr>
                    <w:t>66</w:t>
                  </w:r>
                </w:p>
              </w:tc>
              <w:tc>
                <w:tcPr>
                  <w:tcW w:w="709" w:type="dxa"/>
                  <w:tcBorders>
                    <w:top w:val="nil"/>
                    <w:left w:val="nil"/>
                    <w:bottom w:val="nil"/>
                    <w:right w:val="single" w:sz="4" w:space="0" w:color="auto"/>
                  </w:tcBorders>
                  <w:shd w:val="clear" w:color="auto" w:fill="auto"/>
                  <w:noWrap/>
                  <w:vAlign w:val="center"/>
                  <w:hideMark/>
                </w:tcPr>
                <w:p w14:paraId="300FE4D4" w14:textId="77777777" w:rsidR="00C45D5B" w:rsidRPr="001B009D" w:rsidRDefault="00C45D5B" w:rsidP="00CF774B">
                  <w:pPr>
                    <w:jc w:val="center"/>
                    <w:rPr>
                      <w:rFonts w:cs="Calibri"/>
                      <w:color w:val="000000"/>
                      <w:sz w:val="16"/>
                      <w:szCs w:val="16"/>
                    </w:rPr>
                  </w:pPr>
                  <w:r w:rsidRPr="001B009D">
                    <w:rPr>
                      <w:rFonts w:cs="Calibri"/>
                      <w:color w:val="000000"/>
                      <w:sz w:val="16"/>
                      <w:szCs w:val="16"/>
                    </w:rPr>
                    <w:t>0,07</w:t>
                  </w:r>
                </w:p>
              </w:tc>
              <w:tc>
                <w:tcPr>
                  <w:tcW w:w="567" w:type="dxa"/>
                  <w:tcBorders>
                    <w:top w:val="nil"/>
                    <w:left w:val="nil"/>
                    <w:bottom w:val="nil"/>
                    <w:right w:val="nil"/>
                  </w:tcBorders>
                  <w:shd w:val="clear" w:color="auto" w:fill="auto"/>
                  <w:noWrap/>
                  <w:vAlign w:val="center"/>
                  <w:hideMark/>
                </w:tcPr>
                <w:p w14:paraId="6CCA6F7B" w14:textId="77777777" w:rsidR="00C45D5B" w:rsidRPr="001B009D" w:rsidRDefault="00C45D5B" w:rsidP="00CF774B">
                  <w:pPr>
                    <w:jc w:val="center"/>
                    <w:rPr>
                      <w:rFonts w:cs="Calibri"/>
                      <w:color w:val="000000"/>
                      <w:sz w:val="16"/>
                      <w:szCs w:val="16"/>
                    </w:rPr>
                  </w:pPr>
                  <w:r w:rsidRPr="001B009D">
                    <w:rPr>
                      <w:rFonts w:cs="Calibri"/>
                      <w:color w:val="000000"/>
                      <w:sz w:val="16"/>
                      <w:szCs w:val="16"/>
                    </w:rPr>
                    <w:t>12</w:t>
                  </w:r>
                </w:p>
              </w:tc>
              <w:tc>
                <w:tcPr>
                  <w:tcW w:w="709" w:type="dxa"/>
                  <w:tcBorders>
                    <w:top w:val="nil"/>
                    <w:left w:val="nil"/>
                    <w:bottom w:val="nil"/>
                    <w:right w:val="single" w:sz="4" w:space="0" w:color="auto"/>
                  </w:tcBorders>
                  <w:shd w:val="clear" w:color="auto" w:fill="auto"/>
                  <w:noWrap/>
                  <w:vAlign w:val="center"/>
                  <w:hideMark/>
                </w:tcPr>
                <w:p w14:paraId="2D23B30D"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center"/>
                  <w:hideMark/>
                </w:tcPr>
                <w:p w14:paraId="4D98CCD1" w14:textId="77777777" w:rsidR="00C45D5B" w:rsidRPr="001B009D" w:rsidRDefault="00C45D5B" w:rsidP="00CF774B">
                  <w:pPr>
                    <w:jc w:val="center"/>
                    <w:rPr>
                      <w:rFonts w:cs="Calibri"/>
                      <w:color w:val="000000"/>
                      <w:sz w:val="16"/>
                      <w:szCs w:val="16"/>
                    </w:rPr>
                  </w:pPr>
                  <w:r w:rsidRPr="001B009D">
                    <w:rPr>
                      <w:rFonts w:cs="Calibri"/>
                      <w:color w:val="000000"/>
                      <w:sz w:val="16"/>
                      <w:szCs w:val="16"/>
                    </w:rPr>
                    <w:t>93</w:t>
                  </w:r>
                </w:p>
              </w:tc>
              <w:tc>
                <w:tcPr>
                  <w:tcW w:w="770" w:type="dxa"/>
                  <w:tcBorders>
                    <w:top w:val="nil"/>
                    <w:left w:val="nil"/>
                    <w:bottom w:val="nil"/>
                    <w:right w:val="nil"/>
                  </w:tcBorders>
                  <w:shd w:val="clear" w:color="auto" w:fill="auto"/>
                  <w:noWrap/>
                  <w:vAlign w:val="center"/>
                  <w:hideMark/>
                </w:tcPr>
                <w:p w14:paraId="79F6589F" w14:textId="77777777" w:rsidR="00C45D5B" w:rsidRPr="001B009D" w:rsidRDefault="00C45D5B" w:rsidP="00CF774B">
                  <w:pPr>
                    <w:jc w:val="center"/>
                    <w:rPr>
                      <w:rFonts w:cs="Calibri"/>
                      <w:color w:val="000000"/>
                      <w:sz w:val="16"/>
                      <w:szCs w:val="16"/>
                    </w:rPr>
                  </w:pPr>
                  <w:r w:rsidRPr="001B009D">
                    <w:rPr>
                      <w:rFonts w:cs="Calibri"/>
                      <w:color w:val="000000"/>
                      <w:sz w:val="16"/>
                      <w:szCs w:val="16"/>
                    </w:rPr>
                    <w:t>0,10</w:t>
                  </w:r>
                </w:p>
              </w:tc>
            </w:tr>
            <w:tr w:rsidR="00C45D5B" w:rsidRPr="004F7036" w14:paraId="71031814"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364DAB3D" w14:textId="77777777" w:rsidR="00C45D5B" w:rsidRPr="001B009D" w:rsidRDefault="00C45D5B" w:rsidP="00CF774B">
                  <w:pPr>
                    <w:rPr>
                      <w:rFonts w:cs="Calibri"/>
                      <w:color w:val="000000"/>
                      <w:sz w:val="16"/>
                      <w:szCs w:val="16"/>
                    </w:rPr>
                  </w:pPr>
                  <w:r w:rsidRPr="001B009D">
                    <w:rPr>
                      <w:rFonts w:cs="Calibri"/>
                      <w:color w:val="000000"/>
                      <w:sz w:val="16"/>
                      <w:szCs w:val="16"/>
                    </w:rPr>
                    <w:t>Rodičovský príspevok (predĺženie obdobia poberania)</w:t>
                  </w:r>
                </w:p>
              </w:tc>
              <w:tc>
                <w:tcPr>
                  <w:tcW w:w="708" w:type="dxa"/>
                  <w:tcBorders>
                    <w:top w:val="nil"/>
                    <w:left w:val="nil"/>
                    <w:bottom w:val="nil"/>
                    <w:right w:val="single" w:sz="4" w:space="0" w:color="auto"/>
                  </w:tcBorders>
                  <w:shd w:val="clear" w:color="auto" w:fill="auto"/>
                  <w:noWrap/>
                  <w:vAlign w:val="center"/>
                  <w:hideMark/>
                </w:tcPr>
                <w:p w14:paraId="5CAF1FFF"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642041</w:t>
                  </w:r>
                </w:p>
              </w:tc>
              <w:tc>
                <w:tcPr>
                  <w:tcW w:w="567" w:type="dxa"/>
                  <w:tcBorders>
                    <w:top w:val="nil"/>
                    <w:left w:val="nil"/>
                    <w:bottom w:val="nil"/>
                    <w:right w:val="single" w:sz="4" w:space="0" w:color="auto"/>
                  </w:tcBorders>
                  <w:shd w:val="clear" w:color="auto" w:fill="auto"/>
                  <w:noWrap/>
                  <w:vAlign w:val="center"/>
                  <w:hideMark/>
                </w:tcPr>
                <w:p w14:paraId="456B5580"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center"/>
                  <w:hideMark/>
                </w:tcPr>
                <w:p w14:paraId="41BBDD80" w14:textId="77777777" w:rsidR="00C45D5B" w:rsidRPr="001B009D" w:rsidRDefault="00C45D5B" w:rsidP="00CF774B">
                  <w:pPr>
                    <w:jc w:val="center"/>
                    <w:rPr>
                      <w:rFonts w:cs="Calibri"/>
                      <w:color w:val="000000"/>
                      <w:sz w:val="16"/>
                      <w:szCs w:val="16"/>
                    </w:rPr>
                  </w:pPr>
                  <w:r w:rsidRPr="001B009D">
                    <w:rPr>
                      <w:rFonts w:cs="Calibri"/>
                      <w:color w:val="000000"/>
                      <w:sz w:val="16"/>
                      <w:szCs w:val="16"/>
                    </w:rPr>
                    <w:t>13</w:t>
                  </w:r>
                </w:p>
              </w:tc>
              <w:tc>
                <w:tcPr>
                  <w:tcW w:w="589" w:type="dxa"/>
                  <w:tcBorders>
                    <w:top w:val="nil"/>
                    <w:left w:val="nil"/>
                    <w:bottom w:val="nil"/>
                    <w:right w:val="single" w:sz="4" w:space="0" w:color="auto"/>
                  </w:tcBorders>
                  <w:shd w:val="clear" w:color="auto" w:fill="auto"/>
                  <w:noWrap/>
                  <w:vAlign w:val="center"/>
                  <w:hideMark/>
                </w:tcPr>
                <w:p w14:paraId="5F2D54B6"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45" w:type="dxa"/>
                  <w:tcBorders>
                    <w:top w:val="nil"/>
                    <w:left w:val="nil"/>
                    <w:bottom w:val="nil"/>
                    <w:right w:val="nil"/>
                  </w:tcBorders>
                  <w:shd w:val="clear" w:color="auto" w:fill="auto"/>
                  <w:noWrap/>
                  <w:vAlign w:val="center"/>
                  <w:hideMark/>
                </w:tcPr>
                <w:p w14:paraId="6917A275" w14:textId="77777777" w:rsidR="00C45D5B" w:rsidRPr="001B009D" w:rsidRDefault="00C45D5B" w:rsidP="00CF774B">
                  <w:pPr>
                    <w:jc w:val="center"/>
                    <w:rPr>
                      <w:rFonts w:cs="Calibri"/>
                      <w:color w:val="000000"/>
                      <w:sz w:val="16"/>
                      <w:szCs w:val="16"/>
                    </w:rPr>
                  </w:pPr>
                  <w:r w:rsidRPr="001B009D">
                    <w:rPr>
                      <w:rFonts w:cs="Calibri"/>
                      <w:color w:val="000000"/>
                      <w:sz w:val="16"/>
                      <w:szCs w:val="16"/>
                    </w:rPr>
                    <w:t>49</w:t>
                  </w:r>
                </w:p>
              </w:tc>
              <w:tc>
                <w:tcPr>
                  <w:tcW w:w="709" w:type="dxa"/>
                  <w:tcBorders>
                    <w:top w:val="nil"/>
                    <w:left w:val="nil"/>
                    <w:bottom w:val="nil"/>
                    <w:right w:val="single" w:sz="4" w:space="0" w:color="auto"/>
                  </w:tcBorders>
                  <w:shd w:val="clear" w:color="auto" w:fill="auto"/>
                  <w:noWrap/>
                  <w:vAlign w:val="center"/>
                  <w:hideMark/>
                </w:tcPr>
                <w:p w14:paraId="4AC04243" w14:textId="77777777" w:rsidR="00C45D5B" w:rsidRPr="001B009D" w:rsidRDefault="00C45D5B" w:rsidP="00CF774B">
                  <w:pPr>
                    <w:jc w:val="center"/>
                    <w:rPr>
                      <w:rFonts w:cs="Calibri"/>
                      <w:color w:val="000000"/>
                      <w:sz w:val="16"/>
                      <w:szCs w:val="16"/>
                    </w:rPr>
                  </w:pPr>
                  <w:r w:rsidRPr="001B009D">
                    <w:rPr>
                      <w:rFonts w:cs="Calibri"/>
                      <w:color w:val="000000"/>
                      <w:sz w:val="16"/>
                      <w:szCs w:val="16"/>
                    </w:rPr>
                    <w:t>0,05</w:t>
                  </w:r>
                </w:p>
              </w:tc>
              <w:tc>
                <w:tcPr>
                  <w:tcW w:w="567" w:type="dxa"/>
                  <w:tcBorders>
                    <w:top w:val="nil"/>
                    <w:left w:val="nil"/>
                    <w:bottom w:val="nil"/>
                    <w:right w:val="nil"/>
                  </w:tcBorders>
                  <w:shd w:val="clear" w:color="auto" w:fill="auto"/>
                  <w:noWrap/>
                  <w:vAlign w:val="center"/>
                  <w:hideMark/>
                </w:tcPr>
                <w:p w14:paraId="4CBAE36C" w14:textId="77777777" w:rsidR="00C45D5B" w:rsidRPr="001B009D" w:rsidRDefault="00C45D5B" w:rsidP="00CF774B">
                  <w:pPr>
                    <w:jc w:val="center"/>
                    <w:rPr>
                      <w:rFonts w:cs="Calibri"/>
                      <w:color w:val="000000"/>
                      <w:sz w:val="16"/>
                      <w:szCs w:val="16"/>
                    </w:rPr>
                  </w:pPr>
                  <w:r w:rsidRPr="001B009D">
                    <w:rPr>
                      <w:rFonts w:cs="Calibri"/>
                      <w:color w:val="000000"/>
                      <w:sz w:val="16"/>
                      <w:szCs w:val="16"/>
                    </w:rPr>
                    <w:t>8</w:t>
                  </w:r>
                </w:p>
              </w:tc>
              <w:tc>
                <w:tcPr>
                  <w:tcW w:w="709" w:type="dxa"/>
                  <w:tcBorders>
                    <w:top w:val="nil"/>
                    <w:left w:val="nil"/>
                    <w:bottom w:val="nil"/>
                    <w:right w:val="single" w:sz="4" w:space="0" w:color="auto"/>
                  </w:tcBorders>
                  <w:shd w:val="clear" w:color="auto" w:fill="auto"/>
                  <w:noWrap/>
                  <w:vAlign w:val="center"/>
                  <w:hideMark/>
                </w:tcPr>
                <w:p w14:paraId="38B39355"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center"/>
                  <w:hideMark/>
                </w:tcPr>
                <w:p w14:paraId="5C27E956" w14:textId="77777777" w:rsidR="00C45D5B" w:rsidRPr="001B009D" w:rsidRDefault="00C45D5B" w:rsidP="00CF774B">
                  <w:pPr>
                    <w:jc w:val="center"/>
                    <w:rPr>
                      <w:rFonts w:cs="Calibri"/>
                      <w:color w:val="000000"/>
                      <w:sz w:val="16"/>
                      <w:szCs w:val="16"/>
                    </w:rPr>
                  </w:pPr>
                  <w:r w:rsidRPr="001B009D">
                    <w:rPr>
                      <w:rFonts w:cs="Calibri"/>
                      <w:color w:val="000000"/>
                      <w:sz w:val="16"/>
                      <w:szCs w:val="16"/>
                    </w:rPr>
                    <w:t>70</w:t>
                  </w:r>
                </w:p>
              </w:tc>
              <w:tc>
                <w:tcPr>
                  <w:tcW w:w="770" w:type="dxa"/>
                  <w:tcBorders>
                    <w:top w:val="nil"/>
                    <w:left w:val="nil"/>
                    <w:bottom w:val="nil"/>
                    <w:right w:val="nil"/>
                  </w:tcBorders>
                  <w:shd w:val="clear" w:color="auto" w:fill="auto"/>
                  <w:noWrap/>
                  <w:vAlign w:val="center"/>
                  <w:hideMark/>
                </w:tcPr>
                <w:p w14:paraId="022F70B2" w14:textId="77777777" w:rsidR="00C45D5B" w:rsidRPr="001B009D" w:rsidRDefault="00C45D5B" w:rsidP="00CF774B">
                  <w:pPr>
                    <w:jc w:val="center"/>
                    <w:rPr>
                      <w:rFonts w:cs="Calibri"/>
                      <w:color w:val="000000"/>
                      <w:sz w:val="16"/>
                      <w:szCs w:val="16"/>
                    </w:rPr>
                  </w:pPr>
                  <w:r w:rsidRPr="001B009D">
                    <w:rPr>
                      <w:rFonts w:cs="Calibri"/>
                      <w:color w:val="000000"/>
                      <w:sz w:val="16"/>
                      <w:szCs w:val="16"/>
                    </w:rPr>
                    <w:t>0,07</w:t>
                  </w:r>
                </w:p>
              </w:tc>
            </w:tr>
            <w:tr w:rsidR="00C45D5B" w:rsidRPr="004F7036" w14:paraId="1ED8BE03"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1EBFB90C" w14:textId="77777777" w:rsidR="00C45D5B" w:rsidRPr="001B009D" w:rsidRDefault="00C45D5B" w:rsidP="00CF774B">
                  <w:pPr>
                    <w:rPr>
                      <w:rFonts w:cs="Calibri"/>
                      <w:color w:val="000000"/>
                      <w:sz w:val="16"/>
                      <w:szCs w:val="16"/>
                    </w:rPr>
                  </w:pPr>
                  <w:r w:rsidRPr="001B009D">
                    <w:rPr>
                      <w:rFonts w:cs="Calibri"/>
                      <w:color w:val="000000"/>
                      <w:sz w:val="16"/>
                      <w:szCs w:val="16"/>
                    </w:rPr>
                    <w:t>Dávka v nezamestnanosti (predĺženie obdobia poberania)</w:t>
                  </w:r>
                </w:p>
              </w:tc>
              <w:tc>
                <w:tcPr>
                  <w:tcW w:w="708" w:type="dxa"/>
                  <w:tcBorders>
                    <w:top w:val="nil"/>
                    <w:left w:val="nil"/>
                    <w:bottom w:val="nil"/>
                    <w:right w:val="single" w:sz="4" w:space="0" w:color="auto"/>
                  </w:tcBorders>
                  <w:shd w:val="clear" w:color="auto" w:fill="auto"/>
                  <w:noWrap/>
                  <w:vAlign w:val="center"/>
                  <w:hideMark/>
                </w:tcPr>
                <w:p w14:paraId="3C2ABCA1"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642033</w:t>
                  </w:r>
                </w:p>
              </w:tc>
              <w:tc>
                <w:tcPr>
                  <w:tcW w:w="567" w:type="dxa"/>
                  <w:tcBorders>
                    <w:top w:val="nil"/>
                    <w:left w:val="nil"/>
                    <w:bottom w:val="nil"/>
                    <w:right w:val="single" w:sz="4" w:space="0" w:color="auto"/>
                  </w:tcBorders>
                  <w:shd w:val="clear" w:color="auto" w:fill="auto"/>
                  <w:noWrap/>
                  <w:vAlign w:val="center"/>
                  <w:hideMark/>
                </w:tcPr>
                <w:p w14:paraId="4E9339F7"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center"/>
                  <w:hideMark/>
                </w:tcPr>
                <w:p w14:paraId="01238B88" w14:textId="77777777" w:rsidR="00C45D5B" w:rsidRPr="001B009D" w:rsidRDefault="00C45D5B" w:rsidP="00CF774B">
                  <w:pPr>
                    <w:jc w:val="center"/>
                    <w:rPr>
                      <w:rFonts w:cs="Calibri"/>
                      <w:color w:val="000000"/>
                      <w:sz w:val="16"/>
                      <w:szCs w:val="16"/>
                    </w:rPr>
                  </w:pPr>
                  <w:r w:rsidRPr="001B009D">
                    <w:rPr>
                      <w:rFonts w:cs="Calibri"/>
                      <w:color w:val="000000"/>
                      <w:sz w:val="16"/>
                      <w:szCs w:val="16"/>
                    </w:rPr>
                    <w:t>32</w:t>
                  </w:r>
                </w:p>
              </w:tc>
              <w:tc>
                <w:tcPr>
                  <w:tcW w:w="589" w:type="dxa"/>
                  <w:tcBorders>
                    <w:top w:val="nil"/>
                    <w:left w:val="nil"/>
                    <w:bottom w:val="nil"/>
                    <w:right w:val="single" w:sz="4" w:space="0" w:color="auto"/>
                  </w:tcBorders>
                  <w:shd w:val="clear" w:color="auto" w:fill="auto"/>
                  <w:noWrap/>
                  <w:vAlign w:val="center"/>
                  <w:hideMark/>
                </w:tcPr>
                <w:p w14:paraId="4BAC88DE" w14:textId="77777777" w:rsidR="00C45D5B" w:rsidRPr="001B009D" w:rsidRDefault="00C45D5B" w:rsidP="00CF774B">
                  <w:pPr>
                    <w:jc w:val="center"/>
                    <w:rPr>
                      <w:rFonts w:cs="Calibri"/>
                      <w:color w:val="000000"/>
                      <w:sz w:val="16"/>
                      <w:szCs w:val="16"/>
                    </w:rPr>
                  </w:pPr>
                  <w:r w:rsidRPr="001B009D">
                    <w:rPr>
                      <w:rFonts w:cs="Calibri"/>
                      <w:color w:val="000000"/>
                      <w:sz w:val="16"/>
                      <w:szCs w:val="16"/>
                    </w:rPr>
                    <w:t>0,04</w:t>
                  </w:r>
                </w:p>
              </w:tc>
              <w:tc>
                <w:tcPr>
                  <w:tcW w:w="545" w:type="dxa"/>
                  <w:tcBorders>
                    <w:top w:val="nil"/>
                    <w:left w:val="nil"/>
                    <w:bottom w:val="nil"/>
                    <w:right w:val="nil"/>
                  </w:tcBorders>
                  <w:shd w:val="clear" w:color="auto" w:fill="auto"/>
                  <w:noWrap/>
                  <w:vAlign w:val="center"/>
                  <w:hideMark/>
                </w:tcPr>
                <w:p w14:paraId="350B89C9" w14:textId="77777777" w:rsidR="00C45D5B" w:rsidRPr="001B009D" w:rsidRDefault="00C45D5B" w:rsidP="00CF774B">
                  <w:pPr>
                    <w:jc w:val="center"/>
                    <w:rPr>
                      <w:rFonts w:cs="Calibri"/>
                      <w:color w:val="000000"/>
                      <w:sz w:val="16"/>
                      <w:szCs w:val="16"/>
                    </w:rPr>
                  </w:pPr>
                  <w:r w:rsidRPr="001B009D">
                    <w:rPr>
                      <w:rFonts w:cs="Calibri"/>
                      <w:color w:val="000000"/>
                      <w:sz w:val="16"/>
                      <w:szCs w:val="16"/>
                    </w:rPr>
                    <w:t>40</w:t>
                  </w:r>
                </w:p>
              </w:tc>
              <w:tc>
                <w:tcPr>
                  <w:tcW w:w="709" w:type="dxa"/>
                  <w:tcBorders>
                    <w:top w:val="nil"/>
                    <w:left w:val="nil"/>
                    <w:bottom w:val="nil"/>
                    <w:right w:val="single" w:sz="4" w:space="0" w:color="auto"/>
                  </w:tcBorders>
                  <w:shd w:val="clear" w:color="auto" w:fill="auto"/>
                  <w:noWrap/>
                  <w:vAlign w:val="center"/>
                  <w:hideMark/>
                </w:tcPr>
                <w:p w14:paraId="16B1C0DC" w14:textId="77777777" w:rsidR="00C45D5B" w:rsidRPr="001B009D" w:rsidRDefault="00C45D5B" w:rsidP="00CF774B">
                  <w:pPr>
                    <w:jc w:val="center"/>
                    <w:rPr>
                      <w:rFonts w:cs="Calibri"/>
                      <w:color w:val="000000"/>
                      <w:sz w:val="16"/>
                      <w:szCs w:val="16"/>
                    </w:rPr>
                  </w:pPr>
                  <w:r w:rsidRPr="001B009D">
                    <w:rPr>
                      <w:rFonts w:cs="Calibri"/>
                      <w:color w:val="000000"/>
                      <w:sz w:val="16"/>
                      <w:szCs w:val="16"/>
                    </w:rPr>
                    <w:t>0,04</w:t>
                  </w:r>
                </w:p>
              </w:tc>
              <w:tc>
                <w:tcPr>
                  <w:tcW w:w="567" w:type="dxa"/>
                  <w:tcBorders>
                    <w:top w:val="nil"/>
                    <w:left w:val="nil"/>
                    <w:bottom w:val="nil"/>
                    <w:right w:val="nil"/>
                  </w:tcBorders>
                  <w:shd w:val="clear" w:color="auto" w:fill="auto"/>
                  <w:noWrap/>
                  <w:vAlign w:val="center"/>
                  <w:hideMark/>
                </w:tcPr>
                <w:p w14:paraId="3C406D6C"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14:paraId="0EB2963D"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743A5901" w14:textId="77777777" w:rsidR="00C45D5B" w:rsidRPr="001B009D" w:rsidRDefault="00C45D5B" w:rsidP="00CF774B">
                  <w:pPr>
                    <w:jc w:val="center"/>
                    <w:rPr>
                      <w:rFonts w:cs="Calibri"/>
                      <w:color w:val="000000"/>
                      <w:sz w:val="16"/>
                      <w:szCs w:val="16"/>
                    </w:rPr>
                  </w:pPr>
                  <w:r w:rsidRPr="001B009D">
                    <w:rPr>
                      <w:rFonts w:cs="Calibri"/>
                      <w:color w:val="000000"/>
                      <w:sz w:val="16"/>
                      <w:szCs w:val="16"/>
                    </w:rPr>
                    <w:t>73</w:t>
                  </w:r>
                </w:p>
              </w:tc>
              <w:tc>
                <w:tcPr>
                  <w:tcW w:w="770" w:type="dxa"/>
                  <w:tcBorders>
                    <w:top w:val="nil"/>
                    <w:left w:val="nil"/>
                    <w:bottom w:val="nil"/>
                    <w:right w:val="nil"/>
                  </w:tcBorders>
                  <w:shd w:val="clear" w:color="auto" w:fill="auto"/>
                  <w:noWrap/>
                  <w:vAlign w:val="center"/>
                  <w:hideMark/>
                </w:tcPr>
                <w:p w14:paraId="7D757A10" w14:textId="77777777" w:rsidR="00C45D5B" w:rsidRPr="001B009D" w:rsidRDefault="00C45D5B" w:rsidP="00CF774B">
                  <w:pPr>
                    <w:jc w:val="center"/>
                    <w:rPr>
                      <w:rFonts w:cs="Calibri"/>
                      <w:color w:val="000000"/>
                      <w:sz w:val="16"/>
                      <w:szCs w:val="16"/>
                    </w:rPr>
                  </w:pPr>
                  <w:r w:rsidRPr="001B009D">
                    <w:rPr>
                      <w:rFonts w:cs="Calibri"/>
                      <w:color w:val="000000"/>
                      <w:sz w:val="16"/>
                      <w:szCs w:val="16"/>
                    </w:rPr>
                    <w:t>0,08</w:t>
                  </w:r>
                </w:p>
              </w:tc>
            </w:tr>
            <w:tr w:rsidR="00C45D5B" w:rsidRPr="004F7036" w14:paraId="694C73E8"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7BFE38DA" w14:textId="77777777" w:rsidR="00C45D5B" w:rsidRPr="001B009D" w:rsidRDefault="00C45D5B" w:rsidP="00CF774B">
                  <w:pPr>
                    <w:rPr>
                      <w:rFonts w:cs="Calibri"/>
                      <w:color w:val="000000"/>
                      <w:sz w:val="16"/>
                      <w:szCs w:val="16"/>
                    </w:rPr>
                  </w:pPr>
                  <w:r w:rsidRPr="001B009D">
                    <w:rPr>
                      <w:rFonts w:cs="Calibri"/>
                      <w:color w:val="000000"/>
                      <w:sz w:val="16"/>
                      <w:szCs w:val="16"/>
                    </w:rPr>
                    <w:t>Jednorazový príspevok na dieťa</w:t>
                  </w:r>
                </w:p>
              </w:tc>
              <w:tc>
                <w:tcPr>
                  <w:tcW w:w="708" w:type="dxa"/>
                  <w:tcBorders>
                    <w:top w:val="nil"/>
                    <w:left w:val="nil"/>
                    <w:bottom w:val="nil"/>
                    <w:right w:val="single" w:sz="4" w:space="0" w:color="auto"/>
                  </w:tcBorders>
                  <w:shd w:val="clear" w:color="auto" w:fill="auto"/>
                  <w:noWrap/>
                  <w:vAlign w:val="center"/>
                  <w:hideMark/>
                </w:tcPr>
                <w:p w14:paraId="62D7F323"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w:t>
                  </w:r>
                </w:p>
              </w:tc>
              <w:tc>
                <w:tcPr>
                  <w:tcW w:w="567" w:type="dxa"/>
                  <w:tcBorders>
                    <w:top w:val="nil"/>
                    <w:left w:val="nil"/>
                    <w:bottom w:val="nil"/>
                    <w:right w:val="single" w:sz="4" w:space="0" w:color="auto"/>
                  </w:tcBorders>
                  <w:shd w:val="clear" w:color="auto" w:fill="auto"/>
                  <w:noWrap/>
                  <w:vAlign w:val="center"/>
                  <w:hideMark/>
                </w:tcPr>
                <w:p w14:paraId="11976DF1"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center"/>
                  <w:hideMark/>
                </w:tcPr>
                <w:p w14:paraId="7961836D" w14:textId="77777777" w:rsidR="00C45D5B" w:rsidRPr="001B009D" w:rsidRDefault="00C45D5B" w:rsidP="00CF774B">
                  <w:pPr>
                    <w:jc w:val="center"/>
                    <w:rPr>
                      <w:rFonts w:cs="Calibri"/>
                      <w:color w:val="000000"/>
                      <w:sz w:val="16"/>
                      <w:szCs w:val="16"/>
                    </w:rPr>
                  </w:pPr>
                </w:p>
              </w:tc>
              <w:tc>
                <w:tcPr>
                  <w:tcW w:w="589" w:type="dxa"/>
                  <w:tcBorders>
                    <w:top w:val="nil"/>
                    <w:left w:val="nil"/>
                    <w:bottom w:val="nil"/>
                    <w:right w:val="single" w:sz="4" w:space="0" w:color="auto"/>
                  </w:tcBorders>
                  <w:shd w:val="clear" w:color="auto" w:fill="auto"/>
                  <w:noWrap/>
                  <w:vAlign w:val="center"/>
                  <w:hideMark/>
                </w:tcPr>
                <w:p w14:paraId="2CFBD460"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center"/>
                  <w:hideMark/>
                </w:tcPr>
                <w:p w14:paraId="540F3061" w14:textId="77777777" w:rsidR="00C45D5B" w:rsidRPr="001B009D" w:rsidRDefault="00C45D5B" w:rsidP="00CF774B">
                  <w:pPr>
                    <w:jc w:val="center"/>
                    <w:rPr>
                      <w:rFonts w:cs="Calibri"/>
                      <w:color w:val="000000"/>
                      <w:sz w:val="16"/>
                      <w:szCs w:val="16"/>
                    </w:rPr>
                  </w:pPr>
                  <w:r w:rsidRPr="001B009D">
                    <w:rPr>
                      <w:rFonts w:cs="Calibri"/>
                      <w:color w:val="000000"/>
                      <w:sz w:val="16"/>
                      <w:szCs w:val="16"/>
                    </w:rPr>
                    <w:t>76</w:t>
                  </w:r>
                </w:p>
              </w:tc>
              <w:tc>
                <w:tcPr>
                  <w:tcW w:w="709" w:type="dxa"/>
                  <w:tcBorders>
                    <w:top w:val="nil"/>
                    <w:left w:val="nil"/>
                    <w:bottom w:val="nil"/>
                    <w:right w:val="single" w:sz="4" w:space="0" w:color="auto"/>
                  </w:tcBorders>
                  <w:shd w:val="clear" w:color="auto" w:fill="auto"/>
                  <w:noWrap/>
                  <w:vAlign w:val="center"/>
                  <w:hideMark/>
                </w:tcPr>
                <w:p w14:paraId="65BFDA58" w14:textId="77777777" w:rsidR="00C45D5B" w:rsidRPr="001B009D" w:rsidRDefault="00C45D5B" w:rsidP="00CF774B">
                  <w:pPr>
                    <w:jc w:val="center"/>
                    <w:rPr>
                      <w:rFonts w:cs="Calibri"/>
                      <w:color w:val="000000"/>
                      <w:sz w:val="16"/>
                      <w:szCs w:val="16"/>
                    </w:rPr>
                  </w:pPr>
                  <w:r w:rsidRPr="001B009D">
                    <w:rPr>
                      <w:rFonts w:cs="Calibri"/>
                      <w:color w:val="000000"/>
                      <w:sz w:val="16"/>
                      <w:szCs w:val="16"/>
                    </w:rPr>
                    <w:t>0,08</w:t>
                  </w:r>
                </w:p>
              </w:tc>
              <w:tc>
                <w:tcPr>
                  <w:tcW w:w="567" w:type="dxa"/>
                  <w:tcBorders>
                    <w:top w:val="nil"/>
                    <w:left w:val="nil"/>
                    <w:bottom w:val="nil"/>
                    <w:right w:val="nil"/>
                  </w:tcBorders>
                  <w:shd w:val="clear" w:color="auto" w:fill="auto"/>
                  <w:noWrap/>
                  <w:vAlign w:val="center"/>
                  <w:hideMark/>
                </w:tcPr>
                <w:p w14:paraId="0C284B65"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14:paraId="00E12AFA"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593A5EA8" w14:textId="77777777" w:rsidR="00C45D5B" w:rsidRPr="001B009D" w:rsidRDefault="00C45D5B" w:rsidP="00CF774B">
                  <w:pPr>
                    <w:jc w:val="center"/>
                    <w:rPr>
                      <w:rFonts w:cs="Calibri"/>
                      <w:color w:val="000000"/>
                      <w:sz w:val="16"/>
                      <w:szCs w:val="16"/>
                    </w:rPr>
                  </w:pPr>
                  <w:r w:rsidRPr="001B009D">
                    <w:rPr>
                      <w:rFonts w:cs="Calibri"/>
                      <w:color w:val="000000"/>
                      <w:sz w:val="16"/>
                      <w:szCs w:val="16"/>
                    </w:rPr>
                    <w:t>76</w:t>
                  </w:r>
                </w:p>
              </w:tc>
              <w:tc>
                <w:tcPr>
                  <w:tcW w:w="770" w:type="dxa"/>
                  <w:tcBorders>
                    <w:top w:val="nil"/>
                    <w:left w:val="nil"/>
                    <w:bottom w:val="nil"/>
                    <w:right w:val="nil"/>
                  </w:tcBorders>
                  <w:shd w:val="clear" w:color="auto" w:fill="auto"/>
                  <w:noWrap/>
                  <w:vAlign w:val="center"/>
                  <w:hideMark/>
                </w:tcPr>
                <w:p w14:paraId="2F4E48D2" w14:textId="77777777" w:rsidR="00C45D5B" w:rsidRPr="001B009D" w:rsidRDefault="00C45D5B" w:rsidP="00CF774B">
                  <w:pPr>
                    <w:jc w:val="center"/>
                    <w:rPr>
                      <w:rFonts w:cs="Calibri"/>
                      <w:color w:val="000000"/>
                      <w:sz w:val="16"/>
                      <w:szCs w:val="16"/>
                    </w:rPr>
                  </w:pPr>
                  <w:r w:rsidRPr="001B009D">
                    <w:rPr>
                      <w:rFonts w:cs="Calibri"/>
                      <w:color w:val="000000"/>
                      <w:sz w:val="16"/>
                      <w:szCs w:val="16"/>
                    </w:rPr>
                    <w:t>0,08</w:t>
                  </w:r>
                </w:p>
              </w:tc>
            </w:tr>
            <w:tr w:rsidR="00C45D5B" w:rsidRPr="004F7036" w14:paraId="55179605"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35078065" w14:textId="77777777" w:rsidR="00C45D5B" w:rsidRPr="001B009D" w:rsidRDefault="00C45D5B" w:rsidP="00CF774B">
                  <w:pPr>
                    <w:rPr>
                      <w:rFonts w:cs="Calibri"/>
                      <w:color w:val="000000"/>
                      <w:sz w:val="16"/>
                      <w:szCs w:val="16"/>
                    </w:rPr>
                  </w:pPr>
                  <w:r w:rsidRPr="001B009D">
                    <w:rPr>
                      <w:rFonts w:cs="Calibri"/>
                      <w:color w:val="000000"/>
                      <w:sz w:val="16"/>
                      <w:szCs w:val="16"/>
                    </w:rPr>
                    <w:t>Humanitárna pomoc a úrazový príplatok</w:t>
                  </w:r>
                </w:p>
              </w:tc>
              <w:tc>
                <w:tcPr>
                  <w:tcW w:w="708" w:type="dxa"/>
                  <w:tcBorders>
                    <w:top w:val="nil"/>
                    <w:left w:val="nil"/>
                    <w:bottom w:val="nil"/>
                    <w:right w:val="single" w:sz="4" w:space="0" w:color="auto"/>
                  </w:tcBorders>
                  <w:shd w:val="clear" w:color="auto" w:fill="auto"/>
                  <w:noWrap/>
                  <w:vAlign w:val="center"/>
                  <w:hideMark/>
                </w:tcPr>
                <w:p w14:paraId="7BD578DB"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w:t>
                  </w:r>
                </w:p>
              </w:tc>
              <w:tc>
                <w:tcPr>
                  <w:tcW w:w="567" w:type="dxa"/>
                  <w:tcBorders>
                    <w:top w:val="nil"/>
                    <w:left w:val="nil"/>
                    <w:bottom w:val="nil"/>
                    <w:right w:val="single" w:sz="4" w:space="0" w:color="auto"/>
                  </w:tcBorders>
                  <w:shd w:val="clear" w:color="auto" w:fill="auto"/>
                  <w:noWrap/>
                  <w:vAlign w:val="center"/>
                  <w:hideMark/>
                </w:tcPr>
                <w:p w14:paraId="478A656A"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center"/>
                  <w:hideMark/>
                </w:tcPr>
                <w:p w14:paraId="23617717" w14:textId="77777777" w:rsidR="00C45D5B" w:rsidRPr="001B009D" w:rsidRDefault="00C45D5B" w:rsidP="00CF774B">
                  <w:pPr>
                    <w:jc w:val="center"/>
                    <w:rPr>
                      <w:rFonts w:cs="Calibri"/>
                      <w:color w:val="000000"/>
                      <w:sz w:val="16"/>
                      <w:szCs w:val="16"/>
                    </w:rPr>
                  </w:pPr>
                </w:p>
              </w:tc>
              <w:tc>
                <w:tcPr>
                  <w:tcW w:w="589" w:type="dxa"/>
                  <w:tcBorders>
                    <w:top w:val="nil"/>
                    <w:left w:val="nil"/>
                    <w:bottom w:val="nil"/>
                    <w:right w:val="single" w:sz="4" w:space="0" w:color="auto"/>
                  </w:tcBorders>
                  <w:shd w:val="clear" w:color="auto" w:fill="auto"/>
                  <w:noWrap/>
                  <w:vAlign w:val="center"/>
                  <w:hideMark/>
                </w:tcPr>
                <w:p w14:paraId="6D227030"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center"/>
                  <w:hideMark/>
                </w:tcPr>
                <w:p w14:paraId="5D36E28A" w14:textId="77777777" w:rsidR="00C45D5B" w:rsidRPr="001B009D" w:rsidRDefault="00C45D5B" w:rsidP="00CF774B">
                  <w:pPr>
                    <w:jc w:val="center"/>
                    <w:rPr>
                      <w:rFonts w:cs="Calibri"/>
                      <w:color w:val="000000"/>
                      <w:sz w:val="16"/>
                      <w:szCs w:val="16"/>
                    </w:rPr>
                  </w:pPr>
                  <w:r w:rsidRPr="001B009D">
                    <w:rPr>
                      <w:rFonts w:cs="Calibri"/>
                      <w:color w:val="000000"/>
                      <w:sz w:val="16"/>
                      <w:szCs w:val="16"/>
                    </w:rPr>
                    <w:t>8</w:t>
                  </w:r>
                </w:p>
              </w:tc>
              <w:tc>
                <w:tcPr>
                  <w:tcW w:w="709" w:type="dxa"/>
                  <w:tcBorders>
                    <w:top w:val="nil"/>
                    <w:left w:val="nil"/>
                    <w:bottom w:val="nil"/>
                    <w:right w:val="single" w:sz="4" w:space="0" w:color="auto"/>
                  </w:tcBorders>
                  <w:shd w:val="clear" w:color="auto" w:fill="auto"/>
                  <w:noWrap/>
                  <w:vAlign w:val="center"/>
                  <w:hideMark/>
                </w:tcPr>
                <w:p w14:paraId="1D9DA0C7"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center"/>
                  <w:hideMark/>
                </w:tcPr>
                <w:p w14:paraId="432DA133"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14:paraId="488DF020"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0841EA39" w14:textId="77777777" w:rsidR="00C45D5B" w:rsidRPr="001B009D" w:rsidRDefault="00C45D5B" w:rsidP="00CF774B">
                  <w:pPr>
                    <w:jc w:val="center"/>
                    <w:rPr>
                      <w:rFonts w:cs="Calibri"/>
                      <w:color w:val="000000"/>
                      <w:sz w:val="16"/>
                      <w:szCs w:val="16"/>
                    </w:rPr>
                  </w:pPr>
                  <w:r w:rsidRPr="001B009D">
                    <w:rPr>
                      <w:rFonts w:cs="Calibri"/>
                      <w:color w:val="000000"/>
                      <w:sz w:val="16"/>
                      <w:szCs w:val="16"/>
                    </w:rPr>
                    <w:t>8</w:t>
                  </w:r>
                </w:p>
              </w:tc>
              <w:tc>
                <w:tcPr>
                  <w:tcW w:w="770" w:type="dxa"/>
                  <w:tcBorders>
                    <w:top w:val="nil"/>
                    <w:left w:val="nil"/>
                    <w:bottom w:val="nil"/>
                    <w:right w:val="nil"/>
                  </w:tcBorders>
                  <w:shd w:val="clear" w:color="auto" w:fill="auto"/>
                  <w:noWrap/>
                  <w:vAlign w:val="center"/>
                  <w:hideMark/>
                </w:tcPr>
                <w:p w14:paraId="63C34414"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r>
            <w:tr w:rsidR="00C45D5B" w:rsidRPr="004F7036" w14:paraId="7F14E9DF"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4E32718" w14:textId="77777777" w:rsidR="00C45D5B" w:rsidRPr="001B009D" w:rsidRDefault="00C45D5B" w:rsidP="00CF774B">
                  <w:pPr>
                    <w:rPr>
                      <w:rFonts w:cs="Calibri"/>
                      <w:color w:val="000000"/>
                      <w:sz w:val="16"/>
                      <w:szCs w:val="16"/>
                    </w:rPr>
                  </w:pPr>
                  <w:r w:rsidRPr="001B009D">
                    <w:rPr>
                      <w:rFonts w:cs="Calibri"/>
                      <w:color w:val="000000"/>
                      <w:sz w:val="16"/>
                      <w:szCs w:val="16"/>
                    </w:rPr>
                    <w:t>Nemocenské (PN) - dávky vyplatené nad úrovňou roka 2019 (indexované)</w:t>
                  </w:r>
                </w:p>
              </w:tc>
              <w:tc>
                <w:tcPr>
                  <w:tcW w:w="708" w:type="dxa"/>
                  <w:tcBorders>
                    <w:top w:val="nil"/>
                    <w:left w:val="nil"/>
                    <w:bottom w:val="nil"/>
                    <w:right w:val="single" w:sz="4" w:space="0" w:color="auto"/>
                  </w:tcBorders>
                  <w:shd w:val="clear" w:color="auto" w:fill="auto"/>
                  <w:noWrap/>
                  <w:vAlign w:val="bottom"/>
                  <w:hideMark/>
                </w:tcPr>
                <w:p w14:paraId="195F7F11"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642015</w:t>
                  </w:r>
                </w:p>
              </w:tc>
              <w:tc>
                <w:tcPr>
                  <w:tcW w:w="567" w:type="dxa"/>
                  <w:tcBorders>
                    <w:top w:val="nil"/>
                    <w:left w:val="nil"/>
                    <w:bottom w:val="nil"/>
                    <w:right w:val="single" w:sz="4" w:space="0" w:color="auto"/>
                  </w:tcBorders>
                  <w:shd w:val="clear" w:color="auto" w:fill="auto"/>
                  <w:noWrap/>
                  <w:vAlign w:val="center"/>
                  <w:hideMark/>
                </w:tcPr>
                <w:p w14:paraId="7F9A5D41"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bottom"/>
                  <w:hideMark/>
                </w:tcPr>
                <w:p w14:paraId="5FF87BA6" w14:textId="77777777" w:rsidR="00C45D5B" w:rsidRPr="001B009D" w:rsidRDefault="00C45D5B" w:rsidP="00CF774B">
                  <w:pPr>
                    <w:jc w:val="center"/>
                    <w:rPr>
                      <w:rFonts w:cs="Calibri"/>
                      <w:color w:val="000000"/>
                      <w:sz w:val="16"/>
                      <w:szCs w:val="16"/>
                    </w:rPr>
                  </w:pPr>
                  <w:r w:rsidRPr="001B009D">
                    <w:rPr>
                      <w:rFonts w:cs="Calibri"/>
                      <w:color w:val="000000"/>
                      <w:sz w:val="16"/>
                      <w:szCs w:val="16"/>
                    </w:rPr>
                    <w:t>106</w:t>
                  </w:r>
                </w:p>
              </w:tc>
              <w:tc>
                <w:tcPr>
                  <w:tcW w:w="589" w:type="dxa"/>
                  <w:tcBorders>
                    <w:top w:val="nil"/>
                    <w:left w:val="nil"/>
                    <w:bottom w:val="nil"/>
                    <w:right w:val="single" w:sz="4" w:space="0" w:color="auto"/>
                  </w:tcBorders>
                  <w:shd w:val="clear" w:color="auto" w:fill="auto"/>
                  <w:noWrap/>
                  <w:vAlign w:val="bottom"/>
                  <w:hideMark/>
                </w:tcPr>
                <w:p w14:paraId="5AAC8504" w14:textId="77777777" w:rsidR="00C45D5B" w:rsidRPr="001B009D" w:rsidRDefault="00C45D5B" w:rsidP="00CF774B">
                  <w:pPr>
                    <w:jc w:val="center"/>
                    <w:rPr>
                      <w:rFonts w:cs="Calibri"/>
                      <w:color w:val="000000"/>
                      <w:sz w:val="16"/>
                      <w:szCs w:val="16"/>
                    </w:rPr>
                  </w:pPr>
                  <w:r w:rsidRPr="001B009D">
                    <w:rPr>
                      <w:rFonts w:cs="Calibri"/>
                      <w:color w:val="000000"/>
                      <w:sz w:val="16"/>
                      <w:szCs w:val="16"/>
                    </w:rPr>
                    <w:t>0,12</w:t>
                  </w:r>
                </w:p>
              </w:tc>
              <w:tc>
                <w:tcPr>
                  <w:tcW w:w="545" w:type="dxa"/>
                  <w:tcBorders>
                    <w:top w:val="nil"/>
                    <w:left w:val="nil"/>
                    <w:bottom w:val="nil"/>
                    <w:right w:val="nil"/>
                  </w:tcBorders>
                  <w:shd w:val="clear" w:color="auto" w:fill="auto"/>
                  <w:noWrap/>
                  <w:vAlign w:val="center"/>
                  <w:hideMark/>
                </w:tcPr>
                <w:p w14:paraId="2777D201" w14:textId="77777777" w:rsidR="00C45D5B" w:rsidRPr="001B009D" w:rsidRDefault="00C45D5B" w:rsidP="00CF774B">
                  <w:pPr>
                    <w:jc w:val="center"/>
                    <w:rPr>
                      <w:rFonts w:cs="Calibri"/>
                      <w:color w:val="000000"/>
                      <w:sz w:val="16"/>
                      <w:szCs w:val="16"/>
                    </w:rPr>
                  </w:pPr>
                  <w:r w:rsidRPr="001B009D">
                    <w:rPr>
                      <w:rFonts w:cs="Calibri"/>
                      <w:color w:val="000000"/>
                      <w:sz w:val="16"/>
                      <w:szCs w:val="16"/>
                    </w:rPr>
                    <w:t>211</w:t>
                  </w:r>
                </w:p>
              </w:tc>
              <w:tc>
                <w:tcPr>
                  <w:tcW w:w="709" w:type="dxa"/>
                  <w:tcBorders>
                    <w:top w:val="nil"/>
                    <w:left w:val="nil"/>
                    <w:bottom w:val="nil"/>
                    <w:right w:val="single" w:sz="4" w:space="0" w:color="auto"/>
                  </w:tcBorders>
                  <w:shd w:val="clear" w:color="auto" w:fill="auto"/>
                  <w:noWrap/>
                  <w:vAlign w:val="bottom"/>
                  <w:hideMark/>
                </w:tcPr>
                <w:p w14:paraId="3AC04B40" w14:textId="77777777" w:rsidR="00C45D5B" w:rsidRPr="001B009D" w:rsidRDefault="00C45D5B" w:rsidP="00CF774B">
                  <w:pPr>
                    <w:jc w:val="center"/>
                    <w:rPr>
                      <w:rFonts w:cs="Calibri"/>
                      <w:color w:val="000000"/>
                      <w:sz w:val="16"/>
                      <w:szCs w:val="16"/>
                    </w:rPr>
                  </w:pPr>
                  <w:r w:rsidRPr="001B009D">
                    <w:rPr>
                      <w:rFonts w:cs="Calibri"/>
                      <w:color w:val="000000"/>
                      <w:sz w:val="16"/>
                      <w:szCs w:val="16"/>
                    </w:rPr>
                    <w:t>0,22</w:t>
                  </w:r>
                </w:p>
              </w:tc>
              <w:tc>
                <w:tcPr>
                  <w:tcW w:w="567" w:type="dxa"/>
                  <w:tcBorders>
                    <w:top w:val="nil"/>
                    <w:left w:val="nil"/>
                    <w:bottom w:val="nil"/>
                    <w:right w:val="nil"/>
                  </w:tcBorders>
                  <w:shd w:val="clear" w:color="auto" w:fill="auto"/>
                  <w:noWrap/>
                  <w:vAlign w:val="bottom"/>
                  <w:hideMark/>
                </w:tcPr>
                <w:p w14:paraId="7E13BCC0" w14:textId="77777777" w:rsidR="00C45D5B" w:rsidRPr="001B009D" w:rsidRDefault="00C45D5B" w:rsidP="00CF774B">
                  <w:pPr>
                    <w:jc w:val="center"/>
                    <w:rPr>
                      <w:rFonts w:cs="Calibri"/>
                      <w:color w:val="000000"/>
                      <w:sz w:val="16"/>
                      <w:szCs w:val="16"/>
                    </w:rPr>
                  </w:pPr>
                  <w:r w:rsidRPr="001B009D">
                    <w:rPr>
                      <w:rFonts w:cs="Calibri"/>
                      <w:color w:val="000000"/>
                      <w:sz w:val="16"/>
                      <w:szCs w:val="16"/>
                    </w:rPr>
                    <w:t>61</w:t>
                  </w:r>
                </w:p>
              </w:tc>
              <w:tc>
                <w:tcPr>
                  <w:tcW w:w="709" w:type="dxa"/>
                  <w:tcBorders>
                    <w:top w:val="nil"/>
                    <w:left w:val="nil"/>
                    <w:bottom w:val="nil"/>
                    <w:right w:val="single" w:sz="4" w:space="0" w:color="auto"/>
                  </w:tcBorders>
                  <w:shd w:val="clear" w:color="auto" w:fill="auto"/>
                  <w:noWrap/>
                  <w:vAlign w:val="bottom"/>
                  <w:hideMark/>
                </w:tcPr>
                <w:p w14:paraId="563CFE2C" w14:textId="77777777" w:rsidR="00C45D5B" w:rsidRPr="001B009D" w:rsidRDefault="00C45D5B" w:rsidP="00CF774B">
                  <w:pPr>
                    <w:jc w:val="center"/>
                    <w:rPr>
                      <w:rFonts w:cs="Calibri"/>
                      <w:color w:val="000000"/>
                      <w:sz w:val="16"/>
                      <w:szCs w:val="16"/>
                    </w:rPr>
                  </w:pPr>
                  <w:r w:rsidRPr="001B009D">
                    <w:rPr>
                      <w:rFonts w:cs="Calibri"/>
                      <w:color w:val="000000"/>
                      <w:sz w:val="16"/>
                      <w:szCs w:val="16"/>
                    </w:rPr>
                    <w:t>0,06</w:t>
                  </w:r>
                </w:p>
              </w:tc>
              <w:tc>
                <w:tcPr>
                  <w:tcW w:w="567" w:type="dxa"/>
                  <w:tcBorders>
                    <w:top w:val="nil"/>
                    <w:left w:val="nil"/>
                    <w:bottom w:val="nil"/>
                    <w:right w:val="nil"/>
                  </w:tcBorders>
                  <w:shd w:val="clear" w:color="auto" w:fill="auto"/>
                  <w:noWrap/>
                  <w:vAlign w:val="center"/>
                  <w:hideMark/>
                </w:tcPr>
                <w:p w14:paraId="7CEFB187" w14:textId="77777777" w:rsidR="00C45D5B" w:rsidRPr="001B009D" w:rsidRDefault="00C45D5B" w:rsidP="00CF774B">
                  <w:pPr>
                    <w:jc w:val="center"/>
                    <w:rPr>
                      <w:rFonts w:cs="Calibri"/>
                      <w:color w:val="000000"/>
                      <w:sz w:val="16"/>
                      <w:szCs w:val="16"/>
                    </w:rPr>
                  </w:pPr>
                  <w:r w:rsidRPr="001B009D">
                    <w:rPr>
                      <w:rFonts w:cs="Calibri"/>
                      <w:color w:val="000000"/>
                      <w:sz w:val="16"/>
                      <w:szCs w:val="16"/>
                    </w:rPr>
                    <w:t>378</w:t>
                  </w:r>
                </w:p>
              </w:tc>
              <w:tc>
                <w:tcPr>
                  <w:tcW w:w="770" w:type="dxa"/>
                  <w:tcBorders>
                    <w:top w:val="nil"/>
                    <w:left w:val="nil"/>
                    <w:bottom w:val="nil"/>
                    <w:right w:val="nil"/>
                  </w:tcBorders>
                  <w:shd w:val="clear" w:color="auto" w:fill="auto"/>
                  <w:noWrap/>
                  <w:vAlign w:val="center"/>
                  <w:hideMark/>
                </w:tcPr>
                <w:p w14:paraId="127A7631" w14:textId="77777777" w:rsidR="00C45D5B" w:rsidRPr="001B009D" w:rsidRDefault="00C45D5B" w:rsidP="00CF774B">
                  <w:pPr>
                    <w:jc w:val="center"/>
                    <w:rPr>
                      <w:rFonts w:cs="Calibri"/>
                      <w:color w:val="000000"/>
                      <w:sz w:val="16"/>
                      <w:szCs w:val="16"/>
                    </w:rPr>
                  </w:pPr>
                  <w:r w:rsidRPr="001B009D">
                    <w:rPr>
                      <w:rFonts w:cs="Calibri"/>
                      <w:color w:val="000000"/>
                      <w:sz w:val="16"/>
                      <w:szCs w:val="16"/>
                    </w:rPr>
                    <w:t>0,39</w:t>
                  </w:r>
                </w:p>
              </w:tc>
            </w:tr>
            <w:tr w:rsidR="00C45D5B" w:rsidRPr="004F7036" w14:paraId="2E7EF3DD"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605D196E" w14:textId="77777777" w:rsidR="00C45D5B" w:rsidRPr="001B009D" w:rsidRDefault="00C45D5B" w:rsidP="00CF774B">
                  <w:pPr>
                    <w:rPr>
                      <w:rFonts w:cs="Calibri"/>
                      <w:color w:val="000000"/>
                      <w:sz w:val="16"/>
                      <w:szCs w:val="16"/>
                    </w:rPr>
                  </w:pPr>
                  <w:r w:rsidRPr="001B009D">
                    <w:rPr>
                      <w:rFonts w:cs="Calibri"/>
                      <w:color w:val="000000"/>
                      <w:sz w:val="16"/>
                      <w:szCs w:val="16"/>
                    </w:rPr>
                    <w:t>Ošetrovné (OČR) - dávky vyplatené nad úrovňou roka 2019 (indexované)</w:t>
                  </w:r>
                </w:p>
              </w:tc>
              <w:tc>
                <w:tcPr>
                  <w:tcW w:w="708" w:type="dxa"/>
                  <w:tcBorders>
                    <w:top w:val="nil"/>
                    <w:left w:val="nil"/>
                    <w:bottom w:val="nil"/>
                    <w:right w:val="single" w:sz="4" w:space="0" w:color="auto"/>
                  </w:tcBorders>
                  <w:shd w:val="clear" w:color="auto" w:fill="auto"/>
                  <w:noWrap/>
                  <w:vAlign w:val="bottom"/>
                  <w:hideMark/>
                </w:tcPr>
                <w:p w14:paraId="6EA56FE4"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642015</w:t>
                  </w:r>
                </w:p>
              </w:tc>
              <w:tc>
                <w:tcPr>
                  <w:tcW w:w="567" w:type="dxa"/>
                  <w:tcBorders>
                    <w:top w:val="nil"/>
                    <w:left w:val="nil"/>
                    <w:bottom w:val="nil"/>
                    <w:right w:val="single" w:sz="4" w:space="0" w:color="auto"/>
                  </w:tcBorders>
                  <w:shd w:val="clear" w:color="auto" w:fill="auto"/>
                  <w:noWrap/>
                  <w:vAlign w:val="bottom"/>
                  <w:hideMark/>
                </w:tcPr>
                <w:p w14:paraId="5BC28359"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bottom"/>
                  <w:hideMark/>
                </w:tcPr>
                <w:p w14:paraId="5035E18C" w14:textId="77777777" w:rsidR="00C45D5B" w:rsidRPr="001B009D" w:rsidRDefault="00C45D5B" w:rsidP="00CF774B">
                  <w:pPr>
                    <w:jc w:val="center"/>
                    <w:rPr>
                      <w:rFonts w:cs="Calibri"/>
                      <w:color w:val="000000"/>
                      <w:sz w:val="16"/>
                      <w:szCs w:val="16"/>
                    </w:rPr>
                  </w:pPr>
                  <w:r w:rsidRPr="001B009D">
                    <w:rPr>
                      <w:rFonts w:cs="Calibri"/>
                      <w:color w:val="000000"/>
                      <w:sz w:val="16"/>
                      <w:szCs w:val="16"/>
                    </w:rPr>
                    <w:t>133</w:t>
                  </w:r>
                </w:p>
              </w:tc>
              <w:tc>
                <w:tcPr>
                  <w:tcW w:w="589" w:type="dxa"/>
                  <w:tcBorders>
                    <w:top w:val="nil"/>
                    <w:left w:val="nil"/>
                    <w:bottom w:val="nil"/>
                    <w:right w:val="single" w:sz="4" w:space="0" w:color="auto"/>
                  </w:tcBorders>
                  <w:shd w:val="clear" w:color="auto" w:fill="auto"/>
                  <w:noWrap/>
                  <w:vAlign w:val="bottom"/>
                  <w:hideMark/>
                </w:tcPr>
                <w:p w14:paraId="3E1A8722" w14:textId="77777777" w:rsidR="00C45D5B" w:rsidRPr="001B009D" w:rsidRDefault="00C45D5B" w:rsidP="00CF774B">
                  <w:pPr>
                    <w:jc w:val="center"/>
                    <w:rPr>
                      <w:rFonts w:cs="Calibri"/>
                      <w:color w:val="000000"/>
                      <w:sz w:val="16"/>
                      <w:szCs w:val="16"/>
                    </w:rPr>
                  </w:pPr>
                  <w:r w:rsidRPr="001B009D">
                    <w:rPr>
                      <w:rFonts w:cs="Calibri"/>
                      <w:color w:val="000000"/>
                      <w:sz w:val="16"/>
                      <w:szCs w:val="16"/>
                    </w:rPr>
                    <w:t>0,14</w:t>
                  </w:r>
                </w:p>
              </w:tc>
              <w:tc>
                <w:tcPr>
                  <w:tcW w:w="545" w:type="dxa"/>
                  <w:tcBorders>
                    <w:top w:val="nil"/>
                    <w:left w:val="nil"/>
                    <w:bottom w:val="nil"/>
                    <w:right w:val="nil"/>
                  </w:tcBorders>
                  <w:shd w:val="clear" w:color="auto" w:fill="auto"/>
                  <w:noWrap/>
                  <w:vAlign w:val="center"/>
                  <w:hideMark/>
                </w:tcPr>
                <w:p w14:paraId="1ABF03F0" w14:textId="77777777" w:rsidR="00C45D5B" w:rsidRPr="001B009D" w:rsidRDefault="00C45D5B" w:rsidP="00CF774B">
                  <w:pPr>
                    <w:jc w:val="center"/>
                    <w:rPr>
                      <w:rFonts w:cs="Calibri"/>
                      <w:color w:val="000000"/>
                      <w:sz w:val="16"/>
                      <w:szCs w:val="16"/>
                    </w:rPr>
                  </w:pPr>
                  <w:r w:rsidRPr="001B009D">
                    <w:rPr>
                      <w:rFonts w:cs="Calibri"/>
                      <w:color w:val="000000"/>
                      <w:sz w:val="16"/>
                      <w:szCs w:val="16"/>
                    </w:rPr>
                    <w:t>35</w:t>
                  </w:r>
                </w:p>
              </w:tc>
              <w:tc>
                <w:tcPr>
                  <w:tcW w:w="709" w:type="dxa"/>
                  <w:tcBorders>
                    <w:top w:val="nil"/>
                    <w:left w:val="nil"/>
                    <w:bottom w:val="nil"/>
                    <w:right w:val="single" w:sz="4" w:space="0" w:color="auto"/>
                  </w:tcBorders>
                  <w:shd w:val="clear" w:color="auto" w:fill="auto"/>
                  <w:noWrap/>
                  <w:vAlign w:val="bottom"/>
                  <w:hideMark/>
                </w:tcPr>
                <w:p w14:paraId="2D06C6D6" w14:textId="77777777" w:rsidR="00C45D5B" w:rsidRPr="001B009D" w:rsidRDefault="00C45D5B" w:rsidP="00CF774B">
                  <w:pPr>
                    <w:jc w:val="center"/>
                    <w:rPr>
                      <w:rFonts w:cs="Calibri"/>
                      <w:color w:val="000000"/>
                      <w:sz w:val="16"/>
                      <w:szCs w:val="16"/>
                    </w:rPr>
                  </w:pPr>
                  <w:r w:rsidRPr="001B009D">
                    <w:rPr>
                      <w:rFonts w:cs="Calibri"/>
                      <w:color w:val="000000"/>
                      <w:sz w:val="16"/>
                      <w:szCs w:val="16"/>
                    </w:rPr>
                    <w:t>0,04</w:t>
                  </w:r>
                </w:p>
              </w:tc>
              <w:tc>
                <w:tcPr>
                  <w:tcW w:w="567" w:type="dxa"/>
                  <w:tcBorders>
                    <w:top w:val="nil"/>
                    <w:left w:val="nil"/>
                    <w:bottom w:val="nil"/>
                    <w:right w:val="nil"/>
                  </w:tcBorders>
                  <w:shd w:val="clear" w:color="auto" w:fill="auto"/>
                  <w:noWrap/>
                  <w:vAlign w:val="bottom"/>
                  <w:hideMark/>
                </w:tcPr>
                <w:p w14:paraId="7806BF81" w14:textId="77777777" w:rsidR="00C45D5B" w:rsidRPr="001B009D" w:rsidRDefault="00C45D5B" w:rsidP="00CF774B">
                  <w:pPr>
                    <w:jc w:val="center"/>
                    <w:rPr>
                      <w:rFonts w:cs="Calibri"/>
                      <w:color w:val="000000"/>
                      <w:sz w:val="16"/>
                      <w:szCs w:val="16"/>
                    </w:rPr>
                  </w:pPr>
                  <w:r w:rsidRPr="001B009D">
                    <w:rPr>
                      <w:rFonts w:cs="Calibri"/>
                      <w:color w:val="000000"/>
                      <w:sz w:val="16"/>
                      <w:szCs w:val="16"/>
                    </w:rPr>
                    <w:t>11</w:t>
                  </w:r>
                </w:p>
              </w:tc>
              <w:tc>
                <w:tcPr>
                  <w:tcW w:w="709" w:type="dxa"/>
                  <w:tcBorders>
                    <w:top w:val="nil"/>
                    <w:left w:val="nil"/>
                    <w:bottom w:val="nil"/>
                    <w:right w:val="single" w:sz="4" w:space="0" w:color="auto"/>
                  </w:tcBorders>
                  <w:shd w:val="clear" w:color="auto" w:fill="auto"/>
                  <w:noWrap/>
                  <w:vAlign w:val="bottom"/>
                  <w:hideMark/>
                </w:tcPr>
                <w:p w14:paraId="35EDA7CF"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bottom"/>
                  <w:hideMark/>
                </w:tcPr>
                <w:p w14:paraId="794B720F" w14:textId="77777777" w:rsidR="00C45D5B" w:rsidRPr="001B009D" w:rsidRDefault="00C45D5B" w:rsidP="00CF774B">
                  <w:pPr>
                    <w:jc w:val="center"/>
                    <w:rPr>
                      <w:rFonts w:cs="Calibri"/>
                      <w:color w:val="000000"/>
                      <w:sz w:val="16"/>
                      <w:szCs w:val="16"/>
                    </w:rPr>
                  </w:pPr>
                  <w:r w:rsidRPr="001B009D">
                    <w:rPr>
                      <w:rFonts w:cs="Calibri"/>
                      <w:color w:val="000000"/>
                      <w:sz w:val="16"/>
                      <w:szCs w:val="16"/>
                    </w:rPr>
                    <w:t>180</w:t>
                  </w:r>
                </w:p>
              </w:tc>
              <w:tc>
                <w:tcPr>
                  <w:tcW w:w="770" w:type="dxa"/>
                  <w:tcBorders>
                    <w:top w:val="nil"/>
                    <w:left w:val="nil"/>
                    <w:bottom w:val="nil"/>
                    <w:right w:val="nil"/>
                  </w:tcBorders>
                  <w:shd w:val="clear" w:color="auto" w:fill="auto"/>
                  <w:noWrap/>
                  <w:vAlign w:val="bottom"/>
                  <w:hideMark/>
                </w:tcPr>
                <w:p w14:paraId="5E639CB0" w14:textId="77777777" w:rsidR="00C45D5B" w:rsidRPr="001B009D" w:rsidRDefault="00C45D5B" w:rsidP="00CF774B">
                  <w:pPr>
                    <w:jc w:val="center"/>
                    <w:rPr>
                      <w:rFonts w:cs="Calibri"/>
                      <w:color w:val="000000"/>
                      <w:sz w:val="16"/>
                      <w:szCs w:val="16"/>
                    </w:rPr>
                  </w:pPr>
                  <w:r w:rsidRPr="001B009D">
                    <w:rPr>
                      <w:rFonts w:cs="Calibri"/>
                      <w:color w:val="000000"/>
                      <w:sz w:val="16"/>
                      <w:szCs w:val="16"/>
                    </w:rPr>
                    <w:t>0,19</w:t>
                  </w:r>
                </w:p>
              </w:tc>
            </w:tr>
            <w:tr w:rsidR="00C45D5B" w:rsidRPr="004F7036" w14:paraId="2EEDF16B" w14:textId="77777777" w:rsidTr="00CF774B">
              <w:trPr>
                <w:trHeight w:val="289"/>
              </w:trPr>
              <w:tc>
                <w:tcPr>
                  <w:tcW w:w="2621" w:type="dxa"/>
                  <w:tcBorders>
                    <w:top w:val="single" w:sz="4" w:space="0" w:color="auto"/>
                    <w:left w:val="nil"/>
                    <w:bottom w:val="single" w:sz="4" w:space="0" w:color="auto"/>
                    <w:right w:val="single" w:sz="4" w:space="0" w:color="auto"/>
                  </w:tcBorders>
                  <w:shd w:val="clear" w:color="auto" w:fill="auto"/>
                  <w:noWrap/>
                  <w:vAlign w:val="center"/>
                  <w:hideMark/>
                </w:tcPr>
                <w:p w14:paraId="575E3CA7" w14:textId="77777777" w:rsidR="00C45D5B" w:rsidRPr="001B009D" w:rsidRDefault="00C45D5B" w:rsidP="00CF774B">
                  <w:pPr>
                    <w:rPr>
                      <w:rFonts w:cs="Calibri"/>
                      <w:b/>
                      <w:bCs/>
                      <w:color w:val="000000"/>
                      <w:sz w:val="16"/>
                      <w:szCs w:val="16"/>
                    </w:rPr>
                  </w:pPr>
                  <w:r w:rsidRPr="001B009D">
                    <w:rPr>
                      <w:rFonts w:cs="Calibri"/>
                      <w:b/>
                      <w:bCs/>
                      <w:color w:val="000000"/>
                      <w:sz w:val="16"/>
                      <w:szCs w:val="16"/>
                    </w:rPr>
                    <w:t>Odpustenie daní a odvodov</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549A49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53B169C"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vAlign w:val="center"/>
                  <w:hideMark/>
                </w:tcPr>
                <w:p w14:paraId="46DF2089"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90</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14:paraId="78EFF4A5"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0,10</w:t>
                  </w:r>
                </w:p>
              </w:tc>
              <w:tc>
                <w:tcPr>
                  <w:tcW w:w="545" w:type="dxa"/>
                  <w:tcBorders>
                    <w:top w:val="single" w:sz="4" w:space="0" w:color="auto"/>
                    <w:left w:val="nil"/>
                    <w:bottom w:val="single" w:sz="4" w:space="0" w:color="auto"/>
                    <w:right w:val="nil"/>
                  </w:tcBorders>
                  <w:shd w:val="clear" w:color="auto" w:fill="auto"/>
                  <w:noWrap/>
                  <w:vAlign w:val="center"/>
                  <w:hideMark/>
                </w:tcPr>
                <w:p w14:paraId="288945B8"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446D59"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0,02</w:t>
                  </w:r>
                </w:p>
              </w:tc>
              <w:tc>
                <w:tcPr>
                  <w:tcW w:w="567" w:type="dxa"/>
                  <w:tcBorders>
                    <w:top w:val="single" w:sz="4" w:space="0" w:color="auto"/>
                    <w:left w:val="nil"/>
                    <w:bottom w:val="single" w:sz="4" w:space="0" w:color="auto"/>
                    <w:right w:val="nil"/>
                  </w:tcBorders>
                  <w:shd w:val="clear" w:color="auto" w:fill="auto"/>
                  <w:noWrap/>
                  <w:vAlign w:val="center"/>
                  <w:hideMark/>
                </w:tcPr>
                <w:p w14:paraId="1D23D07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00421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vAlign w:val="center"/>
                  <w:hideMark/>
                </w:tcPr>
                <w:p w14:paraId="5EF51BD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108</w:t>
                  </w:r>
                </w:p>
              </w:tc>
              <w:tc>
                <w:tcPr>
                  <w:tcW w:w="770" w:type="dxa"/>
                  <w:tcBorders>
                    <w:top w:val="single" w:sz="4" w:space="0" w:color="auto"/>
                    <w:left w:val="nil"/>
                    <w:bottom w:val="single" w:sz="4" w:space="0" w:color="auto"/>
                    <w:right w:val="nil"/>
                  </w:tcBorders>
                  <w:shd w:val="clear" w:color="auto" w:fill="auto"/>
                  <w:noWrap/>
                  <w:vAlign w:val="center"/>
                  <w:hideMark/>
                </w:tcPr>
                <w:p w14:paraId="7C38ED2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0,11</w:t>
                  </w:r>
                </w:p>
              </w:tc>
            </w:tr>
            <w:tr w:rsidR="00C45D5B" w:rsidRPr="004F7036" w14:paraId="5D9F7607"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79535508" w14:textId="77777777" w:rsidR="00C45D5B" w:rsidRPr="001B009D" w:rsidRDefault="00C45D5B" w:rsidP="00CF774B">
                  <w:pPr>
                    <w:rPr>
                      <w:rFonts w:cs="Calibri"/>
                      <w:color w:val="000000"/>
                      <w:sz w:val="16"/>
                      <w:szCs w:val="16"/>
                    </w:rPr>
                  </w:pPr>
                  <w:r w:rsidRPr="001B009D">
                    <w:rPr>
                      <w:rFonts w:cs="Calibri"/>
                      <w:color w:val="000000"/>
                      <w:sz w:val="16"/>
                      <w:szCs w:val="16"/>
                    </w:rPr>
                    <w:t>Odpustenie sociálnych odvodov za apríl</w:t>
                  </w:r>
                </w:p>
              </w:tc>
              <w:tc>
                <w:tcPr>
                  <w:tcW w:w="708" w:type="dxa"/>
                  <w:tcBorders>
                    <w:top w:val="nil"/>
                    <w:left w:val="nil"/>
                    <w:bottom w:val="nil"/>
                    <w:right w:val="single" w:sz="4" w:space="0" w:color="auto"/>
                  </w:tcBorders>
                  <w:shd w:val="clear" w:color="auto" w:fill="auto"/>
                  <w:noWrap/>
                  <w:vAlign w:val="bottom"/>
                  <w:hideMark/>
                </w:tcPr>
                <w:p w14:paraId="0CF218D5"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3EAF5FD9" w14:textId="77777777" w:rsidR="00C45D5B" w:rsidRPr="001B009D" w:rsidRDefault="00C45D5B" w:rsidP="00CF774B">
                  <w:pPr>
                    <w:jc w:val="center"/>
                    <w:rPr>
                      <w:rFonts w:cs="Calibri"/>
                      <w:color w:val="000000"/>
                      <w:sz w:val="16"/>
                      <w:szCs w:val="16"/>
                    </w:rPr>
                  </w:pPr>
                  <w:r w:rsidRPr="001B009D">
                    <w:rPr>
                      <w:rFonts w:cs="Calibri"/>
                      <w:color w:val="000000"/>
                      <w:sz w:val="16"/>
                      <w:szCs w:val="16"/>
                    </w:rPr>
                    <w:t>D.61</w:t>
                  </w:r>
                </w:p>
              </w:tc>
              <w:tc>
                <w:tcPr>
                  <w:tcW w:w="567" w:type="dxa"/>
                  <w:tcBorders>
                    <w:top w:val="nil"/>
                    <w:left w:val="nil"/>
                    <w:bottom w:val="nil"/>
                    <w:right w:val="nil"/>
                  </w:tcBorders>
                  <w:shd w:val="clear" w:color="auto" w:fill="auto"/>
                  <w:noWrap/>
                  <w:vAlign w:val="bottom"/>
                  <w:hideMark/>
                </w:tcPr>
                <w:p w14:paraId="68FCD1B6" w14:textId="77777777" w:rsidR="00C45D5B" w:rsidRPr="001B009D" w:rsidRDefault="00C45D5B" w:rsidP="00CF774B">
                  <w:pPr>
                    <w:jc w:val="center"/>
                    <w:rPr>
                      <w:rFonts w:cs="Calibri"/>
                      <w:color w:val="000000"/>
                      <w:sz w:val="16"/>
                      <w:szCs w:val="16"/>
                    </w:rPr>
                  </w:pPr>
                  <w:r w:rsidRPr="001B009D">
                    <w:rPr>
                      <w:rFonts w:cs="Calibri"/>
                      <w:color w:val="000000"/>
                      <w:sz w:val="16"/>
                      <w:szCs w:val="16"/>
                    </w:rPr>
                    <w:t>57</w:t>
                  </w:r>
                </w:p>
              </w:tc>
              <w:tc>
                <w:tcPr>
                  <w:tcW w:w="589" w:type="dxa"/>
                  <w:tcBorders>
                    <w:top w:val="nil"/>
                    <w:left w:val="nil"/>
                    <w:bottom w:val="nil"/>
                    <w:right w:val="single" w:sz="4" w:space="0" w:color="auto"/>
                  </w:tcBorders>
                  <w:shd w:val="clear" w:color="auto" w:fill="auto"/>
                  <w:noWrap/>
                  <w:vAlign w:val="bottom"/>
                  <w:hideMark/>
                </w:tcPr>
                <w:p w14:paraId="460610B4" w14:textId="77777777" w:rsidR="00C45D5B" w:rsidRPr="001B009D" w:rsidRDefault="00C45D5B" w:rsidP="00CF774B">
                  <w:pPr>
                    <w:jc w:val="center"/>
                    <w:rPr>
                      <w:rFonts w:cs="Calibri"/>
                      <w:color w:val="000000"/>
                      <w:sz w:val="16"/>
                      <w:szCs w:val="16"/>
                    </w:rPr>
                  </w:pPr>
                  <w:r w:rsidRPr="001B009D">
                    <w:rPr>
                      <w:rFonts w:cs="Calibri"/>
                      <w:color w:val="000000"/>
                      <w:sz w:val="16"/>
                      <w:szCs w:val="16"/>
                    </w:rPr>
                    <w:t>0,06</w:t>
                  </w:r>
                </w:p>
              </w:tc>
              <w:tc>
                <w:tcPr>
                  <w:tcW w:w="545" w:type="dxa"/>
                  <w:tcBorders>
                    <w:top w:val="nil"/>
                    <w:left w:val="nil"/>
                    <w:bottom w:val="nil"/>
                    <w:right w:val="nil"/>
                  </w:tcBorders>
                  <w:shd w:val="clear" w:color="auto" w:fill="auto"/>
                  <w:noWrap/>
                  <w:vAlign w:val="bottom"/>
                  <w:hideMark/>
                </w:tcPr>
                <w:p w14:paraId="71BB9E35"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45B148C5"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3D418E99"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1708660A"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383F5B09" w14:textId="77777777" w:rsidR="00C45D5B" w:rsidRPr="001B009D" w:rsidRDefault="00C45D5B" w:rsidP="00CF774B">
                  <w:pPr>
                    <w:jc w:val="center"/>
                    <w:rPr>
                      <w:rFonts w:cs="Calibri"/>
                      <w:color w:val="000000"/>
                      <w:sz w:val="16"/>
                      <w:szCs w:val="16"/>
                    </w:rPr>
                  </w:pPr>
                  <w:r w:rsidRPr="001B009D">
                    <w:rPr>
                      <w:rFonts w:cs="Calibri"/>
                      <w:color w:val="000000"/>
                      <w:sz w:val="16"/>
                      <w:szCs w:val="16"/>
                    </w:rPr>
                    <w:t>57</w:t>
                  </w:r>
                </w:p>
              </w:tc>
              <w:tc>
                <w:tcPr>
                  <w:tcW w:w="770" w:type="dxa"/>
                  <w:tcBorders>
                    <w:top w:val="nil"/>
                    <w:left w:val="nil"/>
                    <w:bottom w:val="nil"/>
                    <w:right w:val="nil"/>
                  </w:tcBorders>
                  <w:shd w:val="clear" w:color="auto" w:fill="auto"/>
                  <w:noWrap/>
                  <w:vAlign w:val="bottom"/>
                  <w:hideMark/>
                </w:tcPr>
                <w:p w14:paraId="71943418" w14:textId="77777777" w:rsidR="00C45D5B" w:rsidRPr="001B009D" w:rsidRDefault="00C45D5B" w:rsidP="00CF774B">
                  <w:pPr>
                    <w:jc w:val="center"/>
                    <w:rPr>
                      <w:rFonts w:cs="Calibri"/>
                      <w:color w:val="000000"/>
                      <w:sz w:val="16"/>
                      <w:szCs w:val="16"/>
                    </w:rPr>
                  </w:pPr>
                  <w:r w:rsidRPr="001B009D">
                    <w:rPr>
                      <w:rFonts w:cs="Calibri"/>
                      <w:color w:val="000000"/>
                      <w:sz w:val="16"/>
                      <w:szCs w:val="16"/>
                    </w:rPr>
                    <w:t>0,06</w:t>
                  </w:r>
                </w:p>
              </w:tc>
            </w:tr>
            <w:tr w:rsidR="00C45D5B" w:rsidRPr="004F7036" w14:paraId="2DCC29F3"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497FC761" w14:textId="77777777" w:rsidR="00C45D5B" w:rsidRPr="001B009D" w:rsidRDefault="00C45D5B" w:rsidP="00CF774B">
                  <w:pPr>
                    <w:rPr>
                      <w:rFonts w:cs="Calibri"/>
                      <w:color w:val="000000"/>
                      <w:sz w:val="16"/>
                      <w:szCs w:val="16"/>
                    </w:rPr>
                  </w:pPr>
                  <w:r w:rsidRPr="001B009D">
                    <w:rPr>
                      <w:rFonts w:cs="Calibri"/>
                      <w:color w:val="000000"/>
                      <w:sz w:val="16"/>
                      <w:szCs w:val="16"/>
                    </w:rPr>
                    <w:t xml:space="preserve">Odpočet firemných strát z rokov 2015-18 </w:t>
                  </w:r>
                </w:p>
              </w:tc>
              <w:tc>
                <w:tcPr>
                  <w:tcW w:w="708" w:type="dxa"/>
                  <w:tcBorders>
                    <w:top w:val="nil"/>
                    <w:left w:val="nil"/>
                    <w:bottom w:val="nil"/>
                    <w:right w:val="single" w:sz="4" w:space="0" w:color="auto"/>
                  </w:tcBorders>
                  <w:shd w:val="clear" w:color="auto" w:fill="auto"/>
                  <w:noWrap/>
                  <w:vAlign w:val="bottom"/>
                  <w:hideMark/>
                </w:tcPr>
                <w:p w14:paraId="4610B01A"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0940A373" w14:textId="77777777" w:rsidR="00C45D5B" w:rsidRPr="001B009D" w:rsidRDefault="00C45D5B" w:rsidP="00CF774B">
                  <w:pPr>
                    <w:jc w:val="center"/>
                    <w:rPr>
                      <w:rFonts w:cs="Calibri"/>
                      <w:color w:val="000000"/>
                      <w:sz w:val="16"/>
                      <w:szCs w:val="16"/>
                    </w:rPr>
                  </w:pPr>
                  <w:r w:rsidRPr="001B009D">
                    <w:rPr>
                      <w:rFonts w:cs="Calibri"/>
                      <w:color w:val="000000"/>
                      <w:sz w:val="16"/>
                      <w:szCs w:val="16"/>
                    </w:rPr>
                    <w:t>D.51B</w:t>
                  </w:r>
                </w:p>
              </w:tc>
              <w:tc>
                <w:tcPr>
                  <w:tcW w:w="567" w:type="dxa"/>
                  <w:tcBorders>
                    <w:top w:val="nil"/>
                    <w:left w:val="nil"/>
                    <w:bottom w:val="nil"/>
                    <w:right w:val="nil"/>
                  </w:tcBorders>
                  <w:shd w:val="clear" w:color="auto" w:fill="auto"/>
                  <w:noWrap/>
                  <w:vAlign w:val="bottom"/>
                  <w:hideMark/>
                </w:tcPr>
                <w:p w14:paraId="0FCB29A1" w14:textId="77777777" w:rsidR="00C45D5B" w:rsidRPr="001B009D" w:rsidRDefault="00C45D5B" w:rsidP="00CF774B">
                  <w:pPr>
                    <w:jc w:val="center"/>
                    <w:rPr>
                      <w:rFonts w:cs="Calibri"/>
                      <w:color w:val="000000"/>
                      <w:sz w:val="16"/>
                      <w:szCs w:val="16"/>
                    </w:rPr>
                  </w:pPr>
                  <w:r w:rsidRPr="001B009D">
                    <w:rPr>
                      <w:rFonts w:cs="Calibri"/>
                      <w:color w:val="000000"/>
                      <w:sz w:val="16"/>
                      <w:szCs w:val="16"/>
                    </w:rPr>
                    <w:t>28</w:t>
                  </w:r>
                </w:p>
              </w:tc>
              <w:tc>
                <w:tcPr>
                  <w:tcW w:w="589" w:type="dxa"/>
                  <w:tcBorders>
                    <w:top w:val="nil"/>
                    <w:left w:val="nil"/>
                    <w:bottom w:val="nil"/>
                    <w:right w:val="single" w:sz="4" w:space="0" w:color="auto"/>
                  </w:tcBorders>
                  <w:shd w:val="clear" w:color="auto" w:fill="auto"/>
                  <w:noWrap/>
                  <w:vAlign w:val="bottom"/>
                  <w:hideMark/>
                </w:tcPr>
                <w:p w14:paraId="0008B778" w14:textId="77777777" w:rsidR="00C45D5B" w:rsidRPr="001B009D" w:rsidRDefault="00C45D5B" w:rsidP="00CF774B">
                  <w:pPr>
                    <w:jc w:val="center"/>
                    <w:rPr>
                      <w:rFonts w:cs="Calibri"/>
                      <w:color w:val="000000"/>
                      <w:sz w:val="16"/>
                      <w:szCs w:val="16"/>
                    </w:rPr>
                  </w:pPr>
                  <w:r w:rsidRPr="001B009D">
                    <w:rPr>
                      <w:rFonts w:cs="Calibri"/>
                      <w:color w:val="000000"/>
                      <w:sz w:val="16"/>
                      <w:szCs w:val="16"/>
                    </w:rPr>
                    <w:t>0,03</w:t>
                  </w:r>
                </w:p>
              </w:tc>
              <w:tc>
                <w:tcPr>
                  <w:tcW w:w="545" w:type="dxa"/>
                  <w:tcBorders>
                    <w:top w:val="nil"/>
                    <w:left w:val="nil"/>
                    <w:bottom w:val="nil"/>
                    <w:right w:val="nil"/>
                  </w:tcBorders>
                  <w:shd w:val="clear" w:color="auto" w:fill="auto"/>
                  <w:noWrap/>
                  <w:vAlign w:val="bottom"/>
                  <w:hideMark/>
                </w:tcPr>
                <w:p w14:paraId="69732FFD"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0304DC00"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6C789A01"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69B9066F"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7A38BAA5" w14:textId="77777777" w:rsidR="00C45D5B" w:rsidRPr="001B009D" w:rsidRDefault="00C45D5B" w:rsidP="00CF774B">
                  <w:pPr>
                    <w:jc w:val="center"/>
                    <w:rPr>
                      <w:rFonts w:cs="Calibri"/>
                      <w:color w:val="000000"/>
                      <w:sz w:val="16"/>
                      <w:szCs w:val="16"/>
                    </w:rPr>
                  </w:pPr>
                  <w:r w:rsidRPr="001B009D">
                    <w:rPr>
                      <w:rFonts w:cs="Calibri"/>
                      <w:color w:val="000000"/>
                      <w:sz w:val="16"/>
                      <w:szCs w:val="16"/>
                    </w:rPr>
                    <w:t>28</w:t>
                  </w:r>
                </w:p>
              </w:tc>
              <w:tc>
                <w:tcPr>
                  <w:tcW w:w="770" w:type="dxa"/>
                  <w:tcBorders>
                    <w:top w:val="nil"/>
                    <w:left w:val="nil"/>
                    <w:bottom w:val="nil"/>
                    <w:right w:val="nil"/>
                  </w:tcBorders>
                  <w:shd w:val="clear" w:color="auto" w:fill="auto"/>
                  <w:noWrap/>
                  <w:vAlign w:val="bottom"/>
                  <w:hideMark/>
                </w:tcPr>
                <w:p w14:paraId="6D5D427A" w14:textId="77777777" w:rsidR="00C45D5B" w:rsidRPr="001B009D" w:rsidRDefault="00C45D5B" w:rsidP="00CF774B">
                  <w:pPr>
                    <w:jc w:val="center"/>
                    <w:rPr>
                      <w:rFonts w:cs="Calibri"/>
                      <w:color w:val="000000"/>
                      <w:sz w:val="16"/>
                      <w:szCs w:val="16"/>
                    </w:rPr>
                  </w:pPr>
                  <w:r w:rsidRPr="001B009D">
                    <w:rPr>
                      <w:rFonts w:cs="Calibri"/>
                      <w:color w:val="000000"/>
                      <w:sz w:val="16"/>
                      <w:szCs w:val="16"/>
                    </w:rPr>
                    <w:t>0,03</w:t>
                  </w:r>
                </w:p>
              </w:tc>
            </w:tr>
            <w:tr w:rsidR="00C45D5B" w:rsidRPr="004F7036" w14:paraId="231B42CF"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C720AD9" w14:textId="77777777" w:rsidR="00C45D5B" w:rsidRPr="001B009D" w:rsidRDefault="00C45D5B" w:rsidP="00CF774B">
                  <w:pPr>
                    <w:rPr>
                      <w:rFonts w:cs="Calibri"/>
                      <w:color w:val="000000"/>
                      <w:sz w:val="16"/>
                      <w:szCs w:val="16"/>
                    </w:rPr>
                  </w:pPr>
                  <w:r w:rsidRPr="001B009D">
                    <w:rPr>
                      <w:rFonts w:cs="Calibri"/>
                      <w:color w:val="000000"/>
                      <w:sz w:val="16"/>
                      <w:szCs w:val="16"/>
                    </w:rPr>
                    <w:t>Nesplatenie časti odložených odvodov</w:t>
                  </w:r>
                </w:p>
              </w:tc>
              <w:tc>
                <w:tcPr>
                  <w:tcW w:w="708" w:type="dxa"/>
                  <w:tcBorders>
                    <w:top w:val="nil"/>
                    <w:left w:val="nil"/>
                    <w:bottom w:val="nil"/>
                    <w:right w:val="single" w:sz="4" w:space="0" w:color="auto"/>
                  </w:tcBorders>
                  <w:shd w:val="clear" w:color="auto" w:fill="auto"/>
                  <w:noWrap/>
                  <w:vAlign w:val="bottom"/>
                  <w:hideMark/>
                </w:tcPr>
                <w:p w14:paraId="0E16E9D2"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2014DF9A" w14:textId="77777777" w:rsidR="00C45D5B" w:rsidRPr="001B009D" w:rsidRDefault="00C45D5B" w:rsidP="00CF774B">
                  <w:pPr>
                    <w:jc w:val="center"/>
                    <w:rPr>
                      <w:rFonts w:cs="Calibri"/>
                      <w:color w:val="000000"/>
                      <w:sz w:val="16"/>
                      <w:szCs w:val="16"/>
                    </w:rPr>
                  </w:pPr>
                  <w:r w:rsidRPr="001B009D">
                    <w:rPr>
                      <w:rFonts w:cs="Calibri"/>
                      <w:color w:val="000000"/>
                      <w:sz w:val="16"/>
                      <w:szCs w:val="16"/>
                    </w:rPr>
                    <w:t>D.61</w:t>
                  </w:r>
                </w:p>
              </w:tc>
              <w:tc>
                <w:tcPr>
                  <w:tcW w:w="567" w:type="dxa"/>
                  <w:tcBorders>
                    <w:top w:val="nil"/>
                    <w:left w:val="nil"/>
                    <w:bottom w:val="nil"/>
                    <w:right w:val="nil"/>
                  </w:tcBorders>
                  <w:shd w:val="clear" w:color="auto" w:fill="auto"/>
                  <w:noWrap/>
                  <w:vAlign w:val="bottom"/>
                  <w:hideMark/>
                </w:tcPr>
                <w:p w14:paraId="5BD2E744" w14:textId="77777777" w:rsidR="00C45D5B" w:rsidRPr="001B009D" w:rsidRDefault="00C45D5B" w:rsidP="00CF774B">
                  <w:pPr>
                    <w:jc w:val="center"/>
                    <w:rPr>
                      <w:rFonts w:cs="Calibri"/>
                      <w:color w:val="000000"/>
                      <w:sz w:val="16"/>
                      <w:szCs w:val="16"/>
                    </w:rPr>
                  </w:pPr>
                  <w:r w:rsidRPr="001B009D">
                    <w:rPr>
                      <w:rFonts w:cs="Calibri"/>
                      <w:color w:val="000000"/>
                      <w:sz w:val="16"/>
                      <w:szCs w:val="16"/>
                    </w:rPr>
                    <w:t>5</w:t>
                  </w:r>
                </w:p>
              </w:tc>
              <w:tc>
                <w:tcPr>
                  <w:tcW w:w="589" w:type="dxa"/>
                  <w:tcBorders>
                    <w:top w:val="nil"/>
                    <w:left w:val="nil"/>
                    <w:bottom w:val="nil"/>
                    <w:right w:val="single" w:sz="4" w:space="0" w:color="auto"/>
                  </w:tcBorders>
                  <w:shd w:val="clear" w:color="auto" w:fill="auto"/>
                  <w:noWrap/>
                  <w:vAlign w:val="bottom"/>
                  <w:hideMark/>
                </w:tcPr>
                <w:p w14:paraId="44FF111E"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45" w:type="dxa"/>
                  <w:tcBorders>
                    <w:top w:val="nil"/>
                    <w:left w:val="nil"/>
                    <w:bottom w:val="nil"/>
                    <w:right w:val="nil"/>
                  </w:tcBorders>
                  <w:shd w:val="clear" w:color="auto" w:fill="auto"/>
                  <w:noWrap/>
                  <w:vAlign w:val="bottom"/>
                  <w:hideMark/>
                </w:tcPr>
                <w:p w14:paraId="08407794" w14:textId="77777777" w:rsidR="00C45D5B" w:rsidRPr="001B009D" w:rsidRDefault="00C45D5B" w:rsidP="00CF774B">
                  <w:pPr>
                    <w:jc w:val="center"/>
                    <w:rPr>
                      <w:rFonts w:cs="Calibri"/>
                      <w:color w:val="000000"/>
                      <w:sz w:val="16"/>
                      <w:szCs w:val="16"/>
                    </w:rPr>
                  </w:pPr>
                  <w:r w:rsidRPr="001B009D">
                    <w:rPr>
                      <w:rFonts w:cs="Calibri"/>
                      <w:color w:val="000000"/>
                      <w:sz w:val="16"/>
                      <w:szCs w:val="16"/>
                    </w:rPr>
                    <w:t>7</w:t>
                  </w:r>
                </w:p>
              </w:tc>
              <w:tc>
                <w:tcPr>
                  <w:tcW w:w="709" w:type="dxa"/>
                  <w:tcBorders>
                    <w:top w:val="nil"/>
                    <w:left w:val="nil"/>
                    <w:bottom w:val="nil"/>
                    <w:right w:val="single" w:sz="4" w:space="0" w:color="auto"/>
                  </w:tcBorders>
                  <w:shd w:val="clear" w:color="auto" w:fill="auto"/>
                  <w:noWrap/>
                  <w:vAlign w:val="bottom"/>
                  <w:hideMark/>
                </w:tcPr>
                <w:p w14:paraId="2C382DC7"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bottom"/>
                  <w:hideMark/>
                </w:tcPr>
                <w:p w14:paraId="0240E9F0" w14:textId="77777777" w:rsidR="00C45D5B" w:rsidRPr="001B009D" w:rsidRDefault="00C45D5B" w:rsidP="00CF774B">
                  <w:pPr>
                    <w:jc w:val="center"/>
                    <w:rPr>
                      <w:rFonts w:cs="Calibri"/>
                      <w:color w:val="000000"/>
                      <w:sz w:val="16"/>
                      <w:szCs w:val="16"/>
                    </w:rPr>
                  </w:pPr>
                  <w:r w:rsidRPr="001B009D">
                    <w:rPr>
                      <w:rFonts w:cs="Calibri"/>
                      <w:color w:val="000000"/>
                      <w:sz w:val="16"/>
                      <w:szCs w:val="16"/>
                    </w:rPr>
                    <w:t>2</w:t>
                  </w:r>
                </w:p>
              </w:tc>
              <w:tc>
                <w:tcPr>
                  <w:tcW w:w="709" w:type="dxa"/>
                  <w:tcBorders>
                    <w:top w:val="nil"/>
                    <w:left w:val="nil"/>
                    <w:bottom w:val="nil"/>
                    <w:right w:val="single" w:sz="4" w:space="0" w:color="auto"/>
                  </w:tcBorders>
                  <w:shd w:val="clear" w:color="auto" w:fill="auto"/>
                  <w:noWrap/>
                  <w:vAlign w:val="bottom"/>
                  <w:hideMark/>
                </w:tcPr>
                <w:p w14:paraId="0F5B49F9" w14:textId="77777777" w:rsidR="00C45D5B" w:rsidRPr="001B009D" w:rsidRDefault="00C45D5B" w:rsidP="00CF774B">
                  <w:pPr>
                    <w:jc w:val="center"/>
                    <w:rPr>
                      <w:rFonts w:cs="Calibri"/>
                      <w:color w:val="000000"/>
                      <w:sz w:val="16"/>
                      <w:szCs w:val="16"/>
                    </w:rPr>
                  </w:pPr>
                  <w:r w:rsidRPr="001B009D">
                    <w:rPr>
                      <w:rFonts w:cs="Calibri"/>
                      <w:color w:val="000000"/>
                      <w:sz w:val="16"/>
                      <w:szCs w:val="16"/>
                    </w:rPr>
                    <w:t>0,00</w:t>
                  </w:r>
                </w:p>
              </w:tc>
              <w:tc>
                <w:tcPr>
                  <w:tcW w:w="567" w:type="dxa"/>
                  <w:tcBorders>
                    <w:top w:val="nil"/>
                    <w:left w:val="nil"/>
                    <w:bottom w:val="nil"/>
                    <w:right w:val="nil"/>
                  </w:tcBorders>
                  <w:shd w:val="clear" w:color="auto" w:fill="auto"/>
                  <w:noWrap/>
                  <w:vAlign w:val="bottom"/>
                  <w:hideMark/>
                </w:tcPr>
                <w:p w14:paraId="3C318843" w14:textId="77777777" w:rsidR="00C45D5B" w:rsidRPr="001B009D" w:rsidRDefault="00C45D5B" w:rsidP="00CF774B">
                  <w:pPr>
                    <w:jc w:val="center"/>
                    <w:rPr>
                      <w:rFonts w:cs="Calibri"/>
                      <w:color w:val="000000"/>
                      <w:sz w:val="16"/>
                      <w:szCs w:val="16"/>
                    </w:rPr>
                  </w:pPr>
                  <w:r w:rsidRPr="001B009D">
                    <w:rPr>
                      <w:rFonts w:cs="Calibri"/>
                      <w:color w:val="000000"/>
                      <w:sz w:val="16"/>
                      <w:szCs w:val="16"/>
                    </w:rPr>
                    <w:t>13</w:t>
                  </w:r>
                </w:p>
              </w:tc>
              <w:tc>
                <w:tcPr>
                  <w:tcW w:w="770" w:type="dxa"/>
                  <w:tcBorders>
                    <w:top w:val="nil"/>
                    <w:left w:val="nil"/>
                    <w:bottom w:val="nil"/>
                    <w:right w:val="nil"/>
                  </w:tcBorders>
                  <w:shd w:val="clear" w:color="auto" w:fill="auto"/>
                  <w:noWrap/>
                  <w:vAlign w:val="bottom"/>
                  <w:hideMark/>
                </w:tcPr>
                <w:p w14:paraId="534542AA"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r>
            <w:tr w:rsidR="00C45D5B" w:rsidRPr="004F7036" w14:paraId="749DE6B3"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67DECAE0" w14:textId="77777777" w:rsidR="00C45D5B" w:rsidRPr="001B009D" w:rsidRDefault="00C45D5B" w:rsidP="00CF774B">
                  <w:pPr>
                    <w:rPr>
                      <w:rFonts w:cs="Calibri"/>
                      <w:color w:val="000000"/>
                      <w:sz w:val="16"/>
                      <w:szCs w:val="16"/>
                    </w:rPr>
                  </w:pPr>
                  <w:r w:rsidRPr="001B009D">
                    <w:rPr>
                      <w:rFonts w:cs="Calibri"/>
                      <w:color w:val="000000"/>
                      <w:sz w:val="16"/>
                      <w:szCs w:val="16"/>
                    </w:rPr>
                    <w:t xml:space="preserve">Nulová daň z pridanej hodnoty na respirátory FFP2/3 </w:t>
                  </w:r>
                </w:p>
              </w:tc>
              <w:tc>
                <w:tcPr>
                  <w:tcW w:w="708" w:type="dxa"/>
                  <w:tcBorders>
                    <w:top w:val="nil"/>
                    <w:left w:val="nil"/>
                    <w:bottom w:val="nil"/>
                    <w:right w:val="single" w:sz="4" w:space="0" w:color="auto"/>
                  </w:tcBorders>
                  <w:shd w:val="clear" w:color="auto" w:fill="auto"/>
                  <w:noWrap/>
                  <w:vAlign w:val="bottom"/>
                  <w:hideMark/>
                </w:tcPr>
                <w:p w14:paraId="6919DEBF"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20832A64" w14:textId="77777777" w:rsidR="00C45D5B" w:rsidRPr="001B009D" w:rsidRDefault="00C45D5B" w:rsidP="00CF774B">
                  <w:pPr>
                    <w:jc w:val="center"/>
                    <w:rPr>
                      <w:rFonts w:cs="Calibri"/>
                      <w:color w:val="000000"/>
                      <w:sz w:val="16"/>
                      <w:szCs w:val="16"/>
                    </w:rPr>
                  </w:pPr>
                  <w:r w:rsidRPr="001B009D">
                    <w:rPr>
                      <w:rFonts w:cs="Calibri"/>
                      <w:color w:val="000000"/>
                      <w:sz w:val="16"/>
                      <w:szCs w:val="16"/>
                    </w:rPr>
                    <w:t xml:space="preserve">D.211 </w:t>
                  </w:r>
                </w:p>
              </w:tc>
              <w:tc>
                <w:tcPr>
                  <w:tcW w:w="567" w:type="dxa"/>
                  <w:tcBorders>
                    <w:top w:val="nil"/>
                    <w:left w:val="nil"/>
                    <w:bottom w:val="nil"/>
                    <w:right w:val="nil"/>
                  </w:tcBorders>
                  <w:shd w:val="clear" w:color="auto" w:fill="auto"/>
                  <w:noWrap/>
                  <w:vAlign w:val="bottom"/>
                  <w:hideMark/>
                </w:tcPr>
                <w:p w14:paraId="62FE1279" w14:textId="77777777" w:rsidR="00C45D5B" w:rsidRPr="001B009D" w:rsidRDefault="00C45D5B" w:rsidP="00CF774B">
                  <w:pPr>
                    <w:jc w:val="center"/>
                    <w:rPr>
                      <w:rFonts w:cs="Calibri"/>
                      <w:color w:val="000000"/>
                      <w:sz w:val="16"/>
                      <w:szCs w:val="16"/>
                    </w:rPr>
                  </w:pPr>
                </w:p>
              </w:tc>
              <w:tc>
                <w:tcPr>
                  <w:tcW w:w="589" w:type="dxa"/>
                  <w:tcBorders>
                    <w:top w:val="nil"/>
                    <w:left w:val="nil"/>
                    <w:bottom w:val="nil"/>
                    <w:right w:val="single" w:sz="4" w:space="0" w:color="auto"/>
                  </w:tcBorders>
                  <w:shd w:val="clear" w:color="auto" w:fill="auto"/>
                  <w:noWrap/>
                  <w:vAlign w:val="bottom"/>
                  <w:hideMark/>
                </w:tcPr>
                <w:p w14:paraId="4817851F"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bottom"/>
                  <w:hideMark/>
                </w:tcPr>
                <w:p w14:paraId="495AD5F2" w14:textId="77777777" w:rsidR="00C45D5B" w:rsidRPr="001B009D" w:rsidRDefault="00C45D5B" w:rsidP="00CF774B">
                  <w:pPr>
                    <w:jc w:val="center"/>
                    <w:rPr>
                      <w:rFonts w:cs="Calibri"/>
                      <w:color w:val="000000"/>
                      <w:sz w:val="16"/>
                      <w:szCs w:val="16"/>
                    </w:rPr>
                  </w:pPr>
                  <w:r w:rsidRPr="001B009D">
                    <w:rPr>
                      <w:rFonts w:cs="Calibri"/>
                      <w:color w:val="000000"/>
                      <w:sz w:val="16"/>
                      <w:szCs w:val="16"/>
                    </w:rPr>
                    <w:t>10</w:t>
                  </w:r>
                </w:p>
              </w:tc>
              <w:tc>
                <w:tcPr>
                  <w:tcW w:w="709" w:type="dxa"/>
                  <w:tcBorders>
                    <w:top w:val="nil"/>
                    <w:left w:val="nil"/>
                    <w:bottom w:val="nil"/>
                    <w:right w:val="single" w:sz="4" w:space="0" w:color="auto"/>
                  </w:tcBorders>
                  <w:shd w:val="clear" w:color="auto" w:fill="auto"/>
                  <w:noWrap/>
                  <w:vAlign w:val="bottom"/>
                  <w:hideMark/>
                </w:tcPr>
                <w:p w14:paraId="3CCE7D08"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bottom"/>
                  <w:hideMark/>
                </w:tcPr>
                <w:p w14:paraId="589F66C2"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76360BEC"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127448B6" w14:textId="77777777" w:rsidR="00C45D5B" w:rsidRPr="001B009D" w:rsidRDefault="00C45D5B" w:rsidP="00CF774B">
                  <w:pPr>
                    <w:jc w:val="center"/>
                    <w:rPr>
                      <w:rFonts w:cs="Calibri"/>
                      <w:color w:val="000000"/>
                      <w:sz w:val="16"/>
                      <w:szCs w:val="16"/>
                    </w:rPr>
                  </w:pPr>
                  <w:r w:rsidRPr="001B009D">
                    <w:rPr>
                      <w:rFonts w:cs="Calibri"/>
                      <w:color w:val="000000"/>
                      <w:sz w:val="16"/>
                      <w:szCs w:val="16"/>
                    </w:rPr>
                    <w:t>10</w:t>
                  </w:r>
                </w:p>
              </w:tc>
              <w:tc>
                <w:tcPr>
                  <w:tcW w:w="770" w:type="dxa"/>
                  <w:tcBorders>
                    <w:top w:val="nil"/>
                    <w:left w:val="nil"/>
                    <w:bottom w:val="nil"/>
                    <w:right w:val="nil"/>
                  </w:tcBorders>
                  <w:shd w:val="clear" w:color="auto" w:fill="auto"/>
                  <w:noWrap/>
                  <w:vAlign w:val="bottom"/>
                  <w:hideMark/>
                </w:tcPr>
                <w:p w14:paraId="121617DB"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r>
            <w:tr w:rsidR="00C45D5B" w:rsidRPr="004F7036" w14:paraId="1B4A91A1" w14:textId="77777777" w:rsidTr="00CF774B">
              <w:trPr>
                <w:trHeight w:val="289"/>
              </w:trPr>
              <w:tc>
                <w:tcPr>
                  <w:tcW w:w="2621" w:type="dxa"/>
                  <w:tcBorders>
                    <w:top w:val="single" w:sz="4" w:space="0" w:color="auto"/>
                    <w:left w:val="nil"/>
                    <w:bottom w:val="single" w:sz="4" w:space="0" w:color="auto"/>
                    <w:right w:val="single" w:sz="4" w:space="0" w:color="auto"/>
                  </w:tcBorders>
                  <w:shd w:val="clear" w:color="auto" w:fill="auto"/>
                  <w:noWrap/>
                  <w:vAlign w:val="center"/>
                  <w:hideMark/>
                </w:tcPr>
                <w:p w14:paraId="68A85F6E" w14:textId="77777777" w:rsidR="00C45D5B" w:rsidRPr="001B009D" w:rsidRDefault="00C45D5B" w:rsidP="00CF774B">
                  <w:pPr>
                    <w:rPr>
                      <w:rFonts w:cs="Calibri"/>
                      <w:b/>
                      <w:bCs/>
                      <w:color w:val="000000"/>
                      <w:sz w:val="16"/>
                      <w:szCs w:val="16"/>
                    </w:rPr>
                  </w:pPr>
                  <w:r w:rsidRPr="001B009D">
                    <w:rPr>
                      <w:rFonts w:cs="Calibri"/>
                      <w:b/>
                      <w:bCs/>
                      <w:color w:val="000000"/>
                      <w:sz w:val="16"/>
                      <w:szCs w:val="16"/>
                    </w:rPr>
                    <w:t>Zvýšené výdavky v zdravotníctve</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E61E949"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D3F65B2"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vAlign w:val="center"/>
                  <w:hideMark/>
                </w:tcPr>
                <w:p w14:paraId="742D1EC6"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377</w:t>
                  </w:r>
                </w:p>
              </w:tc>
              <w:tc>
                <w:tcPr>
                  <w:tcW w:w="589" w:type="dxa"/>
                  <w:tcBorders>
                    <w:top w:val="single" w:sz="4" w:space="0" w:color="auto"/>
                    <w:left w:val="nil"/>
                    <w:bottom w:val="single" w:sz="4" w:space="0" w:color="auto"/>
                    <w:right w:val="single" w:sz="4" w:space="0" w:color="auto"/>
                  </w:tcBorders>
                  <w:shd w:val="clear" w:color="auto" w:fill="auto"/>
                  <w:noWrap/>
                  <w:vAlign w:val="center"/>
                  <w:hideMark/>
                </w:tcPr>
                <w:p w14:paraId="02028C37"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0,41</w:t>
                  </w:r>
                </w:p>
              </w:tc>
              <w:tc>
                <w:tcPr>
                  <w:tcW w:w="545" w:type="dxa"/>
                  <w:tcBorders>
                    <w:top w:val="single" w:sz="4" w:space="0" w:color="auto"/>
                    <w:left w:val="nil"/>
                    <w:bottom w:val="single" w:sz="4" w:space="0" w:color="auto"/>
                    <w:right w:val="nil"/>
                  </w:tcBorders>
                  <w:shd w:val="clear" w:color="auto" w:fill="auto"/>
                  <w:noWrap/>
                  <w:vAlign w:val="center"/>
                  <w:hideMark/>
                </w:tcPr>
                <w:p w14:paraId="36C9DE3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834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5FB635"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0,86</w:t>
                  </w:r>
                </w:p>
              </w:tc>
              <w:tc>
                <w:tcPr>
                  <w:tcW w:w="567" w:type="dxa"/>
                  <w:tcBorders>
                    <w:top w:val="single" w:sz="4" w:space="0" w:color="auto"/>
                    <w:left w:val="nil"/>
                    <w:bottom w:val="single" w:sz="4" w:space="0" w:color="auto"/>
                    <w:right w:val="nil"/>
                  </w:tcBorders>
                  <w:shd w:val="clear" w:color="auto" w:fill="auto"/>
                  <w:noWrap/>
                  <w:vAlign w:val="center"/>
                  <w:hideMark/>
                </w:tcPr>
                <w:p w14:paraId="67DDFD3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A494C9A"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0,25</w:t>
                  </w:r>
                </w:p>
              </w:tc>
              <w:tc>
                <w:tcPr>
                  <w:tcW w:w="567" w:type="dxa"/>
                  <w:tcBorders>
                    <w:top w:val="single" w:sz="4" w:space="0" w:color="auto"/>
                    <w:left w:val="nil"/>
                    <w:bottom w:val="single" w:sz="4" w:space="0" w:color="auto"/>
                    <w:right w:val="nil"/>
                  </w:tcBorders>
                  <w:shd w:val="clear" w:color="auto" w:fill="auto"/>
                  <w:noWrap/>
                  <w:vAlign w:val="center"/>
                  <w:hideMark/>
                </w:tcPr>
                <w:p w14:paraId="790C8D4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1473</w:t>
                  </w:r>
                </w:p>
              </w:tc>
              <w:tc>
                <w:tcPr>
                  <w:tcW w:w="770" w:type="dxa"/>
                  <w:tcBorders>
                    <w:top w:val="single" w:sz="4" w:space="0" w:color="auto"/>
                    <w:left w:val="nil"/>
                    <w:bottom w:val="single" w:sz="4" w:space="0" w:color="auto"/>
                    <w:right w:val="nil"/>
                  </w:tcBorders>
                  <w:shd w:val="clear" w:color="auto" w:fill="auto"/>
                  <w:noWrap/>
                  <w:vAlign w:val="center"/>
                  <w:hideMark/>
                </w:tcPr>
                <w:p w14:paraId="7195CF9C"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1,51</w:t>
                  </w:r>
                </w:p>
              </w:tc>
            </w:tr>
            <w:tr w:rsidR="00C45D5B" w:rsidRPr="004F7036" w14:paraId="30928B26"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16C18E01" w14:textId="77777777" w:rsidR="00C45D5B" w:rsidRPr="001B009D" w:rsidRDefault="00C45D5B" w:rsidP="00CF774B">
                  <w:pPr>
                    <w:rPr>
                      <w:rFonts w:cs="Calibri"/>
                      <w:color w:val="000000"/>
                      <w:sz w:val="16"/>
                      <w:szCs w:val="16"/>
                    </w:rPr>
                  </w:pPr>
                  <w:r w:rsidRPr="001B009D">
                    <w:rPr>
                      <w:rFonts w:cs="Calibri"/>
                      <w:color w:val="000000"/>
                      <w:sz w:val="16"/>
                      <w:szCs w:val="16"/>
                    </w:rPr>
                    <w:t>Odmeny pracovníkom v zdravotníctve</w:t>
                  </w:r>
                </w:p>
              </w:tc>
              <w:tc>
                <w:tcPr>
                  <w:tcW w:w="708" w:type="dxa"/>
                  <w:tcBorders>
                    <w:top w:val="nil"/>
                    <w:left w:val="nil"/>
                    <w:bottom w:val="nil"/>
                    <w:right w:val="single" w:sz="4" w:space="0" w:color="auto"/>
                  </w:tcBorders>
                  <w:shd w:val="clear" w:color="auto" w:fill="auto"/>
                  <w:noWrap/>
                  <w:vAlign w:val="center"/>
                  <w:hideMark/>
                </w:tcPr>
                <w:p w14:paraId="1A717EE7" w14:textId="77777777" w:rsidR="00C45D5B" w:rsidRPr="001B009D" w:rsidRDefault="00C45D5B" w:rsidP="00CF774B">
                  <w:pPr>
                    <w:jc w:val="center"/>
                    <w:rPr>
                      <w:rFonts w:cs="Calibri"/>
                      <w:color w:val="000000"/>
                      <w:sz w:val="16"/>
                      <w:szCs w:val="16"/>
                    </w:rPr>
                  </w:pPr>
                  <w:r w:rsidRPr="001B009D">
                    <w:rPr>
                      <w:rFonts w:cs="Calibri"/>
                      <w:color w:val="000000"/>
                      <w:sz w:val="16"/>
                      <w:szCs w:val="16"/>
                    </w:rPr>
                    <w:t>610, 620</w:t>
                  </w:r>
                </w:p>
              </w:tc>
              <w:tc>
                <w:tcPr>
                  <w:tcW w:w="567" w:type="dxa"/>
                  <w:tcBorders>
                    <w:top w:val="nil"/>
                    <w:left w:val="nil"/>
                    <w:bottom w:val="nil"/>
                    <w:right w:val="single" w:sz="4" w:space="0" w:color="auto"/>
                  </w:tcBorders>
                  <w:shd w:val="clear" w:color="auto" w:fill="auto"/>
                  <w:noWrap/>
                  <w:vAlign w:val="center"/>
                  <w:hideMark/>
                </w:tcPr>
                <w:p w14:paraId="0F1E22C9" w14:textId="77777777" w:rsidR="00C45D5B" w:rsidRPr="001B009D" w:rsidRDefault="00C45D5B" w:rsidP="00CF774B">
                  <w:pPr>
                    <w:jc w:val="center"/>
                    <w:rPr>
                      <w:rFonts w:cs="Calibri"/>
                      <w:color w:val="000000"/>
                      <w:sz w:val="16"/>
                      <w:szCs w:val="16"/>
                    </w:rPr>
                  </w:pPr>
                  <w:r w:rsidRPr="001B009D">
                    <w:rPr>
                      <w:rFonts w:cs="Calibri"/>
                      <w:color w:val="000000"/>
                      <w:sz w:val="16"/>
                      <w:szCs w:val="16"/>
                    </w:rPr>
                    <w:t>D.1</w:t>
                  </w:r>
                </w:p>
              </w:tc>
              <w:tc>
                <w:tcPr>
                  <w:tcW w:w="567" w:type="dxa"/>
                  <w:tcBorders>
                    <w:top w:val="nil"/>
                    <w:left w:val="nil"/>
                    <w:bottom w:val="nil"/>
                    <w:right w:val="nil"/>
                  </w:tcBorders>
                  <w:shd w:val="clear" w:color="auto" w:fill="auto"/>
                  <w:noWrap/>
                  <w:vAlign w:val="center"/>
                  <w:hideMark/>
                </w:tcPr>
                <w:p w14:paraId="12293BB5" w14:textId="77777777" w:rsidR="00C45D5B" w:rsidRPr="001B009D" w:rsidRDefault="00C45D5B" w:rsidP="00CF774B">
                  <w:pPr>
                    <w:jc w:val="center"/>
                    <w:rPr>
                      <w:rFonts w:cs="Calibri"/>
                      <w:color w:val="000000"/>
                      <w:sz w:val="16"/>
                      <w:szCs w:val="16"/>
                    </w:rPr>
                  </w:pPr>
                  <w:r w:rsidRPr="001B009D">
                    <w:rPr>
                      <w:rFonts w:cs="Calibri"/>
                      <w:color w:val="000000"/>
                      <w:sz w:val="16"/>
                      <w:szCs w:val="16"/>
                    </w:rPr>
                    <w:t>13</w:t>
                  </w:r>
                </w:p>
              </w:tc>
              <w:tc>
                <w:tcPr>
                  <w:tcW w:w="589" w:type="dxa"/>
                  <w:tcBorders>
                    <w:top w:val="nil"/>
                    <w:left w:val="nil"/>
                    <w:bottom w:val="nil"/>
                    <w:right w:val="single" w:sz="4" w:space="0" w:color="auto"/>
                  </w:tcBorders>
                  <w:shd w:val="clear" w:color="auto" w:fill="auto"/>
                  <w:noWrap/>
                  <w:vAlign w:val="center"/>
                  <w:hideMark/>
                </w:tcPr>
                <w:p w14:paraId="52E45B8E"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45" w:type="dxa"/>
                  <w:tcBorders>
                    <w:top w:val="nil"/>
                    <w:left w:val="nil"/>
                    <w:bottom w:val="nil"/>
                    <w:right w:val="nil"/>
                  </w:tcBorders>
                  <w:shd w:val="clear" w:color="auto" w:fill="auto"/>
                  <w:noWrap/>
                  <w:vAlign w:val="center"/>
                  <w:hideMark/>
                </w:tcPr>
                <w:p w14:paraId="1D993765" w14:textId="77777777" w:rsidR="00C45D5B" w:rsidRPr="001B009D" w:rsidRDefault="00C45D5B" w:rsidP="00CF774B">
                  <w:pPr>
                    <w:jc w:val="center"/>
                    <w:rPr>
                      <w:rFonts w:cs="Calibri"/>
                      <w:color w:val="000000"/>
                      <w:sz w:val="16"/>
                      <w:szCs w:val="16"/>
                    </w:rPr>
                  </w:pPr>
                  <w:r w:rsidRPr="001B009D">
                    <w:rPr>
                      <w:rFonts w:cs="Calibri"/>
                      <w:color w:val="000000"/>
                      <w:sz w:val="16"/>
                      <w:szCs w:val="16"/>
                    </w:rPr>
                    <w:t>54</w:t>
                  </w:r>
                </w:p>
              </w:tc>
              <w:tc>
                <w:tcPr>
                  <w:tcW w:w="709" w:type="dxa"/>
                  <w:tcBorders>
                    <w:top w:val="nil"/>
                    <w:left w:val="nil"/>
                    <w:bottom w:val="nil"/>
                    <w:right w:val="single" w:sz="4" w:space="0" w:color="auto"/>
                  </w:tcBorders>
                  <w:shd w:val="clear" w:color="auto" w:fill="auto"/>
                  <w:noWrap/>
                  <w:vAlign w:val="center"/>
                  <w:hideMark/>
                </w:tcPr>
                <w:p w14:paraId="19EEEB3F" w14:textId="77777777" w:rsidR="00C45D5B" w:rsidRPr="001B009D" w:rsidRDefault="00C45D5B" w:rsidP="00CF774B">
                  <w:pPr>
                    <w:jc w:val="center"/>
                    <w:rPr>
                      <w:rFonts w:cs="Calibri"/>
                      <w:color w:val="000000"/>
                      <w:sz w:val="16"/>
                      <w:szCs w:val="16"/>
                    </w:rPr>
                  </w:pPr>
                  <w:r w:rsidRPr="001B009D">
                    <w:rPr>
                      <w:rFonts w:cs="Calibri"/>
                      <w:color w:val="000000"/>
                      <w:sz w:val="16"/>
                      <w:szCs w:val="16"/>
                    </w:rPr>
                    <w:t>0,06</w:t>
                  </w:r>
                </w:p>
              </w:tc>
              <w:tc>
                <w:tcPr>
                  <w:tcW w:w="567" w:type="dxa"/>
                  <w:tcBorders>
                    <w:top w:val="nil"/>
                    <w:left w:val="nil"/>
                    <w:bottom w:val="nil"/>
                    <w:right w:val="nil"/>
                  </w:tcBorders>
                  <w:shd w:val="clear" w:color="auto" w:fill="auto"/>
                  <w:noWrap/>
                  <w:vAlign w:val="center"/>
                  <w:hideMark/>
                </w:tcPr>
                <w:p w14:paraId="7DC38349" w14:textId="77777777" w:rsidR="00C45D5B" w:rsidRPr="001B009D" w:rsidRDefault="00C45D5B" w:rsidP="00CF774B">
                  <w:pPr>
                    <w:jc w:val="center"/>
                    <w:rPr>
                      <w:rFonts w:cs="Calibri"/>
                      <w:color w:val="000000"/>
                      <w:sz w:val="16"/>
                      <w:szCs w:val="16"/>
                    </w:rPr>
                  </w:pPr>
                  <w:r w:rsidRPr="001B009D">
                    <w:rPr>
                      <w:rFonts w:cs="Calibri"/>
                      <w:color w:val="000000"/>
                      <w:sz w:val="16"/>
                      <w:szCs w:val="16"/>
                    </w:rPr>
                    <w:t>5</w:t>
                  </w:r>
                </w:p>
              </w:tc>
              <w:tc>
                <w:tcPr>
                  <w:tcW w:w="709" w:type="dxa"/>
                  <w:tcBorders>
                    <w:top w:val="nil"/>
                    <w:left w:val="nil"/>
                    <w:bottom w:val="nil"/>
                    <w:right w:val="single" w:sz="4" w:space="0" w:color="auto"/>
                  </w:tcBorders>
                  <w:shd w:val="clear" w:color="auto" w:fill="auto"/>
                  <w:noWrap/>
                  <w:vAlign w:val="center"/>
                  <w:hideMark/>
                </w:tcPr>
                <w:p w14:paraId="50907896" w14:textId="77777777" w:rsidR="00C45D5B" w:rsidRPr="001B009D" w:rsidRDefault="00C45D5B" w:rsidP="00CF774B">
                  <w:pPr>
                    <w:jc w:val="center"/>
                    <w:rPr>
                      <w:rFonts w:cs="Calibri"/>
                      <w:color w:val="000000"/>
                      <w:sz w:val="16"/>
                      <w:szCs w:val="16"/>
                    </w:rPr>
                  </w:pPr>
                  <w:r w:rsidRPr="001B009D">
                    <w:rPr>
                      <w:rFonts w:cs="Calibri"/>
                      <w:color w:val="000000"/>
                      <w:sz w:val="16"/>
                      <w:szCs w:val="16"/>
                    </w:rPr>
                    <w:t>0,00</w:t>
                  </w:r>
                </w:p>
              </w:tc>
              <w:tc>
                <w:tcPr>
                  <w:tcW w:w="567" w:type="dxa"/>
                  <w:tcBorders>
                    <w:top w:val="nil"/>
                    <w:left w:val="nil"/>
                    <w:bottom w:val="nil"/>
                    <w:right w:val="nil"/>
                  </w:tcBorders>
                  <w:shd w:val="clear" w:color="auto" w:fill="auto"/>
                  <w:noWrap/>
                  <w:vAlign w:val="center"/>
                  <w:hideMark/>
                </w:tcPr>
                <w:p w14:paraId="516EF014" w14:textId="77777777" w:rsidR="00C45D5B" w:rsidRPr="001B009D" w:rsidRDefault="00C45D5B" w:rsidP="00CF774B">
                  <w:pPr>
                    <w:jc w:val="center"/>
                    <w:rPr>
                      <w:rFonts w:cs="Calibri"/>
                      <w:color w:val="000000"/>
                      <w:sz w:val="16"/>
                      <w:szCs w:val="16"/>
                    </w:rPr>
                  </w:pPr>
                  <w:r w:rsidRPr="001B009D">
                    <w:rPr>
                      <w:rFonts w:cs="Calibri"/>
                      <w:color w:val="000000"/>
                      <w:sz w:val="16"/>
                      <w:szCs w:val="16"/>
                    </w:rPr>
                    <w:t>72</w:t>
                  </w:r>
                </w:p>
              </w:tc>
              <w:tc>
                <w:tcPr>
                  <w:tcW w:w="770" w:type="dxa"/>
                  <w:tcBorders>
                    <w:top w:val="nil"/>
                    <w:left w:val="nil"/>
                    <w:bottom w:val="nil"/>
                    <w:right w:val="nil"/>
                  </w:tcBorders>
                  <w:shd w:val="clear" w:color="auto" w:fill="auto"/>
                  <w:noWrap/>
                  <w:vAlign w:val="center"/>
                  <w:hideMark/>
                </w:tcPr>
                <w:p w14:paraId="27FD0416" w14:textId="77777777" w:rsidR="00C45D5B" w:rsidRPr="001B009D" w:rsidRDefault="00C45D5B" w:rsidP="00CF774B">
                  <w:pPr>
                    <w:jc w:val="center"/>
                    <w:rPr>
                      <w:rFonts w:cs="Calibri"/>
                      <w:color w:val="000000"/>
                      <w:sz w:val="16"/>
                      <w:szCs w:val="16"/>
                    </w:rPr>
                  </w:pPr>
                  <w:r w:rsidRPr="001B009D">
                    <w:rPr>
                      <w:rFonts w:cs="Calibri"/>
                      <w:color w:val="000000"/>
                      <w:sz w:val="16"/>
                      <w:szCs w:val="16"/>
                    </w:rPr>
                    <w:t>0,07</w:t>
                  </w:r>
                </w:p>
              </w:tc>
            </w:tr>
            <w:tr w:rsidR="00C45D5B" w:rsidRPr="004F7036" w14:paraId="64C6EDF7"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00F0EB67" w14:textId="77777777" w:rsidR="00C45D5B" w:rsidRPr="001B009D" w:rsidRDefault="00C45D5B" w:rsidP="00CF774B">
                  <w:pPr>
                    <w:rPr>
                      <w:rFonts w:cs="Calibri"/>
                      <w:color w:val="000000"/>
                      <w:sz w:val="16"/>
                      <w:szCs w:val="16"/>
                    </w:rPr>
                  </w:pPr>
                  <w:r w:rsidRPr="001B009D">
                    <w:rPr>
                      <w:rFonts w:cs="Calibri"/>
                      <w:color w:val="000000"/>
                      <w:sz w:val="16"/>
                      <w:szCs w:val="16"/>
                    </w:rPr>
                    <w:t>Platba doktorom špecielistom</w:t>
                  </w:r>
                </w:p>
              </w:tc>
              <w:tc>
                <w:tcPr>
                  <w:tcW w:w="708" w:type="dxa"/>
                  <w:tcBorders>
                    <w:top w:val="nil"/>
                    <w:left w:val="nil"/>
                    <w:bottom w:val="nil"/>
                    <w:right w:val="single" w:sz="4" w:space="0" w:color="auto"/>
                  </w:tcBorders>
                  <w:shd w:val="clear" w:color="auto" w:fill="auto"/>
                  <w:noWrap/>
                  <w:vAlign w:val="center"/>
                  <w:hideMark/>
                </w:tcPr>
                <w:p w14:paraId="3583838B"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center"/>
                  <w:hideMark/>
                </w:tcPr>
                <w:p w14:paraId="115A3D06" w14:textId="77777777" w:rsidR="00C45D5B" w:rsidRPr="001B009D" w:rsidRDefault="00C45D5B" w:rsidP="00CF774B">
                  <w:pPr>
                    <w:jc w:val="center"/>
                    <w:rPr>
                      <w:rFonts w:cs="Calibri"/>
                      <w:color w:val="000000"/>
                      <w:sz w:val="16"/>
                      <w:szCs w:val="16"/>
                    </w:rPr>
                  </w:pPr>
                  <w:r w:rsidRPr="001B009D">
                    <w:rPr>
                      <w:rFonts w:cs="Calibri"/>
                      <w:color w:val="000000"/>
                      <w:sz w:val="16"/>
                      <w:szCs w:val="16"/>
                    </w:rPr>
                    <w:t>D.99</w:t>
                  </w:r>
                </w:p>
              </w:tc>
              <w:tc>
                <w:tcPr>
                  <w:tcW w:w="567" w:type="dxa"/>
                  <w:tcBorders>
                    <w:top w:val="nil"/>
                    <w:left w:val="nil"/>
                    <w:bottom w:val="nil"/>
                    <w:right w:val="nil"/>
                  </w:tcBorders>
                  <w:shd w:val="clear" w:color="auto" w:fill="auto"/>
                  <w:noWrap/>
                  <w:vAlign w:val="center"/>
                  <w:hideMark/>
                </w:tcPr>
                <w:p w14:paraId="4DE3BFBC" w14:textId="77777777" w:rsidR="00C45D5B" w:rsidRPr="001B009D" w:rsidRDefault="00C45D5B" w:rsidP="00CF774B">
                  <w:pPr>
                    <w:jc w:val="center"/>
                    <w:rPr>
                      <w:rFonts w:cs="Calibri"/>
                      <w:color w:val="000000"/>
                      <w:sz w:val="16"/>
                      <w:szCs w:val="16"/>
                    </w:rPr>
                  </w:pPr>
                  <w:r w:rsidRPr="001B009D">
                    <w:rPr>
                      <w:rFonts w:cs="Calibri"/>
                      <w:color w:val="000000"/>
                      <w:sz w:val="16"/>
                      <w:szCs w:val="16"/>
                    </w:rPr>
                    <w:t>138</w:t>
                  </w:r>
                </w:p>
              </w:tc>
              <w:tc>
                <w:tcPr>
                  <w:tcW w:w="589" w:type="dxa"/>
                  <w:tcBorders>
                    <w:top w:val="nil"/>
                    <w:left w:val="nil"/>
                    <w:bottom w:val="nil"/>
                    <w:right w:val="single" w:sz="4" w:space="0" w:color="auto"/>
                  </w:tcBorders>
                  <w:shd w:val="clear" w:color="auto" w:fill="auto"/>
                  <w:noWrap/>
                  <w:vAlign w:val="center"/>
                  <w:hideMark/>
                </w:tcPr>
                <w:p w14:paraId="353F5DBF" w14:textId="77777777" w:rsidR="00C45D5B" w:rsidRPr="001B009D" w:rsidRDefault="00C45D5B" w:rsidP="00CF774B">
                  <w:pPr>
                    <w:jc w:val="center"/>
                    <w:rPr>
                      <w:rFonts w:cs="Calibri"/>
                      <w:color w:val="000000"/>
                      <w:sz w:val="16"/>
                      <w:szCs w:val="16"/>
                    </w:rPr>
                  </w:pPr>
                  <w:r w:rsidRPr="001B009D">
                    <w:rPr>
                      <w:rFonts w:cs="Calibri"/>
                      <w:color w:val="000000"/>
                      <w:sz w:val="16"/>
                      <w:szCs w:val="16"/>
                    </w:rPr>
                    <w:t>0,15</w:t>
                  </w:r>
                </w:p>
              </w:tc>
              <w:tc>
                <w:tcPr>
                  <w:tcW w:w="545" w:type="dxa"/>
                  <w:tcBorders>
                    <w:top w:val="nil"/>
                    <w:left w:val="nil"/>
                    <w:bottom w:val="nil"/>
                    <w:right w:val="nil"/>
                  </w:tcBorders>
                  <w:shd w:val="clear" w:color="auto" w:fill="auto"/>
                  <w:noWrap/>
                  <w:vAlign w:val="center"/>
                  <w:hideMark/>
                </w:tcPr>
                <w:p w14:paraId="5AFC490B"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1B8B10FA"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41170277"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2AC65930"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165844A1" w14:textId="77777777" w:rsidR="00C45D5B" w:rsidRPr="001B009D" w:rsidRDefault="00C45D5B" w:rsidP="00CF774B">
                  <w:pPr>
                    <w:jc w:val="center"/>
                    <w:rPr>
                      <w:rFonts w:cs="Calibri"/>
                      <w:color w:val="000000"/>
                      <w:sz w:val="16"/>
                      <w:szCs w:val="16"/>
                    </w:rPr>
                  </w:pPr>
                  <w:r w:rsidRPr="001B009D">
                    <w:rPr>
                      <w:rFonts w:cs="Calibri"/>
                      <w:color w:val="000000"/>
                      <w:sz w:val="16"/>
                      <w:szCs w:val="16"/>
                    </w:rPr>
                    <w:t>138</w:t>
                  </w:r>
                </w:p>
              </w:tc>
              <w:tc>
                <w:tcPr>
                  <w:tcW w:w="770" w:type="dxa"/>
                  <w:tcBorders>
                    <w:top w:val="nil"/>
                    <w:left w:val="nil"/>
                    <w:bottom w:val="nil"/>
                    <w:right w:val="nil"/>
                  </w:tcBorders>
                  <w:shd w:val="clear" w:color="auto" w:fill="auto"/>
                  <w:noWrap/>
                  <w:vAlign w:val="center"/>
                  <w:hideMark/>
                </w:tcPr>
                <w:p w14:paraId="534DA52F" w14:textId="77777777" w:rsidR="00C45D5B" w:rsidRPr="001B009D" w:rsidRDefault="00C45D5B" w:rsidP="00CF774B">
                  <w:pPr>
                    <w:jc w:val="center"/>
                    <w:rPr>
                      <w:rFonts w:cs="Calibri"/>
                      <w:color w:val="000000"/>
                      <w:sz w:val="16"/>
                      <w:szCs w:val="16"/>
                    </w:rPr>
                  </w:pPr>
                  <w:r w:rsidRPr="001B009D">
                    <w:rPr>
                      <w:rFonts w:cs="Calibri"/>
                      <w:color w:val="000000"/>
                      <w:sz w:val="16"/>
                      <w:szCs w:val="16"/>
                    </w:rPr>
                    <w:t>0,15</w:t>
                  </w:r>
                </w:p>
              </w:tc>
            </w:tr>
            <w:tr w:rsidR="00C45D5B" w:rsidRPr="004F7036" w14:paraId="7185B7C0" w14:textId="77777777" w:rsidTr="00CF774B">
              <w:trPr>
                <w:trHeight w:val="289"/>
              </w:trPr>
              <w:tc>
                <w:tcPr>
                  <w:tcW w:w="2621" w:type="dxa"/>
                  <w:tcBorders>
                    <w:top w:val="nil"/>
                    <w:left w:val="nil"/>
                    <w:bottom w:val="nil"/>
                    <w:right w:val="single" w:sz="4" w:space="0" w:color="auto"/>
                  </w:tcBorders>
                  <w:shd w:val="clear" w:color="auto" w:fill="auto"/>
                  <w:noWrap/>
                  <w:vAlign w:val="center"/>
                  <w:hideMark/>
                </w:tcPr>
                <w:p w14:paraId="3EA3FA2B" w14:textId="77777777" w:rsidR="00C45D5B" w:rsidRPr="001B009D" w:rsidRDefault="00C45D5B" w:rsidP="00CF774B">
                  <w:pPr>
                    <w:rPr>
                      <w:rFonts w:cs="Calibri"/>
                      <w:color w:val="000000"/>
                      <w:sz w:val="16"/>
                      <w:szCs w:val="16"/>
                    </w:rPr>
                  </w:pPr>
                  <w:r w:rsidRPr="001B009D">
                    <w:rPr>
                      <w:rFonts w:cs="Calibri"/>
                      <w:color w:val="000000"/>
                      <w:sz w:val="16"/>
                      <w:szCs w:val="16"/>
                    </w:rPr>
                    <w:t>Zvýšené výdavky - ventilátory a iné</w:t>
                  </w:r>
                </w:p>
              </w:tc>
              <w:tc>
                <w:tcPr>
                  <w:tcW w:w="708" w:type="dxa"/>
                  <w:tcBorders>
                    <w:top w:val="nil"/>
                    <w:left w:val="nil"/>
                    <w:bottom w:val="nil"/>
                    <w:right w:val="single" w:sz="4" w:space="0" w:color="auto"/>
                  </w:tcBorders>
                  <w:shd w:val="clear" w:color="auto" w:fill="auto"/>
                  <w:noWrap/>
                  <w:vAlign w:val="bottom"/>
                  <w:hideMark/>
                </w:tcPr>
                <w:p w14:paraId="33C10A81" w14:textId="77777777" w:rsidR="00C45D5B" w:rsidRPr="001B009D" w:rsidRDefault="00C45D5B" w:rsidP="00CF774B">
                  <w:pPr>
                    <w:jc w:val="center"/>
                    <w:rPr>
                      <w:rFonts w:cs="Calibri"/>
                      <w:color w:val="000000"/>
                      <w:sz w:val="16"/>
                      <w:szCs w:val="16"/>
                    </w:rPr>
                  </w:pPr>
                  <w:r w:rsidRPr="001B009D">
                    <w:rPr>
                      <w:rFonts w:cs="Calibri"/>
                      <w:color w:val="000000"/>
                      <w:sz w:val="16"/>
                      <w:szCs w:val="16"/>
                    </w:rPr>
                    <w:t>630</w:t>
                  </w:r>
                </w:p>
              </w:tc>
              <w:tc>
                <w:tcPr>
                  <w:tcW w:w="567" w:type="dxa"/>
                  <w:tcBorders>
                    <w:top w:val="nil"/>
                    <w:left w:val="nil"/>
                    <w:bottom w:val="nil"/>
                    <w:right w:val="single" w:sz="4" w:space="0" w:color="auto"/>
                  </w:tcBorders>
                  <w:shd w:val="clear" w:color="auto" w:fill="auto"/>
                  <w:noWrap/>
                  <w:vAlign w:val="bottom"/>
                  <w:hideMark/>
                </w:tcPr>
                <w:p w14:paraId="0FBCCA43" w14:textId="77777777" w:rsidR="00C45D5B" w:rsidRPr="001B009D" w:rsidRDefault="00C45D5B" w:rsidP="00CF774B">
                  <w:pPr>
                    <w:jc w:val="center"/>
                    <w:rPr>
                      <w:rFonts w:cs="Calibri"/>
                      <w:sz w:val="16"/>
                      <w:szCs w:val="16"/>
                    </w:rPr>
                  </w:pPr>
                  <w:r w:rsidRPr="001B009D">
                    <w:rPr>
                      <w:rFonts w:cs="Calibri"/>
                      <w:sz w:val="16"/>
                      <w:szCs w:val="16"/>
                    </w:rPr>
                    <w:t>P.2</w:t>
                  </w:r>
                </w:p>
              </w:tc>
              <w:tc>
                <w:tcPr>
                  <w:tcW w:w="567" w:type="dxa"/>
                  <w:tcBorders>
                    <w:top w:val="nil"/>
                    <w:left w:val="nil"/>
                    <w:bottom w:val="nil"/>
                    <w:right w:val="nil"/>
                  </w:tcBorders>
                  <w:shd w:val="clear" w:color="auto" w:fill="auto"/>
                  <w:noWrap/>
                  <w:vAlign w:val="center"/>
                  <w:hideMark/>
                </w:tcPr>
                <w:p w14:paraId="58A8262F" w14:textId="77777777" w:rsidR="00C45D5B" w:rsidRPr="001B009D" w:rsidRDefault="00C45D5B" w:rsidP="00CF774B">
                  <w:pPr>
                    <w:jc w:val="center"/>
                    <w:rPr>
                      <w:rFonts w:cs="Calibri"/>
                      <w:color w:val="000000"/>
                      <w:sz w:val="16"/>
                      <w:szCs w:val="16"/>
                    </w:rPr>
                  </w:pPr>
                  <w:r w:rsidRPr="001B009D">
                    <w:rPr>
                      <w:rFonts w:cs="Calibri"/>
                      <w:color w:val="000000"/>
                      <w:sz w:val="16"/>
                      <w:szCs w:val="16"/>
                    </w:rPr>
                    <w:t>39</w:t>
                  </w:r>
                </w:p>
              </w:tc>
              <w:tc>
                <w:tcPr>
                  <w:tcW w:w="589" w:type="dxa"/>
                  <w:tcBorders>
                    <w:top w:val="nil"/>
                    <w:left w:val="nil"/>
                    <w:bottom w:val="nil"/>
                    <w:right w:val="single" w:sz="4" w:space="0" w:color="auto"/>
                  </w:tcBorders>
                  <w:shd w:val="clear" w:color="auto" w:fill="auto"/>
                  <w:noWrap/>
                  <w:vAlign w:val="center"/>
                  <w:hideMark/>
                </w:tcPr>
                <w:p w14:paraId="45CDBB9B" w14:textId="77777777" w:rsidR="00C45D5B" w:rsidRPr="001B009D" w:rsidRDefault="00C45D5B" w:rsidP="00CF774B">
                  <w:pPr>
                    <w:jc w:val="center"/>
                    <w:rPr>
                      <w:rFonts w:cs="Calibri"/>
                      <w:color w:val="000000"/>
                      <w:sz w:val="16"/>
                      <w:szCs w:val="16"/>
                    </w:rPr>
                  </w:pPr>
                  <w:r w:rsidRPr="001B009D">
                    <w:rPr>
                      <w:rFonts w:cs="Calibri"/>
                      <w:color w:val="000000"/>
                      <w:sz w:val="16"/>
                      <w:szCs w:val="16"/>
                    </w:rPr>
                    <w:t>0,04</w:t>
                  </w:r>
                </w:p>
              </w:tc>
              <w:tc>
                <w:tcPr>
                  <w:tcW w:w="545" w:type="dxa"/>
                  <w:tcBorders>
                    <w:top w:val="nil"/>
                    <w:left w:val="nil"/>
                    <w:bottom w:val="nil"/>
                    <w:right w:val="nil"/>
                  </w:tcBorders>
                  <w:shd w:val="clear" w:color="auto" w:fill="auto"/>
                  <w:noWrap/>
                  <w:vAlign w:val="center"/>
                  <w:hideMark/>
                </w:tcPr>
                <w:p w14:paraId="00A2FDAF" w14:textId="77777777" w:rsidR="00C45D5B" w:rsidRPr="001B009D" w:rsidRDefault="00C45D5B" w:rsidP="00CF774B">
                  <w:pPr>
                    <w:jc w:val="center"/>
                    <w:rPr>
                      <w:rFonts w:cs="Calibri"/>
                      <w:color w:val="000000"/>
                      <w:sz w:val="16"/>
                      <w:szCs w:val="16"/>
                    </w:rPr>
                  </w:pPr>
                  <w:r w:rsidRPr="001B009D">
                    <w:rPr>
                      <w:rFonts w:cs="Calibri"/>
                      <w:color w:val="000000"/>
                      <w:sz w:val="16"/>
                      <w:szCs w:val="16"/>
                    </w:rPr>
                    <w:t>25</w:t>
                  </w:r>
                </w:p>
              </w:tc>
              <w:tc>
                <w:tcPr>
                  <w:tcW w:w="709" w:type="dxa"/>
                  <w:tcBorders>
                    <w:top w:val="nil"/>
                    <w:left w:val="nil"/>
                    <w:bottom w:val="nil"/>
                    <w:right w:val="single" w:sz="4" w:space="0" w:color="auto"/>
                  </w:tcBorders>
                  <w:shd w:val="clear" w:color="auto" w:fill="auto"/>
                  <w:noWrap/>
                  <w:vAlign w:val="center"/>
                  <w:hideMark/>
                </w:tcPr>
                <w:p w14:paraId="07EAC3EC"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546AE1B1"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center"/>
                  <w:hideMark/>
                </w:tcPr>
                <w:p w14:paraId="2361280B"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center"/>
                  <w:hideMark/>
                </w:tcPr>
                <w:p w14:paraId="6149FCF8" w14:textId="77777777" w:rsidR="00C45D5B" w:rsidRPr="001B009D" w:rsidRDefault="00C45D5B" w:rsidP="00CF774B">
                  <w:pPr>
                    <w:jc w:val="center"/>
                    <w:rPr>
                      <w:rFonts w:cs="Calibri"/>
                      <w:color w:val="000000"/>
                      <w:sz w:val="16"/>
                      <w:szCs w:val="16"/>
                    </w:rPr>
                  </w:pPr>
                  <w:r w:rsidRPr="001B009D">
                    <w:rPr>
                      <w:rFonts w:cs="Calibri"/>
                      <w:color w:val="000000"/>
                      <w:sz w:val="16"/>
                      <w:szCs w:val="16"/>
                    </w:rPr>
                    <w:t>64</w:t>
                  </w:r>
                </w:p>
              </w:tc>
              <w:tc>
                <w:tcPr>
                  <w:tcW w:w="770" w:type="dxa"/>
                  <w:tcBorders>
                    <w:top w:val="nil"/>
                    <w:left w:val="nil"/>
                    <w:bottom w:val="nil"/>
                    <w:right w:val="nil"/>
                  </w:tcBorders>
                  <w:shd w:val="clear" w:color="auto" w:fill="auto"/>
                  <w:noWrap/>
                  <w:vAlign w:val="center"/>
                  <w:hideMark/>
                </w:tcPr>
                <w:p w14:paraId="6E7AA12A" w14:textId="77777777" w:rsidR="00C45D5B" w:rsidRPr="001B009D" w:rsidRDefault="00C45D5B" w:rsidP="00CF774B">
                  <w:pPr>
                    <w:jc w:val="center"/>
                    <w:rPr>
                      <w:rFonts w:cs="Calibri"/>
                      <w:color w:val="000000"/>
                      <w:sz w:val="16"/>
                      <w:szCs w:val="16"/>
                    </w:rPr>
                  </w:pPr>
                  <w:r w:rsidRPr="001B009D">
                    <w:rPr>
                      <w:rFonts w:cs="Calibri"/>
                      <w:color w:val="000000"/>
                      <w:sz w:val="16"/>
                      <w:szCs w:val="16"/>
                    </w:rPr>
                    <w:t>0,04</w:t>
                  </w:r>
                </w:p>
              </w:tc>
            </w:tr>
            <w:tr w:rsidR="00C45D5B" w:rsidRPr="004F7036" w14:paraId="2441DF18"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31E72561" w14:textId="77777777" w:rsidR="00C45D5B" w:rsidRPr="001B009D" w:rsidRDefault="00C45D5B" w:rsidP="00CF774B">
                  <w:pPr>
                    <w:rPr>
                      <w:rFonts w:cs="Calibri"/>
                      <w:sz w:val="16"/>
                      <w:szCs w:val="16"/>
                    </w:rPr>
                  </w:pPr>
                  <w:r w:rsidRPr="001B009D">
                    <w:rPr>
                      <w:rFonts w:cs="Calibri"/>
                      <w:sz w:val="16"/>
                      <w:szCs w:val="16"/>
                    </w:rPr>
                    <w:t>Výdavky na testovanie</w:t>
                  </w:r>
                </w:p>
              </w:tc>
              <w:tc>
                <w:tcPr>
                  <w:tcW w:w="708" w:type="dxa"/>
                  <w:tcBorders>
                    <w:top w:val="nil"/>
                    <w:left w:val="nil"/>
                    <w:bottom w:val="nil"/>
                    <w:right w:val="single" w:sz="4" w:space="0" w:color="auto"/>
                  </w:tcBorders>
                  <w:shd w:val="clear" w:color="auto" w:fill="auto"/>
                  <w:noWrap/>
                  <w:vAlign w:val="bottom"/>
                  <w:hideMark/>
                </w:tcPr>
                <w:p w14:paraId="0B91D1FC" w14:textId="77777777" w:rsidR="00C45D5B" w:rsidRPr="001B009D" w:rsidRDefault="00C45D5B" w:rsidP="00CF774B">
                  <w:pPr>
                    <w:jc w:val="center"/>
                    <w:rPr>
                      <w:rFonts w:cs="Calibri"/>
                      <w:sz w:val="16"/>
                      <w:szCs w:val="16"/>
                    </w:rPr>
                  </w:pPr>
                  <w:r w:rsidRPr="001B009D">
                    <w:rPr>
                      <w:rFonts w:cs="Calibri"/>
                      <w:sz w:val="16"/>
                      <w:szCs w:val="16"/>
                    </w:rPr>
                    <w:t>630, 710</w:t>
                  </w:r>
                </w:p>
              </w:tc>
              <w:tc>
                <w:tcPr>
                  <w:tcW w:w="567" w:type="dxa"/>
                  <w:tcBorders>
                    <w:top w:val="nil"/>
                    <w:left w:val="nil"/>
                    <w:bottom w:val="nil"/>
                    <w:right w:val="single" w:sz="4" w:space="0" w:color="auto"/>
                  </w:tcBorders>
                  <w:shd w:val="clear" w:color="auto" w:fill="auto"/>
                  <w:noWrap/>
                  <w:vAlign w:val="bottom"/>
                  <w:hideMark/>
                </w:tcPr>
                <w:p w14:paraId="7431588E" w14:textId="77777777" w:rsidR="00C45D5B" w:rsidRPr="001B009D" w:rsidRDefault="00C45D5B" w:rsidP="00CF774B">
                  <w:pPr>
                    <w:jc w:val="center"/>
                    <w:rPr>
                      <w:rFonts w:cs="Calibri"/>
                      <w:sz w:val="16"/>
                      <w:szCs w:val="16"/>
                    </w:rPr>
                  </w:pPr>
                  <w:r w:rsidRPr="001B009D">
                    <w:rPr>
                      <w:rFonts w:cs="Calibri"/>
                      <w:sz w:val="16"/>
                      <w:szCs w:val="16"/>
                    </w:rPr>
                    <w:t>P.2, P.51</w:t>
                  </w:r>
                </w:p>
              </w:tc>
              <w:tc>
                <w:tcPr>
                  <w:tcW w:w="567" w:type="dxa"/>
                  <w:tcBorders>
                    <w:top w:val="nil"/>
                    <w:left w:val="nil"/>
                    <w:bottom w:val="nil"/>
                    <w:right w:val="nil"/>
                  </w:tcBorders>
                  <w:shd w:val="clear" w:color="auto" w:fill="auto"/>
                  <w:noWrap/>
                  <w:vAlign w:val="bottom"/>
                  <w:hideMark/>
                </w:tcPr>
                <w:p w14:paraId="241F3FA4" w14:textId="77777777" w:rsidR="00C45D5B" w:rsidRPr="001B009D" w:rsidRDefault="00C45D5B" w:rsidP="00CF774B">
                  <w:pPr>
                    <w:jc w:val="center"/>
                    <w:rPr>
                      <w:rFonts w:cs="Calibri"/>
                      <w:sz w:val="16"/>
                      <w:szCs w:val="16"/>
                    </w:rPr>
                  </w:pPr>
                  <w:r w:rsidRPr="001B009D">
                    <w:rPr>
                      <w:rFonts w:cs="Calibri"/>
                      <w:sz w:val="16"/>
                      <w:szCs w:val="16"/>
                    </w:rPr>
                    <w:t>124</w:t>
                  </w:r>
                </w:p>
              </w:tc>
              <w:tc>
                <w:tcPr>
                  <w:tcW w:w="589" w:type="dxa"/>
                  <w:tcBorders>
                    <w:top w:val="nil"/>
                    <w:left w:val="nil"/>
                    <w:bottom w:val="nil"/>
                    <w:right w:val="single" w:sz="4" w:space="0" w:color="auto"/>
                  </w:tcBorders>
                  <w:shd w:val="clear" w:color="auto" w:fill="auto"/>
                  <w:noWrap/>
                  <w:vAlign w:val="bottom"/>
                  <w:hideMark/>
                </w:tcPr>
                <w:p w14:paraId="5DD93A63" w14:textId="77777777" w:rsidR="00C45D5B" w:rsidRPr="001B009D" w:rsidRDefault="00C45D5B" w:rsidP="00CF774B">
                  <w:pPr>
                    <w:jc w:val="center"/>
                    <w:rPr>
                      <w:rFonts w:cs="Calibri"/>
                      <w:sz w:val="16"/>
                      <w:szCs w:val="16"/>
                    </w:rPr>
                  </w:pPr>
                  <w:r w:rsidRPr="001B009D">
                    <w:rPr>
                      <w:rFonts w:cs="Calibri"/>
                      <w:sz w:val="16"/>
                      <w:szCs w:val="16"/>
                    </w:rPr>
                    <w:t>0,13</w:t>
                  </w:r>
                </w:p>
              </w:tc>
              <w:tc>
                <w:tcPr>
                  <w:tcW w:w="545" w:type="dxa"/>
                  <w:tcBorders>
                    <w:top w:val="nil"/>
                    <w:left w:val="nil"/>
                    <w:bottom w:val="nil"/>
                    <w:right w:val="nil"/>
                  </w:tcBorders>
                  <w:shd w:val="clear" w:color="auto" w:fill="auto"/>
                  <w:noWrap/>
                  <w:vAlign w:val="center"/>
                  <w:hideMark/>
                </w:tcPr>
                <w:p w14:paraId="71A1D090" w14:textId="77777777" w:rsidR="00C45D5B" w:rsidRPr="001B009D" w:rsidRDefault="00C45D5B" w:rsidP="00CF774B">
                  <w:pPr>
                    <w:jc w:val="center"/>
                    <w:rPr>
                      <w:rFonts w:cs="Calibri"/>
                      <w:color w:val="000000"/>
                      <w:sz w:val="16"/>
                      <w:szCs w:val="16"/>
                    </w:rPr>
                  </w:pPr>
                  <w:r w:rsidRPr="001B009D">
                    <w:rPr>
                      <w:rFonts w:cs="Calibri"/>
                      <w:color w:val="000000"/>
                      <w:sz w:val="16"/>
                      <w:szCs w:val="16"/>
                    </w:rPr>
                    <w:t>332</w:t>
                  </w:r>
                </w:p>
              </w:tc>
              <w:tc>
                <w:tcPr>
                  <w:tcW w:w="709" w:type="dxa"/>
                  <w:tcBorders>
                    <w:top w:val="nil"/>
                    <w:left w:val="nil"/>
                    <w:bottom w:val="nil"/>
                    <w:right w:val="single" w:sz="4" w:space="0" w:color="auto"/>
                  </w:tcBorders>
                  <w:shd w:val="clear" w:color="auto" w:fill="auto"/>
                  <w:noWrap/>
                  <w:vAlign w:val="bottom"/>
                  <w:hideMark/>
                </w:tcPr>
                <w:p w14:paraId="67CB1407" w14:textId="77777777" w:rsidR="00C45D5B" w:rsidRPr="001B009D" w:rsidRDefault="00C45D5B" w:rsidP="00CF774B">
                  <w:pPr>
                    <w:jc w:val="center"/>
                    <w:rPr>
                      <w:rFonts w:cs="Calibri"/>
                      <w:sz w:val="16"/>
                      <w:szCs w:val="16"/>
                    </w:rPr>
                  </w:pPr>
                  <w:r w:rsidRPr="001B009D">
                    <w:rPr>
                      <w:rFonts w:cs="Calibri"/>
                      <w:sz w:val="16"/>
                      <w:szCs w:val="16"/>
                    </w:rPr>
                    <w:t>0,34</w:t>
                  </w:r>
                </w:p>
              </w:tc>
              <w:tc>
                <w:tcPr>
                  <w:tcW w:w="567" w:type="dxa"/>
                  <w:tcBorders>
                    <w:top w:val="nil"/>
                    <w:left w:val="nil"/>
                    <w:bottom w:val="nil"/>
                    <w:right w:val="nil"/>
                  </w:tcBorders>
                  <w:shd w:val="clear" w:color="auto" w:fill="auto"/>
                  <w:noWrap/>
                  <w:vAlign w:val="bottom"/>
                  <w:hideMark/>
                </w:tcPr>
                <w:p w14:paraId="74CC4A26" w14:textId="77777777" w:rsidR="00C45D5B" w:rsidRPr="001B009D" w:rsidRDefault="00C45D5B" w:rsidP="00CF774B">
                  <w:pPr>
                    <w:jc w:val="center"/>
                    <w:rPr>
                      <w:rFonts w:cs="Calibri"/>
                      <w:sz w:val="16"/>
                      <w:szCs w:val="16"/>
                    </w:rPr>
                  </w:pPr>
                  <w:r w:rsidRPr="001B009D">
                    <w:rPr>
                      <w:rFonts w:cs="Calibri"/>
                      <w:sz w:val="16"/>
                      <w:szCs w:val="16"/>
                    </w:rPr>
                    <w:t>75</w:t>
                  </w:r>
                </w:p>
              </w:tc>
              <w:tc>
                <w:tcPr>
                  <w:tcW w:w="709" w:type="dxa"/>
                  <w:tcBorders>
                    <w:top w:val="nil"/>
                    <w:left w:val="nil"/>
                    <w:bottom w:val="nil"/>
                    <w:right w:val="single" w:sz="4" w:space="0" w:color="auto"/>
                  </w:tcBorders>
                  <w:shd w:val="clear" w:color="auto" w:fill="auto"/>
                  <w:noWrap/>
                  <w:vAlign w:val="bottom"/>
                  <w:hideMark/>
                </w:tcPr>
                <w:p w14:paraId="5C458C70"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73298F9B" w14:textId="77777777" w:rsidR="00C45D5B" w:rsidRPr="001B009D" w:rsidRDefault="00C45D5B" w:rsidP="00CF774B">
                  <w:pPr>
                    <w:jc w:val="center"/>
                    <w:rPr>
                      <w:rFonts w:cs="Calibri"/>
                      <w:sz w:val="16"/>
                      <w:szCs w:val="16"/>
                    </w:rPr>
                  </w:pPr>
                  <w:r w:rsidRPr="001B009D">
                    <w:rPr>
                      <w:rFonts w:cs="Calibri"/>
                      <w:sz w:val="16"/>
                      <w:szCs w:val="16"/>
                    </w:rPr>
                    <w:t>531</w:t>
                  </w:r>
                </w:p>
              </w:tc>
              <w:tc>
                <w:tcPr>
                  <w:tcW w:w="770" w:type="dxa"/>
                  <w:tcBorders>
                    <w:top w:val="nil"/>
                    <w:left w:val="nil"/>
                    <w:bottom w:val="nil"/>
                    <w:right w:val="nil"/>
                  </w:tcBorders>
                  <w:shd w:val="clear" w:color="auto" w:fill="auto"/>
                  <w:noWrap/>
                  <w:vAlign w:val="bottom"/>
                  <w:hideMark/>
                </w:tcPr>
                <w:p w14:paraId="1C77353B" w14:textId="77777777" w:rsidR="00C45D5B" w:rsidRPr="001B009D" w:rsidRDefault="00C45D5B" w:rsidP="00CF774B">
                  <w:pPr>
                    <w:jc w:val="center"/>
                    <w:rPr>
                      <w:rFonts w:cs="Calibri"/>
                      <w:sz w:val="16"/>
                      <w:szCs w:val="16"/>
                    </w:rPr>
                  </w:pPr>
                  <w:r w:rsidRPr="001B009D">
                    <w:rPr>
                      <w:rFonts w:cs="Calibri"/>
                      <w:sz w:val="16"/>
                      <w:szCs w:val="16"/>
                    </w:rPr>
                    <w:t>0,48</w:t>
                  </w:r>
                </w:p>
              </w:tc>
            </w:tr>
            <w:tr w:rsidR="00C45D5B" w:rsidRPr="004F7036" w14:paraId="25369D6C"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E185A36" w14:textId="77777777" w:rsidR="00C45D5B" w:rsidRPr="001B009D" w:rsidRDefault="00C45D5B" w:rsidP="00CF774B">
                  <w:pPr>
                    <w:rPr>
                      <w:rFonts w:cs="Calibri"/>
                      <w:color w:val="000000"/>
                      <w:sz w:val="16"/>
                      <w:szCs w:val="16"/>
                    </w:rPr>
                  </w:pPr>
                  <w:r w:rsidRPr="001B009D">
                    <w:rPr>
                      <w:rFonts w:cs="Calibri"/>
                      <w:color w:val="000000"/>
                      <w:sz w:val="16"/>
                      <w:szCs w:val="16"/>
                    </w:rPr>
                    <w:t>Náklady na lieky a vakcínáciu</w:t>
                  </w:r>
                </w:p>
              </w:tc>
              <w:tc>
                <w:tcPr>
                  <w:tcW w:w="708" w:type="dxa"/>
                  <w:tcBorders>
                    <w:top w:val="nil"/>
                    <w:left w:val="nil"/>
                    <w:bottom w:val="nil"/>
                    <w:right w:val="single" w:sz="4" w:space="0" w:color="auto"/>
                  </w:tcBorders>
                  <w:shd w:val="clear" w:color="auto" w:fill="auto"/>
                  <w:noWrap/>
                  <w:vAlign w:val="bottom"/>
                  <w:hideMark/>
                </w:tcPr>
                <w:p w14:paraId="57498FD3" w14:textId="77777777" w:rsidR="00C45D5B" w:rsidRPr="001B009D" w:rsidRDefault="00C45D5B" w:rsidP="00CF774B">
                  <w:pPr>
                    <w:jc w:val="center"/>
                    <w:rPr>
                      <w:rFonts w:cs="Calibri"/>
                      <w:color w:val="000000"/>
                      <w:sz w:val="16"/>
                      <w:szCs w:val="16"/>
                    </w:rPr>
                  </w:pPr>
                  <w:r w:rsidRPr="001B009D">
                    <w:rPr>
                      <w:rFonts w:cs="Calibri"/>
                      <w:color w:val="000000"/>
                      <w:sz w:val="16"/>
                      <w:szCs w:val="16"/>
                    </w:rPr>
                    <w:t>630</w:t>
                  </w:r>
                </w:p>
              </w:tc>
              <w:tc>
                <w:tcPr>
                  <w:tcW w:w="567" w:type="dxa"/>
                  <w:tcBorders>
                    <w:top w:val="nil"/>
                    <w:left w:val="nil"/>
                    <w:bottom w:val="nil"/>
                    <w:right w:val="single" w:sz="4" w:space="0" w:color="auto"/>
                  </w:tcBorders>
                  <w:shd w:val="clear" w:color="auto" w:fill="auto"/>
                  <w:noWrap/>
                  <w:vAlign w:val="bottom"/>
                  <w:hideMark/>
                </w:tcPr>
                <w:p w14:paraId="3C1F730F" w14:textId="77777777" w:rsidR="00C45D5B" w:rsidRPr="001B009D" w:rsidRDefault="00C45D5B" w:rsidP="00CF774B">
                  <w:pPr>
                    <w:jc w:val="center"/>
                    <w:rPr>
                      <w:rFonts w:cs="Calibri"/>
                      <w:color w:val="000000"/>
                      <w:sz w:val="16"/>
                      <w:szCs w:val="16"/>
                    </w:rPr>
                  </w:pPr>
                  <w:r w:rsidRPr="001B009D">
                    <w:rPr>
                      <w:rFonts w:cs="Calibri"/>
                      <w:color w:val="000000"/>
                      <w:sz w:val="16"/>
                      <w:szCs w:val="16"/>
                    </w:rPr>
                    <w:t>P.2</w:t>
                  </w:r>
                </w:p>
              </w:tc>
              <w:tc>
                <w:tcPr>
                  <w:tcW w:w="567" w:type="dxa"/>
                  <w:tcBorders>
                    <w:top w:val="nil"/>
                    <w:left w:val="nil"/>
                    <w:bottom w:val="nil"/>
                    <w:right w:val="nil"/>
                  </w:tcBorders>
                  <w:shd w:val="clear" w:color="auto" w:fill="auto"/>
                  <w:noWrap/>
                  <w:vAlign w:val="bottom"/>
                  <w:hideMark/>
                </w:tcPr>
                <w:p w14:paraId="1D8DE563" w14:textId="77777777" w:rsidR="00C45D5B" w:rsidRPr="001B009D" w:rsidRDefault="00C45D5B" w:rsidP="00CF774B">
                  <w:pPr>
                    <w:jc w:val="center"/>
                    <w:rPr>
                      <w:rFonts w:cs="Calibri"/>
                      <w:color w:val="000000"/>
                      <w:sz w:val="16"/>
                      <w:szCs w:val="16"/>
                    </w:rPr>
                  </w:pPr>
                </w:p>
              </w:tc>
              <w:tc>
                <w:tcPr>
                  <w:tcW w:w="589" w:type="dxa"/>
                  <w:tcBorders>
                    <w:top w:val="nil"/>
                    <w:left w:val="nil"/>
                    <w:bottom w:val="nil"/>
                    <w:right w:val="single" w:sz="4" w:space="0" w:color="auto"/>
                  </w:tcBorders>
                  <w:shd w:val="clear" w:color="auto" w:fill="auto"/>
                  <w:noWrap/>
                  <w:vAlign w:val="bottom"/>
                  <w:hideMark/>
                </w:tcPr>
                <w:p w14:paraId="67A5BFC2" w14:textId="77777777" w:rsidR="00C45D5B" w:rsidRPr="001B009D" w:rsidRDefault="00C45D5B" w:rsidP="00CF774B">
                  <w:pPr>
                    <w:jc w:val="center"/>
                    <w:rPr>
                      <w:rFonts w:cs="Calibri"/>
                      <w:color w:val="000000"/>
                      <w:sz w:val="16"/>
                      <w:szCs w:val="16"/>
                    </w:rPr>
                  </w:pPr>
                  <w:r w:rsidRPr="001B009D">
                    <w:rPr>
                      <w:rFonts w:cs="Calibri"/>
                      <w:color w:val="000000"/>
                      <w:sz w:val="16"/>
                      <w:szCs w:val="16"/>
                    </w:rPr>
                    <w:t>0,00</w:t>
                  </w:r>
                </w:p>
              </w:tc>
              <w:tc>
                <w:tcPr>
                  <w:tcW w:w="545" w:type="dxa"/>
                  <w:tcBorders>
                    <w:top w:val="nil"/>
                    <w:left w:val="nil"/>
                    <w:bottom w:val="nil"/>
                    <w:right w:val="nil"/>
                  </w:tcBorders>
                  <w:shd w:val="clear" w:color="auto" w:fill="auto"/>
                  <w:noWrap/>
                  <w:vAlign w:val="center"/>
                  <w:hideMark/>
                </w:tcPr>
                <w:p w14:paraId="5CBA698A" w14:textId="77777777" w:rsidR="00C45D5B" w:rsidRPr="001B009D" w:rsidRDefault="00C45D5B" w:rsidP="00CF774B">
                  <w:pPr>
                    <w:jc w:val="center"/>
                    <w:rPr>
                      <w:rFonts w:cs="Calibri"/>
                      <w:color w:val="000000"/>
                      <w:sz w:val="16"/>
                      <w:szCs w:val="16"/>
                    </w:rPr>
                  </w:pPr>
                  <w:r w:rsidRPr="001B009D">
                    <w:rPr>
                      <w:rFonts w:cs="Calibri"/>
                      <w:color w:val="000000"/>
                      <w:sz w:val="16"/>
                      <w:szCs w:val="16"/>
                    </w:rPr>
                    <w:t>162</w:t>
                  </w:r>
                </w:p>
              </w:tc>
              <w:tc>
                <w:tcPr>
                  <w:tcW w:w="709" w:type="dxa"/>
                  <w:tcBorders>
                    <w:top w:val="nil"/>
                    <w:left w:val="nil"/>
                    <w:bottom w:val="nil"/>
                    <w:right w:val="single" w:sz="4" w:space="0" w:color="auto"/>
                  </w:tcBorders>
                  <w:shd w:val="clear" w:color="auto" w:fill="auto"/>
                  <w:noWrap/>
                  <w:vAlign w:val="bottom"/>
                  <w:hideMark/>
                </w:tcPr>
                <w:p w14:paraId="766FBAD5" w14:textId="77777777" w:rsidR="00C45D5B" w:rsidRPr="001B009D" w:rsidRDefault="00C45D5B" w:rsidP="00CF774B">
                  <w:pPr>
                    <w:jc w:val="center"/>
                    <w:rPr>
                      <w:rFonts w:cs="Calibri"/>
                      <w:color w:val="000000"/>
                      <w:sz w:val="16"/>
                      <w:szCs w:val="16"/>
                    </w:rPr>
                  </w:pPr>
                  <w:r w:rsidRPr="001B009D">
                    <w:rPr>
                      <w:rFonts w:cs="Calibri"/>
                      <w:color w:val="000000"/>
                      <w:sz w:val="16"/>
                      <w:szCs w:val="16"/>
                    </w:rPr>
                    <w:t>0,17</w:t>
                  </w:r>
                </w:p>
              </w:tc>
              <w:tc>
                <w:tcPr>
                  <w:tcW w:w="567" w:type="dxa"/>
                  <w:tcBorders>
                    <w:top w:val="nil"/>
                    <w:left w:val="nil"/>
                    <w:bottom w:val="nil"/>
                    <w:right w:val="nil"/>
                  </w:tcBorders>
                  <w:shd w:val="clear" w:color="auto" w:fill="auto"/>
                  <w:noWrap/>
                  <w:vAlign w:val="bottom"/>
                  <w:hideMark/>
                </w:tcPr>
                <w:p w14:paraId="375F6634" w14:textId="77777777" w:rsidR="00C45D5B" w:rsidRPr="001B009D" w:rsidRDefault="00C45D5B" w:rsidP="00CF774B">
                  <w:pPr>
                    <w:jc w:val="center"/>
                    <w:rPr>
                      <w:rFonts w:cs="Calibri"/>
                      <w:color w:val="000000"/>
                      <w:sz w:val="16"/>
                      <w:szCs w:val="16"/>
                    </w:rPr>
                  </w:pPr>
                  <w:r w:rsidRPr="001B009D">
                    <w:rPr>
                      <w:rFonts w:cs="Calibri"/>
                      <w:color w:val="000000"/>
                      <w:sz w:val="16"/>
                      <w:szCs w:val="16"/>
                    </w:rPr>
                    <w:t>182</w:t>
                  </w:r>
                </w:p>
              </w:tc>
              <w:tc>
                <w:tcPr>
                  <w:tcW w:w="709" w:type="dxa"/>
                  <w:tcBorders>
                    <w:top w:val="nil"/>
                    <w:left w:val="nil"/>
                    <w:bottom w:val="nil"/>
                    <w:right w:val="single" w:sz="4" w:space="0" w:color="auto"/>
                  </w:tcBorders>
                  <w:shd w:val="clear" w:color="auto" w:fill="auto"/>
                  <w:noWrap/>
                  <w:vAlign w:val="bottom"/>
                  <w:hideMark/>
                </w:tcPr>
                <w:p w14:paraId="61E0B739" w14:textId="77777777" w:rsidR="00C45D5B" w:rsidRPr="001B009D" w:rsidRDefault="00C45D5B" w:rsidP="00CF774B">
                  <w:pPr>
                    <w:jc w:val="center"/>
                    <w:rPr>
                      <w:rFonts w:cs="Calibri"/>
                      <w:color w:val="000000"/>
                      <w:sz w:val="16"/>
                      <w:szCs w:val="16"/>
                    </w:rPr>
                  </w:pPr>
                  <w:r w:rsidRPr="001B009D">
                    <w:rPr>
                      <w:rFonts w:cs="Calibri"/>
                      <w:color w:val="000000"/>
                      <w:sz w:val="16"/>
                      <w:szCs w:val="16"/>
                    </w:rPr>
                    <w:t>0,17</w:t>
                  </w:r>
                </w:p>
              </w:tc>
              <w:tc>
                <w:tcPr>
                  <w:tcW w:w="567" w:type="dxa"/>
                  <w:tcBorders>
                    <w:top w:val="nil"/>
                    <w:left w:val="nil"/>
                    <w:bottom w:val="nil"/>
                    <w:right w:val="nil"/>
                  </w:tcBorders>
                  <w:shd w:val="clear" w:color="auto" w:fill="auto"/>
                  <w:noWrap/>
                  <w:vAlign w:val="bottom"/>
                  <w:hideMark/>
                </w:tcPr>
                <w:p w14:paraId="04E1F9DA" w14:textId="77777777" w:rsidR="00C45D5B" w:rsidRPr="001B009D" w:rsidRDefault="00C45D5B" w:rsidP="00CF774B">
                  <w:pPr>
                    <w:jc w:val="center"/>
                    <w:rPr>
                      <w:rFonts w:cs="Calibri"/>
                      <w:color w:val="000000"/>
                      <w:sz w:val="16"/>
                      <w:szCs w:val="16"/>
                    </w:rPr>
                  </w:pPr>
                  <w:r w:rsidRPr="001B009D">
                    <w:rPr>
                      <w:rFonts w:cs="Calibri"/>
                      <w:color w:val="000000"/>
                      <w:sz w:val="16"/>
                      <w:szCs w:val="16"/>
                    </w:rPr>
                    <w:t>344</w:t>
                  </w:r>
                </w:p>
              </w:tc>
              <w:tc>
                <w:tcPr>
                  <w:tcW w:w="770" w:type="dxa"/>
                  <w:tcBorders>
                    <w:top w:val="nil"/>
                    <w:left w:val="nil"/>
                    <w:bottom w:val="nil"/>
                    <w:right w:val="nil"/>
                  </w:tcBorders>
                  <w:shd w:val="clear" w:color="auto" w:fill="auto"/>
                  <w:noWrap/>
                  <w:vAlign w:val="bottom"/>
                  <w:hideMark/>
                </w:tcPr>
                <w:p w14:paraId="6C3AC223" w14:textId="77777777" w:rsidR="00C45D5B" w:rsidRPr="001B009D" w:rsidRDefault="00C45D5B" w:rsidP="00CF774B">
                  <w:pPr>
                    <w:jc w:val="center"/>
                    <w:rPr>
                      <w:rFonts w:cs="Calibri"/>
                      <w:color w:val="000000"/>
                      <w:sz w:val="16"/>
                      <w:szCs w:val="16"/>
                    </w:rPr>
                  </w:pPr>
                  <w:r w:rsidRPr="001B009D">
                    <w:rPr>
                      <w:rFonts w:cs="Calibri"/>
                      <w:color w:val="000000"/>
                      <w:sz w:val="16"/>
                      <w:szCs w:val="16"/>
                    </w:rPr>
                    <w:t>0,34</w:t>
                  </w:r>
                </w:p>
              </w:tc>
            </w:tr>
            <w:tr w:rsidR="00C45D5B" w:rsidRPr="004F7036" w14:paraId="0E1240C3"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3B41F082" w14:textId="77777777" w:rsidR="00C45D5B" w:rsidRPr="001B009D" w:rsidRDefault="00C45D5B" w:rsidP="00CF774B">
                  <w:pPr>
                    <w:rPr>
                      <w:rFonts w:cs="Calibri"/>
                      <w:sz w:val="16"/>
                      <w:szCs w:val="16"/>
                    </w:rPr>
                  </w:pPr>
                  <w:r w:rsidRPr="001B009D">
                    <w:rPr>
                      <w:rFonts w:cs="Calibri"/>
                      <w:sz w:val="16"/>
                      <w:szCs w:val="16"/>
                    </w:rPr>
                    <w:t>Zariadenie a iné výdavky ZZ</w:t>
                  </w:r>
                </w:p>
              </w:tc>
              <w:tc>
                <w:tcPr>
                  <w:tcW w:w="708" w:type="dxa"/>
                  <w:tcBorders>
                    <w:top w:val="nil"/>
                    <w:left w:val="nil"/>
                    <w:bottom w:val="nil"/>
                    <w:right w:val="single" w:sz="4" w:space="0" w:color="auto"/>
                  </w:tcBorders>
                  <w:shd w:val="clear" w:color="auto" w:fill="auto"/>
                  <w:noWrap/>
                  <w:vAlign w:val="bottom"/>
                  <w:hideMark/>
                </w:tcPr>
                <w:p w14:paraId="6BB46E83" w14:textId="77777777" w:rsidR="00C45D5B" w:rsidRPr="001B009D" w:rsidRDefault="00C45D5B" w:rsidP="00CF774B">
                  <w:pPr>
                    <w:jc w:val="center"/>
                    <w:rPr>
                      <w:rFonts w:cs="Calibri"/>
                      <w:color w:val="000000"/>
                      <w:sz w:val="16"/>
                      <w:szCs w:val="16"/>
                    </w:rPr>
                  </w:pPr>
                  <w:r w:rsidRPr="001B009D">
                    <w:rPr>
                      <w:rFonts w:cs="Calibri"/>
                      <w:color w:val="000000"/>
                      <w:sz w:val="16"/>
                      <w:szCs w:val="16"/>
                    </w:rPr>
                    <w:t>630</w:t>
                  </w:r>
                </w:p>
              </w:tc>
              <w:tc>
                <w:tcPr>
                  <w:tcW w:w="567" w:type="dxa"/>
                  <w:tcBorders>
                    <w:top w:val="nil"/>
                    <w:left w:val="nil"/>
                    <w:bottom w:val="nil"/>
                    <w:right w:val="single" w:sz="4" w:space="0" w:color="auto"/>
                  </w:tcBorders>
                  <w:shd w:val="clear" w:color="auto" w:fill="auto"/>
                  <w:noWrap/>
                  <w:vAlign w:val="bottom"/>
                  <w:hideMark/>
                </w:tcPr>
                <w:p w14:paraId="040075C7" w14:textId="77777777" w:rsidR="00C45D5B" w:rsidRPr="001B009D" w:rsidRDefault="00C45D5B" w:rsidP="00CF774B">
                  <w:pPr>
                    <w:jc w:val="center"/>
                    <w:rPr>
                      <w:rFonts w:cs="Calibri"/>
                      <w:sz w:val="16"/>
                      <w:szCs w:val="16"/>
                    </w:rPr>
                  </w:pPr>
                  <w:r w:rsidRPr="001B009D">
                    <w:rPr>
                      <w:rFonts w:cs="Calibri"/>
                      <w:sz w:val="16"/>
                      <w:szCs w:val="16"/>
                    </w:rPr>
                    <w:t>P.2</w:t>
                  </w:r>
                </w:p>
              </w:tc>
              <w:tc>
                <w:tcPr>
                  <w:tcW w:w="567" w:type="dxa"/>
                  <w:tcBorders>
                    <w:top w:val="nil"/>
                    <w:left w:val="nil"/>
                    <w:bottom w:val="nil"/>
                    <w:right w:val="nil"/>
                  </w:tcBorders>
                  <w:shd w:val="clear" w:color="auto" w:fill="auto"/>
                  <w:noWrap/>
                  <w:vAlign w:val="bottom"/>
                  <w:hideMark/>
                </w:tcPr>
                <w:p w14:paraId="20B31336" w14:textId="77777777" w:rsidR="00C45D5B" w:rsidRPr="001B009D" w:rsidRDefault="00C45D5B" w:rsidP="00CF774B">
                  <w:pPr>
                    <w:jc w:val="center"/>
                    <w:rPr>
                      <w:rFonts w:cs="Calibri"/>
                      <w:sz w:val="16"/>
                      <w:szCs w:val="16"/>
                    </w:rPr>
                  </w:pPr>
                  <w:r w:rsidRPr="001B009D">
                    <w:rPr>
                      <w:rFonts w:cs="Calibri"/>
                      <w:sz w:val="16"/>
                      <w:szCs w:val="16"/>
                    </w:rPr>
                    <w:t>63</w:t>
                  </w:r>
                </w:p>
              </w:tc>
              <w:tc>
                <w:tcPr>
                  <w:tcW w:w="589" w:type="dxa"/>
                  <w:tcBorders>
                    <w:top w:val="nil"/>
                    <w:left w:val="nil"/>
                    <w:bottom w:val="nil"/>
                    <w:right w:val="single" w:sz="4" w:space="0" w:color="auto"/>
                  </w:tcBorders>
                  <w:shd w:val="clear" w:color="auto" w:fill="auto"/>
                  <w:noWrap/>
                  <w:vAlign w:val="bottom"/>
                  <w:hideMark/>
                </w:tcPr>
                <w:p w14:paraId="10F4AFC6" w14:textId="77777777" w:rsidR="00C45D5B" w:rsidRPr="001B009D" w:rsidRDefault="00C45D5B" w:rsidP="00CF774B">
                  <w:pPr>
                    <w:jc w:val="center"/>
                    <w:rPr>
                      <w:rFonts w:cs="Calibri"/>
                      <w:sz w:val="16"/>
                      <w:szCs w:val="16"/>
                    </w:rPr>
                  </w:pPr>
                  <w:r w:rsidRPr="001B009D">
                    <w:rPr>
                      <w:rFonts w:cs="Calibri"/>
                      <w:sz w:val="16"/>
                      <w:szCs w:val="16"/>
                    </w:rPr>
                    <w:t>0,07</w:t>
                  </w:r>
                </w:p>
              </w:tc>
              <w:tc>
                <w:tcPr>
                  <w:tcW w:w="545" w:type="dxa"/>
                  <w:tcBorders>
                    <w:top w:val="nil"/>
                    <w:left w:val="nil"/>
                    <w:bottom w:val="nil"/>
                    <w:right w:val="nil"/>
                  </w:tcBorders>
                  <w:shd w:val="clear" w:color="auto" w:fill="auto"/>
                  <w:noWrap/>
                  <w:vAlign w:val="center"/>
                  <w:hideMark/>
                </w:tcPr>
                <w:p w14:paraId="1607F867" w14:textId="77777777" w:rsidR="00C45D5B" w:rsidRPr="001B009D" w:rsidRDefault="00C45D5B" w:rsidP="00CF774B">
                  <w:pPr>
                    <w:jc w:val="center"/>
                    <w:rPr>
                      <w:rFonts w:cs="Calibri"/>
                      <w:color w:val="000000"/>
                      <w:sz w:val="16"/>
                      <w:szCs w:val="16"/>
                    </w:rPr>
                  </w:pPr>
                  <w:r w:rsidRPr="001B009D">
                    <w:rPr>
                      <w:rFonts w:cs="Calibri"/>
                      <w:color w:val="000000"/>
                      <w:sz w:val="16"/>
                      <w:szCs w:val="16"/>
                    </w:rPr>
                    <w:t>261</w:t>
                  </w:r>
                </w:p>
              </w:tc>
              <w:tc>
                <w:tcPr>
                  <w:tcW w:w="709" w:type="dxa"/>
                  <w:tcBorders>
                    <w:top w:val="nil"/>
                    <w:left w:val="nil"/>
                    <w:bottom w:val="nil"/>
                    <w:right w:val="single" w:sz="4" w:space="0" w:color="auto"/>
                  </w:tcBorders>
                  <w:shd w:val="clear" w:color="auto" w:fill="auto"/>
                  <w:noWrap/>
                  <w:vAlign w:val="bottom"/>
                  <w:hideMark/>
                </w:tcPr>
                <w:p w14:paraId="4AD1471B"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59A1BFC8"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2D4747DB"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229C5B20" w14:textId="77777777" w:rsidR="00C45D5B" w:rsidRPr="001B009D" w:rsidRDefault="00C45D5B" w:rsidP="00CF774B">
                  <w:pPr>
                    <w:jc w:val="center"/>
                    <w:rPr>
                      <w:rFonts w:cs="Calibri"/>
                      <w:sz w:val="16"/>
                      <w:szCs w:val="16"/>
                    </w:rPr>
                  </w:pPr>
                  <w:r w:rsidRPr="001B009D">
                    <w:rPr>
                      <w:rFonts w:cs="Calibri"/>
                      <w:sz w:val="16"/>
                      <w:szCs w:val="16"/>
                    </w:rPr>
                    <w:t>323</w:t>
                  </w:r>
                </w:p>
              </w:tc>
              <w:tc>
                <w:tcPr>
                  <w:tcW w:w="770" w:type="dxa"/>
                  <w:tcBorders>
                    <w:top w:val="nil"/>
                    <w:left w:val="nil"/>
                    <w:bottom w:val="nil"/>
                    <w:right w:val="nil"/>
                  </w:tcBorders>
                  <w:shd w:val="clear" w:color="auto" w:fill="auto"/>
                  <w:noWrap/>
                  <w:vAlign w:val="bottom"/>
                  <w:hideMark/>
                </w:tcPr>
                <w:p w14:paraId="6360A7CD" w14:textId="77777777" w:rsidR="00C45D5B" w:rsidRPr="001B009D" w:rsidRDefault="00C45D5B" w:rsidP="00CF774B">
                  <w:pPr>
                    <w:jc w:val="center"/>
                    <w:rPr>
                      <w:rFonts w:cs="Calibri"/>
                      <w:sz w:val="16"/>
                      <w:szCs w:val="16"/>
                    </w:rPr>
                  </w:pPr>
                  <w:r w:rsidRPr="001B009D">
                    <w:rPr>
                      <w:rFonts w:cs="Calibri"/>
                      <w:sz w:val="16"/>
                      <w:szCs w:val="16"/>
                    </w:rPr>
                    <w:t>0,07</w:t>
                  </w:r>
                </w:p>
              </w:tc>
            </w:tr>
            <w:tr w:rsidR="00C45D5B" w:rsidRPr="004F7036" w14:paraId="70BFD0CC" w14:textId="77777777" w:rsidTr="00CF774B">
              <w:trPr>
                <w:trHeight w:val="289"/>
              </w:trPr>
              <w:tc>
                <w:tcPr>
                  <w:tcW w:w="2621" w:type="dxa"/>
                  <w:tcBorders>
                    <w:top w:val="single" w:sz="4" w:space="0" w:color="auto"/>
                    <w:left w:val="nil"/>
                    <w:bottom w:val="single" w:sz="4" w:space="0" w:color="auto"/>
                    <w:right w:val="single" w:sz="4" w:space="0" w:color="auto"/>
                  </w:tcBorders>
                  <w:shd w:val="clear" w:color="auto" w:fill="auto"/>
                  <w:noWrap/>
                  <w:hideMark/>
                </w:tcPr>
                <w:p w14:paraId="6D4B31C8" w14:textId="77777777" w:rsidR="00C45D5B" w:rsidRPr="001B009D" w:rsidRDefault="00C45D5B" w:rsidP="00CF774B">
                  <w:pPr>
                    <w:rPr>
                      <w:rFonts w:cs="Calibri"/>
                      <w:b/>
                      <w:bCs/>
                      <w:color w:val="000000"/>
                      <w:sz w:val="16"/>
                      <w:szCs w:val="16"/>
                    </w:rPr>
                  </w:pPr>
                  <w:r w:rsidRPr="001B009D">
                    <w:rPr>
                      <w:rFonts w:cs="Calibri"/>
                      <w:b/>
                      <w:bCs/>
                      <w:color w:val="000000"/>
                      <w:sz w:val="16"/>
                      <w:szCs w:val="16"/>
                    </w:rPr>
                    <w:t>Iné opatrenia</w:t>
                  </w:r>
                </w:p>
              </w:tc>
              <w:tc>
                <w:tcPr>
                  <w:tcW w:w="708" w:type="dxa"/>
                  <w:tcBorders>
                    <w:top w:val="single" w:sz="4" w:space="0" w:color="auto"/>
                    <w:left w:val="nil"/>
                    <w:bottom w:val="single" w:sz="4" w:space="0" w:color="auto"/>
                    <w:right w:val="single" w:sz="4" w:space="0" w:color="auto"/>
                  </w:tcBorders>
                  <w:shd w:val="clear" w:color="auto" w:fill="auto"/>
                  <w:noWrap/>
                  <w:hideMark/>
                </w:tcPr>
                <w:p w14:paraId="78C1C7A7"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3D15579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hideMark/>
                </w:tcPr>
                <w:p w14:paraId="76CD1FE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266</w:t>
                  </w:r>
                </w:p>
              </w:tc>
              <w:tc>
                <w:tcPr>
                  <w:tcW w:w="589" w:type="dxa"/>
                  <w:tcBorders>
                    <w:top w:val="single" w:sz="4" w:space="0" w:color="auto"/>
                    <w:left w:val="nil"/>
                    <w:bottom w:val="single" w:sz="4" w:space="0" w:color="auto"/>
                    <w:right w:val="single" w:sz="4" w:space="0" w:color="auto"/>
                  </w:tcBorders>
                  <w:shd w:val="clear" w:color="auto" w:fill="auto"/>
                  <w:noWrap/>
                  <w:hideMark/>
                </w:tcPr>
                <w:p w14:paraId="364EC787"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0,29</w:t>
                  </w:r>
                </w:p>
              </w:tc>
              <w:tc>
                <w:tcPr>
                  <w:tcW w:w="545" w:type="dxa"/>
                  <w:tcBorders>
                    <w:top w:val="single" w:sz="4" w:space="0" w:color="auto"/>
                    <w:left w:val="nil"/>
                    <w:bottom w:val="single" w:sz="4" w:space="0" w:color="auto"/>
                    <w:right w:val="nil"/>
                  </w:tcBorders>
                  <w:shd w:val="clear" w:color="auto" w:fill="auto"/>
                  <w:noWrap/>
                  <w:hideMark/>
                </w:tcPr>
                <w:p w14:paraId="07494669"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543</w:t>
                  </w:r>
                </w:p>
              </w:tc>
              <w:tc>
                <w:tcPr>
                  <w:tcW w:w="709" w:type="dxa"/>
                  <w:tcBorders>
                    <w:top w:val="single" w:sz="4" w:space="0" w:color="auto"/>
                    <w:left w:val="nil"/>
                    <w:bottom w:val="single" w:sz="4" w:space="0" w:color="auto"/>
                    <w:right w:val="single" w:sz="4" w:space="0" w:color="auto"/>
                  </w:tcBorders>
                  <w:shd w:val="clear" w:color="auto" w:fill="auto"/>
                  <w:noWrap/>
                  <w:hideMark/>
                </w:tcPr>
                <w:p w14:paraId="211EDEB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0,56</w:t>
                  </w:r>
                </w:p>
              </w:tc>
              <w:tc>
                <w:tcPr>
                  <w:tcW w:w="567" w:type="dxa"/>
                  <w:tcBorders>
                    <w:top w:val="single" w:sz="4" w:space="0" w:color="auto"/>
                    <w:left w:val="nil"/>
                    <w:bottom w:val="single" w:sz="4" w:space="0" w:color="auto"/>
                    <w:right w:val="nil"/>
                  </w:tcBorders>
                  <w:shd w:val="clear" w:color="auto" w:fill="auto"/>
                  <w:noWrap/>
                  <w:hideMark/>
                </w:tcPr>
                <w:p w14:paraId="38540C7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225</w:t>
                  </w:r>
                </w:p>
              </w:tc>
              <w:tc>
                <w:tcPr>
                  <w:tcW w:w="709" w:type="dxa"/>
                  <w:tcBorders>
                    <w:top w:val="single" w:sz="4" w:space="0" w:color="auto"/>
                    <w:left w:val="nil"/>
                    <w:bottom w:val="single" w:sz="4" w:space="0" w:color="auto"/>
                    <w:right w:val="single" w:sz="4" w:space="0" w:color="auto"/>
                  </w:tcBorders>
                  <w:shd w:val="clear" w:color="auto" w:fill="auto"/>
                  <w:noWrap/>
                  <w:hideMark/>
                </w:tcPr>
                <w:p w14:paraId="0B70261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0,21</w:t>
                  </w:r>
                </w:p>
              </w:tc>
              <w:tc>
                <w:tcPr>
                  <w:tcW w:w="567" w:type="dxa"/>
                  <w:tcBorders>
                    <w:top w:val="single" w:sz="4" w:space="0" w:color="auto"/>
                    <w:left w:val="nil"/>
                    <w:bottom w:val="single" w:sz="4" w:space="0" w:color="auto"/>
                    <w:right w:val="nil"/>
                  </w:tcBorders>
                  <w:shd w:val="clear" w:color="auto" w:fill="auto"/>
                  <w:noWrap/>
                  <w:hideMark/>
                </w:tcPr>
                <w:p w14:paraId="68717AB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1035</w:t>
                  </w:r>
                </w:p>
              </w:tc>
              <w:tc>
                <w:tcPr>
                  <w:tcW w:w="770" w:type="dxa"/>
                  <w:tcBorders>
                    <w:top w:val="single" w:sz="4" w:space="0" w:color="auto"/>
                    <w:left w:val="nil"/>
                    <w:bottom w:val="single" w:sz="4" w:space="0" w:color="auto"/>
                    <w:right w:val="nil"/>
                  </w:tcBorders>
                  <w:shd w:val="clear" w:color="auto" w:fill="auto"/>
                  <w:noWrap/>
                  <w:hideMark/>
                </w:tcPr>
                <w:p w14:paraId="647ED50A"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1,06</w:t>
                  </w:r>
                </w:p>
              </w:tc>
            </w:tr>
            <w:tr w:rsidR="00C45D5B" w:rsidRPr="004F7036" w14:paraId="3831506C"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9BA1F18" w14:textId="77777777" w:rsidR="00C45D5B" w:rsidRPr="001B009D" w:rsidRDefault="00C45D5B" w:rsidP="00CF774B">
                  <w:pPr>
                    <w:rPr>
                      <w:rFonts w:cs="Calibri"/>
                      <w:sz w:val="16"/>
                      <w:szCs w:val="16"/>
                    </w:rPr>
                  </w:pPr>
                  <w:r w:rsidRPr="001B009D">
                    <w:rPr>
                      <w:rFonts w:cs="Calibri"/>
                      <w:sz w:val="16"/>
                      <w:szCs w:val="16"/>
                    </w:rPr>
                    <w:t>Tvorba pohotovostných zásob (mimo testov)</w:t>
                  </w:r>
                </w:p>
              </w:tc>
              <w:tc>
                <w:tcPr>
                  <w:tcW w:w="708" w:type="dxa"/>
                  <w:tcBorders>
                    <w:top w:val="nil"/>
                    <w:left w:val="nil"/>
                    <w:bottom w:val="nil"/>
                    <w:right w:val="single" w:sz="4" w:space="0" w:color="auto"/>
                  </w:tcBorders>
                  <w:shd w:val="clear" w:color="auto" w:fill="auto"/>
                  <w:noWrap/>
                  <w:vAlign w:val="bottom"/>
                  <w:hideMark/>
                </w:tcPr>
                <w:p w14:paraId="44478E4C" w14:textId="77777777" w:rsidR="00C45D5B" w:rsidRPr="001B009D" w:rsidRDefault="00C45D5B" w:rsidP="00CF774B">
                  <w:pPr>
                    <w:jc w:val="center"/>
                    <w:rPr>
                      <w:rFonts w:cs="Calibri"/>
                      <w:sz w:val="16"/>
                      <w:szCs w:val="16"/>
                    </w:rPr>
                  </w:pPr>
                  <w:r w:rsidRPr="001B009D">
                    <w:rPr>
                      <w:rFonts w:cs="Calibri"/>
                      <w:sz w:val="16"/>
                      <w:szCs w:val="16"/>
                    </w:rPr>
                    <w:t>630</w:t>
                  </w:r>
                </w:p>
              </w:tc>
              <w:tc>
                <w:tcPr>
                  <w:tcW w:w="567" w:type="dxa"/>
                  <w:tcBorders>
                    <w:top w:val="nil"/>
                    <w:left w:val="nil"/>
                    <w:bottom w:val="nil"/>
                    <w:right w:val="single" w:sz="4" w:space="0" w:color="auto"/>
                  </w:tcBorders>
                  <w:shd w:val="clear" w:color="auto" w:fill="auto"/>
                  <w:noWrap/>
                  <w:vAlign w:val="bottom"/>
                  <w:hideMark/>
                </w:tcPr>
                <w:p w14:paraId="082AC464" w14:textId="77777777" w:rsidR="00C45D5B" w:rsidRPr="001B009D" w:rsidRDefault="00C45D5B" w:rsidP="00CF774B">
                  <w:pPr>
                    <w:jc w:val="center"/>
                    <w:rPr>
                      <w:rFonts w:cs="Calibri"/>
                      <w:sz w:val="16"/>
                      <w:szCs w:val="16"/>
                    </w:rPr>
                  </w:pPr>
                  <w:r w:rsidRPr="001B009D">
                    <w:rPr>
                      <w:rFonts w:cs="Calibri"/>
                      <w:sz w:val="16"/>
                      <w:szCs w:val="16"/>
                    </w:rPr>
                    <w:t>P.2</w:t>
                  </w:r>
                </w:p>
              </w:tc>
              <w:tc>
                <w:tcPr>
                  <w:tcW w:w="567" w:type="dxa"/>
                  <w:tcBorders>
                    <w:top w:val="nil"/>
                    <w:left w:val="nil"/>
                    <w:bottom w:val="nil"/>
                    <w:right w:val="nil"/>
                  </w:tcBorders>
                  <w:shd w:val="clear" w:color="auto" w:fill="auto"/>
                  <w:noWrap/>
                  <w:vAlign w:val="bottom"/>
                  <w:hideMark/>
                </w:tcPr>
                <w:p w14:paraId="6BBCEE71" w14:textId="77777777" w:rsidR="00C45D5B" w:rsidRPr="001B009D" w:rsidRDefault="00C45D5B" w:rsidP="00CF774B">
                  <w:pPr>
                    <w:jc w:val="center"/>
                    <w:rPr>
                      <w:rFonts w:cs="Calibri"/>
                      <w:sz w:val="16"/>
                      <w:szCs w:val="16"/>
                    </w:rPr>
                  </w:pPr>
                  <w:r w:rsidRPr="001B009D">
                    <w:rPr>
                      <w:rFonts w:cs="Calibri"/>
                      <w:sz w:val="16"/>
                      <w:szCs w:val="16"/>
                    </w:rPr>
                    <w:t>33</w:t>
                  </w:r>
                </w:p>
              </w:tc>
              <w:tc>
                <w:tcPr>
                  <w:tcW w:w="589" w:type="dxa"/>
                  <w:tcBorders>
                    <w:top w:val="nil"/>
                    <w:left w:val="nil"/>
                    <w:bottom w:val="nil"/>
                    <w:right w:val="single" w:sz="4" w:space="0" w:color="auto"/>
                  </w:tcBorders>
                  <w:shd w:val="clear" w:color="auto" w:fill="auto"/>
                  <w:noWrap/>
                  <w:vAlign w:val="bottom"/>
                  <w:hideMark/>
                </w:tcPr>
                <w:p w14:paraId="4A145525" w14:textId="77777777" w:rsidR="00C45D5B" w:rsidRPr="001B009D" w:rsidRDefault="00C45D5B" w:rsidP="00CF774B">
                  <w:pPr>
                    <w:jc w:val="center"/>
                    <w:rPr>
                      <w:rFonts w:cs="Calibri"/>
                      <w:sz w:val="16"/>
                      <w:szCs w:val="16"/>
                    </w:rPr>
                  </w:pPr>
                  <w:r w:rsidRPr="001B009D">
                    <w:rPr>
                      <w:rFonts w:cs="Calibri"/>
                      <w:sz w:val="16"/>
                      <w:szCs w:val="16"/>
                    </w:rPr>
                    <w:t>0,04</w:t>
                  </w:r>
                </w:p>
              </w:tc>
              <w:tc>
                <w:tcPr>
                  <w:tcW w:w="545" w:type="dxa"/>
                  <w:tcBorders>
                    <w:top w:val="nil"/>
                    <w:left w:val="nil"/>
                    <w:bottom w:val="nil"/>
                    <w:right w:val="nil"/>
                  </w:tcBorders>
                  <w:shd w:val="clear" w:color="auto" w:fill="auto"/>
                  <w:noWrap/>
                  <w:vAlign w:val="bottom"/>
                  <w:hideMark/>
                </w:tcPr>
                <w:p w14:paraId="09133C18" w14:textId="77777777" w:rsidR="00C45D5B" w:rsidRPr="001B009D" w:rsidRDefault="00C45D5B" w:rsidP="00CF774B">
                  <w:pPr>
                    <w:jc w:val="center"/>
                    <w:rPr>
                      <w:rFonts w:cs="Calibri"/>
                      <w:sz w:val="16"/>
                      <w:szCs w:val="16"/>
                    </w:rPr>
                  </w:pPr>
                  <w:r w:rsidRPr="001B009D">
                    <w:rPr>
                      <w:rFonts w:cs="Calibri"/>
                      <w:sz w:val="16"/>
                      <w:szCs w:val="16"/>
                    </w:rPr>
                    <w:t>15</w:t>
                  </w:r>
                </w:p>
              </w:tc>
              <w:tc>
                <w:tcPr>
                  <w:tcW w:w="709" w:type="dxa"/>
                  <w:tcBorders>
                    <w:top w:val="nil"/>
                    <w:left w:val="nil"/>
                    <w:bottom w:val="nil"/>
                    <w:right w:val="single" w:sz="4" w:space="0" w:color="auto"/>
                  </w:tcBorders>
                  <w:shd w:val="clear" w:color="auto" w:fill="auto"/>
                  <w:noWrap/>
                  <w:vAlign w:val="bottom"/>
                  <w:hideMark/>
                </w:tcPr>
                <w:p w14:paraId="41F51B6B" w14:textId="77777777" w:rsidR="00C45D5B" w:rsidRPr="001B009D" w:rsidRDefault="00C45D5B" w:rsidP="00CF774B">
                  <w:pPr>
                    <w:jc w:val="center"/>
                    <w:rPr>
                      <w:rFonts w:cs="Calibri"/>
                      <w:sz w:val="16"/>
                      <w:szCs w:val="16"/>
                    </w:rPr>
                  </w:pPr>
                  <w:r w:rsidRPr="001B009D">
                    <w:rPr>
                      <w:rFonts w:cs="Calibri"/>
                      <w:sz w:val="16"/>
                      <w:szCs w:val="16"/>
                    </w:rPr>
                    <w:t>0,02</w:t>
                  </w:r>
                </w:p>
              </w:tc>
              <w:tc>
                <w:tcPr>
                  <w:tcW w:w="567" w:type="dxa"/>
                  <w:tcBorders>
                    <w:top w:val="nil"/>
                    <w:left w:val="nil"/>
                    <w:bottom w:val="nil"/>
                    <w:right w:val="nil"/>
                  </w:tcBorders>
                  <w:shd w:val="clear" w:color="auto" w:fill="auto"/>
                  <w:noWrap/>
                  <w:vAlign w:val="bottom"/>
                  <w:hideMark/>
                </w:tcPr>
                <w:p w14:paraId="7329A246" w14:textId="77777777" w:rsidR="00C45D5B" w:rsidRPr="001B009D" w:rsidRDefault="00C45D5B" w:rsidP="00CF774B">
                  <w:pPr>
                    <w:jc w:val="center"/>
                    <w:rPr>
                      <w:rFonts w:cs="Calibri"/>
                      <w:sz w:val="16"/>
                      <w:szCs w:val="16"/>
                    </w:rPr>
                  </w:pPr>
                  <w:r w:rsidRPr="001B009D">
                    <w:rPr>
                      <w:rFonts w:cs="Calibri"/>
                      <w:sz w:val="16"/>
                      <w:szCs w:val="16"/>
                    </w:rPr>
                    <w:t>65</w:t>
                  </w:r>
                </w:p>
              </w:tc>
              <w:tc>
                <w:tcPr>
                  <w:tcW w:w="709" w:type="dxa"/>
                  <w:tcBorders>
                    <w:top w:val="nil"/>
                    <w:left w:val="nil"/>
                    <w:bottom w:val="nil"/>
                    <w:right w:val="single" w:sz="4" w:space="0" w:color="auto"/>
                  </w:tcBorders>
                  <w:shd w:val="clear" w:color="auto" w:fill="auto"/>
                  <w:noWrap/>
                  <w:vAlign w:val="center"/>
                  <w:hideMark/>
                </w:tcPr>
                <w:p w14:paraId="1F433F6F" w14:textId="77777777" w:rsidR="00C45D5B" w:rsidRPr="001B009D" w:rsidRDefault="00C45D5B" w:rsidP="00CF774B">
                  <w:pPr>
                    <w:jc w:val="center"/>
                    <w:rPr>
                      <w:rFonts w:cs="Calibri"/>
                      <w:color w:val="000000"/>
                      <w:sz w:val="16"/>
                      <w:szCs w:val="16"/>
                    </w:rPr>
                  </w:pPr>
                  <w:r w:rsidRPr="001B009D">
                    <w:rPr>
                      <w:rFonts w:cs="Calibri"/>
                      <w:color w:val="000000"/>
                      <w:sz w:val="16"/>
                      <w:szCs w:val="16"/>
                    </w:rPr>
                    <w:t>0,06</w:t>
                  </w:r>
                </w:p>
              </w:tc>
              <w:tc>
                <w:tcPr>
                  <w:tcW w:w="567" w:type="dxa"/>
                  <w:tcBorders>
                    <w:top w:val="nil"/>
                    <w:left w:val="nil"/>
                    <w:bottom w:val="nil"/>
                    <w:right w:val="nil"/>
                  </w:tcBorders>
                  <w:shd w:val="clear" w:color="auto" w:fill="auto"/>
                  <w:noWrap/>
                  <w:vAlign w:val="bottom"/>
                  <w:hideMark/>
                </w:tcPr>
                <w:p w14:paraId="71E53D4B" w14:textId="77777777" w:rsidR="00C45D5B" w:rsidRPr="001B009D" w:rsidRDefault="00C45D5B" w:rsidP="00CF774B">
                  <w:pPr>
                    <w:jc w:val="center"/>
                    <w:rPr>
                      <w:rFonts w:cs="Calibri"/>
                      <w:sz w:val="16"/>
                      <w:szCs w:val="16"/>
                    </w:rPr>
                  </w:pPr>
                  <w:r w:rsidRPr="001B009D">
                    <w:rPr>
                      <w:rFonts w:cs="Calibri"/>
                      <w:sz w:val="16"/>
                      <w:szCs w:val="16"/>
                    </w:rPr>
                    <w:t>113</w:t>
                  </w:r>
                </w:p>
              </w:tc>
              <w:tc>
                <w:tcPr>
                  <w:tcW w:w="770" w:type="dxa"/>
                  <w:tcBorders>
                    <w:top w:val="nil"/>
                    <w:left w:val="nil"/>
                    <w:bottom w:val="nil"/>
                    <w:right w:val="nil"/>
                  </w:tcBorders>
                  <w:shd w:val="clear" w:color="auto" w:fill="auto"/>
                  <w:noWrap/>
                  <w:vAlign w:val="bottom"/>
                  <w:hideMark/>
                </w:tcPr>
                <w:p w14:paraId="026D5A64" w14:textId="77777777" w:rsidR="00C45D5B" w:rsidRPr="001B009D" w:rsidRDefault="00C45D5B" w:rsidP="00CF774B">
                  <w:pPr>
                    <w:jc w:val="center"/>
                    <w:rPr>
                      <w:rFonts w:cs="Calibri"/>
                      <w:sz w:val="16"/>
                      <w:szCs w:val="16"/>
                    </w:rPr>
                  </w:pPr>
                  <w:r w:rsidRPr="001B009D">
                    <w:rPr>
                      <w:rFonts w:cs="Calibri"/>
                      <w:sz w:val="16"/>
                      <w:szCs w:val="16"/>
                    </w:rPr>
                    <w:t>0,11</w:t>
                  </w:r>
                </w:p>
              </w:tc>
            </w:tr>
            <w:tr w:rsidR="00C45D5B" w:rsidRPr="004F7036" w14:paraId="14386424"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56E70B83" w14:textId="77777777" w:rsidR="00C45D5B" w:rsidRPr="001B009D" w:rsidRDefault="00C45D5B" w:rsidP="00CF774B">
                  <w:pPr>
                    <w:rPr>
                      <w:rFonts w:cs="Calibri"/>
                      <w:sz w:val="16"/>
                      <w:szCs w:val="16"/>
                    </w:rPr>
                  </w:pPr>
                  <w:r w:rsidRPr="001B009D">
                    <w:rPr>
                      <w:rFonts w:cs="Calibri"/>
                      <w:sz w:val="16"/>
                      <w:szCs w:val="16"/>
                    </w:rPr>
                    <w:t>Odmeny pracovníkom v prvej línii (mimo MZ)</w:t>
                  </w:r>
                </w:p>
              </w:tc>
              <w:tc>
                <w:tcPr>
                  <w:tcW w:w="708" w:type="dxa"/>
                  <w:tcBorders>
                    <w:top w:val="nil"/>
                    <w:left w:val="nil"/>
                    <w:bottom w:val="nil"/>
                    <w:right w:val="single" w:sz="4" w:space="0" w:color="auto"/>
                  </w:tcBorders>
                  <w:shd w:val="clear" w:color="auto" w:fill="auto"/>
                  <w:noWrap/>
                  <w:vAlign w:val="bottom"/>
                  <w:hideMark/>
                </w:tcPr>
                <w:p w14:paraId="78B18DFB" w14:textId="77777777" w:rsidR="00C45D5B" w:rsidRPr="001B009D" w:rsidRDefault="00C45D5B" w:rsidP="00CF774B">
                  <w:pPr>
                    <w:jc w:val="center"/>
                    <w:rPr>
                      <w:rFonts w:cs="Calibri"/>
                      <w:sz w:val="16"/>
                      <w:szCs w:val="16"/>
                    </w:rPr>
                  </w:pPr>
                  <w:r w:rsidRPr="001B009D">
                    <w:rPr>
                      <w:rFonts w:cs="Calibri"/>
                      <w:sz w:val="16"/>
                      <w:szCs w:val="16"/>
                    </w:rPr>
                    <w:t>610, 620</w:t>
                  </w:r>
                </w:p>
              </w:tc>
              <w:tc>
                <w:tcPr>
                  <w:tcW w:w="567" w:type="dxa"/>
                  <w:tcBorders>
                    <w:top w:val="nil"/>
                    <w:left w:val="nil"/>
                    <w:bottom w:val="nil"/>
                    <w:right w:val="single" w:sz="4" w:space="0" w:color="auto"/>
                  </w:tcBorders>
                  <w:shd w:val="clear" w:color="auto" w:fill="auto"/>
                  <w:noWrap/>
                  <w:vAlign w:val="bottom"/>
                  <w:hideMark/>
                </w:tcPr>
                <w:p w14:paraId="4EA0DDE1" w14:textId="77777777" w:rsidR="00C45D5B" w:rsidRPr="001B009D" w:rsidRDefault="00C45D5B" w:rsidP="00CF774B">
                  <w:pPr>
                    <w:jc w:val="center"/>
                    <w:rPr>
                      <w:rFonts w:cs="Calibri"/>
                      <w:sz w:val="16"/>
                      <w:szCs w:val="16"/>
                    </w:rPr>
                  </w:pPr>
                  <w:r w:rsidRPr="001B009D">
                    <w:rPr>
                      <w:rFonts w:cs="Calibri"/>
                      <w:sz w:val="16"/>
                      <w:szCs w:val="16"/>
                    </w:rPr>
                    <w:t>D.1</w:t>
                  </w:r>
                </w:p>
              </w:tc>
              <w:tc>
                <w:tcPr>
                  <w:tcW w:w="567" w:type="dxa"/>
                  <w:tcBorders>
                    <w:top w:val="nil"/>
                    <w:left w:val="nil"/>
                    <w:bottom w:val="nil"/>
                    <w:right w:val="nil"/>
                  </w:tcBorders>
                  <w:shd w:val="clear" w:color="auto" w:fill="auto"/>
                  <w:noWrap/>
                  <w:vAlign w:val="bottom"/>
                  <w:hideMark/>
                </w:tcPr>
                <w:p w14:paraId="0C6CD8C8" w14:textId="77777777" w:rsidR="00C45D5B" w:rsidRPr="001B009D" w:rsidRDefault="00C45D5B" w:rsidP="00CF774B">
                  <w:pPr>
                    <w:jc w:val="center"/>
                    <w:rPr>
                      <w:rFonts w:cs="Calibri"/>
                      <w:sz w:val="16"/>
                      <w:szCs w:val="16"/>
                    </w:rPr>
                  </w:pPr>
                  <w:r w:rsidRPr="001B009D">
                    <w:rPr>
                      <w:rFonts w:cs="Calibri"/>
                      <w:sz w:val="16"/>
                      <w:szCs w:val="16"/>
                    </w:rPr>
                    <w:t>64</w:t>
                  </w:r>
                </w:p>
              </w:tc>
              <w:tc>
                <w:tcPr>
                  <w:tcW w:w="589" w:type="dxa"/>
                  <w:tcBorders>
                    <w:top w:val="nil"/>
                    <w:left w:val="nil"/>
                    <w:bottom w:val="nil"/>
                    <w:right w:val="single" w:sz="4" w:space="0" w:color="auto"/>
                  </w:tcBorders>
                  <w:shd w:val="clear" w:color="auto" w:fill="auto"/>
                  <w:noWrap/>
                  <w:vAlign w:val="bottom"/>
                  <w:hideMark/>
                </w:tcPr>
                <w:p w14:paraId="46C5348B" w14:textId="77777777" w:rsidR="00C45D5B" w:rsidRPr="001B009D" w:rsidRDefault="00C45D5B" w:rsidP="00CF774B">
                  <w:pPr>
                    <w:jc w:val="center"/>
                    <w:rPr>
                      <w:rFonts w:cs="Calibri"/>
                      <w:sz w:val="16"/>
                      <w:szCs w:val="16"/>
                    </w:rPr>
                  </w:pPr>
                  <w:r w:rsidRPr="001B009D">
                    <w:rPr>
                      <w:rFonts w:cs="Calibri"/>
                      <w:sz w:val="16"/>
                      <w:szCs w:val="16"/>
                    </w:rPr>
                    <w:t>0,07</w:t>
                  </w:r>
                </w:p>
              </w:tc>
              <w:tc>
                <w:tcPr>
                  <w:tcW w:w="545" w:type="dxa"/>
                  <w:tcBorders>
                    <w:top w:val="nil"/>
                    <w:left w:val="nil"/>
                    <w:bottom w:val="nil"/>
                    <w:right w:val="nil"/>
                  </w:tcBorders>
                  <w:shd w:val="clear" w:color="auto" w:fill="auto"/>
                  <w:noWrap/>
                  <w:vAlign w:val="bottom"/>
                  <w:hideMark/>
                </w:tcPr>
                <w:p w14:paraId="167D81B4" w14:textId="77777777" w:rsidR="00C45D5B" w:rsidRPr="001B009D" w:rsidRDefault="00C45D5B" w:rsidP="00CF774B">
                  <w:pPr>
                    <w:jc w:val="center"/>
                    <w:rPr>
                      <w:rFonts w:cs="Calibri"/>
                      <w:sz w:val="16"/>
                      <w:szCs w:val="16"/>
                    </w:rPr>
                  </w:pPr>
                  <w:r w:rsidRPr="001B009D">
                    <w:rPr>
                      <w:rFonts w:cs="Calibri"/>
                      <w:sz w:val="16"/>
                      <w:szCs w:val="16"/>
                    </w:rPr>
                    <w:t>9</w:t>
                  </w:r>
                </w:p>
              </w:tc>
              <w:tc>
                <w:tcPr>
                  <w:tcW w:w="709" w:type="dxa"/>
                  <w:tcBorders>
                    <w:top w:val="nil"/>
                    <w:left w:val="nil"/>
                    <w:bottom w:val="nil"/>
                    <w:right w:val="single" w:sz="4" w:space="0" w:color="auto"/>
                  </w:tcBorders>
                  <w:shd w:val="clear" w:color="auto" w:fill="auto"/>
                  <w:noWrap/>
                  <w:vAlign w:val="bottom"/>
                  <w:hideMark/>
                </w:tcPr>
                <w:p w14:paraId="67E59B9F"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6E901CAB"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29A8BA44"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48FE9D24" w14:textId="77777777" w:rsidR="00C45D5B" w:rsidRPr="001B009D" w:rsidRDefault="00C45D5B" w:rsidP="00CF774B">
                  <w:pPr>
                    <w:jc w:val="center"/>
                    <w:rPr>
                      <w:rFonts w:cs="Calibri"/>
                      <w:sz w:val="16"/>
                      <w:szCs w:val="16"/>
                    </w:rPr>
                  </w:pPr>
                  <w:r w:rsidRPr="001B009D">
                    <w:rPr>
                      <w:rFonts w:cs="Calibri"/>
                      <w:sz w:val="16"/>
                      <w:szCs w:val="16"/>
                    </w:rPr>
                    <w:t>73</w:t>
                  </w:r>
                </w:p>
              </w:tc>
              <w:tc>
                <w:tcPr>
                  <w:tcW w:w="770" w:type="dxa"/>
                  <w:tcBorders>
                    <w:top w:val="nil"/>
                    <w:left w:val="nil"/>
                    <w:bottom w:val="nil"/>
                    <w:right w:val="nil"/>
                  </w:tcBorders>
                  <w:shd w:val="clear" w:color="auto" w:fill="auto"/>
                  <w:noWrap/>
                  <w:vAlign w:val="bottom"/>
                  <w:hideMark/>
                </w:tcPr>
                <w:p w14:paraId="6ADF5122" w14:textId="77777777" w:rsidR="00C45D5B" w:rsidRPr="001B009D" w:rsidRDefault="00C45D5B" w:rsidP="00CF774B">
                  <w:pPr>
                    <w:jc w:val="center"/>
                    <w:rPr>
                      <w:rFonts w:cs="Calibri"/>
                      <w:sz w:val="16"/>
                      <w:szCs w:val="16"/>
                    </w:rPr>
                  </w:pPr>
                  <w:r w:rsidRPr="001B009D">
                    <w:rPr>
                      <w:rFonts w:cs="Calibri"/>
                      <w:sz w:val="16"/>
                      <w:szCs w:val="16"/>
                    </w:rPr>
                    <w:t>0,07</w:t>
                  </w:r>
                </w:p>
              </w:tc>
            </w:tr>
            <w:tr w:rsidR="00C45D5B" w:rsidRPr="004F7036" w14:paraId="56404F13"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52666403" w14:textId="77777777" w:rsidR="00C45D5B" w:rsidRPr="001B009D" w:rsidRDefault="00C45D5B" w:rsidP="00CF774B">
                  <w:pPr>
                    <w:rPr>
                      <w:rFonts w:cs="Calibri"/>
                      <w:sz w:val="16"/>
                      <w:szCs w:val="16"/>
                    </w:rPr>
                  </w:pPr>
                  <w:r w:rsidRPr="001B009D">
                    <w:rPr>
                      <w:rFonts w:cs="Calibri"/>
                      <w:sz w:val="16"/>
                      <w:szCs w:val="16"/>
                    </w:rPr>
                    <w:t>Tovary a služby súvisiace s COVID-19 (dezinfekcia, iné)</w:t>
                  </w:r>
                </w:p>
              </w:tc>
              <w:tc>
                <w:tcPr>
                  <w:tcW w:w="708" w:type="dxa"/>
                  <w:tcBorders>
                    <w:top w:val="nil"/>
                    <w:left w:val="nil"/>
                    <w:bottom w:val="nil"/>
                    <w:right w:val="single" w:sz="4" w:space="0" w:color="auto"/>
                  </w:tcBorders>
                  <w:shd w:val="clear" w:color="auto" w:fill="auto"/>
                  <w:noWrap/>
                  <w:vAlign w:val="bottom"/>
                  <w:hideMark/>
                </w:tcPr>
                <w:p w14:paraId="3D17A400" w14:textId="77777777" w:rsidR="00C45D5B" w:rsidRPr="001B009D" w:rsidRDefault="00C45D5B" w:rsidP="00CF774B">
                  <w:pPr>
                    <w:jc w:val="center"/>
                    <w:rPr>
                      <w:rFonts w:cs="Calibri"/>
                      <w:color w:val="000000"/>
                      <w:sz w:val="16"/>
                      <w:szCs w:val="16"/>
                    </w:rPr>
                  </w:pPr>
                  <w:r w:rsidRPr="001B009D">
                    <w:rPr>
                      <w:rFonts w:cs="Calibri"/>
                      <w:color w:val="000000"/>
                      <w:sz w:val="16"/>
                      <w:szCs w:val="16"/>
                    </w:rPr>
                    <w:t>630</w:t>
                  </w:r>
                </w:p>
              </w:tc>
              <w:tc>
                <w:tcPr>
                  <w:tcW w:w="567" w:type="dxa"/>
                  <w:tcBorders>
                    <w:top w:val="nil"/>
                    <w:left w:val="nil"/>
                    <w:bottom w:val="nil"/>
                    <w:right w:val="single" w:sz="4" w:space="0" w:color="auto"/>
                  </w:tcBorders>
                  <w:shd w:val="clear" w:color="auto" w:fill="auto"/>
                  <w:noWrap/>
                  <w:vAlign w:val="bottom"/>
                  <w:hideMark/>
                </w:tcPr>
                <w:p w14:paraId="4EFB76D4" w14:textId="77777777" w:rsidR="00C45D5B" w:rsidRPr="001B009D" w:rsidRDefault="00C45D5B" w:rsidP="00CF774B">
                  <w:pPr>
                    <w:jc w:val="center"/>
                    <w:rPr>
                      <w:rFonts w:cs="Calibri"/>
                      <w:sz w:val="16"/>
                      <w:szCs w:val="16"/>
                    </w:rPr>
                  </w:pPr>
                  <w:r w:rsidRPr="001B009D">
                    <w:rPr>
                      <w:rFonts w:cs="Calibri"/>
                      <w:sz w:val="16"/>
                      <w:szCs w:val="16"/>
                    </w:rPr>
                    <w:t>P.2</w:t>
                  </w:r>
                </w:p>
              </w:tc>
              <w:tc>
                <w:tcPr>
                  <w:tcW w:w="567" w:type="dxa"/>
                  <w:tcBorders>
                    <w:top w:val="nil"/>
                    <w:left w:val="nil"/>
                    <w:bottom w:val="nil"/>
                    <w:right w:val="nil"/>
                  </w:tcBorders>
                  <w:shd w:val="clear" w:color="auto" w:fill="auto"/>
                  <w:noWrap/>
                  <w:vAlign w:val="bottom"/>
                  <w:hideMark/>
                </w:tcPr>
                <w:p w14:paraId="200A9343" w14:textId="77777777" w:rsidR="00C45D5B" w:rsidRPr="001B009D" w:rsidRDefault="00C45D5B" w:rsidP="00CF774B">
                  <w:pPr>
                    <w:jc w:val="center"/>
                    <w:rPr>
                      <w:rFonts w:cs="Calibri"/>
                      <w:sz w:val="16"/>
                      <w:szCs w:val="16"/>
                    </w:rPr>
                  </w:pPr>
                  <w:r w:rsidRPr="001B009D">
                    <w:rPr>
                      <w:rFonts w:cs="Calibri"/>
                      <w:sz w:val="16"/>
                      <w:szCs w:val="16"/>
                    </w:rPr>
                    <w:t>22</w:t>
                  </w:r>
                </w:p>
              </w:tc>
              <w:tc>
                <w:tcPr>
                  <w:tcW w:w="589" w:type="dxa"/>
                  <w:tcBorders>
                    <w:top w:val="nil"/>
                    <w:left w:val="nil"/>
                    <w:bottom w:val="nil"/>
                    <w:right w:val="single" w:sz="4" w:space="0" w:color="auto"/>
                  </w:tcBorders>
                  <w:shd w:val="clear" w:color="auto" w:fill="auto"/>
                  <w:noWrap/>
                  <w:vAlign w:val="bottom"/>
                  <w:hideMark/>
                </w:tcPr>
                <w:p w14:paraId="50C02890" w14:textId="77777777" w:rsidR="00C45D5B" w:rsidRPr="001B009D" w:rsidRDefault="00C45D5B" w:rsidP="00CF774B">
                  <w:pPr>
                    <w:jc w:val="center"/>
                    <w:rPr>
                      <w:rFonts w:cs="Calibri"/>
                      <w:sz w:val="16"/>
                      <w:szCs w:val="16"/>
                    </w:rPr>
                  </w:pPr>
                  <w:r w:rsidRPr="001B009D">
                    <w:rPr>
                      <w:rFonts w:cs="Calibri"/>
                      <w:sz w:val="16"/>
                      <w:szCs w:val="16"/>
                    </w:rPr>
                    <w:t>0,02</w:t>
                  </w:r>
                </w:p>
              </w:tc>
              <w:tc>
                <w:tcPr>
                  <w:tcW w:w="545" w:type="dxa"/>
                  <w:tcBorders>
                    <w:top w:val="nil"/>
                    <w:left w:val="nil"/>
                    <w:bottom w:val="nil"/>
                    <w:right w:val="nil"/>
                  </w:tcBorders>
                  <w:shd w:val="clear" w:color="auto" w:fill="auto"/>
                  <w:noWrap/>
                  <w:vAlign w:val="bottom"/>
                  <w:hideMark/>
                </w:tcPr>
                <w:p w14:paraId="76E0F121" w14:textId="77777777" w:rsidR="00C45D5B" w:rsidRPr="001B009D" w:rsidRDefault="00C45D5B" w:rsidP="00CF774B">
                  <w:pPr>
                    <w:jc w:val="center"/>
                    <w:rPr>
                      <w:rFonts w:cs="Calibri"/>
                      <w:sz w:val="16"/>
                      <w:szCs w:val="16"/>
                    </w:rPr>
                  </w:pPr>
                  <w:r w:rsidRPr="001B009D">
                    <w:rPr>
                      <w:rFonts w:cs="Calibri"/>
                      <w:sz w:val="16"/>
                      <w:szCs w:val="16"/>
                    </w:rPr>
                    <w:t>17</w:t>
                  </w:r>
                </w:p>
              </w:tc>
              <w:tc>
                <w:tcPr>
                  <w:tcW w:w="709" w:type="dxa"/>
                  <w:tcBorders>
                    <w:top w:val="nil"/>
                    <w:left w:val="nil"/>
                    <w:bottom w:val="nil"/>
                    <w:right w:val="single" w:sz="4" w:space="0" w:color="auto"/>
                  </w:tcBorders>
                  <w:shd w:val="clear" w:color="auto" w:fill="auto"/>
                  <w:noWrap/>
                  <w:vAlign w:val="bottom"/>
                  <w:hideMark/>
                </w:tcPr>
                <w:p w14:paraId="2E8F7082"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4FDBE5E5"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420F64A6"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639501B4" w14:textId="77777777" w:rsidR="00C45D5B" w:rsidRPr="001B009D" w:rsidRDefault="00C45D5B" w:rsidP="00CF774B">
                  <w:pPr>
                    <w:jc w:val="center"/>
                    <w:rPr>
                      <w:rFonts w:cs="Calibri"/>
                      <w:sz w:val="16"/>
                      <w:szCs w:val="16"/>
                    </w:rPr>
                  </w:pPr>
                  <w:r w:rsidRPr="001B009D">
                    <w:rPr>
                      <w:rFonts w:cs="Calibri"/>
                      <w:sz w:val="16"/>
                      <w:szCs w:val="16"/>
                    </w:rPr>
                    <w:t>39</w:t>
                  </w:r>
                </w:p>
              </w:tc>
              <w:tc>
                <w:tcPr>
                  <w:tcW w:w="770" w:type="dxa"/>
                  <w:tcBorders>
                    <w:top w:val="nil"/>
                    <w:left w:val="nil"/>
                    <w:bottom w:val="nil"/>
                    <w:right w:val="nil"/>
                  </w:tcBorders>
                  <w:shd w:val="clear" w:color="auto" w:fill="auto"/>
                  <w:noWrap/>
                  <w:vAlign w:val="bottom"/>
                  <w:hideMark/>
                </w:tcPr>
                <w:p w14:paraId="666F4894" w14:textId="77777777" w:rsidR="00C45D5B" w:rsidRPr="001B009D" w:rsidRDefault="00C45D5B" w:rsidP="00CF774B">
                  <w:pPr>
                    <w:jc w:val="center"/>
                    <w:rPr>
                      <w:rFonts w:cs="Calibri"/>
                      <w:sz w:val="16"/>
                      <w:szCs w:val="16"/>
                    </w:rPr>
                  </w:pPr>
                  <w:r w:rsidRPr="001B009D">
                    <w:rPr>
                      <w:rFonts w:cs="Calibri"/>
                      <w:sz w:val="16"/>
                      <w:szCs w:val="16"/>
                    </w:rPr>
                    <w:t>0,02</w:t>
                  </w:r>
                </w:p>
              </w:tc>
            </w:tr>
            <w:tr w:rsidR="00C45D5B" w:rsidRPr="004F7036" w14:paraId="269568E7"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7C2668A9" w14:textId="77777777" w:rsidR="00C45D5B" w:rsidRPr="001B009D" w:rsidRDefault="00C45D5B" w:rsidP="00CF774B">
                  <w:pPr>
                    <w:rPr>
                      <w:rFonts w:cs="Calibri"/>
                      <w:sz w:val="16"/>
                      <w:szCs w:val="16"/>
                    </w:rPr>
                  </w:pPr>
                  <w:r w:rsidRPr="001B009D">
                    <w:rPr>
                      <w:rFonts w:cs="Calibri"/>
                      <w:sz w:val="16"/>
                      <w:szCs w:val="16"/>
                    </w:rPr>
                    <w:t>Dotačné schémy rôznym sektorom / subjektom</w:t>
                  </w:r>
                </w:p>
              </w:tc>
              <w:tc>
                <w:tcPr>
                  <w:tcW w:w="708" w:type="dxa"/>
                  <w:tcBorders>
                    <w:top w:val="nil"/>
                    <w:left w:val="nil"/>
                    <w:bottom w:val="nil"/>
                    <w:right w:val="single" w:sz="4" w:space="0" w:color="auto"/>
                  </w:tcBorders>
                  <w:shd w:val="clear" w:color="auto" w:fill="auto"/>
                  <w:noWrap/>
                  <w:vAlign w:val="bottom"/>
                  <w:hideMark/>
                </w:tcPr>
                <w:p w14:paraId="688A16A6" w14:textId="77777777" w:rsidR="00C45D5B" w:rsidRPr="001B009D" w:rsidRDefault="00C45D5B" w:rsidP="00CF774B">
                  <w:pPr>
                    <w:jc w:val="center"/>
                    <w:rPr>
                      <w:rFonts w:cs="Calibri"/>
                      <w:sz w:val="16"/>
                      <w:szCs w:val="16"/>
                    </w:rPr>
                  </w:pPr>
                  <w:r w:rsidRPr="001B009D">
                    <w:rPr>
                      <w:rFonts w:cs="Calibri"/>
                      <w:sz w:val="16"/>
                      <w:szCs w:val="16"/>
                    </w:rPr>
                    <w:t>644</w:t>
                  </w:r>
                </w:p>
              </w:tc>
              <w:tc>
                <w:tcPr>
                  <w:tcW w:w="567" w:type="dxa"/>
                  <w:tcBorders>
                    <w:top w:val="nil"/>
                    <w:left w:val="nil"/>
                    <w:bottom w:val="nil"/>
                    <w:right w:val="single" w:sz="4" w:space="0" w:color="auto"/>
                  </w:tcBorders>
                  <w:shd w:val="clear" w:color="auto" w:fill="auto"/>
                  <w:noWrap/>
                  <w:vAlign w:val="bottom"/>
                  <w:hideMark/>
                </w:tcPr>
                <w:p w14:paraId="1493D6DE" w14:textId="77777777" w:rsidR="00C45D5B" w:rsidRPr="001B009D" w:rsidRDefault="00C45D5B" w:rsidP="00CF774B">
                  <w:pPr>
                    <w:jc w:val="center"/>
                    <w:rPr>
                      <w:rFonts w:cs="Calibri"/>
                      <w:sz w:val="16"/>
                      <w:szCs w:val="16"/>
                    </w:rPr>
                  </w:pPr>
                  <w:r w:rsidRPr="001B009D">
                    <w:rPr>
                      <w:rFonts w:cs="Calibri"/>
                      <w:sz w:val="16"/>
                      <w:szCs w:val="16"/>
                    </w:rPr>
                    <w:t>D.3p</w:t>
                  </w:r>
                </w:p>
              </w:tc>
              <w:tc>
                <w:tcPr>
                  <w:tcW w:w="567" w:type="dxa"/>
                  <w:tcBorders>
                    <w:top w:val="nil"/>
                    <w:left w:val="nil"/>
                    <w:bottom w:val="nil"/>
                    <w:right w:val="nil"/>
                  </w:tcBorders>
                  <w:shd w:val="clear" w:color="auto" w:fill="auto"/>
                  <w:noWrap/>
                  <w:vAlign w:val="bottom"/>
                  <w:hideMark/>
                </w:tcPr>
                <w:p w14:paraId="06A6C018" w14:textId="77777777" w:rsidR="00C45D5B" w:rsidRPr="001B009D" w:rsidRDefault="00C45D5B" w:rsidP="00CF774B">
                  <w:pPr>
                    <w:jc w:val="center"/>
                    <w:rPr>
                      <w:rFonts w:cs="Calibri"/>
                      <w:sz w:val="16"/>
                      <w:szCs w:val="16"/>
                    </w:rPr>
                  </w:pPr>
                  <w:r w:rsidRPr="001B009D">
                    <w:rPr>
                      <w:rFonts w:cs="Calibri"/>
                      <w:sz w:val="16"/>
                      <w:szCs w:val="16"/>
                    </w:rPr>
                    <w:t>16</w:t>
                  </w:r>
                </w:p>
              </w:tc>
              <w:tc>
                <w:tcPr>
                  <w:tcW w:w="589" w:type="dxa"/>
                  <w:tcBorders>
                    <w:top w:val="nil"/>
                    <w:left w:val="nil"/>
                    <w:bottom w:val="nil"/>
                    <w:right w:val="single" w:sz="4" w:space="0" w:color="auto"/>
                  </w:tcBorders>
                  <w:shd w:val="clear" w:color="auto" w:fill="auto"/>
                  <w:noWrap/>
                  <w:vAlign w:val="bottom"/>
                  <w:hideMark/>
                </w:tcPr>
                <w:p w14:paraId="46240A19" w14:textId="77777777" w:rsidR="00C45D5B" w:rsidRPr="001B009D" w:rsidRDefault="00C45D5B" w:rsidP="00CF774B">
                  <w:pPr>
                    <w:jc w:val="center"/>
                    <w:rPr>
                      <w:rFonts w:cs="Calibri"/>
                      <w:sz w:val="16"/>
                      <w:szCs w:val="16"/>
                    </w:rPr>
                  </w:pPr>
                  <w:r w:rsidRPr="001B009D">
                    <w:rPr>
                      <w:rFonts w:cs="Calibri"/>
                      <w:sz w:val="16"/>
                      <w:szCs w:val="16"/>
                    </w:rPr>
                    <w:t>0,02</w:t>
                  </w:r>
                </w:p>
              </w:tc>
              <w:tc>
                <w:tcPr>
                  <w:tcW w:w="545" w:type="dxa"/>
                  <w:tcBorders>
                    <w:top w:val="nil"/>
                    <w:left w:val="nil"/>
                    <w:bottom w:val="nil"/>
                    <w:right w:val="nil"/>
                  </w:tcBorders>
                  <w:shd w:val="clear" w:color="auto" w:fill="auto"/>
                  <w:noWrap/>
                  <w:vAlign w:val="bottom"/>
                  <w:hideMark/>
                </w:tcPr>
                <w:p w14:paraId="6FA42F74" w14:textId="77777777" w:rsidR="00C45D5B" w:rsidRPr="001B009D" w:rsidRDefault="00C45D5B" w:rsidP="00CF774B">
                  <w:pPr>
                    <w:jc w:val="center"/>
                    <w:rPr>
                      <w:rFonts w:cs="Calibri"/>
                      <w:sz w:val="16"/>
                      <w:szCs w:val="16"/>
                    </w:rPr>
                  </w:pPr>
                  <w:r w:rsidRPr="001B009D">
                    <w:rPr>
                      <w:rFonts w:cs="Calibri"/>
                      <w:sz w:val="16"/>
                      <w:szCs w:val="16"/>
                    </w:rPr>
                    <w:t>76</w:t>
                  </w:r>
                </w:p>
              </w:tc>
              <w:tc>
                <w:tcPr>
                  <w:tcW w:w="709" w:type="dxa"/>
                  <w:tcBorders>
                    <w:top w:val="nil"/>
                    <w:left w:val="nil"/>
                    <w:bottom w:val="nil"/>
                    <w:right w:val="single" w:sz="4" w:space="0" w:color="auto"/>
                  </w:tcBorders>
                  <w:shd w:val="clear" w:color="auto" w:fill="auto"/>
                  <w:noWrap/>
                  <w:vAlign w:val="bottom"/>
                  <w:hideMark/>
                </w:tcPr>
                <w:p w14:paraId="08BD7532" w14:textId="77777777" w:rsidR="00C45D5B" w:rsidRPr="001B009D" w:rsidRDefault="00C45D5B" w:rsidP="00CF774B">
                  <w:pPr>
                    <w:jc w:val="center"/>
                    <w:rPr>
                      <w:rFonts w:cs="Calibri"/>
                      <w:sz w:val="16"/>
                      <w:szCs w:val="16"/>
                    </w:rPr>
                  </w:pPr>
                  <w:r w:rsidRPr="001B009D">
                    <w:rPr>
                      <w:rFonts w:cs="Calibri"/>
                      <w:sz w:val="16"/>
                      <w:szCs w:val="16"/>
                    </w:rPr>
                    <w:t>0,08</w:t>
                  </w:r>
                </w:p>
              </w:tc>
              <w:tc>
                <w:tcPr>
                  <w:tcW w:w="567" w:type="dxa"/>
                  <w:tcBorders>
                    <w:top w:val="nil"/>
                    <w:left w:val="nil"/>
                    <w:bottom w:val="nil"/>
                    <w:right w:val="nil"/>
                  </w:tcBorders>
                  <w:shd w:val="clear" w:color="auto" w:fill="auto"/>
                  <w:noWrap/>
                  <w:vAlign w:val="bottom"/>
                  <w:hideMark/>
                </w:tcPr>
                <w:p w14:paraId="6745C2F9"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7A55B30E"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44C30FCE" w14:textId="77777777" w:rsidR="00C45D5B" w:rsidRPr="001B009D" w:rsidRDefault="00C45D5B" w:rsidP="00CF774B">
                  <w:pPr>
                    <w:jc w:val="center"/>
                    <w:rPr>
                      <w:rFonts w:cs="Calibri"/>
                      <w:sz w:val="16"/>
                      <w:szCs w:val="16"/>
                    </w:rPr>
                  </w:pPr>
                  <w:r w:rsidRPr="001B009D">
                    <w:rPr>
                      <w:rFonts w:cs="Calibri"/>
                      <w:sz w:val="16"/>
                      <w:szCs w:val="16"/>
                    </w:rPr>
                    <w:t>92</w:t>
                  </w:r>
                </w:p>
              </w:tc>
              <w:tc>
                <w:tcPr>
                  <w:tcW w:w="770" w:type="dxa"/>
                  <w:tcBorders>
                    <w:top w:val="nil"/>
                    <w:left w:val="nil"/>
                    <w:bottom w:val="nil"/>
                    <w:right w:val="nil"/>
                  </w:tcBorders>
                  <w:shd w:val="clear" w:color="auto" w:fill="auto"/>
                  <w:noWrap/>
                  <w:vAlign w:val="bottom"/>
                  <w:hideMark/>
                </w:tcPr>
                <w:p w14:paraId="0A422516" w14:textId="77777777" w:rsidR="00C45D5B" w:rsidRPr="001B009D" w:rsidRDefault="00C45D5B" w:rsidP="00CF774B">
                  <w:pPr>
                    <w:jc w:val="center"/>
                    <w:rPr>
                      <w:rFonts w:cs="Calibri"/>
                      <w:sz w:val="16"/>
                      <w:szCs w:val="16"/>
                    </w:rPr>
                  </w:pPr>
                  <w:r w:rsidRPr="001B009D">
                    <w:rPr>
                      <w:rFonts w:cs="Calibri"/>
                      <w:sz w:val="16"/>
                      <w:szCs w:val="16"/>
                    </w:rPr>
                    <w:t>0,10</w:t>
                  </w:r>
                </w:p>
              </w:tc>
            </w:tr>
            <w:tr w:rsidR="00C45D5B" w:rsidRPr="004F7036" w14:paraId="3775A38F"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4CE62A54" w14:textId="77777777" w:rsidR="00C45D5B" w:rsidRPr="001B009D" w:rsidRDefault="00C45D5B" w:rsidP="00CF774B">
                  <w:pPr>
                    <w:rPr>
                      <w:rFonts w:cs="Calibri"/>
                      <w:color w:val="000000"/>
                      <w:sz w:val="16"/>
                      <w:szCs w:val="16"/>
                    </w:rPr>
                  </w:pPr>
                  <w:r w:rsidRPr="001B009D">
                    <w:rPr>
                      <w:rFonts w:cs="Calibri"/>
                      <w:color w:val="000000"/>
                      <w:sz w:val="16"/>
                      <w:szCs w:val="16"/>
                    </w:rPr>
                    <w:t>Opatrenia hospodárskej mobilizácie</w:t>
                  </w:r>
                </w:p>
              </w:tc>
              <w:tc>
                <w:tcPr>
                  <w:tcW w:w="708" w:type="dxa"/>
                  <w:tcBorders>
                    <w:top w:val="nil"/>
                    <w:left w:val="nil"/>
                    <w:bottom w:val="nil"/>
                    <w:right w:val="single" w:sz="4" w:space="0" w:color="auto"/>
                  </w:tcBorders>
                  <w:shd w:val="clear" w:color="auto" w:fill="auto"/>
                  <w:noWrap/>
                  <w:vAlign w:val="bottom"/>
                  <w:hideMark/>
                </w:tcPr>
                <w:p w14:paraId="34F2AC23" w14:textId="77777777" w:rsidR="00C45D5B" w:rsidRPr="001B009D" w:rsidRDefault="00C45D5B" w:rsidP="00CF774B">
                  <w:pPr>
                    <w:jc w:val="center"/>
                    <w:rPr>
                      <w:rFonts w:cs="Calibri"/>
                      <w:color w:val="000000"/>
                      <w:sz w:val="16"/>
                      <w:szCs w:val="16"/>
                    </w:rPr>
                  </w:pPr>
                  <w:r w:rsidRPr="001B009D">
                    <w:rPr>
                      <w:rFonts w:cs="Calibri"/>
                      <w:color w:val="000000"/>
                      <w:sz w:val="16"/>
                      <w:szCs w:val="16"/>
                    </w:rPr>
                    <w:t>630</w:t>
                  </w:r>
                </w:p>
              </w:tc>
              <w:tc>
                <w:tcPr>
                  <w:tcW w:w="567" w:type="dxa"/>
                  <w:tcBorders>
                    <w:top w:val="nil"/>
                    <w:left w:val="nil"/>
                    <w:bottom w:val="nil"/>
                    <w:right w:val="single" w:sz="4" w:space="0" w:color="auto"/>
                  </w:tcBorders>
                  <w:shd w:val="clear" w:color="auto" w:fill="auto"/>
                  <w:noWrap/>
                  <w:vAlign w:val="bottom"/>
                  <w:hideMark/>
                </w:tcPr>
                <w:p w14:paraId="5CC28977" w14:textId="77777777" w:rsidR="00C45D5B" w:rsidRPr="001B009D" w:rsidRDefault="00C45D5B" w:rsidP="00CF774B">
                  <w:pPr>
                    <w:jc w:val="center"/>
                    <w:rPr>
                      <w:rFonts w:cs="Calibri"/>
                      <w:color w:val="000000"/>
                      <w:sz w:val="16"/>
                      <w:szCs w:val="16"/>
                    </w:rPr>
                  </w:pPr>
                  <w:r w:rsidRPr="001B009D">
                    <w:rPr>
                      <w:rFonts w:cs="Calibri"/>
                      <w:color w:val="000000"/>
                      <w:sz w:val="16"/>
                      <w:szCs w:val="16"/>
                    </w:rPr>
                    <w:t>P.2</w:t>
                  </w:r>
                </w:p>
              </w:tc>
              <w:tc>
                <w:tcPr>
                  <w:tcW w:w="567" w:type="dxa"/>
                  <w:tcBorders>
                    <w:top w:val="nil"/>
                    <w:left w:val="nil"/>
                    <w:bottom w:val="nil"/>
                    <w:right w:val="nil"/>
                  </w:tcBorders>
                  <w:shd w:val="clear" w:color="auto" w:fill="auto"/>
                  <w:noWrap/>
                  <w:vAlign w:val="bottom"/>
                  <w:hideMark/>
                </w:tcPr>
                <w:p w14:paraId="2E207066" w14:textId="77777777" w:rsidR="00C45D5B" w:rsidRPr="001B009D" w:rsidRDefault="00C45D5B" w:rsidP="00CF774B">
                  <w:pPr>
                    <w:jc w:val="center"/>
                    <w:rPr>
                      <w:rFonts w:cs="Calibri"/>
                      <w:color w:val="000000"/>
                      <w:sz w:val="16"/>
                      <w:szCs w:val="16"/>
                    </w:rPr>
                  </w:pPr>
                  <w:r w:rsidRPr="001B009D">
                    <w:rPr>
                      <w:rFonts w:cs="Calibri"/>
                      <w:color w:val="000000"/>
                      <w:sz w:val="16"/>
                      <w:szCs w:val="16"/>
                    </w:rPr>
                    <w:t>24</w:t>
                  </w:r>
                </w:p>
              </w:tc>
              <w:tc>
                <w:tcPr>
                  <w:tcW w:w="589" w:type="dxa"/>
                  <w:tcBorders>
                    <w:top w:val="nil"/>
                    <w:left w:val="nil"/>
                    <w:bottom w:val="nil"/>
                    <w:right w:val="single" w:sz="4" w:space="0" w:color="auto"/>
                  </w:tcBorders>
                  <w:shd w:val="clear" w:color="auto" w:fill="auto"/>
                  <w:noWrap/>
                  <w:vAlign w:val="bottom"/>
                  <w:hideMark/>
                </w:tcPr>
                <w:p w14:paraId="2D84CE8D" w14:textId="77777777" w:rsidR="00C45D5B" w:rsidRPr="001B009D" w:rsidRDefault="00C45D5B" w:rsidP="00CF774B">
                  <w:pPr>
                    <w:jc w:val="center"/>
                    <w:rPr>
                      <w:rFonts w:cs="Calibri"/>
                      <w:color w:val="000000"/>
                      <w:sz w:val="16"/>
                      <w:szCs w:val="16"/>
                    </w:rPr>
                  </w:pPr>
                  <w:r w:rsidRPr="001B009D">
                    <w:rPr>
                      <w:rFonts w:cs="Calibri"/>
                      <w:color w:val="000000"/>
                      <w:sz w:val="16"/>
                      <w:szCs w:val="16"/>
                    </w:rPr>
                    <w:t>0,03</w:t>
                  </w:r>
                </w:p>
              </w:tc>
              <w:tc>
                <w:tcPr>
                  <w:tcW w:w="545" w:type="dxa"/>
                  <w:tcBorders>
                    <w:top w:val="nil"/>
                    <w:left w:val="nil"/>
                    <w:bottom w:val="nil"/>
                    <w:right w:val="nil"/>
                  </w:tcBorders>
                  <w:shd w:val="clear" w:color="auto" w:fill="auto"/>
                  <w:noWrap/>
                  <w:vAlign w:val="bottom"/>
                  <w:hideMark/>
                </w:tcPr>
                <w:p w14:paraId="5AF4B45D" w14:textId="77777777" w:rsidR="00C45D5B" w:rsidRPr="001B009D" w:rsidRDefault="00C45D5B" w:rsidP="00CF774B">
                  <w:pPr>
                    <w:jc w:val="center"/>
                    <w:rPr>
                      <w:rFonts w:cs="Calibri"/>
                      <w:sz w:val="16"/>
                      <w:szCs w:val="16"/>
                    </w:rPr>
                  </w:pPr>
                  <w:r w:rsidRPr="001B009D">
                    <w:rPr>
                      <w:rFonts w:cs="Calibri"/>
                      <w:sz w:val="16"/>
                      <w:szCs w:val="16"/>
                    </w:rPr>
                    <w:t>112</w:t>
                  </w:r>
                </w:p>
              </w:tc>
              <w:tc>
                <w:tcPr>
                  <w:tcW w:w="709" w:type="dxa"/>
                  <w:tcBorders>
                    <w:top w:val="nil"/>
                    <w:left w:val="nil"/>
                    <w:bottom w:val="nil"/>
                    <w:right w:val="single" w:sz="4" w:space="0" w:color="auto"/>
                  </w:tcBorders>
                  <w:shd w:val="clear" w:color="auto" w:fill="auto"/>
                  <w:noWrap/>
                  <w:vAlign w:val="bottom"/>
                  <w:hideMark/>
                </w:tcPr>
                <w:p w14:paraId="78B83603"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bottom"/>
                  <w:hideMark/>
                </w:tcPr>
                <w:p w14:paraId="4DFD1650" w14:textId="77777777" w:rsidR="00C45D5B" w:rsidRPr="001B009D" w:rsidRDefault="00C45D5B" w:rsidP="00CF774B">
                  <w:pPr>
                    <w:jc w:val="center"/>
                    <w:rPr>
                      <w:rFonts w:cs="Calibri"/>
                      <w:color w:val="000000"/>
                      <w:sz w:val="16"/>
                      <w:szCs w:val="16"/>
                    </w:rPr>
                  </w:pPr>
                  <w:r w:rsidRPr="001B009D">
                    <w:rPr>
                      <w:rFonts w:cs="Calibri"/>
                      <w:color w:val="000000"/>
                      <w:sz w:val="16"/>
                      <w:szCs w:val="16"/>
                    </w:rPr>
                    <w:t>22</w:t>
                  </w:r>
                </w:p>
              </w:tc>
              <w:tc>
                <w:tcPr>
                  <w:tcW w:w="709" w:type="dxa"/>
                  <w:tcBorders>
                    <w:top w:val="nil"/>
                    <w:left w:val="nil"/>
                    <w:bottom w:val="nil"/>
                    <w:right w:val="single" w:sz="4" w:space="0" w:color="auto"/>
                  </w:tcBorders>
                  <w:shd w:val="clear" w:color="auto" w:fill="auto"/>
                  <w:noWrap/>
                  <w:vAlign w:val="bottom"/>
                  <w:hideMark/>
                </w:tcPr>
                <w:p w14:paraId="014DD368" w14:textId="77777777" w:rsidR="00C45D5B" w:rsidRPr="001B009D" w:rsidRDefault="00C45D5B" w:rsidP="00CF774B">
                  <w:pPr>
                    <w:jc w:val="center"/>
                    <w:rPr>
                      <w:rFonts w:cs="Calibri"/>
                      <w:color w:val="000000"/>
                      <w:sz w:val="16"/>
                      <w:szCs w:val="16"/>
                    </w:rPr>
                  </w:pPr>
                  <w:r w:rsidRPr="001B009D">
                    <w:rPr>
                      <w:rFonts w:cs="Calibri"/>
                      <w:color w:val="000000"/>
                      <w:sz w:val="16"/>
                      <w:szCs w:val="16"/>
                    </w:rPr>
                    <w:t>0,02</w:t>
                  </w:r>
                </w:p>
              </w:tc>
              <w:tc>
                <w:tcPr>
                  <w:tcW w:w="567" w:type="dxa"/>
                  <w:tcBorders>
                    <w:top w:val="nil"/>
                    <w:left w:val="nil"/>
                    <w:bottom w:val="nil"/>
                    <w:right w:val="nil"/>
                  </w:tcBorders>
                  <w:shd w:val="clear" w:color="auto" w:fill="auto"/>
                  <w:noWrap/>
                  <w:vAlign w:val="bottom"/>
                  <w:hideMark/>
                </w:tcPr>
                <w:p w14:paraId="21B3F62E" w14:textId="77777777" w:rsidR="00C45D5B" w:rsidRPr="001B009D" w:rsidRDefault="00C45D5B" w:rsidP="00CF774B">
                  <w:pPr>
                    <w:jc w:val="center"/>
                    <w:rPr>
                      <w:rFonts w:cs="Calibri"/>
                      <w:sz w:val="16"/>
                      <w:szCs w:val="16"/>
                    </w:rPr>
                  </w:pPr>
                  <w:r w:rsidRPr="001B009D">
                    <w:rPr>
                      <w:rFonts w:cs="Calibri"/>
                      <w:sz w:val="16"/>
                      <w:szCs w:val="16"/>
                    </w:rPr>
                    <w:t>58</w:t>
                  </w:r>
                </w:p>
              </w:tc>
              <w:tc>
                <w:tcPr>
                  <w:tcW w:w="770" w:type="dxa"/>
                  <w:tcBorders>
                    <w:top w:val="nil"/>
                    <w:left w:val="nil"/>
                    <w:bottom w:val="nil"/>
                    <w:right w:val="nil"/>
                  </w:tcBorders>
                  <w:shd w:val="clear" w:color="auto" w:fill="auto"/>
                  <w:noWrap/>
                  <w:vAlign w:val="bottom"/>
                  <w:hideMark/>
                </w:tcPr>
                <w:p w14:paraId="0FF7FB70" w14:textId="77777777" w:rsidR="00C45D5B" w:rsidRPr="001B009D" w:rsidRDefault="00C45D5B" w:rsidP="00CF774B">
                  <w:pPr>
                    <w:jc w:val="center"/>
                    <w:rPr>
                      <w:rFonts w:cs="Calibri"/>
                      <w:sz w:val="16"/>
                      <w:szCs w:val="16"/>
                    </w:rPr>
                  </w:pPr>
                  <w:r w:rsidRPr="001B009D">
                    <w:rPr>
                      <w:rFonts w:cs="Calibri"/>
                      <w:sz w:val="16"/>
                      <w:szCs w:val="16"/>
                    </w:rPr>
                    <w:t>0,06</w:t>
                  </w:r>
                </w:p>
              </w:tc>
            </w:tr>
            <w:tr w:rsidR="00C45D5B" w:rsidRPr="004F7036" w14:paraId="5E31445A"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3710790F" w14:textId="77777777" w:rsidR="00C45D5B" w:rsidRPr="001B009D" w:rsidRDefault="00C45D5B" w:rsidP="00CF774B">
                  <w:pPr>
                    <w:rPr>
                      <w:rFonts w:cs="Calibri"/>
                      <w:color w:val="000000"/>
                      <w:sz w:val="16"/>
                      <w:szCs w:val="16"/>
                    </w:rPr>
                  </w:pPr>
                  <w:r w:rsidRPr="001B009D">
                    <w:rPr>
                      <w:rFonts w:cs="Calibri"/>
                      <w:color w:val="000000"/>
                      <w:sz w:val="16"/>
                      <w:szCs w:val="16"/>
                    </w:rPr>
                    <w:t>Vklad do základného imania Slovenskej záručnej a rozvojovej banky</w:t>
                  </w:r>
                </w:p>
              </w:tc>
              <w:tc>
                <w:tcPr>
                  <w:tcW w:w="708" w:type="dxa"/>
                  <w:tcBorders>
                    <w:top w:val="nil"/>
                    <w:left w:val="nil"/>
                    <w:bottom w:val="nil"/>
                    <w:right w:val="single" w:sz="4" w:space="0" w:color="auto"/>
                  </w:tcBorders>
                  <w:shd w:val="clear" w:color="auto" w:fill="auto"/>
                  <w:noWrap/>
                  <w:vAlign w:val="bottom"/>
                  <w:hideMark/>
                </w:tcPr>
                <w:p w14:paraId="0E00F6FD"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561006C6" w14:textId="77777777" w:rsidR="00C45D5B" w:rsidRPr="001B009D" w:rsidRDefault="00C45D5B" w:rsidP="00CF774B">
                  <w:pPr>
                    <w:jc w:val="center"/>
                    <w:rPr>
                      <w:rFonts w:cs="Calibri"/>
                      <w:color w:val="000000"/>
                      <w:sz w:val="16"/>
                      <w:szCs w:val="16"/>
                    </w:rPr>
                  </w:pPr>
                  <w:r w:rsidRPr="001B009D">
                    <w:rPr>
                      <w:rFonts w:cs="Calibri"/>
                      <w:color w:val="000000"/>
                      <w:sz w:val="16"/>
                      <w:szCs w:val="16"/>
                    </w:rPr>
                    <w:t>D.99</w:t>
                  </w:r>
                </w:p>
              </w:tc>
              <w:tc>
                <w:tcPr>
                  <w:tcW w:w="567" w:type="dxa"/>
                  <w:tcBorders>
                    <w:top w:val="nil"/>
                    <w:left w:val="nil"/>
                    <w:bottom w:val="nil"/>
                    <w:right w:val="nil"/>
                  </w:tcBorders>
                  <w:shd w:val="clear" w:color="auto" w:fill="auto"/>
                  <w:noWrap/>
                  <w:vAlign w:val="bottom"/>
                  <w:hideMark/>
                </w:tcPr>
                <w:p w14:paraId="3FE0C2FB" w14:textId="77777777" w:rsidR="00C45D5B" w:rsidRPr="001B009D" w:rsidRDefault="00C45D5B" w:rsidP="00CF774B">
                  <w:pPr>
                    <w:jc w:val="center"/>
                    <w:rPr>
                      <w:rFonts w:cs="Calibri"/>
                      <w:color w:val="000000"/>
                      <w:sz w:val="16"/>
                      <w:szCs w:val="16"/>
                    </w:rPr>
                  </w:pPr>
                  <w:r w:rsidRPr="001B009D">
                    <w:rPr>
                      <w:rFonts w:cs="Calibri"/>
                      <w:color w:val="000000"/>
                      <w:sz w:val="16"/>
                      <w:szCs w:val="16"/>
                    </w:rPr>
                    <w:t>50</w:t>
                  </w:r>
                </w:p>
              </w:tc>
              <w:tc>
                <w:tcPr>
                  <w:tcW w:w="589" w:type="dxa"/>
                  <w:tcBorders>
                    <w:top w:val="nil"/>
                    <w:left w:val="nil"/>
                    <w:bottom w:val="nil"/>
                    <w:right w:val="single" w:sz="4" w:space="0" w:color="auto"/>
                  </w:tcBorders>
                  <w:shd w:val="clear" w:color="auto" w:fill="auto"/>
                  <w:noWrap/>
                  <w:vAlign w:val="bottom"/>
                  <w:hideMark/>
                </w:tcPr>
                <w:p w14:paraId="2CA4E3FD" w14:textId="77777777" w:rsidR="00C45D5B" w:rsidRPr="001B009D" w:rsidRDefault="00C45D5B" w:rsidP="00CF774B">
                  <w:pPr>
                    <w:jc w:val="center"/>
                    <w:rPr>
                      <w:rFonts w:cs="Calibri"/>
                      <w:color w:val="000000"/>
                      <w:sz w:val="16"/>
                      <w:szCs w:val="16"/>
                    </w:rPr>
                  </w:pPr>
                  <w:r w:rsidRPr="001B009D">
                    <w:rPr>
                      <w:rFonts w:cs="Calibri"/>
                      <w:color w:val="000000"/>
                      <w:sz w:val="16"/>
                      <w:szCs w:val="16"/>
                    </w:rPr>
                    <w:t>0,05</w:t>
                  </w:r>
                </w:p>
              </w:tc>
              <w:tc>
                <w:tcPr>
                  <w:tcW w:w="545" w:type="dxa"/>
                  <w:tcBorders>
                    <w:top w:val="nil"/>
                    <w:left w:val="nil"/>
                    <w:bottom w:val="nil"/>
                    <w:right w:val="nil"/>
                  </w:tcBorders>
                  <w:shd w:val="clear" w:color="auto" w:fill="auto"/>
                  <w:noWrap/>
                  <w:vAlign w:val="bottom"/>
                  <w:hideMark/>
                </w:tcPr>
                <w:p w14:paraId="4CCB1B5B"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26E53F9C"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43C61D70"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22641C65"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75A205D6" w14:textId="77777777" w:rsidR="00C45D5B" w:rsidRPr="001B009D" w:rsidRDefault="00C45D5B" w:rsidP="00CF774B">
                  <w:pPr>
                    <w:jc w:val="center"/>
                    <w:rPr>
                      <w:rFonts w:cs="Calibri"/>
                      <w:sz w:val="16"/>
                      <w:szCs w:val="16"/>
                    </w:rPr>
                  </w:pPr>
                  <w:r w:rsidRPr="001B009D">
                    <w:rPr>
                      <w:rFonts w:cs="Calibri"/>
                      <w:sz w:val="16"/>
                      <w:szCs w:val="16"/>
                    </w:rPr>
                    <w:t>50</w:t>
                  </w:r>
                </w:p>
              </w:tc>
              <w:tc>
                <w:tcPr>
                  <w:tcW w:w="770" w:type="dxa"/>
                  <w:tcBorders>
                    <w:top w:val="nil"/>
                    <w:left w:val="nil"/>
                    <w:bottom w:val="nil"/>
                    <w:right w:val="nil"/>
                  </w:tcBorders>
                  <w:shd w:val="clear" w:color="auto" w:fill="auto"/>
                  <w:noWrap/>
                  <w:vAlign w:val="bottom"/>
                  <w:hideMark/>
                </w:tcPr>
                <w:p w14:paraId="63C6D6F4" w14:textId="77777777" w:rsidR="00C45D5B" w:rsidRPr="001B009D" w:rsidRDefault="00C45D5B" w:rsidP="00CF774B">
                  <w:pPr>
                    <w:jc w:val="center"/>
                    <w:rPr>
                      <w:rFonts w:cs="Calibri"/>
                      <w:sz w:val="16"/>
                      <w:szCs w:val="16"/>
                    </w:rPr>
                  </w:pPr>
                  <w:r w:rsidRPr="001B009D">
                    <w:rPr>
                      <w:rFonts w:cs="Calibri"/>
                      <w:sz w:val="16"/>
                      <w:szCs w:val="16"/>
                    </w:rPr>
                    <w:t>0,05</w:t>
                  </w:r>
                </w:p>
              </w:tc>
            </w:tr>
            <w:tr w:rsidR="00C45D5B" w:rsidRPr="004F7036" w14:paraId="2368F69B"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23181840" w14:textId="77777777" w:rsidR="00C45D5B" w:rsidRPr="001B009D" w:rsidRDefault="00C45D5B" w:rsidP="00CF774B">
                  <w:pPr>
                    <w:rPr>
                      <w:rFonts w:cs="Calibri"/>
                      <w:color w:val="000000"/>
                      <w:sz w:val="16"/>
                      <w:szCs w:val="16"/>
                    </w:rPr>
                  </w:pPr>
                  <w:r w:rsidRPr="001B009D">
                    <w:rPr>
                      <w:rFonts w:cs="Calibri"/>
                      <w:color w:val="000000"/>
                      <w:sz w:val="16"/>
                      <w:szCs w:val="16"/>
                    </w:rPr>
                    <w:t>Vklad do základného imania Letových prevádzkových služieb</w:t>
                  </w:r>
                </w:p>
              </w:tc>
              <w:tc>
                <w:tcPr>
                  <w:tcW w:w="708" w:type="dxa"/>
                  <w:tcBorders>
                    <w:top w:val="nil"/>
                    <w:left w:val="nil"/>
                    <w:bottom w:val="nil"/>
                    <w:right w:val="single" w:sz="4" w:space="0" w:color="auto"/>
                  </w:tcBorders>
                  <w:shd w:val="clear" w:color="auto" w:fill="auto"/>
                  <w:noWrap/>
                  <w:vAlign w:val="bottom"/>
                  <w:hideMark/>
                </w:tcPr>
                <w:p w14:paraId="6E6703C6"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0108A970" w14:textId="77777777" w:rsidR="00C45D5B" w:rsidRPr="001B009D" w:rsidRDefault="00C45D5B" w:rsidP="00CF774B">
                  <w:pPr>
                    <w:jc w:val="center"/>
                    <w:rPr>
                      <w:rFonts w:cs="Calibri"/>
                      <w:color w:val="000000"/>
                      <w:sz w:val="16"/>
                      <w:szCs w:val="16"/>
                    </w:rPr>
                  </w:pPr>
                  <w:r w:rsidRPr="001B009D">
                    <w:rPr>
                      <w:rFonts w:cs="Calibri"/>
                      <w:color w:val="000000"/>
                      <w:sz w:val="16"/>
                      <w:szCs w:val="16"/>
                    </w:rPr>
                    <w:t>D.99</w:t>
                  </w:r>
                </w:p>
              </w:tc>
              <w:tc>
                <w:tcPr>
                  <w:tcW w:w="567" w:type="dxa"/>
                  <w:tcBorders>
                    <w:top w:val="nil"/>
                    <w:left w:val="nil"/>
                    <w:bottom w:val="nil"/>
                    <w:right w:val="nil"/>
                  </w:tcBorders>
                  <w:shd w:val="clear" w:color="auto" w:fill="auto"/>
                  <w:noWrap/>
                  <w:vAlign w:val="bottom"/>
                  <w:hideMark/>
                </w:tcPr>
                <w:p w14:paraId="4458CD62" w14:textId="77777777" w:rsidR="00C45D5B" w:rsidRPr="001B009D" w:rsidRDefault="00C45D5B" w:rsidP="00CF774B">
                  <w:pPr>
                    <w:jc w:val="center"/>
                    <w:rPr>
                      <w:rFonts w:cs="Calibri"/>
                      <w:color w:val="000000"/>
                      <w:sz w:val="16"/>
                      <w:szCs w:val="16"/>
                    </w:rPr>
                  </w:pPr>
                  <w:r w:rsidRPr="001B009D">
                    <w:rPr>
                      <w:rFonts w:cs="Calibri"/>
                      <w:color w:val="000000"/>
                      <w:sz w:val="16"/>
                      <w:szCs w:val="16"/>
                    </w:rPr>
                    <w:t>13</w:t>
                  </w:r>
                </w:p>
              </w:tc>
              <w:tc>
                <w:tcPr>
                  <w:tcW w:w="589" w:type="dxa"/>
                  <w:tcBorders>
                    <w:top w:val="nil"/>
                    <w:left w:val="nil"/>
                    <w:bottom w:val="nil"/>
                    <w:right w:val="single" w:sz="4" w:space="0" w:color="auto"/>
                  </w:tcBorders>
                  <w:shd w:val="clear" w:color="auto" w:fill="auto"/>
                  <w:noWrap/>
                  <w:vAlign w:val="bottom"/>
                  <w:hideMark/>
                </w:tcPr>
                <w:p w14:paraId="1DCBFC13"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45" w:type="dxa"/>
                  <w:tcBorders>
                    <w:top w:val="nil"/>
                    <w:left w:val="nil"/>
                    <w:bottom w:val="nil"/>
                    <w:right w:val="nil"/>
                  </w:tcBorders>
                  <w:shd w:val="clear" w:color="auto" w:fill="auto"/>
                  <w:noWrap/>
                  <w:vAlign w:val="bottom"/>
                  <w:hideMark/>
                </w:tcPr>
                <w:p w14:paraId="3592312E"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4475881A"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6BF337D7"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6CB2309C"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0AFFB41B" w14:textId="77777777" w:rsidR="00C45D5B" w:rsidRPr="001B009D" w:rsidRDefault="00C45D5B" w:rsidP="00CF774B">
                  <w:pPr>
                    <w:jc w:val="center"/>
                    <w:rPr>
                      <w:rFonts w:cs="Calibri"/>
                      <w:sz w:val="16"/>
                      <w:szCs w:val="16"/>
                    </w:rPr>
                  </w:pPr>
                  <w:r w:rsidRPr="001B009D">
                    <w:rPr>
                      <w:rFonts w:cs="Calibri"/>
                      <w:sz w:val="16"/>
                      <w:szCs w:val="16"/>
                    </w:rPr>
                    <w:t>13</w:t>
                  </w:r>
                </w:p>
              </w:tc>
              <w:tc>
                <w:tcPr>
                  <w:tcW w:w="770" w:type="dxa"/>
                  <w:tcBorders>
                    <w:top w:val="nil"/>
                    <w:left w:val="nil"/>
                    <w:bottom w:val="nil"/>
                    <w:right w:val="nil"/>
                  </w:tcBorders>
                  <w:shd w:val="clear" w:color="auto" w:fill="auto"/>
                  <w:noWrap/>
                  <w:vAlign w:val="bottom"/>
                  <w:hideMark/>
                </w:tcPr>
                <w:p w14:paraId="0EAD24C9" w14:textId="77777777" w:rsidR="00C45D5B" w:rsidRPr="001B009D" w:rsidRDefault="00C45D5B" w:rsidP="00CF774B">
                  <w:pPr>
                    <w:jc w:val="center"/>
                    <w:rPr>
                      <w:rFonts w:cs="Calibri"/>
                      <w:sz w:val="16"/>
                      <w:szCs w:val="16"/>
                    </w:rPr>
                  </w:pPr>
                  <w:r w:rsidRPr="001B009D">
                    <w:rPr>
                      <w:rFonts w:cs="Calibri"/>
                      <w:sz w:val="16"/>
                      <w:szCs w:val="16"/>
                    </w:rPr>
                    <w:t>0,01</w:t>
                  </w:r>
                </w:p>
              </w:tc>
            </w:tr>
            <w:tr w:rsidR="00C45D5B" w:rsidRPr="004F7036" w14:paraId="786238D3"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CC96C02" w14:textId="77777777" w:rsidR="00C45D5B" w:rsidRPr="001B009D" w:rsidRDefault="00C45D5B" w:rsidP="00CF774B">
                  <w:pPr>
                    <w:rPr>
                      <w:rFonts w:cs="Calibri"/>
                      <w:color w:val="000000"/>
                      <w:sz w:val="16"/>
                      <w:szCs w:val="16"/>
                    </w:rPr>
                  </w:pPr>
                  <w:r w:rsidRPr="001B009D">
                    <w:rPr>
                      <w:rFonts w:cs="Calibri"/>
                      <w:color w:val="000000"/>
                      <w:sz w:val="16"/>
                      <w:szCs w:val="16"/>
                    </w:rPr>
                    <w:t>Očkovacia prémia a sprostredkovateľský bonus</w:t>
                  </w:r>
                </w:p>
              </w:tc>
              <w:tc>
                <w:tcPr>
                  <w:tcW w:w="708" w:type="dxa"/>
                  <w:tcBorders>
                    <w:top w:val="nil"/>
                    <w:left w:val="nil"/>
                    <w:bottom w:val="nil"/>
                    <w:right w:val="single" w:sz="4" w:space="0" w:color="auto"/>
                  </w:tcBorders>
                  <w:shd w:val="clear" w:color="auto" w:fill="auto"/>
                  <w:noWrap/>
                  <w:vAlign w:val="bottom"/>
                  <w:hideMark/>
                </w:tcPr>
                <w:p w14:paraId="26413815" w14:textId="77777777" w:rsidR="00C45D5B" w:rsidRPr="001B009D" w:rsidRDefault="00C45D5B" w:rsidP="00CF774B">
                  <w:pPr>
                    <w:jc w:val="center"/>
                    <w:rPr>
                      <w:rFonts w:cs="Calibri"/>
                      <w:color w:val="000000"/>
                      <w:sz w:val="16"/>
                      <w:szCs w:val="16"/>
                    </w:rPr>
                  </w:pPr>
                  <w:r w:rsidRPr="001B009D">
                    <w:rPr>
                      <w:rFonts w:cs="Calibri"/>
                      <w:color w:val="000000"/>
                      <w:sz w:val="16"/>
                      <w:szCs w:val="16"/>
                    </w:rPr>
                    <w:t>640</w:t>
                  </w:r>
                </w:p>
              </w:tc>
              <w:tc>
                <w:tcPr>
                  <w:tcW w:w="567" w:type="dxa"/>
                  <w:tcBorders>
                    <w:top w:val="nil"/>
                    <w:left w:val="nil"/>
                    <w:bottom w:val="nil"/>
                    <w:right w:val="single" w:sz="4" w:space="0" w:color="auto"/>
                  </w:tcBorders>
                  <w:shd w:val="clear" w:color="auto" w:fill="auto"/>
                  <w:noWrap/>
                  <w:vAlign w:val="bottom"/>
                  <w:hideMark/>
                </w:tcPr>
                <w:p w14:paraId="2F114FAD" w14:textId="77777777" w:rsidR="00C45D5B" w:rsidRPr="001B009D" w:rsidRDefault="00C45D5B" w:rsidP="00CF774B">
                  <w:pPr>
                    <w:jc w:val="center"/>
                    <w:rPr>
                      <w:rFonts w:cs="Calibri"/>
                      <w:color w:val="000000"/>
                      <w:sz w:val="16"/>
                      <w:szCs w:val="16"/>
                    </w:rPr>
                  </w:pPr>
                  <w:r w:rsidRPr="001B009D">
                    <w:rPr>
                      <w:rFonts w:cs="Calibri"/>
                      <w:color w:val="000000"/>
                      <w:sz w:val="16"/>
                      <w:szCs w:val="16"/>
                    </w:rPr>
                    <w:t>D.7</w:t>
                  </w:r>
                </w:p>
              </w:tc>
              <w:tc>
                <w:tcPr>
                  <w:tcW w:w="567" w:type="dxa"/>
                  <w:tcBorders>
                    <w:top w:val="nil"/>
                    <w:left w:val="nil"/>
                    <w:bottom w:val="nil"/>
                    <w:right w:val="nil"/>
                  </w:tcBorders>
                  <w:shd w:val="clear" w:color="auto" w:fill="auto"/>
                  <w:noWrap/>
                  <w:vAlign w:val="bottom"/>
                  <w:hideMark/>
                </w:tcPr>
                <w:p w14:paraId="462A75B7" w14:textId="77777777" w:rsidR="00C45D5B" w:rsidRPr="001B009D" w:rsidRDefault="00C45D5B" w:rsidP="00CF774B">
                  <w:pPr>
                    <w:jc w:val="center"/>
                    <w:rPr>
                      <w:rFonts w:cs="Calibri"/>
                      <w:color w:val="000000"/>
                      <w:sz w:val="16"/>
                      <w:szCs w:val="16"/>
                    </w:rPr>
                  </w:pPr>
                </w:p>
              </w:tc>
              <w:tc>
                <w:tcPr>
                  <w:tcW w:w="589" w:type="dxa"/>
                  <w:tcBorders>
                    <w:top w:val="nil"/>
                    <w:left w:val="nil"/>
                    <w:bottom w:val="nil"/>
                    <w:right w:val="single" w:sz="4" w:space="0" w:color="auto"/>
                  </w:tcBorders>
                  <w:shd w:val="clear" w:color="auto" w:fill="auto"/>
                  <w:noWrap/>
                  <w:vAlign w:val="bottom"/>
                  <w:hideMark/>
                </w:tcPr>
                <w:p w14:paraId="65F2CD76"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bottom"/>
                  <w:hideMark/>
                </w:tcPr>
                <w:p w14:paraId="2EC11BDC" w14:textId="77777777" w:rsidR="00C45D5B" w:rsidRPr="001B009D" w:rsidRDefault="00C45D5B" w:rsidP="00CF774B">
                  <w:pPr>
                    <w:jc w:val="center"/>
                    <w:rPr>
                      <w:rFonts w:cs="Calibri"/>
                      <w:sz w:val="16"/>
                      <w:szCs w:val="16"/>
                    </w:rPr>
                  </w:pPr>
                  <w:r w:rsidRPr="001B009D">
                    <w:rPr>
                      <w:rFonts w:cs="Calibri"/>
                      <w:sz w:val="16"/>
                      <w:szCs w:val="16"/>
                    </w:rPr>
                    <w:t>28</w:t>
                  </w:r>
                </w:p>
              </w:tc>
              <w:tc>
                <w:tcPr>
                  <w:tcW w:w="709" w:type="dxa"/>
                  <w:tcBorders>
                    <w:top w:val="nil"/>
                    <w:left w:val="nil"/>
                    <w:bottom w:val="nil"/>
                    <w:right w:val="single" w:sz="4" w:space="0" w:color="auto"/>
                  </w:tcBorders>
                  <w:shd w:val="clear" w:color="auto" w:fill="auto"/>
                  <w:noWrap/>
                  <w:vAlign w:val="bottom"/>
                  <w:hideMark/>
                </w:tcPr>
                <w:p w14:paraId="4156814B"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2EAAE0D4"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6C8002E6"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05FC2240" w14:textId="77777777" w:rsidR="00C45D5B" w:rsidRPr="001B009D" w:rsidRDefault="00C45D5B" w:rsidP="00CF774B">
                  <w:pPr>
                    <w:jc w:val="center"/>
                    <w:rPr>
                      <w:rFonts w:cs="Calibri"/>
                      <w:sz w:val="16"/>
                      <w:szCs w:val="16"/>
                    </w:rPr>
                  </w:pPr>
                  <w:r w:rsidRPr="001B009D">
                    <w:rPr>
                      <w:rFonts w:cs="Calibri"/>
                      <w:sz w:val="16"/>
                      <w:szCs w:val="16"/>
                    </w:rPr>
                    <w:t>28</w:t>
                  </w:r>
                </w:p>
              </w:tc>
              <w:tc>
                <w:tcPr>
                  <w:tcW w:w="770" w:type="dxa"/>
                  <w:tcBorders>
                    <w:top w:val="nil"/>
                    <w:left w:val="nil"/>
                    <w:bottom w:val="nil"/>
                    <w:right w:val="nil"/>
                  </w:tcBorders>
                  <w:shd w:val="clear" w:color="auto" w:fill="auto"/>
                  <w:noWrap/>
                  <w:vAlign w:val="bottom"/>
                  <w:hideMark/>
                </w:tcPr>
                <w:p w14:paraId="34BAABEB" w14:textId="77777777" w:rsidR="00C45D5B" w:rsidRPr="001B009D" w:rsidRDefault="00C45D5B" w:rsidP="00CF774B">
                  <w:pPr>
                    <w:jc w:val="center"/>
                    <w:rPr>
                      <w:rFonts w:cs="Calibri"/>
                      <w:sz w:val="16"/>
                      <w:szCs w:val="16"/>
                    </w:rPr>
                  </w:pPr>
                  <w:r w:rsidRPr="001B009D">
                    <w:rPr>
                      <w:rFonts w:cs="Calibri"/>
                      <w:sz w:val="16"/>
                      <w:szCs w:val="16"/>
                    </w:rPr>
                    <w:t>0,00</w:t>
                  </w:r>
                </w:p>
              </w:tc>
            </w:tr>
            <w:tr w:rsidR="00C45D5B" w:rsidRPr="004F7036" w14:paraId="658466B5"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6B2AEA6A" w14:textId="77777777" w:rsidR="00C45D5B" w:rsidRPr="001B009D" w:rsidRDefault="00C45D5B" w:rsidP="00CF774B">
                  <w:pPr>
                    <w:rPr>
                      <w:rFonts w:cs="Calibri"/>
                      <w:color w:val="000000"/>
                      <w:sz w:val="16"/>
                      <w:szCs w:val="16"/>
                    </w:rPr>
                  </w:pPr>
                  <w:r w:rsidRPr="001B009D">
                    <w:rPr>
                      <w:rFonts w:cs="Calibri"/>
                      <w:color w:val="000000"/>
                      <w:sz w:val="16"/>
                      <w:szCs w:val="16"/>
                    </w:rPr>
                    <w:t>Finančná pomoc pre seniorov, ktorí sa dali zaočkovať</w:t>
                  </w:r>
                </w:p>
              </w:tc>
              <w:tc>
                <w:tcPr>
                  <w:tcW w:w="708" w:type="dxa"/>
                  <w:tcBorders>
                    <w:top w:val="nil"/>
                    <w:left w:val="nil"/>
                    <w:bottom w:val="nil"/>
                    <w:right w:val="single" w:sz="4" w:space="0" w:color="auto"/>
                  </w:tcBorders>
                  <w:shd w:val="clear" w:color="auto" w:fill="auto"/>
                  <w:noWrap/>
                  <w:vAlign w:val="bottom"/>
                  <w:hideMark/>
                </w:tcPr>
                <w:p w14:paraId="686FD6C5" w14:textId="77777777" w:rsidR="00C45D5B" w:rsidRPr="001B009D" w:rsidRDefault="00C45D5B" w:rsidP="00CF774B">
                  <w:pPr>
                    <w:jc w:val="center"/>
                    <w:rPr>
                      <w:rFonts w:cs="Calibri"/>
                      <w:color w:val="000000"/>
                      <w:sz w:val="16"/>
                      <w:szCs w:val="16"/>
                    </w:rPr>
                  </w:pPr>
                  <w:r w:rsidRPr="001B009D">
                    <w:rPr>
                      <w:rFonts w:cs="Calibri"/>
                      <w:color w:val="000000"/>
                      <w:sz w:val="16"/>
                      <w:szCs w:val="16"/>
                    </w:rPr>
                    <w:t>642</w:t>
                  </w:r>
                </w:p>
              </w:tc>
              <w:tc>
                <w:tcPr>
                  <w:tcW w:w="567" w:type="dxa"/>
                  <w:tcBorders>
                    <w:top w:val="nil"/>
                    <w:left w:val="nil"/>
                    <w:bottom w:val="nil"/>
                    <w:right w:val="single" w:sz="4" w:space="0" w:color="auto"/>
                  </w:tcBorders>
                  <w:shd w:val="clear" w:color="auto" w:fill="auto"/>
                  <w:noWrap/>
                  <w:vAlign w:val="bottom"/>
                  <w:hideMark/>
                </w:tcPr>
                <w:p w14:paraId="258F43EC" w14:textId="77777777" w:rsidR="00C45D5B" w:rsidRPr="001B009D" w:rsidRDefault="00C45D5B" w:rsidP="00CF774B">
                  <w:pPr>
                    <w:jc w:val="center"/>
                    <w:rPr>
                      <w:rFonts w:cs="Calibri"/>
                      <w:color w:val="000000"/>
                      <w:sz w:val="16"/>
                      <w:szCs w:val="16"/>
                    </w:rPr>
                  </w:pPr>
                  <w:r w:rsidRPr="001B009D">
                    <w:rPr>
                      <w:rFonts w:cs="Calibri"/>
                      <w:color w:val="000000"/>
                      <w:sz w:val="16"/>
                      <w:szCs w:val="16"/>
                    </w:rPr>
                    <w:t>D.62</w:t>
                  </w:r>
                </w:p>
              </w:tc>
              <w:tc>
                <w:tcPr>
                  <w:tcW w:w="567" w:type="dxa"/>
                  <w:tcBorders>
                    <w:top w:val="nil"/>
                    <w:left w:val="nil"/>
                    <w:bottom w:val="nil"/>
                    <w:right w:val="nil"/>
                  </w:tcBorders>
                  <w:shd w:val="clear" w:color="auto" w:fill="auto"/>
                  <w:noWrap/>
                  <w:vAlign w:val="bottom"/>
                  <w:hideMark/>
                </w:tcPr>
                <w:p w14:paraId="042D6DFC" w14:textId="77777777" w:rsidR="00C45D5B" w:rsidRPr="001B009D" w:rsidRDefault="00C45D5B" w:rsidP="00CF774B">
                  <w:pPr>
                    <w:jc w:val="center"/>
                    <w:rPr>
                      <w:rFonts w:cs="Calibri"/>
                      <w:color w:val="000000"/>
                      <w:sz w:val="16"/>
                      <w:szCs w:val="16"/>
                    </w:rPr>
                  </w:pPr>
                </w:p>
              </w:tc>
              <w:tc>
                <w:tcPr>
                  <w:tcW w:w="589" w:type="dxa"/>
                  <w:tcBorders>
                    <w:top w:val="nil"/>
                    <w:left w:val="nil"/>
                    <w:bottom w:val="nil"/>
                    <w:right w:val="single" w:sz="4" w:space="0" w:color="auto"/>
                  </w:tcBorders>
                  <w:shd w:val="clear" w:color="auto" w:fill="auto"/>
                  <w:noWrap/>
                  <w:vAlign w:val="bottom"/>
                  <w:hideMark/>
                </w:tcPr>
                <w:p w14:paraId="5DE10754"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bottom"/>
                  <w:hideMark/>
                </w:tcPr>
                <w:p w14:paraId="1CE316DB" w14:textId="77777777" w:rsidR="00C45D5B" w:rsidRPr="001B009D" w:rsidRDefault="00C45D5B" w:rsidP="00CF774B">
                  <w:pPr>
                    <w:jc w:val="center"/>
                    <w:rPr>
                      <w:rFonts w:cs="Calibri"/>
                      <w:sz w:val="16"/>
                      <w:szCs w:val="16"/>
                    </w:rPr>
                  </w:pPr>
                  <w:r w:rsidRPr="001B009D">
                    <w:rPr>
                      <w:rFonts w:cs="Calibri"/>
                      <w:sz w:val="16"/>
                      <w:szCs w:val="16"/>
                    </w:rPr>
                    <w:t>216</w:t>
                  </w:r>
                </w:p>
              </w:tc>
              <w:tc>
                <w:tcPr>
                  <w:tcW w:w="709" w:type="dxa"/>
                  <w:tcBorders>
                    <w:top w:val="nil"/>
                    <w:left w:val="nil"/>
                    <w:bottom w:val="nil"/>
                    <w:right w:val="single" w:sz="4" w:space="0" w:color="auto"/>
                  </w:tcBorders>
                  <w:shd w:val="clear" w:color="auto" w:fill="auto"/>
                  <w:noWrap/>
                  <w:vAlign w:val="bottom"/>
                  <w:hideMark/>
                </w:tcPr>
                <w:p w14:paraId="4EF09444" w14:textId="77777777" w:rsidR="00C45D5B" w:rsidRPr="001B009D" w:rsidRDefault="00C45D5B" w:rsidP="00CF774B">
                  <w:pPr>
                    <w:jc w:val="center"/>
                    <w:rPr>
                      <w:rFonts w:cs="Calibri"/>
                      <w:color w:val="000000"/>
                      <w:sz w:val="16"/>
                      <w:szCs w:val="16"/>
                    </w:rPr>
                  </w:pPr>
                  <w:r w:rsidRPr="001B009D">
                    <w:rPr>
                      <w:rFonts w:cs="Calibri"/>
                      <w:color w:val="000000"/>
                      <w:sz w:val="16"/>
                      <w:szCs w:val="16"/>
                    </w:rPr>
                    <w:t>0,22</w:t>
                  </w:r>
                </w:p>
              </w:tc>
              <w:tc>
                <w:tcPr>
                  <w:tcW w:w="567" w:type="dxa"/>
                  <w:tcBorders>
                    <w:top w:val="nil"/>
                    <w:left w:val="nil"/>
                    <w:bottom w:val="nil"/>
                    <w:right w:val="nil"/>
                  </w:tcBorders>
                  <w:shd w:val="clear" w:color="auto" w:fill="auto"/>
                  <w:noWrap/>
                  <w:vAlign w:val="bottom"/>
                  <w:hideMark/>
                </w:tcPr>
                <w:p w14:paraId="7E74E431" w14:textId="77777777" w:rsidR="00C45D5B" w:rsidRPr="001B009D" w:rsidRDefault="00C45D5B" w:rsidP="00CF774B">
                  <w:pPr>
                    <w:jc w:val="center"/>
                    <w:rPr>
                      <w:rFonts w:cs="Calibri"/>
                      <w:color w:val="000000"/>
                      <w:sz w:val="16"/>
                      <w:szCs w:val="16"/>
                    </w:rPr>
                  </w:pPr>
                  <w:r w:rsidRPr="001B009D">
                    <w:rPr>
                      <w:rFonts w:cs="Calibri"/>
                      <w:color w:val="000000"/>
                      <w:sz w:val="16"/>
                      <w:szCs w:val="16"/>
                    </w:rPr>
                    <w:t>130</w:t>
                  </w:r>
                </w:p>
              </w:tc>
              <w:tc>
                <w:tcPr>
                  <w:tcW w:w="709" w:type="dxa"/>
                  <w:tcBorders>
                    <w:top w:val="nil"/>
                    <w:left w:val="nil"/>
                    <w:bottom w:val="nil"/>
                    <w:right w:val="single" w:sz="4" w:space="0" w:color="auto"/>
                  </w:tcBorders>
                  <w:shd w:val="clear" w:color="auto" w:fill="auto"/>
                  <w:noWrap/>
                  <w:vAlign w:val="bottom"/>
                  <w:hideMark/>
                </w:tcPr>
                <w:p w14:paraId="656336CA" w14:textId="77777777" w:rsidR="00C45D5B" w:rsidRPr="001B009D" w:rsidRDefault="00C45D5B" w:rsidP="00CF774B">
                  <w:pPr>
                    <w:jc w:val="center"/>
                    <w:rPr>
                      <w:rFonts w:cs="Calibri"/>
                      <w:color w:val="000000"/>
                      <w:sz w:val="16"/>
                      <w:szCs w:val="16"/>
                    </w:rPr>
                  </w:pPr>
                  <w:r w:rsidRPr="001B009D">
                    <w:rPr>
                      <w:rFonts w:cs="Calibri"/>
                      <w:color w:val="000000"/>
                      <w:sz w:val="16"/>
                      <w:szCs w:val="16"/>
                    </w:rPr>
                    <w:t>0,12</w:t>
                  </w:r>
                </w:p>
              </w:tc>
              <w:tc>
                <w:tcPr>
                  <w:tcW w:w="567" w:type="dxa"/>
                  <w:tcBorders>
                    <w:top w:val="nil"/>
                    <w:left w:val="nil"/>
                    <w:bottom w:val="nil"/>
                    <w:right w:val="nil"/>
                  </w:tcBorders>
                  <w:shd w:val="clear" w:color="auto" w:fill="auto"/>
                  <w:noWrap/>
                  <w:vAlign w:val="bottom"/>
                  <w:hideMark/>
                </w:tcPr>
                <w:p w14:paraId="2A39E17D" w14:textId="77777777" w:rsidR="00C45D5B" w:rsidRPr="001B009D" w:rsidRDefault="00C45D5B" w:rsidP="00CF774B">
                  <w:pPr>
                    <w:jc w:val="center"/>
                    <w:rPr>
                      <w:rFonts w:cs="Calibri"/>
                      <w:sz w:val="16"/>
                      <w:szCs w:val="16"/>
                    </w:rPr>
                  </w:pPr>
                  <w:r w:rsidRPr="001B009D">
                    <w:rPr>
                      <w:rFonts w:cs="Calibri"/>
                      <w:sz w:val="16"/>
                      <w:szCs w:val="16"/>
                    </w:rPr>
                    <w:t>347</w:t>
                  </w:r>
                </w:p>
              </w:tc>
              <w:tc>
                <w:tcPr>
                  <w:tcW w:w="770" w:type="dxa"/>
                  <w:tcBorders>
                    <w:top w:val="nil"/>
                    <w:left w:val="nil"/>
                    <w:bottom w:val="nil"/>
                    <w:right w:val="nil"/>
                  </w:tcBorders>
                  <w:shd w:val="clear" w:color="auto" w:fill="auto"/>
                  <w:noWrap/>
                  <w:vAlign w:val="bottom"/>
                  <w:hideMark/>
                </w:tcPr>
                <w:p w14:paraId="098C46CA" w14:textId="77777777" w:rsidR="00C45D5B" w:rsidRPr="001B009D" w:rsidRDefault="00C45D5B" w:rsidP="00CF774B">
                  <w:pPr>
                    <w:jc w:val="center"/>
                    <w:rPr>
                      <w:rFonts w:cs="Calibri"/>
                      <w:sz w:val="16"/>
                      <w:szCs w:val="16"/>
                    </w:rPr>
                  </w:pPr>
                  <w:r w:rsidRPr="001B009D">
                    <w:rPr>
                      <w:rFonts w:cs="Calibri"/>
                      <w:sz w:val="16"/>
                      <w:szCs w:val="16"/>
                    </w:rPr>
                    <w:t>0,35</w:t>
                  </w:r>
                </w:p>
              </w:tc>
            </w:tr>
            <w:tr w:rsidR="00C45D5B" w:rsidRPr="004F7036" w14:paraId="0C65ADC4"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236517DB" w14:textId="77777777" w:rsidR="00C45D5B" w:rsidRPr="001B009D" w:rsidRDefault="00C45D5B" w:rsidP="00CF774B">
                  <w:pPr>
                    <w:rPr>
                      <w:rFonts w:cs="Calibri"/>
                      <w:color w:val="000000"/>
                      <w:sz w:val="16"/>
                      <w:szCs w:val="16"/>
                    </w:rPr>
                  </w:pPr>
                  <w:r w:rsidRPr="001B009D">
                    <w:rPr>
                      <w:rFonts w:cs="Calibri"/>
                      <w:color w:val="000000"/>
                      <w:sz w:val="16"/>
                      <w:szCs w:val="16"/>
                    </w:rPr>
                    <w:t xml:space="preserve">Ostatné </w:t>
                  </w:r>
                </w:p>
              </w:tc>
              <w:tc>
                <w:tcPr>
                  <w:tcW w:w="708" w:type="dxa"/>
                  <w:tcBorders>
                    <w:top w:val="nil"/>
                    <w:left w:val="nil"/>
                    <w:bottom w:val="single" w:sz="4" w:space="0" w:color="auto"/>
                    <w:right w:val="single" w:sz="4" w:space="0" w:color="auto"/>
                  </w:tcBorders>
                  <w:shd w:val="clear" w:color="auto" w:fill="auto"/>
                  <w:noWrap/>
                  <w:vAlign w:val="bottom"/>
                  <w:hideMark/>
                </w:tcPr>
                <w:p w14:paraId="7850E7D3" w14:textId="77777777" w:rsidR="00C45D5B" w:rsidRPr="001B009D" w:rsidRDefault="00C45D5B" w:rsidP="00CF774B">
                  <w:pPr>
                    <w:jc w:val="center"/>
                    <w:rPr>
                      <w:rFonts w:cs="Calibri"/>
                      <w:color w:val="000000"/>
                      <w:sz w:val="16"/>
                      <w:szCs w:val="16"/>
                    </w:rPr>
                  </w:pPr>
                  <w:r w:rsidRPr="001B009D">
                    <w:rPr>
                      <w:rFonts w:cs="Calibri"/>
                      <w:color w:val="000000"/>
                      <w:sz w:val="16"/>
                      <w:szCs w:val="16"/>
                    </w:rPr>
                    <w:t>630</w:t>
                  </w:r>
                </w:p>
              </w:tc>
              <w:tc>
                <w:tcPr>
                  <w:tcW w:w="567" w:type="dxa"/>
                  <w:tcBorders>
                    <w:top w:val="nil"/>
                    <w:left w:val="nil"/>
                    <w:bottom w:val="single" w:sz="4" w:space="0" w:color="auto"/>
                    <w:right w:val="single" w:sz="4" w:space="0" w:color="auto"/>
                  </w:tcBorders>
                  <w:shd w:val="clear" w:color="auto" w:fill="auto"/>
                  <w:noWrap/>
                  <w:vAlign w:val="bottom"/>
                  <w:hideMark/>
                </w:tcPr>
                <w:p w14:paraId="52DA7D7E" w14:textId="77777777" w:rsidR="00C45D5B" w:rsidRPr="001B009D" w:rsidRDefault="00C45D5B" w:rsidP="00CF774B">
                  <w:pPr>
                    <w:jc w:val="center"/>
                    <w:rPr>
                      <w:rFonts w:cs="Calibri"/>
                      <w:color w:val="000000"/>
                      <w:sz w:val="16"/>
                      <w:szCs w:val="16"/>
                    </w:rPr>
                  </w:pPr>
                  <w:r w:rsidRPr="001B009D">
                    <w:rPr>
                      <w:rFonts w:cs="Calibri"/>
                      <w:color w:val="000000"/>
                      <w:sz w:val="16"/>
                      <w:szCs w:val="16"/>
                    </w:rPr>
                    <w:t>P.2</w:t>
                  </w:r>
                </w:p>
              </w:tc>
              <w:tc>
                <w:tcPr>
                  <w:tcW w:w="567" w:type="dxa"/>
                  <w:tcBorders>
                    <w:top w:val="nil"/>
                    <w:left w:val="nil"/>
                    <w:bottom w:val="single" w:sz="4" w:space="0" w:color="auto"/>
                    <w:right w:val="nil"/>
                  </w:tcBorders>
                  <w:shd w:val="clear" w:color="auto" w:fill="auto"/>
                  <w:noWrap/>
                  <w:vAlign w:val="bottom"/>
                  <w:hideMark/>
                </w:tcPr>
                <w:p w14:paraId="230D1DB9" w14:textId="77777777" w:rsidR="00C45D5B" w:rsidRPr="001B009D" w:rsidRDefault="00C45D5B" w:rsidP="00CF774B">
                  <w:pPr>
                    <w:jc w:val="center"/>
                    <w:rPr>
                      <w:rFonts w:cs="Calibri"/>
                      <w:color w:val="000000"/>
                      <w:sz w:val="16"/>
                      <w:szCs w:val="16"/>
                    </w:rPr>
                  </w:pPr>
                  <w:r w:rsidRPr="001B009D">
                    <w:rPr>
                      <w:rFonts w:cs="Calibri"/>
                      <w:color w:val="000000"/>
                      <w:sz w:val="16"/>
                      <w:szCs w:val="16"/>
                    </w:rPr>
                    <w:t>43</w:t>
                  </w:r>
                </w:p>
              </w:tc>
              <w:tc>
                <w:tcPr>
                  <w:tcW w:w="589" w:type="dxa"/>
                  <w:tcBorders>
                    <w:top w:val="nil"/>
                    <w:left w:val="nil"/>
                    <w:bottom w:val="single" w:sz="4" w:space="0" w:color="auto"/>
                    <w:right w:val="single" w:sz="4" w:space="0" w:color="auto"/>
                  </w:tcBorders>
                  <w:shd w:val="clear" w:color="auto" w:fill="auto"/>
                  <w:noWrap/>
                  <w:vAlign w:val="bottom"/>
                  <w:hideMark/>
                </w:tcPr>
                <w:p w14:paraId="4939F89B" w14:textId="77777777" w:rsidR="00C45D5B" w:rsidRPr="001B009D" w:rsidRDefault="00C45D5B" w:rsidP="00CF774B">
                  <w:pPr>
                    <w:jc w:val="center"/>
                    <w:rPr>
                      <w:rFonts w:cs="Calibri"/>
                      <w:color w:val="000000"/>
                      <w:sz w:val="16"/>
                      <w:szCs w:val="16"/>
                    </w:rPr>
                  </w:pPr>
                  <w:r w:rsidRPr="001B009D">
                    <w:rPr>
                      <w:rFonts w:cs="Calibri"/>
                      <w:color w:val="000000"/>
                      <w:sz w:val="16"/>
                      <w:szCs w:val="16"/>
                    </w:rPr>
                    <w:t>0,05</w:t>
                  </w:r>
                </w:p>
              </w:tc>
              <w:tc>
                <w:tcPr>
                  <w:tcW w:w="545" w:type="dxa"/>
                  <w:tcBorders>
                    <w:top w:val="nil"/>
                    <w:left w:val="nil"/>
                    <w:bottom w:val="nil"/>
                    <w:right w:val="nil"/>
                  </w:tcBorders>
                  <w:shd w:val="clear" w:color="auto" w:fill="auto"/>
                  <w:noWrap/>
                  <w:vAlign w:val="bottom"/>
                  <w:hideMark/>
                </w:tcPr>
                <w:p w14:paraId="50032734" w14:textId="77777777" w:rsidR="00C45D5B" w:rsidRPr="001B009D" w:rsidRDefault="00C45D5B" w:rsidP="00CF774B">
                  <w:pPr>
                    <w:jc w:val="center"/>
                    <w:rPr>
                      <w:rFonts w:cs="Calibri"/>
                      <w:sz w:val="16"/>
                      <w:szCs w:val="16"/>
                    </w:rPr>
                  </w:pPr>
                  <w:r w:rsidRPr="001B009D">
                    <w:rPr>
                      <w:rFonts w:cs="Calibri"/>
                      <w:sz w:val="16"/>
                      <w:szCs w:val="16"/>
                    </w:rPr>
                    <w:t>70</w:t>
                  </w:r>
                </w:p>
              </w:tc>
              <w:tc>
                <w:tcPr>
                  <w:tcW w:w="709" w:type="dxa"/>
                  <w:tcBorders>
                    <w:top w:val="nil"/>
                    <w:left w:val="nil"/>
                    <w:bottom w:val="single" w:sz="4" w:space="0" w:color="auto"/>
                    <w:right w:val="single" w:sz="4" w:space="0" w:color="auto"/>
                  </w:tcBorders>
                  <w:shd w:val="clear" w:color="auto" w:fill="auto"/>
                  <w:noWrap/>
                  <w:vAlign w:val="bottom"/>
                  <w:hideMark/>
                </w:tcPr>
                <w:p w14:paraId="2403C804" w14:textId="77777777" w:rsidR="00C45D5B" w:rsidRPr="001B009D" w:rsidRDefault="00C45D5B" w:rsidP="00CF774B">
                  <w:pPr>
                    <w:jc w:val="center"/>
                    <w:rPr>
                      <w:rFonts w:cs="Calibri"/>
                      <w:color w:val="000000"/>
                      <w:sz w:val="16"/>
                      <w:szCs w:val="16"/>
                    </w:rPr>
                  </w:pPr>
                  <w:r w:rsidRPr="001B009D">
                    <w:rPr>
                      <w:rFonts w:cs="Calibri"/>
                      <w:color w:val="000000"/>
                      <w:sz w:val="16"/>
                      <w:szCs w:val="16"/>
                    </w:rPr>
                    <w:t>0,07</w:t>
                  </w:r>
                </w:p>
              </w:tc>
              <w:tc>
                <w:tcPr>
                  <w:tcW w:w="567" w:type="dxa"/>
                  <w:tcBorders>
                    <w:top w:val="nil"/>
                    <w:left w:val="nil"/>
                    <w:bottom w:val="single" w:sz="4" w:space="0" w:color="auto"/>
                    <w:right w:val="nil"/>
                  </w:tcBorders>
                  <w:shd w:val="clear" w:color="auto" w:fill="auto"/>
                  <w:noWrap/>
                  <w:vAlign w:val="bottom"/>
                  <w:hideMark/>
                </w:tcPr>
                <w:p w14:paraId="401CF7ED" w14:textId="77777777" w:rsidR="00C45D5B" w:rsidRPr="001B009D" w:rsidRDefault="00C45D5B" w:rsidP="00CF774B">
                  <w:pPr>
                    <w:jc w:val="center"/>
                    <w:rPr>
                      <w:rFonts w:cs="Calibri"/>
                      <w:color w:val="000000"/>
                      <w:sz w:val="16"/>
                      <w:szCs w:val="16"/>
                    </w:rPr>
                  </w:pPr>
                  <w:r w:rsidRPr="001B009D">
                    <w:rPr>
                      <w:rFonts w:cs="Calibri"/>
                      <w:color w:val="000000"/>
                      <w:sz w:val="16"/>
                      <w:szCs w:val="16"/>
                    </w:rPr>
                    <w:t>9</w:t>
                  </w:r>
                </w:p>
              </w:tc>
              <w:tc>
                <w:tcPr>
                  <w:tcW w:w="709" w:type="dxa"/>
                  <w:tcBorders>
                    <w:top w:val="nil"/>
                    <w:left w:val="nil"/>
                    <w:bottom w:val="single" w:sz="4" w:space="0" w:color="auto"/>
                    <w:right w:val="single" w:sz="4" w:space="0" w:color="auto"/>
                  </w:tcBorders>
                  <w:shd w:val="clear" w:color="auto" w:fill="auto"/>
                  <w:noWrap/>
                  <w:vAlign w:val="bottom"/>
                  <w:hideMark/>
                </w:tcPr>
                <w:p w14:paraId="32601AF6"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single" w:sz="4" w:space="0" w:color="auto"/>
                    <w:right w:val="nil"/>
                  </w:tcBorders>
                  <w:shd w:val="clear" w:color="auto" w:fill="auto"/>
                  <w:noWrap/>
                  <w:vAlign w:val="bottom"/>
                  <w:hideMark/>
                </w:tcPr>
                <w:p w14:paraId="2BF71D5E" w14:textId="77777777" w:rsidR="00C45D5B" w:rsidRPr="001B009D" w:rsidRDefault="00C45D5B" w:rsidP="00CF774B">
                  <w:pPr>
                    <w:jc w:val="center"/>
                    <w:rPr>
                      <w:rFonts w:cs="Calibri"/>
                      <w:color w:val="000000"/>
                      <w:sz w:val="16"/>
                      <w:szCs w:val="16"/>
                    </w:rPr>
                  </w:pPr>
                  <w:r w:rsidRPr="001B009D">
                    <w:rPr>
                      <w:rFonts w:cs="Calibri"/>
                      <w:color w:val="000000"/>
                      <w:sz w:val="16"/>
                      <w:szCs w:val="16"/>
                    </w:rPr>
                    <w:t>122</w:t>
                  </w:r>
                </w:p>
              </w:tc>
              <w:tc>
                <w:tcPr>
                  <w:tcW w:w="770" w:type="dxa"/>
                  <w:tcBorders>
                    <w:top w:val="nil"/>
                    <w:left w:val="nil"/>
                    <w:bottom w:val="single" w:sz="4" w:space="0" w:color="auto"/>
                    <w:right w:val="nil"/>
                  </w:tcBorders>
                  <w:shd w:val="clear" w:color="auto" w:fill="auto"/>
                  <w:noWrap/>
                  <w:vAlign w:val="bottom"/>
                  <w:hideMark/>
                </w:tcPr>
                <w:p w14:paraId="422E7C5C" w14:textId="77777777" w:rsidR="00C45D5B" w:rsidRPr="001B009D" w:rsidRDefault="00C45D5B" w:rsidP="00CF774B">
                  <w:pPr>
                    <w:jc w:val="center"/>
                    <w:rPr>
                      <w:rFonts w:cs="Calibri"/>
                      <w:color w:val="000000"/>
                      <w:sz w:val="16"/>
                      <w:szCs w:val="16"/>
                    </w:rPr>
                  </w:pPr>
                  <w:r w:rsidRPr="001B009D">
                    <w:rPr>
                      <w:rFonts w:cs="Calibri"/>
                      <w:color w:val="000000"/>
                      <w:sz w:val="16"/>
                      <w:szCs w:val="16"/>
                    </w:rPr>
                    <w:t>0,13</w:t>
                  </w:r>
                </w:p>
              </w:tc>
            </w:tr>
            <w:tr w:rsidR="00C45D5B" w:rsidRPr="004F7036" w14:paraId="6D0E88DA"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33C7F199" w14:textId="77777777" w:rsidR="00C45D5B" w:rsidRPr="001B009D" w:rsidRDefault="00C45D5B" w:rsidP="00CF774B">
                  <w:pPr>
                    <w:rPr>
                      <w:rFonts w:cs="Calibri"/>
                      <w:b/>
                      <w:bCs/>
                      <w:color w:val="000000"/>
                      <w:sz w:val="16"/>
                      <w:szCs w:val="16"/>
                    </w:rPr>
                  </w:pPr>
                  <w:r w:rsidRPr="001B009D">
                    <w:rPr>
                      <w:rFonts w:cs="Calibri"/>
                      <w:b/>
                      <w:bCs/>
                      <w:color w:val="000000"/>
                      <w:sz w:val="16"/>
                      <w:szCs w:val="16"/>
                    </w:rPr>
                    <w:t>Financovanie z EU zdrojov</w:t>
                  </w:r>
                </w:p>
              </w:tc>
              <w:tc>
                <w:tcPr>
                  <w:tcW w:w="708" w:type="dxa"/>
                  <w:tcBorders>
                    <w:top w:val="nil"/>
                    <w:left w:val="nil"/>
                    <w:bottom w:val="single" w:sz="4" w:space="0" w:color="auto"/>
                    <w:right w:val="single" w:sz="4" w:space="0" w:color="auto"/>
                  </w:tcBorders>
                  <w:shd w:val="clear" w:color="auto" w:fill="auto"/>
                  <w:noWrap/>
                  <w:vAlign w:val="bottom"/>
                  <w:hideMark/>
                </w:tcPr>
                <w:p w14:paraId="188C59AB"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5B58BBDA"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14:paraId="762B860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413</w:t>
                  </w:r>
                </w:p>
              </w:tc>
              <w:tc>
                <w:tcPr>
                  <w:tcW w:w="589" w:type="dxa"/>
                  <w:tcBorders>
                    <w:top w:val="nil"/>
                    <w:left w:val="nil"/>
                    <w:bottom w:val="single" w:sz="4" w:space="0" w:color="auto"/>
                    <w:right w:val="single" w:sz="4" w:space="0" w:color="auto"/>
                  </w:tcBorders>
                  <w:shd w:val="clear" w:color="auto" w:fill="auto"/>
                  <w:noWrap/>
                  <w:vAlign w:val="bottom"/>
                  <w:hideMark/>
                </w:tcPr>
                <w:p w14:paraId="7EC12FE6" w14:textId="77777777" w:rsidR="00C45D5B" w:rsidRPr="001B009D" w:rsidRDefault="00C45D5B" w:rsidP="00CF774B">
                  <w:pPr>
                    <w:jc w:val="center"/>
                    <w:rPr>
                      <w:rFonts w:cs="Calibri"/>
                      <w:color w:val="000000"/>
                      <w:sz w:val="16"/>
                      <w:szCs w:val="16"/>
                    </w:rPr>
                  </w:pPr>
                  <w:r w:rsidRPr="001B009D">
                    <w:rPr>
                      <w:rFonts w:cs="Calibri"/>
                      <w:color w:val="000000"/>
                      <w:sz w:val="16"/>
                      <w:szCs w:val="16"/>
                    </w:rPr>
                    <w:t>0,45</w:t>
                  </w:r>
                </w:p>
              </w:tc>
              <w:tc>
                <w:tcPr>
                  <w:tcW w:w="545" w:type="dxa"/>
                  <w:tcBorders>
                    <w:top w:val="single" w:sz="4" w:space="0" w:color="auto"/>
                    <w:left w:val="nil"/>
                    <w:bottom w:val="single" w:sz="4" w:space="0" w:color="auto"/>
                    <w:right w:val="nil"/>
                  </w:tcBorders>
                  <w:shd w:val="clear" w:color="auto" w:fill="auto"/>
                  <w:noWrap/>
                  <w:vAlign w:val="bottom"/>
                  <w:hideMark/>
                </w:tcPr>
                <w:p w14:paraId="545792D9" w14:textId="77777777" w:rsidR="00C45D5B" w:rsidRPr="001B009D" w:rsidRDefault="00C45D5B" w:rsidP="00CF774B">
                  <w:pPr>
                    <w:jc w:val="center"/>
                    <w:rPr>
                      <w:rFonts w:cs="Calibri"/>
                      <w:b/>
                      <w:bCs/>
                      <w:sz w:val="16"/>
                      <w:szCs w:val="16"/>
                    </w:rPr>
                  </w:pPr>
                  <w:r w:rsidRPr="001B009D">
                    <w:rPr>
                      <w:rFonts w:cs="Calibri"/>
                      <w:b/>
                      <w:bCs/>
                      <w:sz w:val="16"/>
                      <w:szCs w:val="16"/>
                    </w:rPr>
                    <w:t>388</w:t>
                  </w:r>
                </w:p>
              </w:tc>
              <w:tc>
                <w:tcPr>
                  <w:tcW w:w="709" w:type="dxa"/>
                  <w:tcBorders>
                    <w:top w:val="nil"/>
                    <w:left w:val="nil"/>
                    <w:bottom w:val="single" w:sz="4" w:space="0" w:color="auto"/>
                    <w:right w:val="single" w:sz="4" w:space="0" w:color="auto"/>
                  </w:tcBorders>
                  <w:shd w:val="clear" w:color="auto" w:fill="auto"/>
                  <w:noWrap/>
                  <w:vAlign w:val="bottom"/>
                  <w:hideMark/>
                </w:tcPr>
                <w:p w14:paraId="3EA97842" w14:textId="77777777" w:rsidR="00C45D5B" w:rsidRPr="001B009D" w:rsidRDefault="00C45D5B" w:rsidP="00CF774B">
                  <w:pPr>
                    <w:jc w:val="center"/>
                    <w:rPr>
                      <w:rFonts w:cs="Calibri"/>
                      <w:color w:val="000000"/>
                      <w:sz w:val="16"/>
                      <w:szCs w:val="16"/>
                    </w:rPr>
                  </w:pPr>
                  <w:r w:rsidRPr="001B009D">
                    <w:rPr>
                      <w:rFonts w:cs="Calibri"/>
                      <w:color w:val="000000"/>
                      <w:sz w:val="16"/>
                      <w:szCs w:val="16"/>
                    </w:rPr>
                    <w:t>0,40</w:t>
                  </w:r>
                </w:p>
              </w:tc>
              <w:tc>
                <w:tcPr>
                  <w:tcW w:w="567" w:type="dxa"/>
                  <w:tcBorders>
                    <w:top w:val="nil"/>
                    <w:left w:val="nil"/>
                    <w:bottom w:val="single" w:sz="4" w:space="0" w:color="auto"/>
                    <w:right w:val="nil"/>
                  </w:tcBorders>
                  <w:shd w:val="clear" w:color="auto" w:fill="auto"/>
                  <w:noWrap/>
                  <w:vAlign w:val="bottom"/>
                  <w:hideMark/>
                </w:tcPr>
                <w:p w14:paraId="06774543"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8A8C12E"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14:paraId="6D07D122"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802</w:t>
                  </w:r>
                </w:p>
              </w:tc>
              <w:tc>
                <w:tcPr>
                  <w:tcW w:w="770" w:type="dxa"/>
                  <w:tcBorders>
                    <w:top w:val="nil"/>
                    <w:left w:val="nil"/>
                    <w:bottom w:val="single" w:sz="4" w:space="0" w:color="auto"/>
                    <w:right w:val="nil"/>
                  </w:tcBorders>
                  <w:shd w:val="clear" w:color="auto" w:fill="auto"/>
                  <w:noWrap/>
                  <w:vAlign w:val="bottom"/>
                  <w:hideMark/>
                </w:tcPr>
                <w:p w14:paraId="5FEEF3D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0,85</w:t>
                  </w:r>
                </w:p>
              </w:tc>
            </w:tr>
            <w:tr w:rsidR="00C45D5B" w:rsidRPr="004F7036" w14:paraId="0C6D0C58"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61A5010A" w14:textId="77777777" w:rsidR="00C45D5B" w:rsidRPr="001B009D" w:rsidRDefault="00C45D5B" w:rsidP="00CF774B">
                  <w:pPr>
                    <w:rPr>
                      <w:rFonts w:cs="Calibri"/>
                      <w:b/>
                      <w:bCs/>
                      <w:color w:val="000000"/>
                      <w:sz w:val="16"/>
                      <w:szCs w:val="16"/>
                    </w:rPr>
                  </w:pPr>
                  <w:r w:rsidRPr="001B009D">
                    <w:rPr>
                      <w:rFonts w:cs="Calibri"/>
                      <w:b/>
                      <w:bCs/>
                      <w:color w:val="000000"/>
                      <w:sz w:val="16"/>
                      <w:szCs w:val="16"/>
                    </w:rPr>
                    <w:t>Priama pomoc spolu bez EU fondov</w:t>
                  </w:r>
                </w:p>
              </w:tc>
              <w:tc>
                <w:tcPr>
                  <w:tcW w:w="708" w:type="dxa"/>
                  <w:tcBorders>
                    <w:top w:val="nil"/>
                    <w:left w:val="nil"/>
                    <w:bottom w:val="single" w:sz="4" w:space="0" w:color="auto"/>
                    <w:right w:val="single" w:sz="4" w:space="0" w:color="auto"/>
                  </w:tcBorders>
                  <w:shd w:val="clear" w:color="auto" w:fill="auto"/>
                  <w:noWrap/>
                  <w:vAlign w:val="bottom"/>
                  <w:hideMark/>
                </w:tcPr>
                <w:p w14:paraId="1225C190"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4D7F7E7D"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14:paraId="2F245EB2"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1771</w:t>
                  </w:r>
                </w:p>
              </w:tc>
              <w:tc>
                <w:tcPr>
                  <w:tcW w:w="589" w:type="dxa"/>
                  <w:tcBorders>
                    <w:top w:val="nil"/>
                    <w:left w:val="nil"/>
                    <w:bottom w:val="single" w:sz="4" w:space="0" w:color="auto"/>
                    <w:right w:val="single" w:sz="4" w:space="0" w:color="auto"/>
                  </w:tcBorders>
                  <w:shd w:val="clear" w:color="auto" w:fill="auto"/>
                  <w:noWrap/>
                  <w:vAlign w:val="bottom"/>
                  <w:hideMark/>
                </w:tcPr>
                <w:p w14:paraId="2151B1FA"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1,92</w:t>
                  </w:r>
                </w:p>
              </w:tc>
              <w:tc>
                <w:tcPr>
                  <w:tcW w:w="545" w:type="dxa"/>
                  <w:tcBorders>
                    <w:top w:val="nil"/>
                    <w:left w:val="nil"/>
                    <w:bottom w:val="single" w:sz="4" w:space="0" w:color="auto"/>
                    <w:right w:val="nil"/>
                  </w:tcBorders>
                  <w:shd w:val="clear" w:color="auto" w:fill="auto"/>
                  <w:noWrap/>
                  <w:vAlign w:val="bottom"/>
                  <w:hideMark/>
                </w:tcPr>
                <w:p w14:paraId="56257918"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2997</w:t>
                  </w:r>
                </w:p>
              </w:tc>
              <w:tc>
                <w:tcPr>
                  <w:tcW w:w="709" w:type="dxa"/>
                  <w:tcBorders>
                    <w:top w:val="nil"/>
                    <w:left w:val="nil"/>
                    <w:bottom w:val="single" w:sz="4" w:space="0" w:color="auto"/>
                    <w:right w:val="single" w:sz="4" w:space="0" w:color="auto"/>
                  </w:tcBorders>
                  <w:shd w:val="clear" w:color="auto" w:fill="auto"/>
                  <w:noWrap/>
                  <w:vAlign w:val="bottom"/>
                  <w:hideMark/>
                </w:tcPr>
                <w:p w14:paraId="76A36D2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3,09</w:t>
                  </w:r>
                </w:p>
              </w:tc>
              <w:tc>
                <w:tcPr>
                  <w:tcW w:w="567" w:type="dxa"/>
                  <w:tcBorders>
                    <w:top w:val="nil"/>
                    <w:left w:val="nil"/>
                    <w:bottom w:val="single" w:sz="4" w:space="0" w:color="auto"/>
                    <w:right w:val="nil"/>
                  </w:tcBorders>
                  <w:shd w:val="clear" w:color="auto" w:fill="auto"/>
                  <w:noWrap/>
                  <w:vAlign w:val="bottom"/>
                  <w:hideMark/>
                </w:tcPr>
                <w:p w14:paraId="76A040EB"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1034</w:t>
                  </w:r>
                </w:p>
              </w:tc>
              <w:tc>
                <w:tcPr>
                  <w:tcW w:w="709" w:type="dxa"/>
                  <w:tcBorders>
                    <w:top w:val="nil"/>
                    <w:left w:val="nil"/>
                    <w:bottom w:val="single" w:sz="4" w:space="0" w:color="auto"/>
                    <w:right w:val="single" w:sz="4" w:space="0" w:color="auto"/>
                  </w:tcBorders>
                  <w:shd w:val="clear" w:color="auto" w:fill="auto"/>
                  <w:noWrap/>
                  <w:vAlign w:val="bottom"/>
                  <w:hideMark/>
                </w:tcPr>
                <w:p w14:paraId="7CE77506"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0,97</w:t>
                  </w:r>
                </w:p>
              </w:tc>
              <w:tc>
                <w:tcPr>
                  <w:tcW w:w="567" w:type="dxa"/>
                  <w:tcBorders>
                    <w:top w:val="nil"/>
                    <w:left w:val="nil"/>
                    <w:bottom w:val="single" w:sz="4" w:space="0" w:color="auto"/>
                    <w:right w:val="nil"/>
                  </w:tcBorders>
                  <w:shd w:val="clear" w:color="auto" w:fill="auto"/>
                  <w:noWrap/>
                  <w:hideMark/>
                </w:tcPr>
                <w:p w14:paraId="5681588C"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5802</w:t>
                  </w:r>
                </w:p>
              </w:tc>
              <w:tc>
                <w:tcPr>
                  <w:tcW w:w="770" w:type="dxa"/>
                  <w:tcBorders>
                    <w:top w:val="nil"/>
                    <w:left w:val="nil"/>
                    <w:bottom w:val="single" w:sz="4" w:space="0" w:color="auto"/>
                    <w:right w:val="nil"/>
                  </w:tcBorders>
                  <w:shd w:val="clear" w:color="auto" w:fill="auto"/>
                  <w:noWrap/>
                  <w:hideMark/>
                </w:tcPr>
                <w:p w14:paraId="3B2EC5F5"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5,98</w:t>
                  </w:r>
                </w:p>
              </w:tc>
            </w:tr>
            <w:tr w:rsidR="00C45D5B" w:rsidRPr="004F7036" w14:paraId="4BC4085E"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4E7F3242"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708" w:type="dxa"/>
                  <w:tcBorders>
                    <w:top w:val="nil"/>
                    <w:left w:val="nil"/>
                    <w:bottom w:val="nil"/>
                    <w:right w:val="single" w:sz="4" w:space="0" w:color="auto"/>
                  </w:tcBorders>
                  <w:shd w:val="clear" w:color="auto" w:fill="auto"/>
                  <w:noWrap/>
                  <w:vAlign w:val="bottom"/>
                  <w:hideMark/>
                </w:tcPr>
                <w:p w14:paraId="00B7E0DA"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2939BAA0"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nil"/>
                    <w:right w:val="nil"/>
                  </w:tcBorders>
                  <w:shd w:val="clear" w:color="auto" w:fill="auto"/>
                  <w:noWrap/>
                  <w:vAlign w:val="bottom"/>
                  <w:hideMark/>
                </w:tcPr>
                <w:p w14:paraId="26B96525" w14:textId="77777777" w:rsidR="00C45D5B" w:rsidRPr="001B009D" w:rsidRDefault="00C45D5B" w:rsidP="00CF774B">
                  <w:pPr>
                    <w:rPr>
                      <w:rFonts w:cs="Calibri"/>
                      <w:b/>
                      <w:bCs/>
                      <w:color w:val="000000"/>
                      <w:sz w:val="16"/>
                      <w:szCs w:val="16"/>
                    </w:rPr>
                  </w:pPr>
                </w:p>
              </w:tc>
              <w:tc>
                <w:tcPr>
                  <w:tcW w:w="589" w:type="dxa"/>
                  <w:tcBorders>
                    <w:top w:val="nil"/>
                    <w:left w:val="nil"/>
                    <w:bottom w:val="nil"/>
                    <w:right w:val="single" w:sz="4" w:space="0" w:color="auto"/>
                  </w:tcBorders>
                  <w:shd w:val="clear" w:color="auto" w:fill="auto"/>
                  <w:noWrap/>
                  <w:vAlign w:val="bottom"/>
                  <w:hideMark/>
                </w:tcPr>
                <w:p w14:paraId="3169F354"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45" w:type="dxa"/>
                  <w:tcBorders>
                    <w:top w:val="nil"/>
                    <w:left w:val="nil"/>
                    <w:bottom w:val="nil"/>
                    <w:right w:val="nil"/>
                  </w:tcBorders>
                  <w:shd w:val="clear" w:color="auto" w:fill="auto"/>
                  <w:noWrap/>
                  <w:vAlign w:val="bottom"/>
                  <w:hideMark/>
                </w:tcPr>
                <w:p w14:paraId="48A8A629"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08FB3D6A"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296FC474"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3FD071C7"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single" w:sz="4" w:space="0" w:color="auto"/>
                    <w:right w:val="nil"/>
                  </w:tcBorders>
                  <w:shd w:val="clear" w:color="auto" w:fill="auto"/>
                  <w:noWrap/>
                  <w:hideMark/>
                </w:tcPr>
                <w:p w14:paraId="3AA9BEC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w:t>
                  </w:r>
                </w:p>
              </w:tc>
              <w:tc>
                <w:tcPr>
                  <w:tcW w:w="770" w:type="dxa"/>
                  <w:tcBorders>
                    <w:top w:val="nil"/>
                    <w:left w:val="nil"/>
                    <w:bottom w:val="single" w:sz="4" w:space="0" w:color="auto"/>
                    <w:right w:val="nil"/>
                  </w:tcBorders>
                  <w:shd w:val="clear" w:color="auto" w:fill="auto"/>
                  <w:noWrap/>
                  <w:hideMark/>
                </w:tcPr>
                <w:p w14:paraId="1D07B55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0,00</w:t>
                  </w:r>
                </w:p>
              </w:tc>
            </w:tr>
            <w:tr w:rsidR="00C45D5B" w:rsidRPr="004F7036" w14:paraId="441FA375" w14:textId="77777777" w:rsidTr="00CF774B">
              <w:trPr>
                <w:trHeight w:val="289"/>
              </w:trPr>
              <w:tc>
                <w:tcPr>
                  <w:tcW w:w="2621" w:type="dxa"/>
                  <w:tcBorders>
                    <w:top w:val="single" w:sz="4" w:space="0" w:color="auto"/>
                    <w:left w:val="nil"/>
                    <w:bottom w:val="single" w:sz="4" w:space="0" w:color="auto"/>
                    <w:right w:val="single" w:sz="4" w:space="0" w:color="auto"/>
                  </w:tcBorders>
                  <w:shd w:val="clear" w:color="auto" w:fill="auto"/>
                  <w:noWrap/>
                  <w:hideMark/>
                </w:tcPr>
                <w:p w14:paraId="3A81E879" w14:textId="77777777" w:rsidR="00C45D5B" w:rsidRPr="001B009D" w:rsidRDefault="00C45D5B" w:rsidP="00CF774B">
                  <w:pPr>
                    <w:rPr>
                      <w:rFonts w:cs="Calibri"/>
                      <w:b/>
                      <w:bCs/>
                      <w:color w:val="000000"/>
                      <w:sz w:val="16"/>
                      <w:szCs w:val="16"/>
                    </w:rPr>
                  </w:pPr>
                  <w:r w:rsidRPr="001B009D">
                    <w:rPr>
                      <w:rFonts w:cs="Calibri"/>
                      <w:b/>
                      <w:bCs/>
                      <w:color w:val="000000"/>
                      <w:sz w:val="16"/>
                      <w:szCs w:val="16"/>
                    </w:rPr>
                    <w:t>p.m. Odklad daní a odvodov (bez vplyvu na deficit)</w:t>
                  </w:r>
                </w:p>
              </w:tc>
              <w:tc>
                <w:tcPr>
                  <w:tcW w:w="708" w:type="dxa"/>
                  <w:tcBorders>
                    <w:top w:val="single" w:sz="4" w:space="0" w:color="auto"/>
                    <w:left w:val="nil"/>
                    <w:bottom w:val="single" w:sz="4" w:space="0" w:color="auto"/>
                    <w:right w:val="single" w:sz="4" w:space="0" w:color="auto"/>
                  </w:tcBorders>
                  <w:shd w:val="clear" w:color="auto" w:fill="auto"/>
                  <w:noWrap/>
                  <w:hideMark/>
                </w:tcPr>
                <w:p w14:paraId="24C03A22"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7D82EB76"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hideMark/>
                </w:tcPr>
                <w:p w14:paraId="22900827"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489</w:t>
                  </w:r>
                </w:p>
              </w:tc>
              <w:tc>
                <w:tcPr>
                  <w:tcW w:w="589" w:type="dxa"/>
                  <w:tcBorders>
                    <w:top w:val="single" w:sz="4" w:space="0" w:color="auto"/>
                    <w:left w:val="nil"/>
                    <w:bottom w:val="single" w:sz="4" w:space="0" w:color="auto"/>
                    <w:right w:val="single" w:sz="4" w:space="0" w:color="auto"/>
                  </w:tcBorders>
                  <w:shd w:val="clear" w:color="auto" w:fill="auto"/>
                  <w:noWrap/>
                  <w:hideMark/>
                </w:tcPr>
                <w:p w14:paraId="0A95846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0,53</w:t>
                  </w:r>
                </w:p>
              </w:tc>
              <w:tc>
                <w:tcPr>
                  <w:tcW w:w="545" w:type="dxa"/>
                  <w:tcBorders>
                    <w:top w:val="single" w:sz="4" w:space="0" w:color="auto"/>
                    <w:left w:val="nil"/>
                    <w:bottom w:val="single" w:sz="4" w:space="0" w:color="auto"/>
                    <w:right w:val="nil"/>
                  </w:tcBorders>
                  <w:shd w:val="clear" w:color="auto" w:fill="auto"/>
                  <w:noWrap/>
                  <w:hideMark/>
                </w:tcPr>
                <w:p w14:paraId="250635A5"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30</w:t>
                  </w:r>
                </w:p>
              </w:tc>
              <w:tc>
                <w:tcPr>
                  <w:tcW w:w="709" w:type="dxa"/>
                  <w:tcBorders>
                    <w:top w:val="single" w:sz="4" w:space="0" w:color="auto"/>
                    <w:left w:val="nil"/>
                    <w:bottom w:val="single" w:sz="4" w:space="0" w:color="auto"/>
                    <w:right w:val="single" w:sz="4" w:space="0" w:color="auto"/>
                  </w:tcBorders>
                  <w:shd w:val="clear" w:color="auto" w:fill="auto"/>
                  <w:noWrap/>
                  <w:hideMark/>
                </w:tcPr>
                <w:p w14:paraId="7A44D1E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0,03</w:t>
                  </w:r>
                </w:p>
              </w:tc>
              <w:tc>
                <w:tcPr>
                  <w:tcW w:w="567" w:type="dxa"/>
                  <w:tcBorders>
                    <w:top w:val="single" w:sz="4" w:space="0" w:color="auto"/>
                    <w:left w:val="nil"/>
                    <w:bottom w:val="single" w:sz="4" w:space="0" w:color="auto"/>
                    <w:right w:val="nil"/>
                  </w:tcBorders>
                  <w:shd w:val="clear" w:color="auto" w:fill="auto"/>
                  <w:noWrap/>
                  <w:hideMark/>
                </w:tcPr>
                <w:p w14:paraId="3D36933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7</w:t>
                  </w:r>
                </w:p>
              </w:tc>
              <w:tc>
                <w:tcPr>
                  <w:tcW w:w="709" w:type="dxa"/>
                  <w:tcBorders>
                    <w:top w:val="single" w:sz="4" w:space="0" w:color="auto"/>
                    <w:left w:val="nil"/>
                    <w:bottom w:val="single" w:sz="4" w:space="0" w:color="auto"/>
                    <w:right w:val="single" w:sz="4" w:space="0" w:color="auto"/>
                  </w:tcBorders>
                  <w:shd w:val="clear" w:color="auto" w:fill="auto"/>
                  <w:noWrap/>
                  <w:hideMark/>
                </w:tcPr>
                <w:p w14:paraId="71BB8E0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0,01</w:t>
                  </w:r>
                </w:p>
              </w:tc>
              <w:tc>
                <w:tcPr>
                  <w:tcW w:w="567" w:type="dxa"/>
                  <w:tcBorders>
                    <w:top w:val="nil"/>
                    <w:left w:val="nil"/>
                    <w:bottom w:val="single" w:sz="4" w:space="0" w:color="auto"/>
                    <w:right w:val="nil"/>
                  </w:tcBorders>
                  <w:shd w:val="clear" w:color="auto" w:fill="auto"/>
                  <w:noWrap/>
                  <w:hideMark/>
                </w:tcPr>
                <w:p w14:paraId="4345BBC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526</w:t>
                  </w:r>
                </w:p>
              </w:tc>
              <w:tc>
                <w:tcPr>
                  <w:tcW w:w="770" w:type="dxa"/>
                  <w:tcBorders>
                    <w:top w:val="nil"/>
                    <w:left w:val="nil"/>
                    <w:bottom w:val="single" w:sz="4" w:space="0" w:color="auto"/>
                    <w:right w:val="nil"/>
                  </w:tcBorders>
                  <w:shd w:val="clear" w:color="auto" w:fill="auto"/>
                  <w:noWrap/>
                  <w:hideMark/>
                </w:tcPr>
                <w:p w14:paraId="6542861B"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0,57</w:t>
                  </w:r>
                </w:p>
              </w:tc>
            </w:tr>
            <w:tr w:rsidR="00C45D5B" w:rsidRPr="004F7036" w14:paraId="0875915E"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CCE9DB1" w14:textId="77777777" w:rsidR="00C45D5B" w:rsidRPr="001B009D" w:rsidRDefault="00C45D5B" w:rsidP="00CF774B">
                  <w:pPr>
                    <w:rPr>
                      <w:rFonts w:cs="Calibri"/>
                      <w:color w:val="000000"/>
                      <w:sz w:val="16"/>
                      <w:szCs w:val="16"/>
                    </w:rPr>
                  </w:pPr>
                  <w:r w:rsidRPr="001B009D">
                    <w:rPr>
                      <w:rFonts w:cs="Calibri"/>
                      <w:color w:val="000000"/>
                      <w:sz w:val="16"/>
                      <w:szCs w:val="16"/>
                    </w:rPr>
                    <w:t>Odklad daňového priznania DPPO</w:t>
                  </w:r>
                </w:p>
              </w:tc>
              <w:tc>
                <w:tcPr>
                  <w:tcW w:w="708" w:type="dxa"/>
                  <w:tcBorders>
                    <w:top w:val="nil"/>
                    <w:left w:val="nil"/>
                    <w:bottom w:val="nil"/>
                    <w:right w:val="single" w:sz="4" w:space="0" w:color="auto"/>
                  </w:tcBorders>
                  <w:shd w:val="clear" w:color="auto" w:fill="auto"/>
                  <w:noWrap/>
                  <w:vAlign w:val="bottom"/>
                  <w:hideMark/>
                </w:tcPr>
                <w:p w14:paraId="6D844F23"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07DCE8A1"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40D52628" w14:textId="77777777" w:rsidR="00C45D5B" w:rsidRPr="001B009D" w:rsidRDefault="00C45D5B" w:rsidP="00CF774B">
                  <w:pPr>
                    <w:jc w:val="center"/>
                    <w:rPr>
                      <w:rFonts w:cs="Calibri"/>
                      <w:color w:val="000000"/>
                      <w:sz w:val="16"/>
                      <w:szCs w:val="16"/>
                    </w:rPr>
                  </w:pPr>
                  <w:r w:rsidRPr="001B009D">
                    <w:rPr>
                      <w:rFonts w:cs="Calibri"/>
                      <w:color w:val="000000"/>
                      <w:sz w:val="16"/>
                      <w:szCs w:val="16"/>
                    </w:rPr>
                    <w:t>187</w:t>
                  </w:r>
                </w:p>
              </w:tc>
              <w:tc>
                <w:tcPr>
                  <w:tcW w:w="589" w:type="dxa"/>
                  <w:tcBorders>
                    <w:top w:val="nil"/>
                    <w:left w:val="nil"/>
                    <w:bottom w:val="nil"/>
                    <w:right w:val="single" w:sz="4" w:space="0" w:color="auto"/>
                  </w:tcBorders>
                  <w:shd w:val="clear" w:color="auto" w:fill="auto"/>
                  <w:noWrap/>
                  <w:vAlign w:val="bottom"/>
                  <w:hideMark/>
                </w:tcPr>
                <w:p w14:paraId="4C2592D0" w14:textId="77777777" w:rsidR="00C45D5B" w:rsidRPr="001B009D" w:rsidRDefault="00C45D5B" w:rsidP="00CF774B">
                  <w:pPr>
                    <w:jc w:val="center"/>
                    <w:rPr>
                      <w:rFonts w:cs="Calibri"/>
                      <w:color w:val="000000"/>
                      <w:sz w:val="16"/>
                      <w:szCs w:val="16"/>
                    </w:rPr>
                  </w:pPr>
                  <w:r w:rsidRPr="001B009D">
                    <w:rPr>
                      <w:rFonts w:cs="Calibri"/>
                      <w:color w:val="000000"/>
                      <w:sz w:val="16"/>
                      <w:szCs w:val="16"/>
                    </w:rPr>
                    <w:t>0,20</w:t>
                  </w:r>
                </w:p>
              </w:tc>
              <w:tc>
                <w:tcPr>
                  <w:tcW w:w="545" w:type="dxa"/>
                  <w:tcBorders>
                    <w:top w:val="nil"/>
                    <w:left w:val="nil"/>
                    <w:bottom w:val="nil"/>
                    <w:right w:val="nil"/>
                  </w:tcBorders>
                  <w:shd w:val="clear" w:color="auto" w:fill="auto"/>
                  <w:noWrap/>
                  <w:vAlign w:val="bottom"/>
                  <w:hideMark/>
                </w:tcPr>
                <w:p w14:paraId="587E1DF0"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794F5AFF"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7462EE88"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1265C807"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65B76851" w14:textId="77777777" w:rsidR="00C45D5B" w:rsidRPr="001B009D" w:rsidRDefault="00C45D5B" w:rsidP="00CF774B">
                  <w:pPr>
                    <w:jc w:val="center"/>
                    <w:rPr>
                      <w:rFonts w:cs="Calibri"/>
                      <w:color w:val="000000"/>
                      <w:sz w:val="16"/>
                      <w:szCs w:val="16"/>
                    </w:rPr>
                  </w:pPr>
                  <w:r w:rsidRPr="001B009D">
                    <w:rPr>
                      <w:rFonts w:cs="Calibri"/>
                      <w:color w:val="000000"/>
                      <w:sz w:val="16"/>
                      <w:szCs w:val="16"/>
                    </w:rPr>
                    <w:t>187</w:t>
                  </w:r>
                </w:p>
              </w:tc>
              <w:tc>
                <w:tcPr>
                  <w:tcW w:w="770" w:type="dxa"/>
                  <w:tcBorders>
                    <w:top w:val="nil"/>
                    <w:left w:val="nil"/>
                    <w:bottom w:val="nil"/>
                    <w:right w:val="nil"/>
                  </w:tcBorders>
                  <w:shd w:val="clear" w:color="auto" w:fill="auto"/>
                  <w:noWrap/>
                  <w:vAlign w:val="bottom"/>
                  <w:hideMark/>
                </w:tcPr>
                <w:p w14:paraId="4829D8F9" w14:textId="77777777" w:rsidR="00C45D5B" w:rsidRPr="001B009D" w:rsidRDefault="00C45D5B" w:rsidP="00CF774B">
                  <w:pPr>
                    <w:jc w:val="center"/>
                    <w:rPr>
                      <w:rFonts w:cs="Calibri"/>
                      <w:color w:val="000000"/>
                      <w:sz w:val="16"/>
                      <w:szCs w:val="16"/>
                    </w:rPr>
                  </w:pPr>
                  <w:r w:rsidRPr="001B009D">
                    <w:rPr>
                      <w:rFonts w:cs="Calibri"/>
                      <w:color w:val="000000"/>
                      <w:sz w:val="16"/>
                      <w:szCs w:val="16"/>
                    </w:rPr>
                    <w:t>0,20</w:t>
                  </w:r>
                </w:p>
              </w:tc>
            </w:tr>
            <w:tr w:rsidR="00C45D5B" w:rsidRPr="004F7036" w14:paraId="16C636A6"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21566C83" w14:textId="77777777" w:rsidR="00C45D5B" w:rsidRPr="001B009D" w:rsidRDefault="00C45D5B" w:rsidP="00CF774B">
                  <w:pPr>
                    <w:rPr>
                      <w:rFonts w:cs="Calibri"/>
                      <w:color w:val="000000"/>
                      <w:sz w:val="16"/>
                      <w:szCs w:val="16"/>
                    </w:rPr>
                  </w:pPr>
                  <w:r w:rsidRPr="001B009D">
                    <w:rPr>
                      <w:rFonts w:cs="Calibri"/>
                      <w:color w:val="000000"/>
                      <w:sz w:val="16"/>
                      <w:szCs w:val="16"/>
                    </w:rPr>
                    <w:t>Posun platenia preddavkov DPPO/DPFO pri pokles tržieb o 40 %</w:t>
                  </w:r>
                </w:p>
              </w:tc>
              <w:tc>
                <w:tcPr>
                  <w:tcW w:w="708" w:type="dxa"/>
                  <w:tcBorders>
                    <w:top w:val="nil"/>
                    <w:left w:val="nil"/>
                    <w:bottom w:val="nil"/>
                    <w:right w:val="single" w:sz="4" w:space="0" w:color="auto"/>
                  </w:tcBorders>
                  <w:shd w:val="clear" w:color="auto" w:fill="auto"/>
                  <w:noWrap/>
                  <w:vAlign w:val="bottom"/>
                  <w:hideMark/>
                </w:tcPr>
                <w:p w14:paraId="0B8D9B42"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5289F942"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122C415B" w14:textId="77777777" w:rsidR="00C45D5B" w:rsidRPr="001B009D" w:rsidRDefault="00C45D5B" w:rsidP="00CF774B">
                  <w:pPr>
                    <w:jc w:val="center"/>
                    <w:rPr>
                      <w:rFonts w:cs="Calibri"/>
                      <w:color w:val="000000"/>
                      <w:sz w:val="16"/>
                      <w:szCs w:val="16"/>
                    </w:rPr>
                  </w:pPr>
                  <w:r w:rsidRPr="001B009D">
                    <w:rPr>
                      <w:rFonts w:cs="Calibri"/>
                      <w:color w:val="000000"/>
                      <w:sz w:val="16"/>
                      <w:szCs w:val="16"/>
                    </w:rPr>
                    <w:t>249</w:t>
                  </w:r>
                </w:p>
              </w:tc>
              <w:tc>
                <w:tcPr>
                  <w:tcW w:w="589" w:type="dxa"/>
                  <w:tcBorders>
                    <w:top w:val="nil"/>
                    <w:left w:val="nil"/>
                    <w:bottom w:val="nil"/>
                    <w:right w:val="single" w:sz="4" w:space="0" w:color="auto"/>
                  </w:tcBorders>
                  <w:shd w:val="clear" w:color="auto" w:fill="auto"/>
                  <w:noWrap/>
                  <w:vAlign w:val="bottom"/>
                  <w:hideMark/>
                </w:tcPr>
                <w:p w14:paraId="46D3F482" w14:textId="77777777" w:rsidR="00C45D5B" w:rsidRPr="001B009D" w:rsidRDefault="00C45D5B" w:rsidP="00CF774B">
                  <w:pPr>
                    <w:jc w:val="center"/>
                    <w:rPr>
                      <w:rFonts w:cs="Calibri"/>
                      <w:color w:val="000000"/>
                      <w:sz w:val="16"/>
                      <w:szCs w:val="16"/>
                    </w:rPr>
                  </w:pPr>
                  <w:r w:rsidRPr="001B009D">
                    <w:rPr>
                      <w:rFonts w:cs="Calibri"/>
                      <w:color w:val="000000"/>
                      <w:sz w:val="16"/>
                      <w:szCs w:val="16"/>
                    </w:rPr>
                    <w:t>0,27</w:t>
                  </w:r>
                </w:p>
              </w:tc>
              <w:tc>
                <w:tcPr>
                  <w:tcW w:w="545" w:type="dxa"/>
                  <w:tcBorders>
                    <w:top w:val="nil"/>
                    <w:left w:val="nil"/>
                    <w:bottom w:val="nil"/>
                    <w:right w:val="nil"/>
                  </w:tcBorders>
                  <w:shd w:val="clear" w:color="auto" w:fill="auto"/>
                  <w:noWrap/>
                  <w:vAlign w:val="bottom"/>
                  <w:hideMark/>
                </w:tcPr>
                <w:p w14:paraId="4C57FEC2"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66D54904"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1F5F17EA"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1E253058"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13BC6CA0" w14:textId="77777777" w:rsidR="00C45D5B" w:rsidRPr="001B009D" w:rsidRDefault="00C45D5B" w:rsidP="00CF774B">
                  <w:pPr>
                    <w:jc w:val="center"/>
                    <w:rPr>
                      <w:rFonts w:cs="Calibri"/>
                      <w:color w:val="000000"/>
                      <w:sz w:val="16"/>
                      <w:szCs w:val="16"/>
                    </w:rPr>
                  </w:pPr>
                  <w:r w:rsidRPr="001B009D">
                    <w:rPr>
                      <w:rFonts w:cs="Calibri"/>
                      <w:color w:val="000000"/>
                      <w:sz w:val="16"/>
                      <w:szCs w:val="16"/>
                    </w:rPr>
                    <w:t>249</w:t>
                  </w:r>
                </w:p>
              </w:tc>
              <w:tc>
                <w:tcPr>
                  <w:tcW w:w="770" w:type="dxa"/>
                  <w:tcBorders>
                    <w:top w:val="nil"/>
                    <w:left w:val="nil"/>
                    <w:bottom w:val="nil"/>
                    <w:right w:val="nil"/>
                  </w:tcBorders>
                  <w:shd w:val="clear" w:color="auto" w:fill="auto"/>
                  <w:noWrap/>
                  <w:vAlign w:val="bottom"/>
                  <w:hideMark/>
                </w:tcPr>
                <w:p w14:paraId="3E9FE2A2" w14:textId="77777777" w:rsidR="00C45D5B" w:rsidRPr="001B009D" w:rsidRDefault="00C45D5B" w:rsidP="00CF774B">
                  <w:pPr>
                    <w:jc w:val="center"/>
                    <w:rPr>
                      <w:rFonts w:cs="Calibri"/>
                      <w:color w:val="000000"/>
                      <w:sz w:val="16"/>
                      <w:szCs w:val="16"/>
                    </w:rPr>
                  </w:pPr>
                  <w:r w:rsidRPr="001B009D">
                    <w:rPr>
                      <w:rFonts w:cs="Calibri"/>
                      <w:color w:val="000000"/>
                      <w:sz w:val="16"/>
                      <w:szCs w:val="16"/>
                    </w:rPr>
                    <w:t>0,27</w:t>
                  </w:r>
                </w:p>
              </w:tc>
            </w:tr>
            <w:tr w:rsidR="00C45D5B" w:rsidRPr="004F7036" w14:paraId="77D91EEA"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4D2B30F5" w14:textId="77777777" w:rsidR="00C45D5B" w:rsidRPr="001B009D" w:rsidRDefault="00C45D5B" w:rsidP="00CF774B">
                  <w:pPr>
                    <w:rPr>
                      <w:rFonts w:cs="Calibri"/>
                      <w:color w:val="000000"/>
                      <w:sz w:val="16"/>
                      <w:szCs w:val="16"/>
                    </w:rPr>
                  </w:pPr>
                  <w:r w:rsidRPr="001B009D">
                    <w:rPr>
                      <w:rFonts w:cs="Calibri"/>
                      <w:color w:val="000000"/>
                      <w:sz w:val="16"/>
                      <w:szCs w:val="16"/>
                    </w:rPr>
                    <w:t>Odklad zdravotných odvodov</w:t>
                  </w:r>
                </w:p>
              </w:tc>
              <w:tc>
                <w:tcPr>
                  <w:tcW w:w="708" w:type="dxa"/>
                  <w:tcBorders>
                    <w:top w:val="nil"/>
                    <w:left w:val="nil"/>
                    <w:bottom w:val="nil"/>
                    <w:right w:val="single" w:sz="4" w:space="0" w:color="auto"/>
                  </w:tcBorders>
                  <w:shd w:val="clear" w:color="auto" w:fill="auto"/>
                  <w:noWrap/>
                  <w:vAlign w:val="bottom"/>
                  <w:hideMark/>
                </w:tcPr>
                <w:p w14:paraId="0D01F8C1"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1FB0BE1C"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5A7A0246" w14:textId="77777777" w:rsidR="00C45D5B" w:rsidRPr="001B009D" w:rsidRDefault="00C45D5B" w:rsidP="00CF774B">
                  <w:pPr>
                    <w:jc w:val="center"/>
                    <w:rPr>
                      <w:rFonts w:cs="Calibri"/>
                      <w:color w:val="000000"/>
                      <w:sz w:val="16"/>
                      <w:szCs w:val="16"/>
                    </w:rPr>
                  </w:pPr>
                  <w:r w:rsidRPr="001B009D">
                    <w:rPr>
                      <w:rFonts w:cs="Calibri"/>
                      <w:color w:val="000000"/>
                      <w:sz w:val="16"/>
                      <w:szCs w:val="16"/>
                    </w:rPr>
                    <w:t>6</w:t>
                  </w:r>
                </w:p>
              </w:tc>
              <w:tc>
                <w:tcPr>
                  <w:tcW w:w="589" w:type="dxa"/>
                  <w:tcBorders>
                    <w:top w:val="nil"/>
                    <w:left w:val="nil"/>
                    <w:bottom w:val="nil"/>
                    <w:right w:val="single" w:sz="4" w:space="0" w:color="auto"/>
                  </w:tcBorders>
                  <w:shd w:val="clear" w:color="auto" w:fill="auto"/>
                  <w:noWrap/>
                  <w:vAlign w:val="bottom"/>
                  <w:hideMark/>
                </w:tcPr>
                <w:p w14:paraId="15B629EC"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45" w:type="dxa"/>
                  <w:tcBorders>
                    <w:top w:val="nil"/>
                    <w:left w:val="nil"/>
                    <w:bottom w:val="nil"/>
                    <w:right w:val="nil"/>
                  </w:tcBorders>
                  <w:shd w:val="clear" w:color="auto" w:fill="auto"/>
                  <w:noWrap/>
                  <w:vAlign w:val="bottom"/>
                  <w:hideMark/>
                </w:tcPr>
                <w:p w14:paraId="08730B32"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40812314"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352B8CA9"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62BFF36D"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78EA9A19" w14:textId="77777777" w:rsidR="00C45D5B" w:rsidRPr="001B009D" w:rsidRDefault="00C45D5B" w:rsidP="00CF774B">
                  <w:pPr>
                    <w:jc w:val="center"/>
                    <w:rPr>
                      <w:rFonts w:cs="Calibri"/>
                      <w:color w:val="000000"/>
                      <w:sz w:val="16"/>
                      <w:szCs w:val="16"/>
                    </w:rPr>
                  </w:pPr>
                  <w:r w:rsidRPr="001B009D">
                    <w:rPr>
                      <w:rFonts w:cs="Calibri"/>
                      <w:color w:val="000000"/>
                      <w:sz w:val="16"/>
                      <w:szCs w:val="16"/>
                    </w:rPr>
                    <w:t>6</w:t>
                  </w:r>
                </w:p>
              </w:tc>
              <w:tc>
                <w:tcPr>
                  <w:tcW w:w="770" w:type="dxa"/>
                  <w:tcBorders>
                    <w:top w:val="nil"/>
                    <w:left w:val="nil"/>
                    <w:bottom w:val="nil"/>
                    <w:right w:val="nil"/>
                  </w:tcBorders>
                  <w:shd w:val="clear" w:color="auto" w:fill="auto"/>
                  <w:noWrap/>
                  <w:vAlign w:val="bottom"/>
                  <w:hideMark/>
                </w:tcPr>
                <w:p w14:paraId="5B26BACD"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r>
            <w:tr w:rsidR="00C45D5B" w:rsidRPr="004F7036" w14:paraId="391CFAB1"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5F83EC0B" w14:textId="77777777" w:rsidR="00C45D5B" w:rsidRPr="001B009D" w:rsidRDefault="00C45D5B" w:rsidP="00CF774B">
                  <w:pPr>
                    <w:rPr>
                      <w:rFonts w:cs="Calibri"/>
                      <w:color w:val="000000"/>
                      <w:sz w:val="16"/>
                      <w:szCs w:val="16"/>
                    </w:rPr>
                  </w:pPr>
                  <w:r w:rsidRPr="001B009D">
                    <w:rPr>
                      <w:rFonts w:cs="Calibri"/>
                      <w:color w:val="000000"/>
                      <w:sz w:val="16"/>
                      <w:szCs w:val="16"/>
                    </w:rPr>
                    <w:t xml:space="preserve">Odklad sociálnych odvodov </w:t>
                  </w:r>
                </w:p>
              </w:tc>
              <w:tc>
                <w:tcPr>
                  <w:tcW w:w="708" w:type="dxa"/>
                  <w:tcBorders>
                    <w:top w:val="nil"/>
                    <w:left w:val="nil"/>
                    <w:bottom w:val="nil"/>
                    <w:right w:val="single" w:sz="4" w:space="0" w:color="auto"/>
                  </w:tcBorders>
                  <w:shd w:val="clear" w:color="auto" w:fill="auto"/>
                  <w:noWrap/>
                  <w:vAlign w:val="bottom"/>
                  <w:hideMark/>
                </w:tcPr>
                <w:p w14:paraId="630357B5"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1248A24F"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0787653A" w14:textId="77777777" w:rsidR="00C45D5B" w:rsidRPr="001B009D" w:rsidRDefault="00C45D5B" w:rsidP="00CF774B">
                  <w:pPr>
                    <w:jc w:val="center"/>
                    <w:rPr>
                      <w:rFonts w:cs="Calibri"/>
                      <w:color w:val="000000"/>
                      <w:sz w:val="16"/>
                      <w:szCs w:val="16"/>
                    </w:rPr>
                  </w:pPr>
                  <w:r w:rsidRPr="001B009D">
                    <w:rPr>
                      <w:rFonts w:cs="Calibri"/>
                      <w:color w:val="000000"/>
                      <w:sz w:val="16"/>
                      <w:szCs w:val="16"/>
                    </w:rPr>
                    <w:t>47</w:t>
                  </w:r>
                </w:p>
              </w:tc>
              <w:tc>
                <w:tcPr>
                  <w:tcW w:w="589" w:type="dxa"/>
                  <w:tcBorders>
                    <w:top w:val="nil"/>
                    <w:left w:val="nil"/>
                    <w:bottom w:val="nil"/>
                    <w:right w:val="single" w:sz="4" w:space="0" w:color="auto"/>
                  </w:tcBorders>
                  <w:shd w:val="clear" w:color="auto" w:fill="auto"/>
                  <w:noWrap/>
                  <w:vAlign w:val="bottom"/>
                  <w:hideMark/>
                </w:tcPr>
                <w:p w14:paraId="70432235" w14:textId="77777777" w:rsidR="00C45D5B" w:rsidRPr="001B009D" w:rsidRDefault="00C45D5B" w:rsidP="00CF774B">
                  <w:pPr>
                    <w:jc w:val="center"/>
                    <w:rPr>
                      <w:rFonts w:cs="Calibri"/>
                      <w:color w:val="000000"/>
                      <w:sz w:val="16"/>
                      <w:szCs w:val="16"/>
                    </w:rPr>
                  </w:pPr>
                  <w:r w:rsidRPr="001B009D">
                    <w:rPr>
                      <w:rFonts w:cs="Calibri"/>
                      <w:color w:val="000000"/>
                      <w:sz w:val="16"/>
                      <w:szCs w:val="16"/>
                    </w:rPr>
                    <w:t>0,05</w:t>
                  </w:r>
                </w:p>
              </w:tc>
              <w:tc>
                <w:tcPr>
                  <w:tcW w:w="545" w:type="dxa"/>
                  <w:tcBorders>
                    <w:top w:val="nil"/>
                    <w:left w:val="nil"/>
                    <w:bottom w:val="nil"/>
                    <w:right w:val="nil"/>
                  </w:tcBorders>
                  <w:shd w:val="clear" w:color="auto" w:fill="auto"/>
                  <w:noWrap/>
                  <w:vAlign w:val="bottom"/>
                  <w:hideMark/>
                </w:tcPr>
                <w:p w14:paraId="5A8437AD" w14:textId="77777777" w:rsidR="00C45D5B" w:rsidRPr="001B009D" w:rsidRDefault="00C45D5B" w:rsidP="00CF774B">
                  <w:pPr>
                    <w:jc w:val="center"/>
                    <w:rPr>
                      <w:rFonts w:cs="Calibri"/>
                      <w:color w:val="000000"/>
                      <w:sz w:val="16"/>
                      <w:szCs w:val="16"/>
                    </w:rPr>
                  </w:pPr>
                  <w:r w:rsidRPr="001B009D">
                    <w:rPr>
                      <w:rFonts w:cs="Calibri"/>
                      <w:color w:val="000000"/>
                      <w:sz w:val="16"/>
                      <w:szCs w:val="16"/>
                    </w:rPr>
                    <w:t>30</w:t>
                  </w:r>
                </w:p>
              </w:tc>
              <w:tc>
                <w:tcPr>
                  <w:tcW w:w="709" w:type="dxa"/>
                  <w:tcBorders>
                    <w:top w:val="nil"/>
                    <w:left w:val="nil"/>
                    <w:bottom w:val="nil"/>
                    <w:right w:val="single" w:sz="4" w:space="0" w:color="auto"/>
                  </w:tcBorders>
                  <w:shd w:val="clear" w:color="auto" w:fill="auto"/>
                  <w:noWrap/>
                  <w:vAlign w:val="bottom"/>
                  <w:hideMark/>
                </w:tcPr>
                <w:p w14:paraId="1D58BB65" w14:textId="77777777" w:rsidR="00C45D5B" w:rsidRPr="001B009D" w:rsidRDefault="00C45D5B" w:rsidP="00CF774B">
                  <w:pPr>
                    <w:jc w:val="center"/>
                    <w:rPr>
                      <w:rFonts w:cs="Calibri"/>
                      <w:color w:val="000000"/>
                      <w:sz w:val="16"/>
                      <w:szCs w:val="16"/>
                    </w:rPr>
                  </w:pPr>
                  <w:r w:rsidRPr="001B009D">
                    <w:rPr>
                      <w:rFonts w:cs="Calibri"/>
                      <w:color w:val="000000"/>
                      <w:sz w:val="16"/>
                      <w:szCs w:val="16"/>
                    </w:rPr>
                    <w:t>0,03</w:t>
                  </w:r>
                </w:p>
              </w:tc>
              <w:tc>
                <w:tcPr>
                  <w:tcW w:w="567" w:type="dxa"/>
                  <w:tcBorders>
                    <w:top w:val="nil"/>
                    <w:left w:val="nil"/>
                    <w:bottom w:val="nil"/>
                    <w:right w:val="nil"/>
                  </w:tcBorders>
                  <w:shd w:val="clear" w:color="auto" w:fill="auto"/>
                  <w:noWrap/>
                  <w:vAlign w:val="bottom"/>
                  <w:hideMark/>
                </w:tcPr>
                <w:p w14:paraId="7019D978" w14:textId="77777777" w:rsidR="00C45D5B" w:rsidRPr="001B009D" w:rsidRDefault="00C45D5B" w:rsidP="00CF774B">
                  <w:pPr>
                    <w:jc w:val="center"/>
                    <w:rPr>
                      <w:rFonts w:cs="Calibri"/>
                      <w:color w:val="000000"/>
                      <w:sz w:val="16"/>
                      <w:szCs w:val="16"/>
                    </w:rPr>
                  </w:pPr>
                  <w:r w:rsidRPr="001B009D">
                    <w:rPr>
                      <w:rFonts w:cs="Calibri"/>
                      <w:color w:val="000000"/>
                      <w:sz w:val="16"/>
                      <w:szCs w:val="16"/>
                    </w:rPr>
                    <w:t>7</w:t>
                  </w:r>
                </w:p>
              </w:tc>
              <w:tc>
                <w:tcPr>
                  <w:tcW w:w="709" w:type="dxa"/>
                  <w:tcBorders>
                    <w:top w:val="nil"/>
                    <w:left w:val="nil"/>
                    <w:bottom w:val="nil"/>
                    <w:right w:val="single" w:sz="4" w:space="0" w:color="auto"/>
                  </w:tcBorders>
                  <w:shd w:val="clear" w:color="auto" w:fill="auto"/>
                  <w:noWrap/>
                  <w:vAlign w:val="bottom"/>
                  <w:hideMark/>
                </w:tcPr>
                <w:p w14:paraId="2AB8D13F" w14:textId="77777777" w:rsidR="00C45D5B" w:rsidRPr="001B009D" w:rsidRDefault="00C45D5B" w:rsidP="00CF774B">
                  <w:pPr>
                    <w:jc w:val="center"/>
                    <w:rPr>
                      <w:rFonts w:cs="Calibri"/>
                      <w:color w:val="000000"/>
                      <w:sz w:val="16"/>
                      <w:szCs w:val="16"/>
                    </w:rPr>
                  </w:pPr>
                  <w:r w:rsidRPr="001B009D">
                    <w:rPr>
                      <w:rFonts w:cs="Calibri"/>
                      <w:color w:val="000000"/>
                      <w:sz w:val="16"/>
                      <w:szCs w:val="16"/>
                    </w:rPr>
                    <w:t>0,01</w:t>
                  </w:r>
                </w:p>
              </w:tc>
              <w:tc>
                <w:tcPr>
                  <w:tcW w:w="567" w:type="dxa"/>
                  <w:tcBorders>
                    <w:top w:val="nil"/>
                    <w:left w:val="nil"/>
                    <w:bottom w:val="nil"/>
                    <w:right w:val="nil"/>
                  </w:tcBorders>
                  <w:shd w:val="clear" w:color="auto" w:fill="auto"/>
                  <w:noWrap/>
                  <w:vAlign w:val="bottom"/>
                  <w:hideMark/>
                </w:tcPr>
                <w:p w14:paraId="0F403315" w14:textId="77777777" w:rsidR="00C45D5B" w:rsidRPr="001B009D" w:rsidRDefault="00C45D5B" w:rsidP="00CF774B">
                  <w:pPr>
                    <w:jc w:val="center"/>
                    <w:rPr>
                      <w:rFonts w:cs="Calibri"/>
                      <w:color w:val="000000"/>
                      <w:sz w:val="16"/>
                      <w:szCs w:val="16"/>
                    </w:rPr>
                  </w:pPr>
                  <w:r w:rsidRPr="001B009D">
                    <w:rPr>
                      <w:rFonts w:cs="Calibri"/>
                      <w:color w:val="000000"/>
                      <w:sz w:val="16"/>
                      <w:szCs w:val="16"/>
                    </w:rPr>
                    <w:t>84</w:t>
                  </w:r>
                </w:p>
              </w:tc>
              <w:tc>
                <w:tcPr>
                  <w:tcW w:w="770" w:type="dxa"/>
                  <w:tcBorders>
                    <w:top w:val="nil"/>
                    <w:left w:val="nil"/>
                    <w:bottom w:val="nil"/>
                    <w:right w:val="nil"/>
                  </w:tcBorders>
                  <w:shd w:val="clear" w:color="auto" w:fill="auto"/>
                  <w:noWrap/>
                  <w:vAlign w:val="bottom"/>
                  <w:hideMark/>
                </w:tcPr>
                <w:p w14:paraId="2CF47443" w14:textId="77777777" w:rsidR="00C45D5B" w:rsidRPr="001B009D" w:rsidRDefault="00C45D5B" w:rsidP="00CF774B">
                  <w:pPr>
                    <w:jc w:val="center"/>
                    <w:rPr>
                      <w:rFonts w:cs="Calibri"/>
                      <w:color w:val="000000"/>
                      <w:sz w:val="16"/>
                      <w:szCs w:val="16"/>
                    </w:rPr>
                  </w:pPr>
                  <w:r w:rsidRPr="001B009D">
                    <w:rPr>
                      <w:rFonts w:cs="Calibri"/>
                      <w:color w:val="000000"/>
                      <w:sz w:val="16"/>
                      <w:szCs w:val="16"/>
                    </w:rPr>
                    <w:t>0,09</w:t>
                  </w:r>
                </w:p>
              </w:tc>
            </w:tr>
            <w:tr w:rsidR="00C45D5B" w:rsidRPr="004F7036" w14:paraId="60002C77" w14:textId="77777777" w:rsidTr="00CF774B">
              <w:trPr>
                <w:trHeight w:val="289"/>
              </w:trPr>
              <w:tc>
                <w:tcPr>
                  <w:tcW w:w="2621" w:type="dxa"/>
                  <w:tcBorders>
                    <w:top w:val="single" w:sz="4" w:space="0" w:color="auto"/>
                    <w:left w:val="nil"/>
                    <w:bottom w:val="single" w:sz="4" w:space="0" w:color="auto"/>
                    <w:right w:val="single" w:sz="4" w:space="0" w:color="auto"/>
                  </w:tcBorders>
                  <w:shd w:val="clear" w:color="auto" w:fill="auto"/>
                  <w:noWrap/>
                  <w:hideMark/>
                </w:tcPr>
                <w:p w14:paraId="27CA35AA" w14:textId="77777777" w:rsidR="00C45D5B" w:rsidRPr="001B009D" w:rsidRDefault="00C45D5B" w:rsidP="00CF774B">
                  <w:pPr>
                    <w:rPr>
                      <w:rFonts w:cs="Calibri"/>
                      <w:b/>
                      <w:bCs/>
                      <w:color w:val="000000"/>
                      <w:sz w:val="16"/>
                      <w:szCs w:val="16"/>
                    </w:rPr>
                  </w:pPr>
                  <w:r w:rsidRPr="001B009D">
                    <w:rPr>
                      <w:rFonts w:cs="Calibri"/>
                      <w:b/>
                      <w:bCs/>
                      <w:color w:val="000000"/>
                      <w:sz w:val="16"/>
                      <w:szCs w:val="16"/>
                    </w:rPr>
                    <w:t>p. m.Bankové záruky (bez priameho vplyvu na deficit)</w:t>
                  </w:r>
                </w:p>
              </w:tc>
              <w:tc>
                <w:tcPr>
                  <w:tcW w:w="708" w:type="dxa"/>
                  <w:tcBorders>
                    <w:top w:val="single" w:sz="4" w:space="0" w:color="auto"/>
                    <w:left w:val="nil"/>
                    <w:bottom w:val="single" w:sz="4" w:space="0" w:color="auto"/>
                    <w:right w:val="single" w:sz="4" w:space="0" w:color="auto"/>
                  </w:tcBorders>
                  <w:shd w:val="clear" w:color="auto" w:fill="auto"/>
                  <w:noWrap/>
                  <w:hideMark/>
                </w:tcPr>
                <w:p w14:paraId="13797AAD"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3663F000"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hideMark/>
                </w:tcPr>
                <w:p w14:paraId="32FB0FD6"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645</w:t>
                  </w:r>
                </w:p>
              </w:tc>
              <w:tc>
                <w:tcPr>
                  <w:tcW w:w="589" w:type="dxa"/>
                  <w:tcBorders>
                    <w:top w:val="single" w:sz="4" w:space="0" w:color="auto"/>
                    <w:left w:val="nil"/>
                    <w:bottom w:val="single" w:sz="4" w:space="0" w:color="auto"/>
                    <w:right w:val="single" w:sz="4" w:space="0" w:color="auto"/>
                  </w:tcBorders>
                  <w:shd w:val="clear" w:color="auto" w:fill="auto"/>
                  <w:noWrap/>
                  <w:hideMark/>
                </w:tcPr>
                <w:p w14:paraId="649B446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0,66</w:t>
                  </w:r>
                </w:p>
              </w:tc>
              <w:tc>
                <w:tcPr>
                  <w:tcW w:w="545" w:type="dxa"/>
                  <w:tcBorders>
                    <w:top w:val="single" w:sz="4" w:space="0" w:color="auto"/>
                    <w:left w:val="nil"/>
                    <w:bottom w:val="single" w:sz="4" w:space="0" w:color="auto"/>
                    <w:right w:val="nil"/>
                  </w:tcBorders>
                  <w:shd w:val="clear" w:color="auto" w:fill="auto"/>
                  <w:noWrap/>
                  <w:hideMark/>
                </w:tcPr>
                <w:p w14:paraId="339D18F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187</w:t>
                  </w:r>
                </w:p>
              </w:tc>
              <w:tc>
                <w:tcPr>
                  <w:tcW w:w="709" w:type="dxa"/>
                  <w:tcBorders>
                    <w:top w:val="single" w:sz="4" w:space="0" w:color="auto"/>
                    <w:left w:val="nil"/>
                    <w:bottom w:val="single" w:sz="4" w:space="0" w:color="auto"/>
                    <w:right w:val="single" w:sz="4" w:space="0" w:color="auto"/>
                  </w:tcBorders>
                  <w:shd w:val="clear" w:color="auto" w:fill="auto"/>
                  <w:noWrap/>
                  <w:hideMark/>
                </w:tcPr>
                <w:p w14:paraId="2CD27506"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0,19</w:t>
                  </w:r>
                </w:p>
              </w:tc>
              <w:tc>
                <w:tcPr>
                  <w:tcW w:w="567" w:type="dxa"/>
                  <w:tcBorders>
                    <w:top w:val="single" w:sz="4" w:space="0" w:color="auto"/>
                    <w:left w:val="nil"/>
                    <w:bottom w:val="single" w:sz="4" w:space="0" w:color="auto"/>
                    <w:right w:val="nil"/>
                  </w:tcBorders>
                  <w:shd w:val="clear" w:color="auto" w:fill="auto"/>
                  <w:noWrap/>
                  <w:hideMark/>
                </w:tcPr>
                <w:p w14:paraId="20E025B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hideMark/>
                </w:tcPr>
                <w:p w14:paraId="5214DD9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single" w:sz="4" w:space="0" w:color="auto"/>
                    <w:left w:val="nil"/>
                    <w:bottom w:val="single" w:sz="4" w:space="0" w:color="auto"/>
                    <w:right w:val="nil"/>
                  </w:tcBorders>
                  <w:shd w:val="clear" w:color="auto" w:fill="auto"/>
                  <w:noWrap/>
                  <w:hideMark/>
                </w:tcPr>
                <w:p w14:paraId="0584BA9A"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831</w:t>
                  </w:r>
                </w:p>
              </w:tc>
              <w:tc>
                <w:tcPr>
                  <w:tcW w:w="770" w:type="dxa"/>
                  <w:tcBorders>
                    <w:top w:val="single" w:sz="4" w:space="0" w:color="auto"/>
                    <w:left w:val="nil"/>
                    <w:bottom w:val="single" w:sz="4" w:space="0" w:color="auto"/>
                    <w:right w:val="nil"/>
                  </w:tcBorders>
                  <w:shd w:val="clear" w:color="auto" w:fill="auto"/>
                  <w:noWrap/>
                  <w:hideMark/>
                </w:tcPr>
                <w:p w14:paraId="4FF75EE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0,86</w:t>
                  </w:r>
                </w:p>
              </w:tc>
            </w:tr>
            <w:tr w:rsidR="00C45D5B" w:rsidRPr="004F7036" w14:paraId="74508A15"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01B6B0B1" w14:textId="77777777" w:rsidR="00C45D5B" w:rsidRPr="001B009D" w:rsidRDefault="00C45D5B" w:rsidP="00CF774B">
                  <w:pPr>
                    <w:rPr>
                      <w:rFonts w:cs="Calibri"/>
                      <w:color w:val="000000"/>
                      <w:sz w:val="16"/>
                      <w:szCs w:val="16"/>
                    </w:rPr>
                  </w:pPr>
                  <w:r w:rsidRPr="001B009D">
                    <w:rPr>
                      <w:rFonts w:cs="Calibri"/>
                      <w:color w:val="000000"/>
                      <w:sz w:val="16"/>
                      <w:szCs w:val="16"/>
                    </w:rPr>
                    <w:t xml:space="preserve">SZRB - zazmluvnená schéma de minimis </w:t>
                  </w:r>
                </w:p>
              </w:tc>
              <w:tc>
                <w:tcPr>
                  <w:tcW w:w="708" w:type="dxa"/>
                  <w:tcBorders>
                    <w:top w:val="nil"/>
                    <w:left w:val="nil"/>
                    <w:bottom w:val="nil"/>
                    <w:right w:val="single" w:sz="4" w:space="0" w:color="auto"/>
                  </w:tcBorders>
                  <w:shd w:val="clear" w:color="auto" w:fill="auto"/>
                  <w:noWrap/>
                  <w:vAlign w:val="bottom"/>
                  <w:hideMark/>
                </w:tcPr>
                <w:p w14:paraId="58A53983"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559C2DCF"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63963929" w14:textId="77777777" w:rsidR="00C45D5B" w:rsidRPr="001B009D" w:rsidRDefault="00C45D5B" w:rsidP="00CF774B">
                  <w:pPr>
                    <w:jc w:val="center"/>
                    <w:rPr>
                      <w:rFonts w:cs="Calibri"/>
                      <w:color w:val="000000"/>
                      <w:sz w:val="16"/>
                      <w:szCs w:val="16"/>
                    </w:rPr>
                  </w:pPr>
                  <w:r w:rsidRPr="001B009D">
                    <w:rPr>
                      <w:rFonts w:cs="Calibri"/>
                      <w:color w:val="000000"/>
                      <w:sz w:val="16"/>
                      <w:szCs w:val="16"/>
                    </w:rPr>
                    <w:t>112</w:t>
                  </w:r>
                </w:p>
              </w:tc>
              <w:tc>
                <w:tcPr>
                  <w:tcW w:w="589" w:type="dxa"/>
                  <w:tcBorders>
                    <w:top w:val="nil"/>
                    <w:left w:val="nil"/>
                    <w:bottom w:val="nil"/>
                    <w:right w:val="single" w:sz="4" w:space="0" w:color="auto"/>
                  </w:tcBorders>
                  <w:shd w:val="clear" w:color="auto" w:fill="auto"/>
                  <w:noWrap/>
                  <w:vAlign w:val="bottom"/>
                  <w:hideMark/>
                </w:tcPr>
                <w:p w14:paraId="151BC75E" w14:textId="77777777" w:rsidR="00C45D5B" w:rsidRPr="001B009D" w:rsidRDefault="00C45D5B" w:rsidP="00CF774B">
                  <w:pPr>
                    <w:jc w:val="center"/>
                    <w:rPr>
                      <w:rFonts w:cs="Calibri"/>
                      <w:color w:val="000000"/>
                      <w:sz w:val="16"/>
                      <w:szCs w:val="16"/>
                    </w:rPr>
                  </w:pPr>
                  <w:r w:rsidRPr="001B009D">
                    <w:rPr>
                      <w:rFonts w:cs="Calibri"/>
                      <w:color w:val="000000"/>
                      <w:sz w:val="16"/>
                      <w:szCs w:val="16"/>
                    </w:rPr>
                    <w:t>0,12</w:t>
                  </w:r>
                </w:p>
              </w:tc>
              <w:tc>
                <w:tcPr>
                  <w:tcW w:w="545" w:type="dxa"/>
                  <w:tcBorders>
                    <w:top w:val="nil"/>
                    <w:left w:val="nil"/>
                    <w:bottom w:val="nil"/>
                    <w:right w:val="nil"/>
                  </w:tcBorders>
                  <w:shd w:val="clear" w:color="auto" w:fill="auto"/>
                  <w:noWrap/>
                  <w:vAlign w:val="bottom"/>
                  <w:hideMark/>
                </w:tcPr>
                <w:p w14:paraId="65BC2315" w14:textId="77777777" w:rsidR="00C45D5B" w:rsidRPr="001B009D" w:rsidRDefault="00C45D5B" w:rsidP="00CF774B">
                  <w:pPr>
                    <w:jc w:val="center"/>
                    <w:rPr>
                      <w:rFonts w:cs="Calibri"/>
                      <w:color w:val="000000"/>
                      <w:sz w:val="16"/>
                      <w:szCs w:val="16"/>
                    </w:rPr>
                  </w:pPr>
                  <w:r w:rsidRPr="001B009D">
                    <w:rPr>
                      <w:rFonts w:cs="Calibri"/>
                      <w:color w:val="000000"/>
                      <w:sz w:val="16"/>
                      <w:szCs w:val="16"/>
                    </w:rPr>
                    <w:t>63</w:t>
                  </w:r>
                </w:p>
              </w:tc>
              <w:tc>
                <w:tcPr>
                  <w:tcW w:w="709" w:type="dxa"/>
                  <w:tcBorders>
                    <w:top w:val="nil"/>
                    <w:left w:val="nil"/>
                    <w:bottom w:val="nil"/>
                    <w:right w:val="single" w:sz="4" w:space="0" w:color="auto"/>
                  </w:tcBorders>
                  <w:shd w:val="clear" w:color="auto" w:fill="auto"/>
                  <w:noWrap/>
                  <w:vAlign w:val="bottom"/>
                  <w:hideMark/>
                </w:tcPr>
                <w:p w14:paraId="7D9AD6D5" w14:textId="77777777" w:rsidR="00C45D5B" w:rsidRPr="001B009D" w:rsidRDefault="00C45D5B" w:rsidP="00CF774B">
                  <w:pPr>
                    <w:jc w:val="center"/>
                    <w:rPr>
                      <w:rFonts w:cs="Calibri"/>
                      <w:color w:val="000000"/>
                      <w:sz w:val="16"/>
                      <w:szCs w:val="16"/>
                    </w:rPr>
                  </w:pPr>
                  <w:r w:rsidRPr="001B009D">
                    <w:rPr>
                      <w:rFonts w:cs="Calibri"/>
                      <w:color w:val="000000"/>
                      <w:sz w:val="16"/>
                      <w:szCs w:val="16"/>
                    </w:rPr>
                    <w:t>0,06</w:t>
                  </w:r>
                </w:p>
              </w:tc>
              <w:tc>
                <w:tcPr>
                  <w:tcW w:w="567" w:type="dxa"/>
                  <w:tcBorders>
                    <w:top w:val="nil"/>
                    <w:left w:val="nil"/>
                    <w:bottom w:val="nil"/>
                    <w:right w:val="nil"/>
                  </w:tcBorders>
                  <w:shd w:val="clear" w:color="auto" w:fill="auto"/>
                  <w:noWrap/>
                  <w:vAlign w:val="bottom"/>
                  <w:hideMark/>
                </w:tcPr>
                <w:p w14:paraId="3830B366"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3F5F1A02"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3E75A348" w14:textId="77777777" w:rsidR="00C45D5B" w:rsidRPr="001B009D" w:rsidRDefault="00C45D5B" w:rsidP="00CF774B">
                  <w:pPr>
                    <w:jc w:val="center"/>
                    <w:rPr>
                      <w:rFonts w:cs="Calibri"/>
                      <w:color w:val="000000"/>
                      <w:sz w:val="16"/>
                      <w:szCs w:val="16"/>
                    </w:rPr>
                  </w:pPr>
                  <w:r w:rsidRPr="001B009D">
                    <w:rPr>
                      <w:rFonts w:cs="Calibri"/>
                      <w:color w:val="000000"/>
                      <w:sz w:val="16"/>
                      <w:szCs w:val="16"/>
                    </w:rPr>
                    <w:t>175</w:t>
                  </w:r>
                </w:p>
              </w:tc>
              <w:tc>
                <w:tcPr>
                  <w:tcW w:w="770" w:type="dxa"/>
                  <w:tcBorders>
                    <w:top w:val="nil"/>
                    <w:left w:val="nil"/>
                    <w:bottom w:val="nil"/>
                    <w:right w:val="nil"/>
                  </w:tcBorders>
                  <w:shd w:val="clear" w:color="auto" w:fill="auto"/>
                  <w:noWrap/>
                  <w:vAlign w:val="bottom"/>
                  <w:hideMark/>
                </w:tcPr>
                <w:p w14:paraId="4205D1DB" w14:textId="77777777" w:rsidR="00C45D5B" w:rsidRPr="001B009D" w:rsidRDefault="00C45D5B" w:rsidP="00CF774B">
                  <w:pPr>
                    <w:jc w:val="center"/>
                    <w:rPr>
                      <w:rFonts w:cs="Calibri"/>
                      <w:color w:val="000000"/>
                      <w:sz w:val="16"/>
                      <w:szCs w:val="16"/>
                    </w:rPr>
                  </w:pPr>
                  <w:r w:rsidRPr="001B009D">
                    <w:rPr>
                      <w:rFonts w:cs="Calibri"/>
                      <w:color w:val="000000"/>
                      <w:sz w:val="16"/>
                      <w:szCs w:val="16"/>
                    </w:rPr>
                    <w:t>0,19</w:t>
                  </w:r>
                </w:p>
              </w:tc>
            </w:tr>
            <w:tr w:rsidR="00C45D5B" w:rsidRPr="004F7036" w14:paraId="08622402"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50CE4B6D" w14:textId="77777777" w:rsidR="00C45D5B" w:rsidRPr="001B009D" w:rsidRDefault="00C45D5B" w:rsidP="00CF774B">
                  <w:pPr>
                    <w:rPr>
                      <w:rFonts w:cs="Calibri"/>
                      <w:color w:val="000000"/>
                      <w:sz w:val="16"/>
                      <w:szCs w:val="16"/>
                    </w:rPr>
                  </w:pPr>
                  <w:r w:rsidRPr="001B009D">
                    <w:rPr>
                      <w:rFonts w:cs="Calibri"/>
                      <w:color w:val="000000"/>
                      <w:sz w:val="16"/>
                      <w:szCs w:val="16"/>
                    </w:rPr>
                    <w:t>Eximbanka -  zazmluvnená schéma de minimis</w:t>
                  </w:r>
                </w:p>
              </w:tc>
              <w:tc>
                <w:tcPr>
                  <w:tcW w:w="708" w:type="dxa"/>
                  <w:tcBorders>
                    <w:top w:val="nil"/>
                    <w:left w:val="nil"/>
                    <w:bottom w:val="nil"/>
                    <w:right w:val="single" w:sz="4" w:space="0" w:color="auto"/>
                  </w:tcBorders>
                  <w:shd w:val="clear" w:color="auto" w:fill="auto"/>
                  <w:noWrap/>
                  <w:vAlign w:val="bottom"/>
                  <w:hideMark/>
                </w:tcPr>
                <w:p w14:paraId="153081EC"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00F4EEBD"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4F777E62" w14:textId="77777777" w:rsidR="00C45D5B" w:rsidRPr="001B009D" w:rsidRDefault="00C45D5B" w:rsidP="00CF774B">
                  <w:pPr>
                    <w:jc w:val="center"/>
                    <w:rPr>
                      <w:rFonts w:cs="Calibri"/>
                      <w:color w:val="000000"/>
                      <w:sz w:val="16"/>
                      <w:szCs w:val="16"/>
                    </w:rPr>
                  </w:pPr>
                  <w:r w:rsidRPr="001B009D">
                    <w:rPr>
                      <w:rFonts w:cs="Calibri"/>
                      <w:color w:val="000000"/>
                      <w:sz w:val="16"/>
                      <w:szCs w:val="16"/>
                    </w:rPr>
                    <w:t>44</w:t>
                  </w:r>
                </w:p>
              </w:tc>
              <w:tc>
                <w:tcPr>
                  <w:tcW w:w="589" w:type="dxa"/>
                  <w:tcBorders>
                    <w:top w:val="nil"/>
                    <w:left w:val="nil"/>
                    <w:bottom w:val="nil"/>
                    <w:right w:val="single" w:sz="4" w:space="0" w:color="auto"/>
                  </w:tcBorders>
                  <w:shd w:val="clear" w:color="auto" w:fill="auto"/>
                  <w:noWrap/>
                  <w:vAlign w:val="bottom"/>
                  <w:hideMark/>
                </w:tcPr>
                <w:p w14:paraId="36385882" w14:textId="77777777" w:rsidR="00C45D5B" w:rsidRPr="001B009D" w:rsidRDefault="00C45D5B" w:rsidP="00CF774B">
                  <w:pPr>
                    <w:jc w:val="center"/>
                    <w:rPr>
                      <w:rFonts w:cs="Calibri"/>
                      <w:color w:val="000000"/>
                      <w:sz w:val="16"/>
                      <w:szCs w:val="16"/>
                    </w:rPr>
                  </w:pPr>
                  <w:r w:rsidRPr="001B009D">
                    <w:rPr>
                      <w:rFonts w:cs="Calibri"/>
                      <w:color w:val="000000"/>
                      <w:sz w:val="16"/>
                      <w:szCs w:val="16"/>
                    </w:rPr>
                    <w:t>0,05</w:t>
                  </w:r>
                </w:p>
              </w:tc>
              <w:tc>
                <w:tcPr>
                  <w:tcW w:w="545" w:type="dxa"/>
                  <w:tcBorders>
                    <w:top w:val="nil"/>
                    <w:left w:val="nil"/>
                    <w:bottom w:val="nil"/>
                    <w:right w:val="nil"/>
                  </w:tcBorders>
                  <w:shd w:val="clear" w:color="auto" w:fill="auto"/>
                  <w:noWrap/>
                  <w:vAlign w:val="bottom"/>
                  <w:hideMark/>
                </w:tcPr>
                <w:p w14:paraId="2AA84F8A" w14:textId="77777777" w:rsidR="00C45D5B" w:rsidRPr="001B009D" w:rsidRDefault="00C45D5B" w:rsidP="00CF774B">
                  <w:pPr>
                    <w:jc w:val="center"/>
                    <w:rPr>
                      <w:rFonts w:cs="Calibri"/>
                      <w:color w:val="000000"/>
                      <w:sz w:val="16"/>
                      <w:szCs w:val="16"/>
                    </w:rPr>
                  </w:pPr>
                  <w:r w:rsidRPr="001B009D">
                    <w:rPr>
                      <w:rFonts w:cs="Calibri"/>
                      <w:color w:val="000000"/>
                      <w:sz w:val="16"/>
                      <w:szCs w:val="16"/>
                    </w:rPr>
                    <w:t>28</w:t>
                  </w:r>
                </w:p>
              </w:tc>
              <w:tc>
                <w:tcPr>
                  <w:tcW w:w="709" w:type="dxa"/>
                  <w:tcBorders>
                    <w:top w:val="nil"/>
                    <w:left w:val="nil"/>
                    <w:bottom w:val="nil"/>
                    <w:right w:val="single" w:sz="4" w:space="0" w:color="auto"/>
                  </w:tcBorders>
                  <w:shd w:val="clear" w:color="auto" w:fill="auto"/>
                  <w:noWrap/>
                  <w:vAlign w:val="bottom"/>
                  <w:hideMark/>
                </w:tcPr>
                <w:p w14:paraId="16003295" w14:textId="77777777" w:rsidR="00C45D5B" w:rsidRPr="001B009D" w:rsidRDefault="00C45D5B" w:rsidP="00CF774B">
                  <w:pPr>
                    <w:jc w:val="center"/>
                    <w:rPr>
                      <w:rFonts w:cs="Calibri"/>
                      <w:color w:val="000000"/>
                      <w:sz w:val="16"/>
                      <w:szCs w:val="16"/>
                    </w:rPr>
                  </w:pPr>
                  <w:r w:rsidRPr="001B009D">
                    <w:rPr>
                      <w:rFonts w:cs="Calibri"/>
                      <w:color w:val="000000"/>
                      <w:sz w:val="16"/>
                      <w:szCs w:val="16"/>
                    </w:rPr>
                    <w:t>0,03</w:t>
                  </w:r>
                </w:p>
              </w:tc>
              <w:tc>
                <w:tcPr>
                  <w:tcW w:w="567" w:type="dxa"/>
                  <w:tcBorders>
                    <w:top w:val="nil"/>
                    <w:left w:val="nil"/>
                    <w:bottom w:val="nil"/>
                    <w:right w:val="nil"/>
                  </w:tcBorders>
                  <w:shd w:val="clear" w:color="auto" w:fill="auto"/>
                  <w:noWrap/>
                  <w:vAlign w:val="bottom"/>
                  <w:hideMark/>
                </w:tcPr>
                <w:p w14:paraId="20A1429E"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65855B9F"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4818D3C1" w14:textId="77777777" w:rsidR="00C45D5B" w:rsidRPr="001B009D" w:rsidRDefault="00C45D5B" w:rsidP="00CF774B">
                  <w:pPr>
                    <w:jc w:val="center"/>
                    <w:rPr>
                      <w:rFonts w:cs="Calibri"/>
                      <w:color w:val="000000"/>
                      <w:sz w:val="16"/>
                      <w:szCs w:val="16"/>
                    </w:rPr>
                  </w:pPr>
                  <w:r w:rsidRPr="001B009D">
                    <w:rPr>
                      <w:rFonts w:cs="Calibri"/>
                      <w:color w:val="000000"/>
                      <w:sz w:val="16"/>
                      <w:szCs w:val="16"/>
                    </w:rPr>
                    <w:t>71</w:t>
                  </w:r>
                </w:p>
              </w:tc>
              <w:tc>
                <w:tcPr>
                  <w:tcW w:w="770" w:type="dxa"/>
                  <w:tcBorders>
                    <w:top w:val="nil"/>
                    <w:left w:val="nil"/>
                    <w:bottom w:val="nil"/>
                    <w:right w:val="nil"/>
                  </w:tcBorders>
                  <w:shd w:val="clear" w:color="auto" w:fill="auto"/>
                  <w:noWrap/>
                  <w:vAlign w:val="bottom"/>
                  <w:hideMark/>
                </w:tcPr>
                <w:p w14:paraId="7B8069A7" w14:textId="77777777" w:rsidR="00C45D5B" w:rsidRPr="001B009D" w:rsidRDefault="00C45D5B" w:rsidP="00CF774B">
                  <w:pPr>
                    <w:jc w:val="center"/>
                    <w:rPr>
                      <w:rFonts w:cs="Calibri"/>
                      <w:color w:val="000000"/>
                      <w:sz w:val="16"/>
                      <w:szCs w:val="16"/>
                    </w:rPr>
                  </w:pPr>
                  <w:r w:rsidRPr="001B009D">
                    <w:rPr>
                      <w:rFonts w:cs="Calibri"/>
                      <w:color w:val="000000"/>
                      <w:sz w:val="16"/>
                      <w:szCs w:val="16"/>
                    </w:rPr>
                    <w:t>0,08</w:t>
                  </w:r>
                </w:p>
              </w:tc>
            </w:tr>
            <w:tr w:rsidR="00C45D5B" w:rsidRPr="004F7036" w14:paraId="45025CEC"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380C096A" w14:textId="77777777" w:rsidR="00C45D5B" w:rsidRPr="001B009D" w:rsidRDefault="00C45D5B" w:rsidP="00CF774B">
                  <w:pPr>
                    <w:rPr>
                      <w:rFonts w:cs="Calibri"/>
                      <w:color w:val="000000"/>
                      <w:sz w:val="16"/>
                      <w:szCs w:val="16"/>
                    </w:rPr>
                  </w:pPr>
                  <w:r w:rsidRPr="001B009D">
                    <w:rPr>
                      <w:rFonts w:cs="Calibri"/>
                      <w:color w:val="000000"/>
                      <w:sz w:val="16"/>
                      <w:szCs w:val="16"/>
                    </w:rPr>
                    <w:t>SIH - zazmluvnená schéma de minimis</w:t>
                  </w:r>
                </w:p>
              </w:tc>
              <w:tc>
                <w:tcPr>
                  <w:tcW w:w="708" w:type="dxa"/>
                  <w:tcBorders>
                    <w:top w:val="nil"/>
                    <w:left w:val="nil"/>
                    <w:bottom w:val="nil"/>
                    <w:right w:val="single" w:sz="4" w:space="0" w:color="auto"/>
                  </w:tcBorders>
                  <w:shd w:val="clear" w:color="auto" w:fill="auto"/>
                  <w:noWrap/>
                  <w:vAlign w:val="bottom"/>
                  <w:hideMark/>
                </w:tcPr>
                <w:p w14:paraId="40D1F330"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single" w:sz="4" w:space="0" w:color="auto"/>
                  </w:tcBorders>
                  <w:shd w:val="clear" w:color="auto" w:fill="auto"/>
                  <w:noWrap/>
                  <w:vAlign w:val="bottom"/>
                  <w:hideMark/>
                </w:tcPr>
                <w:p w14:paraId="516B3D72" w14:textId="77777777" w:rsidR="00C45D5B" w:rsidRPr="001B009D" w:rsidRDefault="00C45D5B" w:rsidP="00CF774B">
                  <w:pP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1A21236C" w14:textId="77777777" w:rsidR="00C45D5B" w:rsidRPr="001B009D" w:rsidRDefault="00C45D5B" w:rsidP="00CF774B">
                  <w:pPr>
                    <w:jc w:val="center"/>
                    <w:rPr>
                      <w:rFonts w:cs="Calibri"/>
                      <w:color w:val="000000"/>
                      <w:sz w:val="16"/>
                      <w:szCs w:val="16"/>
                    </w:rPr>
                  </w:pPr>
                  <w:r w:rsidRPr="001B009D">
                    <w:rPr>
                      <w:rFonts w:cs="Calibri"/>
                      <w:color w:val="000000"/>
                      <w:sz w:val="16"/>
                      <w:szCs w:val="16"/>
                    </w:rPr>
                    <w:t>0</w:t>
                  </w:r>
                </w:p>
              </w:tc>
              <w:tc>
                <w:tcPr>
                  <w:tcW w:w="589" w:type="dxa"/>
                  <w:tcBorders>
                    <w:top w:val="nil"/>
                    <w:left w:val="nil"/>
                    <w:bottom w:val="nil"/>
                    <w:right w:val="single" w:sz="4" w:space="0" w:color="auto"/>
                  </w:tcBorders>
                  <w:shd w:val="clear" w:color="auto" w:fill="auto"/>
                  <w:noWrap/>
                  <w:vAlign w:val="bottom"/>
                  <w:hideMark/>
                </w:tcPr>
                <w:p w14:paraId="04589405" w14:textId="77777777" w:rsidR="00C45D5B" w:rsidRPr="001B009D" w:rsidRDefault="00C45D5B" w:rsidP="00CF774B">
                  <w:pPr>
                    <w:jc w:val="center"/>
                    <w:rPr>
                      <w:rFonts w:cs="Calibri"/>
                      <w:color w:val="000000"/>
                      <w:sz w:val="16"/>
                      <w:szCs w:val="16"/>
                    </w:rPr>
                  </w:pPr>
                  <w:r w:rsidRPr="001B009D">
                    <w:rPr>
                      <w:rFonts w:cs="Calibri"/>
                      <w:color w:val="000000"/>
                      <w:sz w:val="16"/>
                      <w:szCs w:val="16"/>
                    </w:rPr>
                    <w:t>0,00</w:t>
                  </w:r>
                </w:p>
              </w:tc>
              <w:tc>
                <w:tcPr>
                  <w:tcW w:w="545" w:type="dxa"/>
                  <w:tcBorders>
                    <w:top w:val="nil"/>
                    <w:left w:val="nil"/>
                    <w:bottom w:val="nil"/>
                    <w:right w:val="nil"/>
                  </w:tcBorders>
                  <w:shd w:val="clear" w:color="auto" w:fill="auto"/>
                  <w:noWrap/>
                  <w:vAlign w:val="bottom"/>
                  <w:hideMark/>
                </w:tcPr>
                <w:p w14:paraId="5533369E" w14:textId="77777777" w:rsidR="00C45D5B" w:rsidRPr="001B009D" w:rsidRDefault="00C45D5B" w:rsidP="00CF774B">
                  <w:pPr>
                    <w:jc w:val="center"/>
                    <w:rPr>
                      <w:rFonts w:cs="Calibri"/>
                      <w:color w:val="000000"/>
                      <w:sz w:val="16"/>
                      <w:szCs w:val="16"/>
                    </w:rPr>
                  </w:pPr>
                  <w:r w:rsidRPr="001B009D">
                    <w:rPr>
                      <w:rFonts w:cs="Calibri"/>
                      <w:color w:val="000000"/>
                      <w:sz w:val="16"/>
                      <w:szCs w:val="16"/>
                    </w:rPr>
                    <w:t>0</w:t>
                  </w:r>
                </w:p>
              </w:tc>
              <w:tc>
                <w:tcPr>
                  <w:tcW w:w="709" w:type="dxa"/>
                  <w:tcBorders>
                    <w:top w:val="nil"/>
                    <w:left w:val="nil"/>
                    <w:bottom w:val="nil"/>
                    <w:right w:val="single" w:sz="4" w:space="0" w:color="auto"/>
                  </w:tcBorders>
                  <w:shd w:val="clear" w:color="auto" w:fill="auto"/>
                  <w:noWrap/>
                  <w:vAlign w:val="bottom"/>
                  <w:hideMark/>
                </w:tcPr>
                <w:p w14:paraId="28C32B15" w14:textId="77777777" w:rsidR="00C45D5B" w:rsidRPr="001B009D" w:rsidRDefault="00C45D5B" w:rsidP="00CF774B">
                  <w:pPr>
                    <w:jc w:val="center"/>
                    <w:rPr>
                      <w:rFonts w:cs="Calibri"/>
                      <w:color w:val="000000"/>
                      <w:sz w:val="16"/>
                      <w:szCs w:val="16"/>
                    </w:rPr>
                  </w:pPr>
                  <w:r w:rsidRPr="001B009D">
                    <w:rPr>
                      <w:rFonts w:cs="Calibri"/>
                      <w:color w:val="000000"/>
                      <w:sz w:val="16"/>
                      <w:szCs w:val="16"/>
                    </w:rPr>
                    <w:t>0,00</w:t>
                  </w:r>
                </w:p>
              </w:tc>
              <w:tc>
                <w:tcPr>
                  <w:tcW w:w="567" w:type="dxa"/>
                  <w:tcBorders>
                    <w:top w:val="nil"/>
                    <w:left w:val="nil"/>
                    <w:bottom w:val="nil"/>
                    <w:right w:val="nil"/>
                  </w:tcBorders>
                  <w:shd w:val="clear" w:color="auto" w:fill="auto"/>
                  <w:noWrap/>
                  <w:vAlign w:val="bottom"/>
                  <w:hideMark/>
                </w:tcPr>
                <w:p w14:paraId="62589CBE"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7C82163D" w14:textId="77777777" w:rsidR="00C45D5B" w:rsidRPr="001B009D" w:rsidRDefault="00C45D5B" w:rsidP="00CF774B">
                  <w:pPr>
                    <w:jc w:val="center"/>
                    <w:rPr>
                      <w:rFonts w:cs="Calibri"/>
                      <w:color w:val="000000"/>
                      <w:sz w:val="16"/>
                      <w:szCs w:val="16"/>
                    </w:rPr>
                  </w:pPr>
                  <w:r w:rsidRPr="001B009D">
                    <w:rPr>
                      <w:rFonts w:cs="Calibri"/>
                      <w:color w:val="000000"/>
                      <w:sz w:val="16"/>
                      <w:szCs w:val="16"/>
                    </w:rPr>
                    <w:t> </w:t>
                  </w:r>
                </w:p>
              </w:tc>
              <w:tc>
                <w:tcPr>
                  <w:tcW w:w="567" w:type="dxa"/>
                  <w:tcBorders>
                    <w:top w:val="nil"/>
                    <w:left w:val="nil"/>
                    <w:bottom w:val="nil"/>
                    <w:right w:val="nil"/>
                  </w:tcBorders>
                  <w:shd w:val="clear" w:color="auto" w:fill="auto"/>
                  <w:noWrap/>
                  <w:vAlign w:val="bottom"/>
                  <w:hideMark/>
                </w:tcPr>
                <w:p w14:paraId="259C0D9C" w14:textId="77777777" w:rsidR="00C45D5B" w:rsidRPr="001B009D" w:rsidRDefault="00C45D5B" w:rsidP="00CF774B">
                  <w:pPr>
                    <w:jc w:val="center"/>
                    <w:rPr>
                      <w:rFonts w:cs="Calibri"/>
                      <w:color w:val="000000"/>
                      <w:sz w:val="16"/>
                      <w:szCs w:val="16"/>
                    </w:rPr>
                  </w:pPr>
                  <w:r w:rsidRPr="001B009D">
                    <w:rPr>
                      <w:rFonts w:cs="Calibri"/>
                      <w:color w:val="000000"/>
                      <w:sz w:val="16"/>
                      <w:szCs w:val="16"/>
                    </w:rPr>
                    <w:t>0</w:t>
                  </w:r>
                </w:p>
              </w:tc>
              <w:tc>
                <w:tcPr>
                  <w:tcW w:w="770" w:type="dxa"/>
                  <w:tcBorders>
                    <w:top w:val="nil"/>
                    <w:left w:val="nil"/>
                    <w:bottom w:val="nil"/>
                    <w:right w:val="nil"/>
                  </w:tcBorders>
                  <w:shd w:val="clear" w:color="auto" w:fill="auto"/>
                  <w:noWrap/>
                  <w:vAlign w:val="bottom"/>
                  <w:hideMark/>
                </w:tcPr>
                <w:p w14:paraId="6EC2DF6D" w14:textId="77777777" w:rsidR="00C45D5B" w:rsidRPr="001B009D" w:rsidRDefault="00C45D5B" w:rsidP="00CF774B">
                  <w:pPr>
                    <w:jc w:val="center"/>
                    <w:rPr>
                      <w:rFonts w:cs="Calibri"/>
                      <w:color w:val="000000"/>
                      <w:sz w:val="16"/>
                      <w:szCs w:val="16"/>
                    </w:rPr>
                  </w:pPr>
                  <w:r w:rsidRPr="001B009D">
                    <w:rPr>
                      <w:rFonts w:cs="Calibri"/>
                      <w:color w:val="000000"/>
                      <w:sz w:val="16"/>
                      <w:szCs w:val="16"/>
                    </w:rPr>
                    <w:t>0,00</w:t>
                  </w:r>
                </w:p>
              </w:tc>
            </w:tr>
            <w:tr w:rsidR="00C45D5B" w:rsidRPr="004F7036" w14:paraId="506F22E0"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06B39B2F" w14:textId="77777777" w:rsidR="00C45D5B" w:rsidRPr="001B009D" w:rsidRDefault="00C45D5B" w:rsidP="00CF774B">
                  <w:pPr>
                    <w:rPr>
                      <w:rFonts w:cs="Calibri"/>
                      <w:sz w:val="16"/>
                      <w:szCs w:val="16"/>
                    </w:rPr>
                  </w:pPr>
                  <w:r w:rsidRPr="001B009D">
                    <w:rPr>
                      <w:rFonts w:cs="Calibri"/>
                      <w:sz w:val="16"/>
                      <w:szCs w:val="16"/>
                    </w:rPr>
                    <w:t xml:space="preserve">Veľká schéma </w:t>
                  </w:r>
                </w:p>
              </w:tc>
              <w:tc>
                <w:tcPr>
                  <w:tcW w:w="708" w:type="dxa"/>
                  <w:tcBorders>
                    <w:top w:val="nil"/>
                    <w:left w:val="nil"/>
                    <w:bottom w:val="single" w:sz="4" w:space="0" w:color="auto"/>
                    <w:right w:val="single" w:sz="4" w:space="0" w:color="auto"/>
                  </w:tcBorders>
                  <w:shd w:val="clear" w:color="auto" w:fill="auto"/>
                  <w:noWrap/>
                  <w:vAlign w:val="bottom"/>
                  <w:hideMark/>
                </w:tcPr>
                <w:p w14:paraId="33551E8F"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63822E89"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nil"/>
                    <w:bottom w:val="single" w:sz="4" w:space="0" w:color="auto"/>
                    <w:right w:val="nil"/>
                  </w:tcBorders>
                  <w:shd w:val="clear" w:color="auto" w:fill="auto"/>
                  <w:noWrap/>
                  <w:vAlign w:val="bottom"/>
                  <w:hideMark/>
                </w:tcPr>
                <w:p w14:paraId="14402EC4" w14:textId="77777777" w:rsidR="00C45D5B" w:rsidRPr="001B009D" w:rsidRDefault="00C45D5B" w:rsidP="00CF774B">
                  <w:pPr>
                    <w:jc w:val="center"/>
                    <w:rPr>
                      <w:rFonts w:cs="Calibri"/>
                      <w:sz w:val="16"/>
                      <w:szCs w:val="16"/>
                    </w:rPr>
                  </w:pPr>
                  <w:r w:rsidRPr="001B009D">
                    <w:rPr>
                      <w:rFonts w:cs="Calibri"/>
                      <w:sz w:val="16"/>
                      <w:szCs w:val="16"/>
                    </w:rPr>
                    <w:t>489</w:t>
                  </w:r>
                </w:p>
              </w:tc>
              <w:tc>
                <w:tcPr>
                  <w:tcW w:w="589" w:type="dxa"/>
                  <w:tcBorders>
                    <w:top w:val="nil"/>
                    <w:left w:val="nil"/>
                    <w:bottom w:val="single" w:sz="4" w:space="0" w:color="auto"/>
                    <w:right w:val="single" w:sz="4" w:space="0" w:color="auto"/>
                  </w:tcBorders>
                  <w:shd w:val="clear" w:color="auto" w:fill="auto"/>
                  <w:noWrap/>
                  <w:vAlign w:val="bottom"/>
                  <w:hideMark/>
                </w:tcPr>
                <w:p w14:paraId="7D4EC561" w14:textId="77777777" w:rsidR="00C45D5B" w:rsidRPr="001B009D" w:rsidRDefault="00C45D5B" w:rsidP="00CF774B">
                  <w:pPr>
                    <w:jc w:val="center"/>
                    <w:rPr>
                      <w:rFonts w:cs="Calibri"/>
                      <w:sz w:val="16"/>
                      <w:szCs w:val="16"/>
                    </w:rPr>
                  </w:pPr>
                  <w:r w:rsidRPr="001B009D">
                    <w:rPr>
                      <w:rFonts w:cs="Calibri"/>
                      <w:sz w:val="16"/>
                      <w:szCs w:val="16"/>
                    </w:rPr>
                    <w:t>0,53</w:t>
                  </w:r>
                </w:p>
              </w:tc>
              <w:tc>
                <w:tcPr>
                  <w:tcW w:w="545" w:type="dxa"/>
                  <w:tcBorders>
                    <w:top w:val="nil"/>
                    <w:left w:val="nil"/>
                    <w:bottom w:val="single" w:sz="4" w:space="0" w:color="auto"/>
                    <w:right w:val="nil"/>
                  </w:tcBorders>
                  <w:shd w:val="clear" w:color="auto" w:fill="auto"/>
                  <w:noWrap/>
                  <w:vAlign w:val="bottom"/>
                  <w:hideMark/>
                </w:tcPr>
                <w:p w14:paraId="51F71293" w14:textId="77777777" w:rsidR="00C45D5B" w:rsidRPr="001B009D" w:rsidRDefault="00C45D5B" w:rsidP="00CF774B">
                  <w:pPr>
                    <w:jc w:val="center"/>
                    <w:rPr>
                      <w:rFonts w:cs="Calibri"/>
                      <w:sz w:val="16"/>
                      <w:szCs w:val="16"/>
                    </w:rPr>
                  </w:pPr>
                  <w:r w:rsidRPr="001B009D">
                    <w:rPr>
                      <w:rFonts w:cs="Calibri"/>
                      <w:sz w:val="16"/>
                      <w:szCs w:val="16"/>
                    </w:rPr>
                    <w:t>96</w:t>
                  </w:r>
                </w:p>
              </w:tc>
              <w:tc>
                <w:tcPr>
                  <w:tcW w:w="709" w:type="dxa"/>
                  <w:tcBorders>
                    <w:top w:val="nil"/>
                    <w:left w:val="nil"/>
                    <w:bottom w:val="single" w:sz="4" w:space="0" w:color="auto"/>
                    <w:right w:val="single" w:sz="4" w:space="0" w:color="auto"/>
                  </w:tcBorders>
                  <w:shd w:val="clear" w:color="auto" w:fill="auto"/>
                  <w:noWrap/>
                  <w:vAlign w:val="bottom"/>
                  <w:hideMark/>
                </w:tcPr>
                <w:p w14:paraId="0E906074" w14:textId="77777777" w:rsidR="00C45D5B" w:rsidRPr="001B009D" w:rsidRDefault="00C45D5B" w:rsidP="00CF774B">
                  <w:pPr>
                    <w:jc w:val="center"/>
                    <w:rPr>
                      <w:rFonts w:cs="Calibri"/>
                      <w:sz w:val="16"/>
                      <w:szCs w:val="16"/>
                    </w:rPr>
                  </w:pPr>
                  <w:r w:rsidRPr="001B009D">
                    <w:rPr>
                      <w:rFonts w:cs="Calibri"/>
                      <w:sz w:val="16"/>
                      <w:szCs w:val="16"/>
                    </w:rPr>
                    <w:t>0,10</w:t>
                  </w:r>
                </w:p>
              </w:tc>
              <w:tc>
                <w:tcPr>
                  <w:tcW w:w="567" w:type="dxa"/>
                  <w:tcBorders>
                    <w:top w:val="nil"/>
                    <w:left w:val="nil"/>
                    <w:bottom w:val="single" w:sz="4" w:space="0" w:color="auto"/>
                    <w:right w:val="nil"/>
                  </w:tcBorders>
                  <w:shd w:val="clear" w:color="auto" w:fill="auto"/>
                  <w:noWrap/>
                  <w:vAlign w:val="bottom"/>
                  <w:hideMark/>
                </w:tcPr>
                <w:p w14:paraId="53D10DD1" w14:textId="77777777" w:rsidR="00C45D5B" w:rsidRPr="001B009D" w:rsidRDefault="00C45D5B" w:rsidP="00CF774B">
                  <w:pPr>
                    <w:jc w:val="center"/>
                    <w:rPr>
                      <w:rFonts w:cs="Calibri"/>
                      <w:sz w:val="16"/>
                      <w:szCs w:val="16"/>
                    </w:rPr>
                  </w:pPr>
                  <w:r w:rsidRPr="001B009D">
                    <w:rPr>
                      <w:rFonts w:cs="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160BF64D"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single" w:sz="4" w:space="0" w:color="auto"/>
                    <w:right w:val="nil"/>
                  </w:tcBorders>
                  <w:shd w:val="clear" w:color="auto" w:fill="auto"/>
                  <w:noWrap/>
                  <w:vAlign w:val="bottom"/>
                  <w:hideMark/>
                </w:tcPr>
                <w:p w14:paraId="63F4A69C" w14:textId="77777777" w:rsidR="00C45D5B" w:rsidRPr="001B009D" w:rsidRDefault="00C45D5B" w:rsidP="00CF774B">
                  <w:pPr>
                    <w:jc w:val="center"/>
                    <w:rPr>
                      <w:rFonts w:cs="Calibri"/>
                      <w:sz w:val="16"/>
                      <w:szCs w:val="16"/>
                    </w:rPr>
                  </w:pPr>
                  <w:r w:rsidRPr="001B009D">
                    <w:rPr>
                      <w:rFonts w:cs="Calibri"/>
                      <w:sz w:val="16"/>
                      <w:szCs w:val="16"/>
                    </w:rPr>
                    <w:t>584,9</w:t>
                  </w:r>
                </w:p>
              </w:tc>
              <w:tc>
                <w:tcPr>
                  <w:tcW w:w="770" w:type="dxa"/>
                  <w:tcBorders>
                    <w:top w:val="nil"/>
                    <w:left w:val="nil"/>
                    <w:bottom w:val="single" w:sz="4" w:space="0" w:color="auto"/>
                    <w:right w:val="nil"/>
                  </w:tcBorders>
                  <w:shd w:val="clear" w:color="auto" w:fill="auto"/>
                  <w:noWrap/>
                  <w:vAlign w:val="bottom"/>
                  <w:hideMark/>
                </w:tcPr>
                <w:p w14:paraId="3BA8A92E" w14:textId="77777777" w:rsidR="00C45D5B" w:rsidRPr="001B009D" w:rsidRDefault="00C45D5B" w:rsidP="00CF774B">
                  <w:pPr>
                    <w:jc w:val="center"/>
                    <w:rPr>
                      <w:rFonts w:cs="Calibri"/>
                      <w:sz w:val="16"/>
                      <w:szCs w:val="16"/>
                    </w:rPr>
                  </w:pPr>
                  <w:r w:rsidRPr="001B009D">
                    <w:rPr>
                      <w:rFonts w:cs="Calibri"/>
                      <w:sz w:val="16"/>
                      <w:szCs w:val="16"/>
                    </w:rPr>
                    <w:t>0,63</w:t>
                  </w:r>
                </w:p>
              </w:tc>
            </w:tr>
            <w:tr w:rsidR="00C45D5B" w:rsidRPr="004F7036" w14:paraId="2E6D760D"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5299CB0F" w14:textId="77777777" w:rsidR="00C45D5B" w:rsidRPr="001B009D" w:rsidRDefault="00C45D5B" w:rsidP="00CF774B">
                  <w:pPr>
                    <w:rPr>
                      <w:rFonts w:cs="Calibri"/>
                      <w:b/>
                      <w:bCs/>
                      <w:sz w:val="16"/>
                      <w:szCs w:val="16"/>
                    </w:rPr>
                  </w:pPr>
                  <w:r w:rsidRPr="001B009D">
                    <w:rPr>
                      <w:rFonts w:cs="Calibri"/>
                      <w:b/>
                      <w:bCs/>
                      <w:sz w:val="16"/>
                      <w:szCs w:val="16"/>
                    </w:rPr>
                    <w:t>p.m. Odložené splátky (opatrenie bankového sektora)</w:t>
                  </w:r>
                </w:p>
              </w:tc>
              <w:tc>
                <w:tcPr>
                  <w:tcW w:w="708" w:type="dxa"/>
                  <w:tcBorders>
                    <w:top w:val="nil"/>
                    <w:left w:val="nil"/>
                    <w:bottom w:val="single" w:sz="4" w:space="0" w:color="auto"/>
                    <w:right w:val="single" w:sz="4" w:space="0" w:color="auto"/>
                  </w:tcBorders>
                  <w:shd w:val="clear" w:color="auto" w:fill="auto"/>
                  <w:noWrap/>
                  <w:vAlign w:val="bottom"/>
                  <w:hideMark/>
                </w:tcPr>
                <w:p w14:paraId="710FD690" w14:textId="77777777" w:rsidR="00C45D5B" w:rsidRPr="001B009D" w:rsidRDefault="00C45D5B" w:rsidP="00CF774B">
                  <w:pPr>
                    <w:rPr>
                      <w:rFonts w:cs="Calibri"/>
                      <w:b/>
                      <w:bCs/>
                      <w:sz w:val="16"/>
                      <w:szCs w:val="16"/>
                    </w:rPr>
                  </w:pPr>
                  <w:r w:rsidRPr="001B009D">
                    <w:rPr>
                      <w:rFonts w:cs="Calibri"/>
                      <w:b/>
                      <w:bCs/>
                      <w:sz w:val="16"/>
                      <w:szCs w:val="16"/>
                    </w:rPr>
                    <w:t> </w:t>
                  </w:r>
                </w:p>
              </w:tc>
              <w:tc>
                <w:tcPr>
                  <w:tcW w:w="567" w:type="dxa"/>
                  <w:tcBorders>
                    <w:top w:val="nil"/>
                    <w:left w:val="nil"/>
                    <w:bottom w:val="single" w:sz="4" w:space="0" w:color="auto"/>
                    <w:right w:val="nil"/>
                  </w:tcBorders>
                  <w:shd w:val="clear" w:color="auto" w:fill="auto"/>
                  <w:noWrap/>
                  <w:vAlign w:val="bottom"/>
                  <w:hideMark/>
                </w:tcPr>
                <w:p w14:paraId="07A74388" w14:textId="77777777" w:rsidR="00C45D5B" w:rsidRPr="001B009D" w:rsidRDefault="00C45D5B" w:rsidP="00CF774B">
                  <w:pPr>
                    <w:rPr>
                      <w:rFonts w:cs="Calibri"/>
                      <w:b/>
                      <w:bCs/>
                      <w:sz w:val="16"/>
                      <w:szCs w:val="16"/>
                    </w:rPr>
                  </w:pPr>
                  <w:r w:rsidRPr="001B009D">
                    <w:rPr>
                      <w:rFonts w:cs="Calibri"/>
                      <w:b/>
                      <w:bCs/>
                      <w:sz w:val="16"/>
                      <w:szCs w:val="16"/>
                    </w:rPr>
                    <w:t> </w:t>
                  </w:r>
                </w:p>
              </w:tc>
              <w:tc>
                <w:tcPr>
                  <w:tcW w:w="567" w:type="dxa"/>
                  <w:tcBorders>
                    <w:top w:val="nil"/>
                    <w:left w:val="single" w:sz="4" w:space="0" w:color="auto"/>
                    <w:bottom w:val="single" w:sz="4" w:space="0" w:color="auto"/>
                    <w:right w:val="nil"/>
                  </w:tcBorders>
                  <w:shd w:val="clear" w:color="auto" w:fill="auto"/>
                  <w:noWrap/>
                  <w:vAlign w:val="center"/>
                  <w:hideMark/>
                </w:tcPr>
                <w:p w14:paraId="36D67D91"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489</w:t>
                  </w:r>
                </w:p>
              </w:tc>
              <w:tc>
                <w:tcPr>
                  <w:tcW w:w="589" w:type="dxa"/>
                  <w:tcBorders>
                    <w:top w:val="nil"/>
                    <w:left w:val="nil"/>
                    <w:bottom w:val="single" w:sz="4" w:space="0" w:color="auto"/>
                    <w:right w:val="single" w:sz="4" w:space="0" w:color="auto"/>
                  </w:tcBorders>
                  <w:shd w:val="clear" w:color="auto" w:fill="auto"/>
                  <w:noWrap/>
                  <w:vAlign w:val="center"/>
                  <w:hideMark/>
                </w:tcPr>
                <w:p w14:paraId="5D9BF04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0,53</w:t>
                  </w:r>
                </w:p>
              </w:tc>
              <w:tc>
                <w:tcPr>
                  <w:tcW w:w="545" w:type="dxa"/>
                  <w:tcBorders>
                    <w:top w:val="nil"/>
                    <w:left w:val="nil"/>
                    <w:bottom w:val="single" w:sz="4" w:space="0" w:color="auto"/>
                    <w:right w:val="nil"/>
                  </w:tcBorders>
                  <w:shd w:val="clear" w:color="auto" w:fill="auto"/>
                  <w:noWrap/>
                  <w:vAlign w:val="center"/>
                  <w:hideMark/>
                </w:tcPr>
                <w:p w14:paraId="425CB98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96</w:t>
                  </w:r>
                </w:p>
              </w:tc>
              <w:tc>
                <w:tcPr>
                  <w:tcW w:w="709" w:type="dxa"/>
                  <w:tcBorders>
                    <w:top w:val="nil"/>
                    <w:left w:val="nil"/>
                    <w:bottom w:val="single" w:sz="4" w:space="0" w:color="auto"/>
                    <w:right w:val="single" w:sz="4" w:space="0" w:color="auto"/>
                  </w:tcBorders>
                  <w:shd w:val="clear" w:color="auto" w:fill="auto"/>
                  <w:noWrap/>
                  <w:vAlign w:val="center"/>
                  <w:hideMark/>
                </w:tcPr>
                <w:p w14:paraId="7A45D6D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0,10</w:t>
                  </w:r>
                </w:p>
              </w:tc>
              <w:tc>
                <w:tcPr>
                  <w:tcW w:w="567" w:type="dxa"/>
                  <w:tcBorders>
                    <w:top w:val="nil"/>
                    <w:left w:val="nil"/>
                    <w:bottom w:val="single" w:sz="4" w:space="0" w:color="auto"/>
                    <w:right w:val="nil"/>
                  </w:tcBorders>
                  <w:shd w:val="clear" w:color="auto" w:fill="auto"/>
                  <w:noWrap/>
                  <w:vAlign w:val="center"/>
                  <w:hideMark/>
                </w:tcPr>
                <w:p w14:paraId="6450DB49"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CF97B3B"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nil"/>
                  </w:tcBorders>
                  <w:shd w:val="clear" w:color="auto" w:fill="auto"/>
                  <w:noWrap/>
                  <w:vAlign w:val="center"/>
                  <w:hideMark/>
                </w:tcPr>
                <w:p w14:paraId="59F935A3"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585</w:t>
                  </w:r>
                </w:p>
              </w:tc>
              <w:tc>
                <w:tcPr>
                  <w:tcW w:w="770" w:type="dxa"/>
                  <w:tcBorders>
                    <w:top w:val="nil"/>
                    <w:left w:val="nil"/>
                    <w:bottom w:val="single" w:sz="4" w:space="0" w:color="auto"/>
                    <w:right w:val="nil"/>
                  </w:tcBorders>
                  <w:shd w:val="clear" w:color="auto" w:fill="auto"/>
                  <w:noWrap/>
                  <w:vAlign w:val="center"/>
                  <w:hideMark/>
                </w:tcPr>
                <w:p w14:paraId="488B98B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0,63</w:t>
                  </w:r>
                </w:p>
              </w:tc>
            </w:tr>
            <w:tr w:rsidR="00C45D5B" w:rsidRPr="004F7036" w14:paraId="1EF89C91" w14:textId="77777777" w:rsidTr="00CF774B">
              <w:trPr>
                <w:trHeight w:val="289"/>
              </w:trPr>
              <w:tc>
                <w:tcPr>
                  <w:tcW w:w="2621" w:type="dxa"/>
                  <w:tcBorders>
                    <w:top w:val="nil"/>
                    <w:left w:val="nil"/>
                    <w:bottom w:val="single" w:sz="4" w:space="0" w:color="auto"/>
                    <w:right w:val="single" w:sz="4" w:space="0" w:color="auto"/>
                  </w:tcBorders>
                  <w:shd w:val="clear" w:color="auto" w:fill="auto"/>
                  <w:noWrap/>
                  <w:hideMark/>
                </w:tcPr>
                <w:p w14:paraId="38568998" w14:textId="77777777" w:rsidR="00C45D5B" w:rsidRPr="001B009D" w:rsidRDefault="00C45D5B" w:rsidP="00CF774B">
                  <w:pPr>
                    <w:rPr>
                      <w:rFonts w:cs="Calibri"/>
                      <w:b/>
                      <w:bCs/>
                      <w:color w:val="000000"/>
                      <w:sz w:val="16"/>
                      <w:szCs w:val="16"/>
                    </w:rPr>
                  </w:pPr>
                  <w:r w:rsidRPr="001B009D">
                    <w:rPr>
                      <w:rFonts w:cs="Calibri"/>
                      <w:b/>
                      <w:bCs/>
                      <w:color w:val="000000"/>
                      <w:sz w:val="16"/>
                      <w:szCs w:val="16"/>
                    </w:rPr>
                    <w:t xml:space="preserve">p.m. Transfery v rámci verejnej správy </w:t>
                  </w:r>
                </w:p>
              </w:tc>
              <w:tc>
                <w:tcPr>
                  <w:tcW w:w="708" w:type="dxa"/>
                  <w:tcBorders>
                    <w:top w:val="nil"/>
                    <w:left w:val="nil"/>
                    <w:bottom w:val="single" w:sz="4" w:space="0" w:color="auto"/>
                    <w:right w:val="single" w:sz="4" w:space="0" w:color="auto"/>
                  </w:tcBorders>
                  <w:shd w:val="clear" w:color="auto" w:fill="auto"/>
                  <w:noWrap/>
                  <w:hideMark/>
                </w:tcPr>
                <w:p w14:paraId="6AE960E3"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nil"/>
                  </w:tcBorders>
                  <w:shd w:val="clear" w:color="auto" w:fill="auto"/>
                  <w:noWrap/>
                  <w:hideMark/>
                </w:tcPr>
                <w:p w14:paraId="1636C80C" w14:textId="77777777" w:rsidR="00C45D5B" w:rsidRPr="001B009D" w:rsidRDefault="00C45D5B" w:rsidP="00CF774B">
                  <w:pPr>
                    <w:rPr>
                      <w:rFonts w:cs="Calibri"/>
                      <w:b/>
                      <w:bCs/>
                      <w:color w:val="000000"/>
                      <w:sz w:val="16"/>
                      <w:szCs w:val="16"/>
                    </w:rPr>
                  </w:pPr>
                  <w:r w:rsidRPr="001B009D">
                    <w:rPr>
                      <w:rFonts w:cs="Calibri"/>
                      <w:b/>
                      <w:bCs/>
                      <w:color w:val="000000"/>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14:paraId="4EA53745"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979</w:t>
                  </w:r>
                </w:p>
              </w:tc>
              <w:tc>
                <w:tcPr>
                  <w:tcW w:w="589" w:type="dxa"/>
                  <w:tcBorders>
                    <w:top w:val="nil"/>
                    <w:left w:val="nil"/>
                    <w:bottom w:val="single" w:sz="4" w:space="0" w:color="auto"/>
                    <w:right w:val="single" w:sz="4" w:space="0" w:color="auto"/>
                  </w:tcBorders>
                  <w:shd w:val="clear" w:color="auto" w:fill="auto"/>
                  <w:noWrap/>
                  <w:vAlign w:val="bottom"/>
                  <w:hideMark/>
                </w:tcPr>
                <w:p w14:paraId="334633C6"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1,06</w:t>
                  </w:r>
                </w:p>
              </w:tc>
              <w:tc>
                <w:tcPr>
                  <w:tcW w:w="545" w:type="dxa"/>
                  <w:tcBorders>
                    <w:top w:val="nil"/>
                    <w:left w:val="nil"/>
                    <w:bottom w:val="single" w:sz="4" w:space="0" w:color="auto"/>
                    <w:right w:val="nil"/>
                  </w:tcBorders>
                  <w:shd w:val="clear" w:color="auto" w:fill="auto"/>
                  <w:noWrap/>
                  <w:vAlign w:val="bottom"/>
                  <w:hideMark/>
                </w:tcPr>
                <w:p w14:paraId="273D0760"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334</w:t>
                  </w:r>
                </w:p>
              </w:tc>
              <w:tc>
                <w:tcPr>
                  <w:tcW w:w="709" w:type="dxa"/>
                  <w:tcBorders>
                    <w:top w:val="nil"/>
                    <w:left w:val="nil"/>
                    <w:bottom w:val="single" w:sz="4" w:space="0" w:color="auto"/>
                    <w:right w:val="single" w:sz="4" w:space="0" w:color="auto"/>
                  </w:tcBorders>
                  <w:shd w:val="clear" w:color="auto" w:fill="auto"/>
                  <w:noWrap/>
                  <w:vAlign w:val="bottom"/>
                  <w:hideMark/>
                </w:tcPr>
                <w:p w14:paraId="6B50BC8C"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0,34</w:t>
                  </w:r>
                </w:p>
              </w:tc>
              <w:tc>
                <w:tcPr>
                  <w:tcW w:w="567" w:type="dxa"/>
                  <w:tcBorders>
                    <w:top w:val="nil"/>
                    <w:left w:val="nil"/>
                    <w:bottom w:val="single" w:sz="4" w:space="0" w:color="auto"/>
                    <w:right w:val="nil"/>
                  </w:tcBorders>
                  <w:shd w:val="clear" w:color="auto" w:fill="auto"/>
                  <w:noWrap/>
                  <w:vAlign w:val="bottom"/>
                  <w:hideMark/>
                </w:tcPr>
                <w:p w14:paraId="135E3C6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140D4ED"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 </w:t>
                  </w:r>
                </w:p>
              </w:tc>
              <w:tc>
                <w:tcPr>
                  <w:tcW w:w="567" w:type="dxa"/>
                  <w:tcBorders>
                    <w:top w:val="nil"/>
                    <w:left w:val="nil"/>
                    <w:bottom w:val="single" w:sz="4" w:space="0" w:color="auto"/>
                    <w:right w:val="nil"/>
                  </w:tcBorders>
                  <w:shd w:val="clear" w:color="auto" w:fill="auto"/>
                  <w:noWrap/>
                  <w:vAlign w:val="bottom"/>
                  <w:hideMark/>
                </w:tcPr>
                <w:p w14:paraId="4F354BD5"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1 313</w:t>
                  </w:r>
                </w:p>
              </w:tc>
              <w:tc>
                <w:tcPr>
                  <w:tcW w:w="770" w:type="dxa"/>
                  <w:tcBorders>
                    <w:top w:val="nil"/>
                    <w:left w:val="nil"/>
                    <w:bottom w:val="single" w:sz="4" w:space="0" w:color="auto"/>
                    <w:right w:val="nil"/>
                  </w:tcBorders>
                  <w:shd w:val="clear" w:color="auto" w:fill="auto"/>
                  <w:noWrap/>
                  <w:vAlign w:val="bottom"/>
                  <w:hideMark/>
                </w:tcPr>
                <w:p w14:paraId="4AAB0C03"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1,41</w:t>
                  </w:r>
                </w:p>
              </w:tc>
            </w:tr>
            <w:tr w:rsidR="00C45D5B" w:rsidRPr="004F7036" w14:paraId="6238B073"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429B3979" w14:textId="77777777" w:rsidR="00C45D5B" w:rsidRPr="001B009D" w:rsidRDefault="00C45D5B" w:rsidP="00CF774B">
                  <w:pPr>
                    <w:rPr>
                      <w:rFonts w:cs="Calibri"/>
                      <w:sz w:val="16"/>
                      <w:szCs w:val="16"/>
                    </w:rPr>
                  </w:pPr>
                  <w:r w:rsidRPr="001B009D">
                    <w:rPr>
                      <w:rFonts w:cs="Calibri"/>
                      <w:sz w:val="16"/>
                      <w:szCs w:val="16"/>
                    </w:rPr>
                    <w:t>Transfery ŽSR, ŽSSK a NDS</w:t>
                  </w:r>
                </w:p>
              </w:tc>
              <w:tc>
                <w:tcPr>
                  <w:tcW w:w="708" w:type="dxa"/>
                  <w:tcBorders>
                    <w:top w:val="nil"/>
                    <w:left w:val="nil"/>
                    <w:bottom w:val="nil"/>
                    <w:right w:val="single" w:sz="4" w:space="0" w:color="auto"/>
                  </w:tcBorders>
                  <w:shd w:val="clear" w:color="auto" w:fill="auto"/>
                  <w:noWrap/>
                  <w:vAlign w:val="bottom"/>
                  <w:hideMark/>
                </w:tcPr>
                <w:p w14:paraId="57F8A5C8"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78FCC6CA" w14:textId="77777777" w:rsidR="00C45D5B" w:rsidRPr="001B009D" w:rsidRDefault="00C45D5B" w:rsidP="00CF774B">
                  <w:pPr>
                    <w:rPr>
                      <w:rFonts w:cs="Calibri"/>
                      <w:sz w:val="16"/>
                      <w:szCs w:val="16"/>
                    </w:rPr>
                  </w:pPr>
                </w:p>
              </w:tc>
              <w:tc>
                <w:tcPr>
                  <w:tcW w:w="567" w:type="dxa"/>
                  <w:tcBorders>
                    <w:top w:val="nil"/>
                    <w:left w:val="single" w:sz="4" w:space="0" w:color="auto"/>
                    <w:bottom w:val="nil"/>
                    <w:right w:val="nil"/>
                  </w:tcBorders>
                  <w:shd w:val="clear" w:color="auto" w:fill="auto"/>
                  <w:noWrap/>
                  <w:vAlign w:val="bottom"/>
                  <w:hideMark/>
                </w:tcPr>
                <w:p w14:paraId="14632B1F" w14:textId="77777777" w:rsidR="00C45D5B" w:rsidRPr="001B009D" w:rsidRDefault="00C45D5B" w:rsidP="00CF774B">
                  <w:pPr>
                    <w:jc w:val="center"/>
                    <w:rPr>
                      <w:rFonts w:cs="Calibri"/>
                      <w:color w:val="000000"/>
                      <w:sz w:val="16"/>
                      <w:szCs w:val="16"/>
                    </w:rPr>
                  </w:pPr>
                  <w:r w:rsidRPr="001B009D">
                    <w:rPr>
                      <w:rFonts w:cs="Calibri"/>
                      <w:color w:val="000000"/>
                      <w:sz w:val="16"/>
                      <w:szCs w:val="16"/>
                    </w:rPr>
                    <w:t>120</w:t>
                  </w:r>
                </w:p>
              </w:tc>
              <w:tc>
                <w:tcPr>
                  <w:tcW w:w="589" w:type="dxa"/>
                  <w:tcBorders>
                    <w:top w:val="nil"/>
                    <w:left w:val="nil"/>
                    <w:bottom w:val="nil"/>
                    <w:right w:val="single" w:sz="4" w:space="0" w:color="auto"/>
                  </w:tcBorders>
                  <w:shd w:val="clear" w:color="auto" w:fill="auto"/>
                  <w:noWrap/>
                  <w:vAlign w:val="bottom"/>
                  <w:hideMark/>
                </w:tcPr>
                <w:p w14:paraId="3B7A01EE" w14:textId="77777777" w:rsidR="00C45D5B" w:rsidRPr="001B009D" w:rsidRDefault="00C45D5B" w:rsidP="00CF774B">
                  <w:pPr>
                    <w:jc w:val="center"/>
                    <w:rPr>
                      <w:rFonts w:cs="Calibri"/>
                      <w:color w:val="000000"/>
                      <w:sz w:val="16"/>
                      <w:szCs w:val="16"/>
                    </w:rPr>
                  </w:pPr>
                  <w:r w:rsidRPr="001B009D">
                    <w:rPr>
                      <w:rFonts w:cs="Calibri"/>
                      <w:color w:val="000000"/>
                      <w:sz w:val="16"/>
                      <w:szCs w:val="16"/>
                    </w:rPr>
                    <w:t>0,13</w:t>
                  </w:r>
                </w:p>
              </w:tc>
              <w:tc>
                <w:tcPr>
                  <w:tcW w:w="545" w:type="dxa"/>
                  <w:tcBorders>
                    <w:top w:val="nil"/>
                    <w:left w:val="nil"/>
                    <w:bottom w:val="nil"/>
                    <w:right w:val="nil"/>
                  </w:tcBorders>
                  <w:shd w:val="clear" w:color="auto" w:fill="auto"/>
                  <w:noWrap/>
                  <w:vAlign w:val="bottom"/>
                  <w:hideMark/>
                </w:tcPr>
                <w:p w14:paraId="52A8CDBE"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30E9DA66"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166C55DF"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5527052E"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54FEA641" w14:textId="77777777" w:rsidR="00C45D5B" w:rsidRPr="001B009D" w:rsidRDefault="00C45D5B" w:rsidP="00CF774B">
                  <w:pPr>
                    <w:jc w:val="center"/>
                    <w:rPr>
                      <w:rFonts w:cs="Calibri"/>
                      <w:sz w:val="16"/>
                      <w:szCs w:val="16"/>
                    </w:rPr>
                  </w:pPr>
                  <w:r w:rsidRPr="001B009D">
                    <w:rPr>
                      <w:rFonts w:cs="Calibri"/>
                      <w:sz w:val="16"/>
                      <w:szCs w:val="16"/>
                    </w:rPr>
                    <w:t>120</w:t>
                  </w:r>
                </w:p>
              </w:tc>
              <w:tc>
                <w:tcPr>
                  <w:tcW w:w="770" w:type="dxa"/>
                  <w:tcBorders>
                    <w:top w:val="nil"/>
                    <w:left w:val="nil"/>
                    <w:bottom w:val="nil"/>
                    <w:right w:val="nil"/>
                  </w:tcBorders>
                  <w:shd w:val="clear" w:color="auto" w:fill="auto"/>
                  <w:noWrap/>
                  <w:vAlign w:val="bottom"/>
                  <w:hideMark/>
                </w:tcPr>
                <w:p w14:paraId="483CDEB5" w14:textId="77777777" w:rsidR="00C45D5B" w:rsidRPr="001B009D" w:rsidRDefault="00C45D5B" w:rsidP="00CF774B">
                  <w:pPr>
                    <w:jc w:val="center"/>
                    <w:rPr>
                      <w:rFonts w:cs="Calibri"/>
                      <w:sz w:val="16"/>
                      <w:szCs w:val="16"/>
                    </w:rPr>
                  </w:pPr>
                  <w:r w:rsidRPr="001B009D">
                    <w:rPr>
                      <w:rFonts w:cs="Calibri"/>
                      <w:sz w:val="16"/>
                      <w:szCs w:val="16"/>
                    </w:rPr>
                    <w:t>0,13</w:t>
                  </w:r>
                </w:p>
              </w:tc>
            </w:tr>
            <w:tr w:rsidR="00C45D5B" w:rsidRPr="004F7036" w14:paraId="49C7F6E2"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33D61ECB" w14:textId="77777777" w:rsidR="00C45D5B" w:rsidRPr="001B009D" w:rsidRDefault="00C45D5B" w:rsidP="00CF774B">
                  <w:pPr>
                    <w:rPr>
                      <w:rFonts w:cs="Calibri"/>
                      <w:sz w:val="16"/>
                      <w:szCs w:val="16"/>
                    </w:rPr>
                  </w:pPr>
                  <w:r w:rsidRPr="001B009D">
                    <w:rPr>
                      <w:rFonts w:cs="Calibri"/>
                      <w:sz w:val="16"/>
                      <w:szCs w:val="16"/>
                    </w:rPr>
                    <w:t>Návratná fin. výpomoc obciam a mestám</w:t>
                  </w:r>
                </w:p>
              </w:tc>
              <w:tc>
                <w:tcPr>
                  <w:tcW w:w="708" w:type="dxa"/>
                  <w:tcBorders>
                    <w:top w:val="nil"/>
                    <w:left w:val="nil"/>
                    <w:bottom w:val="nil"/>
                    <w:right w:val="single" w:sz="4" w:space="0" w:color="auto"/>
                  </w:tcBorders>
                  <w:shd w:val="clear" w:color="auto" w:fill="auto"/>
                  <w:noWrap/>
                  <w:vAlign w:val="bottom"/>
                  <w:hideMark/>
                </w:tcPr>
                <w:p w14:paraId="3868249E"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0E519732" w14:textId="77777777" w:rsidR="00C45D5B" w:rsidRPr="001B009D" w:rsidRDefault="00C45D5B" w:rsidP="00CF774B">
                  <w:pPr>
                    <w:rPr>
                      <w:rFonts w:cs="Calibri"/>
                      <w:sz w:val="16"/>
                      <w:szCs w:val="16"/>
                    </w:rPr>
                  </w:pPr>
                </w:p>
              </w:tc>
              <w:tc>
                <w:tcPr>
                  <w:tcW w:w="567" w:type="dxa"/>
                  <w:tcBorders>
                    <w:top w:val="nil"/>
                    <w:left w:val="single" w:sz="4" w:space="0" w:color="auto"/>
                    <w:bottom w:val="nil"/>
                    <w:right w:val="nil"/>
                  </w:tcBorders>
                  <w:shd w:val="clear" w:color="auto" w:fill="auto"/>
                  <w:noWrap/>
                  <w:vAlign w:val="bottom"/>
                  <w:hideMark/>
                </w:tcPr>
                <w:p w14:paraId="6B220BD0" w14:textId="77777777" w:rsidR="00C45D5B" w:rsidRPr="001B009D" w:rsidRDefault="00C45D5B" w:rsidP="00CF774B">
                  <w:pPr>
                    <w:jc w:val="center"/>
                    <w:rPr>
                      <w:rFonts w:cs="Calibri"/>
                      <w:color w:val="000000"/>
                      <w:sz w:val="16"/>
                      <w:szCs w:val="16"/>
                    </w:rPr>
                  </w:pPr>
                  <w:r w:rsidRPr="001B009D">
                    <w:rPr>
                      <w:rFonts w:cs="Calibri"/>
                      <w:color w:val="000000"/>
                      <w:sz w:val="16"/>
                      <w:szCs w:val="16"/>
                    </w:rPr>
                    <w:t>152</w:t>
                  </w:r>
                </w:p>
              </w:tc>
              <w:tc>
                <w:tcPr>
                  <w:tcW w:w="589" w:type="dxa"/>
                  <w:tcBorders>
                    <w:top w:val="nil"/>
                    <w:left w:val="nil"/>
                    <w:bottom w:val="nil"/>
                    <w:right w:val="single" w:sz="4" w:space="0" w:color="auto"/>
                  </w:tcBorders>
                  <w:shd w:val="clear" w:color="auto" w:fill="auto"/>
                  <w:noWrap/>
                  <w:vAlign w:val="bottom"/>
                  <w:hideMark/>
                </w:tcPr>
                <w:p w14:paraId="142C22AD" w14:textId="77777777" w:rsidR="00C45D5B" w:rsidRPr="001B009D" w:rsidRDefault="00C45D5B" w:rsidP="00CF774B">
                  <w:pPr>
                    <w:jc w:val="center"/>
                    <w:rPr>
                      <w:rFonts w:cs="Calibri"/>
                      <w:color w:val="000000"/>
                      <w:sz w:val="16"/>
                      <w:szCs w:val="16"/>
                    </w:rPr>
                  </w:pPr>
                  <w:r w:rsidRPr="001B009D">
                    <w:rPr>
                      <w:rFonts w:cs="Calibri"/>
                      <w:color w:val="000000"/>
                      <w:sz w:val="16"/>
                      <w:szCs w:val="16"/>
                    </w:rPr>
                    <w:t>0,16</w:t>
                  </w:r>
                </w:p>
              </w:tc>
              <w:tc>
                <w:tcPr>
                  <w:tcW w:w="545" w:type="dxa"/>
                  <w:tcBorders>
                    <w:top w:val="nil"/>
                    <w:left w:val="nil"/>
                    <w:bottom w:val="nil"/>
                    <w:right w:val="nil"/>
                  </w:tcBorders>
                  <w:shd w:val="clear" w:color="auto" w:fill="auto"/>
                  <w:noWrap/>
                  <w:vAlign w:val="bottom"/>
                  <w:hideMark/>
                </w:tcPr>
                <w:p w14:paraId="7C3B00EA"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7E9F0871"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3613C592"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2F8F48E2"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26EBCD96" w14:textId="77777777" w:rsidR="00C45D5B" w:rsidRPr="001B009D" w:rsidRDefault="00C45D5B" w:rsidP="00CF774B">
                  <w:pPr>
                    <w:jc w:val="center"/>
                    <w:rPr>
                      <w:rFonts w:cs="Calibri"/>
                      <w:sz w:val="16"/>
                      <w:szCs w:val="16"/>
                    </w:rPr>
                  </w:pPr>
                  <w:r w:rsidRPr="001B009D">
                    <w:rPr>
                      <w:rFonts w:cs="Calibri"/>
                      <w:sz w:val="16"/>
                      <w:szCs w:val="16"/>
                    </w:rPr>
                    <w:t>152</w:t>
                  </w:r>
                </w:p>
              </w:tc>
              <w:tc>
                <w:tcPr>
                  <w:tcW w:w="770" w:type="dxa"/>
                  <w:tcBorders>
                    <w:top w:val="nil"/>
                    <w:left w:val="nil"/>
                    <w:bottom w:val="nil"/>
                    <w:right w:val="nil"/>
                  </w:tcBorders>
                  <w:shd w:val="clear" w:color="auto" w:fill="auto"/>
                  <w:noWrap/>
                  <w:vAlign w:val="bottom"/>
                  <w:hideMark/>
                </w:tcPr>
                <w:p w14:paraId="3F3AB1E8" w14:textId="77777777" w:rsidR="00C45D5B" w:rsidRPr="001B009D" w:rsidRDefault="00C45D5B" w:rsidP="00CF774B">
                  <w:pPr>
                    <w:jc w:val="center"/>
                    <w:rPr>
                      <w:rFonts w:cs="Calibri"/>
                      <w:sz w:val="16"/>
                      <w:szCs w:val="16"/>
                    </w:rPr>
                  </w:pPr>
                  <w:r w:rsidRPr="001B009D">
                    <w:rPr>
                      <w:rFonts w:cs="Calibri"/>
                      <w:sz w:val="16"/>
                      <w:szCs w:val="16"/>
                    </w:rPr>
                    <w:t>0,16</w:t>
                  </w:r>
                </w:p>
              </w:tc>
            </w:tr>
            <w:tr w:rsidR="00C45D5B" w:rsidRPr="004F7036" w14:paraId="312FC992"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175721A2" w14:textId="77777777" w:rsidR="00C45D5B" w:rsidRPr="001B009D" w:rsidRDefault="00C45D5B" w:rsidP="00CF774B">
                  <w:pPr>
                    <w:rPr>
                      <w:rFonts w:cs="Calibri"/>
                      <w:sz w:val="16"/>
                      <w:szCs w:val="16"/>
                    </w:rPr>
                  </w:pPr>
                  <w:r w:rsidRPr="001B009D">
                    <w:rPr>
                      <w:rFonts w:cs="Calibri"/>
                      <w:sz w:val="16"/>
                      <w:szCs w:val="16"/>
                    </w:rPr>
                    <w:t>Vklad do Všeobecnej zdrav. poisťovne</w:t>
                  </w:r>
                </w:p>
              </w:tc>
              <w:tc>
                <w:tcPr>
                  <w:tcW w:w="708" w:type="dxa"/>
                  <w:tcBorders>
                    <w:top w:val="nil"/>
                    <w:left w:val="nil"/>
                    <w:bottom w:val="nil"/>
                    <w:right w:val="single" w:sz="4" w:space="0" w:color="auto"/>
                  </w:tcBorders>
                  <w:shd w:val="clear" w:color="auto" w:fill="auto"/>
                  <w:noWrap/>
                  <w:vAlign w:val="bottom"/>
                  <w:hideMark/>
                </w:tcPr>
                <w:p w14:paraId="04B1FC0D"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3B1F3B0A" w14:textId="77777777" w:rsidR="00C45D5B" w:rsidRPr="001B009D" w:rsidRDefault="00C45D5B" w:rsidP="00CF774B">
                  <w:pPr>
                    <w:rPr>
                      <w:rFonts w:cs="Calibri"/>
                      <w:sz w:val="16"/>
                      <w:szCs w:val="16"/>
                    </w:rPr>
                  </w:pPr>
                </w:p>
              </w:tc>
              <w:tc>
                <w:tcPr>
                  <w:tcW w:w="567" w:type="dxa"/>
                  <w:tcBorders>
                    <w:top w:val="nil"/>
                    <w:left w:val="single" w:sz="4" w:space="0" w:color="auto"/>
                    <w:bottom w:val="nil"/>
                    <w:right w:val="nil"/>
                  </w:tcBorders>
                  <w:shd w:val="clear" w:color="auto" w:fill="auto"/>
                  <w:noWrap/>
                  <w:vAlign w:val="bottom"/>
                  <w:hideMark/>
                </w:tcPr>
                <w:p w14:paraId="3828D0F1" w14:textId="77777777" w:rsidR="00C45D5B" w:rsidRPr="001B009D" w:rsidRDefault="00C45D5B" w:rsidP="00CF774B">
                  <w:pPr>
                    <w:jc w:val="center"/>
                    <w:rPr>
                      <w:rFonts w:cs="Calibri"/>
                      <w:sz w:val="16"/>
                      <w:szCs w:val="16"/>
                    </w:rPr>
                  </w:pPr>
                  <w:r w:rsidRPr="001B009D">
                    <w:rPr>
                      <w:rFonts w:cs="Calibri"/>
                      <w:sz w:val="16"/>
                      <w:szCs w:val="16"/>
                    </w:rPr>
                    <w:t>198</w:t>
                  </w:r>
                </w:p>
              </w:tc>
              <w:tc>
                <w:tcPr>
                  <w:tcW w:w="589" w:type="dxa"/>
                  <w:tcBorders>
                    <w:top w:val="nil"/>
                    <w:left w:val="nil"/>
                    <w:bottom w:val="nil"/>
                    <w:right w:val="single" w:sz="4" w:space="0" w:color="auto"/>
                  </w:tcBorders>
                  <w:shd w:val="clear" w:color="auto" w:fill="auto"/>
                  <w:noWrap/>
                  <w:vAlign w:val="bottom"/>
                  <w:hideMark/>
                </w:tcPr>
                <w:p w14:paraId="10E46D05" w14:textId="77777777" w:rsidR="00C45D5B" w:rsidRPr="001B009D" w:rsidRDefault="00C45D5B" w:rsidP="00CF774B">
                  <w:pPr>
                    <w:jc w:val="center"/>
                    <w:rPr>
                      <w:rFonts w:cs="Calibri"/>
                      <w:color w:val="000000"/>
                      <w:sz w:val="16"/>
                      <w:szCs w:val="16"/>
                    </w:rPr>
                  </w:pPr>
                  <w:r w:rsidRPr="001B009D">
                    <w:rPr>
                      <w:rFonts w:cs="Calibri"/>
                      <w:color w:val="000000"/>
                      <w:sz w:val="16"/>
                      <w:szCs w:val="16"/>
                    </w:rPr>
                    <w:t>0,22</w:t>
                  </w:r>
                </w:p>
              </w:tc>
              <w:tc>
                <w:tcPr>
                  <w:tcW w:w="545" w:type="dxa"/>
                  <w:tcBorders>
                    <w:top w:val="nil"/>
                    <w:left w:val="nil"/>
                    <w:bottom w:val="nil"/>
                    <w:right w:val="nil"/>
                  </w:tcBorders>
                  <w:shd w:val="clear" w:color="auto" w:fill="auto"/>
                  <w:noWrap/>
                  <w:vAlign w:val="bottom"/>
                  <w:hideMark/>
                </w:tcPr>
                <w:p w14:paraId="26370686" w14:textId="77777777" w:rsidR="00C45D5B" w:rsidRPr="001B009D" w:rsidRDefault="00C45D5B" w:rsidP="00CF774B">
                  <w:pPr>
                    <w:jc w:val="center"/>
                    <w:rPr>
                      <w:rFonts w:cs="Calibri"/>
                      <w:color w:val="000000"/>
                      <w:sz w:val="16"/>
                      <w:szCs w:val="16"/>
                    </w:rPr>
                  </w:pPr>
                </w:p>
              </w:tc>
              <w:tc>
                <w:tcPr>
                  <w:tcW w:w="709" w:type="dxa"/>
                  <w:tcBorders>
                    <w:top w:val="nil"/>
                    <w:left w:val="nil"/>
                    <w:bottom w:val="nil"/>
                    <w:right w:val="single" w:sz="4" w:space="0" w:color="auto"/>
                  </w:tcBorders>
                  <w:shd w:val="clear" w:color="auto" w:fill="auto"/>
                  <w:noWrap/>
                  <w:vAlign w:val="bottom"/>
                  <w:hideMark/>
                </w:tcPr>
                <w:p w14:paraId="280214E1"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72E7B92D"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3EB7F174"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31B6BD97" w14:textId="77777777" w:rsidR="00C45D5B" w:rsidRPr="001B009D" w:rsidRDefault="00C45D5B" w:rsidP="00CF774B">
                  <w:pPr>
                    <w:jc w:val="center"/>
                    <w:rPr>
                      <w:rFonts w:cs="Calibri"/>
                      <w:sz w:val="16"/>
                      <w:szCs w:val="16"/>
                    </w:rPr>
                  </w:pPr>
                  <w:r w:rsidRPr="001B009D">
                    <w:rPr>
                      <w:rFonts w:cs="Calibri"/>
                      <w:sz w:val="16"/>
                      <w:szCs w:val="16"/>
                    </w:rPr>
                    <w:t>198</w:t>
                  </w:r>
                </w:p>
              </w:tc>
              <w:tc>
                <w:tcPr>
                  <w:tcW w:w="770" w:type="dxa"/>
                  <w:tcBorders>
                    <w:top w:val="nil"/>
                    <w:left w:val="nil"/>
                    <w:bottom w:val="nil"/>
                    <w:right w:val="nil"/>
                  </w:tcBorders>
                  <w:shd w:val="clear" w:color="auto" w:fill="auto"/>
                  <w:noWrap/>
                  <w:vAlign w:val="bottom"/>
                  <w:hideMark/>
                </w:tcPr>
                <w:p w14:paraId="4A942A83" w14:textId="77777777" w:rsidR="00C45D5B" w:rsidRPr="001B009D" w:rsidRDefault="00C45D5B" w:rsidP="00CF774B">
                  <w:pPr>
                    <w:jc w:val="center"/>
                    <w:rPr>
                      <w:rFonts w:cs="Calibri"/>
                      <w:sz w:val="16"/>
                      <w:szCs w:val="16"/>
                    </w:rPr>
                  </w:pPr>
                  <w:r w:rsidRPr="001B009D">
                    <w:rPr>
                      <w:rFonts w:cs="Calibri"/>
                      <w:sz w:val="16"/>
                      <w:szCs w:val="16"/>
                    </w:rPr>
                    <w:t>0,22</w:t>
                  </w:r>
                </w:p>
              </w:tc>
            </w:tr>
            <w:tr w:rsidR="00C45D5B" w:rsidRPr="004F7036" w14:paraId="6B366D57" w14:textId="77777777" w:rsidTr="00CF774B">
              <w:trPr>
                <w:trHeight w:val="289"/>
              </w:trPr>
              <w:tc>
                <w:tcPr>
                  <w:tcW w:w="2621" w:type="dxa"/>
                  <w:tcBorders>
                    <w:top w:val="nil"/>
                    <w:left w:val="nil"/>
                    <w:bottom w:val="nil"/>
                    <w:right w:val="single" w:sz="4" w:space="0" w:color="auto"/>
                  </w:tcBorders>
                  <w:shd w:val="clear" w:color="auto" w:fill="auto"/>
                  <w:noWrap/>
                  <w:vAlign w:val="bottom"/>
                  <w:hideMark/>
                </w:tcPr>
                <w:p w14:paraId="1154A1AF" w14:textId="77777777" w:rsidR="00C45D5B" w:rsidRPr="001B009D" w:rsidRDefault="00C45D5B" w:rsidP="00CF774B">
                  <w:pPr>
                    <w:rPr>
                      <w:rFonts w:cs="Calibri"/>
                      <w:sz w:val="16"/>
                      <w:szCs w:val="16"/>
                    </w:rPr>
                  </w:pPr>
                  <w:r w:rsidRPr="001B009D">
                    <w:rPr>
                      <w:rFonts w:cs="Calibri"/>
                      <w:sz w:val="16"/>
                      <w:szCs w:val="16"/>
                    </w:rPr>
                    <w:t>Transfer Sociálna poisťovňa</w:t>
                  </w:r>
                </w:p>
              </w:tc>
              <w:tc>
                <w:tcPr>
                  <w:tcW w:w="708" w:type="dxa"/>
                  <w:tcBorders>
                    <w:top w:val="nil"/>
                    <w:left w:val="nil"/>
                    <w:bottom w:val="nil"/>
                    <w:right w:val="single" w:sz="4" w:space="0" w:color="auto"/>
                  </w:tcBorders>
                  <w:shd w:val="clear" w:color="auto" w:fill="auto"/>
                  <w:noWrap/>
                  <w:vAlign w:val="bottom"/>
                  <w:hideMark/>
                </w:tcPr>
                <w:p w14:paraId="76CB8087"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780E9F98" w14:textId="77777777" w:rsidR="00C45D5B" w:rsidRPr="001B009D" w:rsidRDefault="00C45D5B" w:rsidP="00CF774B">
                  <w:pPr>
                    <w:rPr>
                      <w:rFonts w:cs="Calibri"/>
                      <w:sz w:val="16"/>
                      <w:szCs w:val="16"/>
                    </w:rPr>
                  </w:pPr>
                </w:p>
              </w:tc>
              <w:tc>
                <w:tcPr>
                  <w:tcW w:w="567" w:type="dxa"/>
                  <w:tcBorders>
                    <w:top w:val="nil"/>
                    <w:left w:val="single" w:sz="4" w:space="0" w:color="auto"/>
                    <w:bottom w:val="nil"/>
                    <w:right w:val="nil"/>
                  </w:tcBorders>
                  <w:shd w:val="clear" w:color="auto" w:fill="auto"/>
                  <w:noWrap/>
                  <w:vAlign w:val="bottom"/>
                  <w:hideMark/>
                </w:tcPr>
                <w:p w14:paraId="640D816E" w14:textId="77777777" w:rsidR="00C45D5B" w:rsidRPr="001B009D" w:rsidRDefault="00C45D5B" w:rsidP="00CF774B">
                  <w:pPr>
                    <w:jc w:val="center"/>
                    <w:rPr>
                      <w:rFonts w:cs="Calibri"/>
                      <w:sz w:val="16"/>
                      <w:szCs w:val="16"/>
                    </w:rPr>
                  </w:pPr>
                  <w:r w:rsidRPr="001B009D">
                    <w:rPr>
                      <w:rFonts w:cs="Calibri"/>
                      <w:sz w:val="16"/>
                      <w:szCs w:val="16"/>
                    </w:rPr>
                    <w:t>459</w:t>
                  </w:r>
                </w:p>
              </w:tc>
              <w:tc>
                <w:tcPr>
                  <w:tcW w:w="589" w:type="dxa"/>
                  <w:tcBorders>
                    <w:top w:val="nil"/>
                    <w:left w:val="nil"/>
                    <w:bottom w:val="nil"/>
                    <w:right w:val="single" w:sz="4" w:space="0" w:color="auto"/>
                  </w:tcBorders>
                  <w:shd w:val="clear" w:color="auto" w:fill="auto"/>
                  <w:noWrap/>
                  <w:vAlign w:val="bottom"/>
                  <w:hideMark/>
                </w:tcPr>
                <w:p w14:paraId="752B327F" w14:textId="77777777" w:rsidR="00C45D5B" w:rsidRPr="001B009D" w:rsidRDefault="00C45D5B" w:rsidP="00CF774B">
                  <w:pPr>
                    <w:jc w:val="center"/>
                    <w:rPr>
                      <w:rFonts w:cs="Calibri"/>
                      <w:color w:val="000000"/>
                      <w:sz w:val="16"/>
                      <w:szCs w:val="16"/>
                    </w:rPr>
                  </w:pPr>
                  <w:r w:rsidRPr="001B009D">
                    <w:rPr>
                      <w:rFonts w:cs="Calibri"/>
                      <w:color w:val="000000"/>
                      <w:sz w:val="16"/>
                      <w:szCs w:val="16"/>
                    </w:rPr>
                    <w:t>0,50</w:t>
                  </w:r>
                </w:p>
              </w:tc>
              <w:tc>
                <w:tcPr>
                  <w:tcW w:w="545" w:type="dxa"/>
                  <w:tcBorders>
                    <w:top w:val="nil"/>
                    <w:left w:val="nil"/>
                    <w:bottom w:val="nil"/>
                    <w:right w:val="nil"/>
                  </w:tcBorders>
                  <w:shd w:val="clear" w:color="auto" w:fill="auto"/>
                  <w:noWrap/>
                  <w:vAlign w:val="bottom"/>
                  <w:hideMark/>
                </w:tcPr>
                <w:p w14:paraId="153D34AA" w14:textId="77777777" w:rsidR="00C45D5B" w:rsidRPr="001B009D" w:rsidRDefault="00C45D5B" w:rsidP="00CF774B">
                  <w:pPr>
                    <w:jc w:val="center"/>
                    <w:rPr>
                      <w:rFonts w:cs="Calibri"/>
                      <w:sz w:val="16"/>
                      <w:szCs w:val="16"/>
                    </w:rPr>
                  </w:pPr>
                  <w:r w:rsidRPr="001B009D">
                    <w:rPr>
                      <w:rFonts w:cs="Calibri"/>
                      <w:sz w:val="16"/>
                      <w:szCs w:val="16"/>
                    </w:rPr>
                    <w:t>300</w:t>
                  </w:r>
                </w:p>
              </w:tc>
              <w:tc>
                <w:tcPr>
                  <w:tcW w:w="709" w:type="dxa"/>
                  <w:tcBorders>
                    <w:top w:val="nil"/>
                    <w:left w:val="nil"/>
                    <w:bottom w:val="nil"/>
                    <w:right w:val="single" w:sz="4" w:space="0" w:color="auto"/>
                  </w:tcBorders>
                  <w:shd w:val="clear" w:color="auto" w:fill="auto"/>
                  <w:noWrap/>
                  <w:vAlign w:val="bottom"/>
                  <w:hideMark/>
                </w:tcPr>
                <w:p w14:paraId="681A216A" w14:textId="77777777" w:rsidR="00C45D5B" w:rsidRPr="001B009D" w:rsidRDefault="00C45D5B" w:rsidP="00CF774B">
                  <w:pPr>
                    <w:jc w:val="center"/>
                    <w:rPr>
                      <w:rFonts w:cs="Calibri"/>
                      <w:sz w:val="16"/>
                      <w:szCs w:val="16"/>
                    </w:rPr>
                  </w:pPr>
                  <w:r w:rsidRPr="001B009D">
                    <w:rPr>
                      <w:rFonts w:cs="Calibri"/>
                      <w:sz w:val="16"/>
                      <w:szCs w:val="16"/>
                    </w:rPr>
                    <w:t>0,31</w:t>
                  </w:r>
                </w:p>
              </w:tc>
              <w:tc>
                <w:tcPr>
                  <w:tcW w:w="567" w:type="dxa"/>
                  <w:tcBorders>
                    <w:top w:val="nil"/>
                    <w:left w:val="nil"/>
                    <w:bottom w:val="nil"/>
                    <w:right w:val="nil"/>
                  </w:tcBorders>
                  <w:shd w:val="clear" w:color="auto" w:fill="auto"/>
                  <w:noWrap/>
                  <w:vAlign w:val="bottom"/>
                  <w:hideMark/>
                </w:tcPr>
                <w:p w14:paraId="4D80E089" w14:textId="77777777" w:rsidR="00C45D5B" w:rsidRPr="001B009D" w:rsidRDefault="00C45D5B" w:rsidP="00CF774B">
                  <w:pPr>
                    <w:jc w:val="center"/>
                    <w:rPr>
                      <w:rFonts w:cs="Calibri"/>
                      <w:sz w:val="16"/>
                      <w:szCs w:val="16"/>
                    </w:rPr>
                  </w:pPr>
                </w:p>
              </w:tc>
              <w:tc>
                <w:tcPr>
                  <w:tcW w:w="709" w:type="dxa"/>
                  <w:tcBorders>
                    <w:top w:val="nil"/>
                    <w:left w:val="nil"/>
                    <w:bottom w:val="nil"/>
                    <w:right w:val="single" w:sz="4" w:space="0" w:color="auto"/>
                  </w:tcBorders>
                  <w:shd w:val="clear" w:color="auto" w:fill="auto"/>
                  <w:noWrap/>
                  <w:vAlign w:val="bottom"/>
                  <w:hideMark/>
                </w:tcPr>
                <w:p w14:paraId="6432B95D"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nil"/>
                    <w:right w:val="nil"/>
                  </w:tcBorders>
                  <w:shd w:val="clear" w:color="auto" w:fill="auto"/>
                  <w:noWrap/>
                  <w:vAlign w:val="bottom"/>
                  <w:hideMark/>
                </w:tcPr>
                <w:p w14:paraId="08FE1D93" w14:textId="77777777" w:rsidR="00C45D5B" w:rsidRPr="001B009D" w:rsidRDefault="00C45D5B" w:rsidP="00CF774B">
                  <w:pPr>
                    <w:jc w:val="center"/>
                    <w:rPr>
                      <w:rFonts w:cs="Calibri"/>
                      <w:sz w:val="16"/>
                      <w:szCs w:val="16"/>
                    </w:rPr>
                  </w:pPr>
                  <w:r w:rsidRPr="001B009D">
                    <w:rPr>
                      <w:rFonts w:cs="Calibri"/>
                      <w:sz w:val="16"/>
                      <w:szCs w:val="16"/>
                    </w:rPr>
                    <w:t>759</w:t>
                  </w:r>
                </w:p>
              </w:tc>
              <w:tc>
                <w:tcPr>
                  <w:tcW w:w="770" w:type="dxa"/>
                  <w:tcBorders>
                    <w:top w:val="nil"/>
                    <w:left w:val="nil"/>
                    <w:bottom w:val="nil"/>
                    <w:right w:val="nil"/>
                  </w:tcBorders>
                  <w:shd w:val="clear" w:color="auto" w:fill="auto"/>
                  <w:noWrap/>
                  <w:vAlign w:val="bottom"/>
                  <w:hideMark/>
                </w:tcPr>
                <w:p w14:paraId="17C13C63" w14:textId="77777777" w:rsidR="00C45D5B" w:rsidRPr="001B009D" w:rsidRDefault="00C45D5B" w:rsidP="00CF774B">
                  <w:pPr>
                    <w:jc w:val="center"/>
                    <w:rPr>
                      <w:rFonts w:cs="Calibri"/>
                      <w:sz w:val="16"/>
                      <w:szCs w:val="16"/>
                    </w:rPr>
                  </w:pPr>
                  <w:r w:rsidRPr="001B009D">
                    <w:rPr>
                      <w:rFonts w:cs="Calibri"/>
                      <w:sz w:val="16"/>
                      <w:szCs w:val="16"/>
                    </w:rPr>
                    <w:t>0,81</w:t>
                  </w:r>
                </w:p>
              </w:tc>
            </w:tr>
            <w:tr w:rsidR="00C45D5B" w:rsidRPr="004F7036" w14:paraId="36999F46"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220D9878" w14:textId="77777777" w:rsidR="00C45D5B" w:rsidRPr="001B009D" w:rsidRDefault="00C45D5B" w:rsidP="00CF774B">
                  <w:pPr>
                    <w:rPr>
                      <w:rFonts w:cs="Calibri"/>
                      <w:sz w:val="16"/>
                      <w:szCs w:val="16"/>
                    </w:rPr>
                  </w:pPr>
                  <w:r w:rsidRPr="001B009D">
                    <w:rPr>
                      <w:rFonts w:cs="Calibri"/>
                      <w:sz w:val="16"/>
                      <w:szCs w:val="16"/>
                    </w:rPr>
                    <w:t>Rôzne zvýšené bežné transfery pre kapitoly ŠR a OSVS</w:t>
                  </w:r>
                </w:p>
              </w:tc>
              <w:tc>
                <w:tcPr>
                  <w:tcW w:w="708" w:type="dxa"/>
                  <w:tcBorders>
                    <w:top w:val="nil"/>
                    <w:left w:val="nil"/>
                    <w:bottom w:val="single" w:sz="4" w:space="0" w:color="auto"/>
                    <w:right w:val="single" w:sz="4" w:space="0" w:color="auto"/>
                  </w:tcBorders>
                  <w:shd w:val="clear" w:color="auto" w:fill="auto"/>
                  <w:noWrap/>
                  <w:vAlign w:val="bottom"/>
                  <w:hideMark/>
                </w:tcPr>
                <w:p w14:paraId="7E9F02CA"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nil"/>
                    <w:bottom w:val="single" w:sz="4" w:space="0" w:color="auto"/>
                    <w:right w:val="nil"/>
                  </w:tcBorders>
                  <w:shd w:val="clear" w:color="auto" w:fill="auto"/>
                  <w:noWrap/>
                  <w:vAlign w:val="bottom"/>
                  <w:hideMark/>
                </w:tcPr>
                <w:p w14:paraId="353AFF5C" w14:textId="77777777" w:rsidR="00C45D5B" w:rsidRPr="001B009D" w:rsidRDefault="00C45D5B" w:rsidP="00CF774B">
                  <w:pPr>
                    <w:rPr>
                      <w:rFonts w:cs="Calibri"/>
                      <w:sz w:val="16"/>
                      <w:szCs w:val="16"/>
                    </w:rPr>
                  </w:pPr>
                  <w:r w:rsidRPr="001B009D">
                    <w:rPr>
                      <w:rFonts w:cs="Calibri"/>
                      <w:sz w:val="16"/>
                      <w:szCs w:val="16"/>
                    </w:rPr>
                    <w:t> </w:t>
                  </w:r>
                </w:p>
              </w:tc>
              <w:tc>
                <w:tcPr>
                  <w:tcW w:w="567" w:type="dxa"/>
                  <w:tcBorders>
                    <w:top w:val="nil"/>
                    <w:left w:val="single" w:sz="4" w:space="0" w:color="auto"/>
                    <w:bottom w:val="single" w:sz="4" w:space="0" w:color="auto"/>
                    <w:right w:val="nil"/>
                  </w:tcBorders>
                  <w:shd w:val="clear" w:color="auto" w:fill="auto"/>
                  <w:noWrap/>
                  <w:vAlign w:val="bottom"/>
                  <w:hideMark/>
                </w:tcPr>
                <w:p w14:paraId="33634F8E" w14:textId="77777777" w:rsidR="00C45D5B" w:rsidRPr="001B009D" w:rsidRDefault="00C45D5B" w:rsidP="00CF774B">
                  <w:pPr>
                    <w:jc w:val="center"/>
                    <w:rPr>
                      <w:rFonts w:cs="Calibri"/>
                      <w:color w:val="000000"/>
                      <w:sz w:val="16"/>
                      <w:szCs w:val="16"/>
                    </w:rPr>
                  </w:pPr>
                  <w:r w:rsidRPr="001B009D">
                    <w:rPr>
                      <w:rFonts w:cs="Calibri"/>
                      <w:color w:val="000000"/>
                      <w:sz w:val="16"/>
                      <w:szCs w:val="16"/>
                    </w:rPr>
                    <w:t>50</w:t>
                  </w:r>
                </w:p>
              </w:tc>
              <w:tc>
                <w:tcPr>
                  <w:tcW w:w="589" w:type="dxa"/>
                  <w:tcBorders>
                    <w:top w:val="nil"/>
                    <w:left w:val="nil"/>
                    <w:bottom w:val="single" w:sz="4" w:space="0" w:color="auto"/>
                    <w:right w:val="single" w:sz="4" w:space="0" w:color="auto"/>
                  </w:tcBorders>
                  <w:shd w:val="clear" w:color="auto" w:fill="auto"/>
                  <w:noWrap/>
                  <w:vAlign w:val="bottom"/>
                  <w:hideMark/>
                </w:tcPr>
                <w:p w14:paraId="03EFB9FB" w14:textId="77777777" w:rsidR="00C45D5B" w:rsidRPr="001B009D" w:rsidRDefault="00C45D5B" w:rsidP="00CF774B">
                  <w:pPr>
                    <w:jc w:val="center"/>
                    <w:rPr>
                      <w:rFonts w:cs="Calibri"/>
                      <w:color w:val="000000"/>
                      <w:sz w:val="16"/>
                      <w:szCs w:val="16"/>
                    </w:rPr>
                  </w:pPr>
                  <w:r w:rsidRPr="001B009D">
                    <w:rPr>
                      <w:rFonts w:cs="Calibri"/>
                      <w:color w:val="000000"/>
                      <w:sz w:val="16"/>
                      <w:szCs w:val="16"/>
                    </w:rPr>
                    <w:t>0,05</w:t>
                  </w:r>
                </w:p>
              </w:tc>
              <w:tc>
                <w:tcPr>
                  <w:tcW w:w="545" w:type="dxa"/>
                  <w:tcBorders>
                    <w:top w:val="nil"/>
                    <w:left w:val="nil"/>
                    <w:bottom w:val="single" w:sz="4" w:space="0" w:color="auto"/>
                    <w:right w:val="nil"/>
                  </w:tcBorders>
                  <w:shd w:val="clear" w:color="auto" w:fill="auto"/>
                  <w:noWrap/>
                  <w:vAlign w:val="bottom"/>
                  <w:hideMark/>
                </w:tcPr>
                <w:p w14:paraId="1EBE78ED" w14:textId="77777777" w:rsidR="00C45D5B" w:rsidRPr="001B009D" w:rsidRDefault="00C45D5B" w:rsidP="00CF774B">
                  <w:pPr>
                    <w:jc w:val="center"/>
                    <w:rPr>
                      <w:rFonts w:cs="Calibri"/>
                      <w:sz w:val="16"/>
                      <w:szCs w:val="16"/>
                    </w:rPr>
                  </w:pPr>
                  <w:r w:rsidRPr="001B009D">
                    <w:rPr>
                      <w:rFonts w:cs="Calibri"/>
                      <w:sz w:val="16"/>
                      <w:szCs w:val="16"/>
                    </w:rPr>
                    <w:t>34</w:t>
                  </w:r>
                </w:p>
              </w:tc>
              <w:tc>
                <w:tcPr>
                  <w:tcW w:w="709" w:type="dxa"/>
                  <w:tcBorders>
                    <w:top w:val="nil"/>
                    <w:left w:val="nil"/>
                    <w:bottom w:val="single" w:sz="4" w:space="0" w:color="auto"/>
                    <w:right w:val="single" w:sz="4" w:space="0" w:color="auto"/>
                  </w:tcBorders>
                  <w:shd w:val="clear" w:color="auto" w:fill="auto"/>
                  <w:noWrap/>
                  <w:vAlign w:val="bottom"/>
                  <w:hideMark/>
                </w:tcPr>
                <w:p w14:paraId="0C31CC0E"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single" w:sz="4" w:space="0" w:color="auto"/>
                    <w:right w:val="nil"/>
                  </w:tcBorders>
                  <w:shd w:val="clear" w:color="auto" w:fill="auto"/>
                  <w:noWrap/>
                  <w:vAlign w:val="bottom"/>
                  <w:hideMark/>
                </w:tcPr>
                <w:p w14:paraId="6D6DF226" w14:textId="77777777" w:rsidR="00C45D5B" w:rsidRPr="001B009D" w:rsidRDefault="00C45D5B" w:rsidP="00CF774B">
                  <w:pPr>
                    <w:jc w:val="center"/>
                    <w:rPr>
                      <w:rFonts w:cs="Calibri"/>
                      <w:sz w:val="16"/>
                      <w:szCs w:val="16"/>
                    </w:rPr>
                  </w:pPr>
                  <w:r w:rsidRPr="001B009D">
                    <w:rPr>
                      <w:rFonts w:cs="Calibri"/>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14:paraId="2DEF9D6F" w14:textId="77777777" w:rsidR="00C45D5B" w:rsidRPr="001B009D" w:rsidRDefault="00C45D5B" w:rsidP="00CF774B">
                  <w:pPr>
                    <w:jc w:val="center"/>
                    <w:rPr>
                      <w:rFonts w:cs="Calibri"/>
                      <w:sz w:val="16"/>
                      <w:szCs w:val="16"/>
                    </w:rPr>
                  </w:pPr>
                  <w:r w:rsidRPr="001B009D">
                    <w:rPr>
                      <w:rFonts w:cs="Calibri"/>
                      <w:sz w:val="16"/>
                      <w:szCs w:val="16"/>
                    </w:rPr>
                    <w:t> </w:t>
                  </w:r>
                </w:p>
              </w:tc>
              <w:tc>
                <w:tcPr>
                  <w:tcW w:w="567" w:type="dxa"/>
                  <w:tcBorders>
                    <w:top w:val="nil"/>
                    <w:left w:val="nil"/>
                    <w:bottom w:val="single" w:sz="4" w:space="0" w:color="auto"/>
                    <w:right w:val="nil"/>
                  </w:tcBorders>
                  <w:shd w:val="clear" w:color="auto" w:fill="auto"/>
                  <w:noWrap/>
                  <w:vAlign w:val="bottom"/>
                  <w:hideMark/>
                </w:tcPr>
                <w:p w14:paraId="5C776817" w14:textId="77777777" w:rsidR="00C45D5B" w:rsidRPr="001B009D" w:rsidRDefault="00C45D5B" w:rsidP="00CF774B">
                  <w:pPr>
                    <w:jc w:val="center"/>
                    <w:rPr>
                      <w:rFonts w:cs="Calibri"/>
                      <w:sz w:val="16"/>
                      <w:szCs w:val="16"/>
                    </w:rPr>
                  </w:pPr>
                  <w:r w:rsidRPr="001B009D">
                    <w:rPr>
                      <w:rFonts w:cs="Calibri"/>
                      <w:sz w:val="16"/>
                      <w:szCs w:val="16"/>
                    </w:rPr>
                    <w:t>84</w:t>
                  </w:r>
                </w:p>
              </w:tc>
              <w:tc>
                <w:tcPr>
                  <w:tcW w:w="770" w:type="dxa"/>
                  <w:tcBorders>
                    <w:top w:val="nil"/>
                    <w:left w:val="nil"/>
                    <w:bottom w:val="single" w:sz="4" w:space="0" w:color="auto"/>
                    <w:right w:val="nil"/>
                  </w:tcBorders>
                  <w:shd w:val="clear" w:color="auto" w:fill="auto"/>
                  <w:noWrap/>
                  <w:vAlign w:val="bottom"/>
                  <w:hideMark/>
                </w:tcPr>
                <w:p w14:paraId="6BE1201B" w14:textId="77777777" w:rsidR="00C45D5B" w:rsidRPr="001B009D" w:rsidRDefault="00C45D5B" w:rsidP="00CF774B">
                  <w:pPr>
                    <w:jc w:val="center"/>
                    <w:rPr>
                      <w:rFonts w:cs="Calibri"/>
                      <w:sz w:val="16"/>
                      <w:szCs w:val="16"/>
                    </w:rPr>
                  </w:pPr>
                  <w:r w:rsidRPr="001B009D">
                    <w:rPr>
                      <w:rFonts w:cs="Calibri"/>
                      <w:sz w:val="16"/>
                      <w:szCs w:val="16"/>
                    </w:rPr>
                    <w:t>0,05</w:t>
                  </w:r>
                </w:p>
              </w:tc>
            </w:tr>
            <w:tr w:rsidR="00C45D5B" w:rsidRPr="004F7036" w14:paraId="158EF1C2" w14:textId="77777777" w:rsidTr="00CF774B">
              <w:trPr>
                <w:trHeight w:val="289"/>
              </w:trPr>
              <w:tc>
                <w:tcPr>
                  <w:tcW w:w="2621" w:type="dxa"/>
                  <w:tcBorders>
                    <w:top w:val="nil"/>
                    <w:left w:val="nil"/>
                    <w:bottom w:val="single" w:sz="4" w:space="0" w:color="auto"/>
                    <w:right w:val="single" w:sz="4" w:space="0" w:color="auto"/>
                  </w:tcBorders>
                  <w:shd w:val="clear" w:color="auto" w:fill="auto"/>
                  <w:noWrap/>
                  <w:vAlign w:val="bottom"/>
                  <w:hideMark/>
                </w:tcPr>
                <w:p w14:paraId="3E8016D3" w14:textId="77777777" w:rsidR="00C45D5B" w:rsidRPr="001B009D" w:rsidRDefault="00C45D5B" w:rsidP="00CF774B">
                  <w:pPr>
                    <w:rPr>
                      <w:rFonts w:cs="Calibri"/>
                      <w:b/>
                      <w:bCs/>
                      <w:sz w:val="16"/>
                      <w:szCs w:val="16"/>
                    </w:rPr>
                  </w:pPr>
                  <w:r w:rsidRPr="001B009D">
                    <w:rPr>
                      <w:rFonts w:cs="Calibri"/>
                      <w:b/>
                      <w:bCs/>
                      <w:sz w:val="16"/>
                      <w:szCs w:val="16"/>
                    </w:rPr>
                    <w:t>Všetky opatrenia spolu</w:t>
                  </w:r>
                </w:p>
              </w:tc>
              <w:tc>
                <w:tcPr>
                  <w:tcW w:w="708" w:type="dxa"/>
                  <w:tcBorders>
                    <w:top w:val="nil"/>
                    <w:left w:val="nil"/>
                    <w:bottom w:val="single" w:sz="4" w:space="0" w:color="auto"/>
                    <w:right w:val="single" w:sz="4" w:space="0" w:color="auto"/>
                  </w:tcBorders>
                  <w:shd w:val="clear" w:color="auto" w:fill="auto"/>
                  <w:noWrap/>
                  <w:vAlign w:val="bottom"/>
                  <w:hideMark/>
                </w:tcPr>
                <w:p w14:paraId="52F860B0" w14:textId="77777777" w:rsidR="00C45D5B" w:rsidRPr="001B009D" w:rsidRDefault="00C45D5B" w:rsidP="00CF774B">
                  <w:pPr>
                    <w:rPr>
                      <w:rFonts w:cs="Calibri"/>
                      <w:b/>
                      <w:bCs/>
                      <w:sz w:val="16"/>
                      <w:szCs w:val="16"/>
                    </w:rPr>
                  </w:pPr>
                  <w:r w:rsidRPr="001B009D">
                    <w:rPr>
                      <w:rFonts w:cs="Calibri"/>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14:paraId="1DA21715" w14:textId="77777777" w:rsidR="00C45D5B" w:rsidRPr="001B009D" w:rsidRDefault="00C45D5B" w:rsidP="00CF774B">
                  <w:pPr>
                    <w:rPr>
                      <w:rFonts w:cs="Calibri"/>
                      <w:b/>
                      <w:bCs/>
                      <w:sz w:val="16"/>
                      <w:szCs w:val="16"/>
                    </w:rPr>
                  </w:pPr>
                  <w:r w:rsidRPr="001B009D">
                    <w:rPr>
                      <w:rFonts w:cs="Calibri"/>
                      <w:b/>
                      <w:bCs/>
                      <w:sz w:val="16"/>
                      <w:szCs w:val="16"/>
                    </w:rPr>
                    <w:t> </w:t>
                  </w:r>
                </w:p>
              </w:tc>
              <w:tc>
                <w:tcPr>
                  <w:tcW w:w="567" w:type="dxa"/>
                  <w:tcBorders>
                    <w:top w:val="nil"/>
                    <w:left w:val="nil"/>
                    <w:bottom w:val="single" w:sz="4" w:space="0" w:color="auto"/>
                    <w:right w:val="nil"/>
                  </w:tcBorders>
                  <w:shd w:val="clear" w:color="auto" w:fill="auto"/>
                  <w:noWrap/>
                  <w:vAlign w:val="bottom"/>
                  <w:hideMark/>
                </w:tcPr>
                <w:p w14:paraId="6E5C3D9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4 786</w:t>
                  </w:r>
                </w:p>
              </w:tc>
              <w:tc>
                <w:tcPr>
                  <w:tcW w:w="589" w:type="dxa"/>
                  <w:tcBorders>
                    <w:top w:val="nil"/>
                    <w:left w:val="nil"/>
                    <w:bottom w:val="single" w:sz="4" w:space="0" w:color="auto"/>
                    <w:right w:val="single" w:sz="4" w:space="0" w:color="auto"/>
                  </w:tcBorders>
                  <w:shd w:val="clear" w:color="auto" w:fill="auto"/>
                  <w:noWrap/>
                  <w:vAlign w:val="bottom"/>
                  <w:hideMark/>
                </w:tcPr>
                <w:p w14:paraId="63B4D10E"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5,16</w:t>
                  </w:r>
                </w:p>
              </w:tc>
              <w:tc>
                <w:tcPr>
                  <w:tcW w:w="545" w:type="dxa"/>
                  <w:tcBorders>
                    <w:top w:val="nil"/>
                    <w:left w:val="nil"/>
                    <w:bottom w:val="single" w:sz="4" w:space="0" w:color="auto"/>
                    <w:right w:val="nil"/>
                  </w:tcBorders>
                  <w:shd w:val="clear" w:color="auto" w:fill="auto"/>
                  <w:noWrap/>
                  <w:vAlign w:val="bottom"/>
                  <w:hideMark/>
                </w:tcPr>
                <w:p w14:paraId="2AC4ED44"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4 032</w:t>
                  </w:r>
                </w:p>
              </w:tc>
              <w:tc>
                <w:tcPr>
                  <w:tcW w:w="709" w:type="dxa"/>
                  <w:tcBorders>
                    <w:top w:val="nil"/>
                    <w:left w:val="nil"/>
                    <w:bottom w:val="single" w:sz="4" w:space="0" w:color="auto"/>
                    <w:right w:val="single" w:sz="4" w:space="0" w:color="auto"/>
                  </w:tcBorders>
                  <w:shd w:val="clear" w:color="auto" w:fill="auto"/>
                  <w:noWrap/>
                  <w:vAlign w:val="bottom"/>
                  <w:hideMark/>
                </w:tcPr>
                <w:p w14:paraId="5FCF01B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4,15</w:t>
                  </w:r>
                </w:p>
              </w:tc>
              <w:tc>
                <w:tcPr>
                  <w:tcW w:w="567" w:type="dxa"/>
                  <w:tcBorders>
                    <w:top w:val="nil"/>
                    <w:left w:val="nil"/>
                    <w:bottom w:val="single" w:sz="4" w:space="0" w:color="auto"/>
                    <w:right w:val="nil"/>
                  </w:tcBorders>
                  <w:shd w:val="clear" w:color="auto" w:fill="auto"/>
                  <w:noWrap/>
                  <w:vAlign w:val="bottom"/>
                  <w:hideMark/>
                </w:tcPr>
                <w:p w14:paraId="2382F77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1 041</w:t>
                  </w:r>
                </w:p>
              </w:tc>
              <w:tc>
                <w:tcPr>
                  <w:tcW w:w="709" w:type="dxa"/>
                  <w:tcBorders>
                    <w:top w:val="nil"/>
                    <w:left w:val="nil"/>
                    <w:bottom w:val="single" w:sz="4" w:space="0" w:color="auto"/>
                    <w:right w:val="single" w:sz="4" w:space="0" w:color="auto"/>
                  </w:tcBorders>
                  <w:shd w:val="clear" w:color="auto" w:fill="auto"/>
                  <w:noWrap/>
                  <w:vAlign w:val="bottom"/>
                  <w:hideMark/>
                </w:tcPr>
                <w:p w14:paraId="725D8752"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0,98</w:t>
                  </w:r>
                </w:p>
              </w:tc>
              <w:tc>
                <w:tcPr>
                  <w:tcW w:w="567" w:type="dxa"/>
                  <w:tcBorders>
                    <w:top w:val="nil"/>
                    <w:left w:val="nil"/>
                    <w:bottom w:val="single" w:sz="4" w:space="0" w:color="auto"/>
                    <w:right w:val="nil"/>
                  </w:tcBorders>
                  <w:shd w:val="clear" w:color="auto" w:fill="auto"/>
                  <w:noWrap/>
                  <w:vAlign w:val="bottom"/>
                  <w:hideMark/>
                </w:tcPr>
                <w:p w14:paraId="091D39DF"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9 859</w:t>
                  </w:r>
                </w:p>
              </w:tc>
              <w:tc>
                <w:tcPr>
                  <w:tcW w:w="770" w:type="dxa"/>
                  <w:tcBorders>
                    <w:top w:val="nil"/>
                    <w:left w:val="nil"/>
                    <w:bottom w:val="single" w:sz="4" w:space="0" w:color="auto"/>
                    <w:right w:val="nil"/>
                  </w:tcBorders>
                  <w:shd w:val="clear" w:color="auto" w:fill="auto"/>
                  <w:noWrap/>
                  <w:vAlign w:val="bottom"/>
                  <w:hideMark/>
                </w:tcPr>
                <w:p w14:paraId="4141D4D6" w14:textId="77777777" w:rsidR="00C45D5B" w:rsidRPr="001B009D" w:rsidRDefault="00C45D5B" w:rsidP="00CF774B">
                  <w:pPr>
                    <w:jc w:val="center"/>
                    <w:rPr>
                      <w:rFonts w:cs="Calibri"/>
                      <w:b/>
                      <w:bCs/>
                      <w:color w:val="000000"/>
                      <w:sz w:val="16"/>
                      <w:szCs w:val="16"/>
                    </w:rPr>
                  </w:pPr>
                  <w:r w:rsidRPr="001B009D">
                    <w:rPr>
                      <w:rFonts w:cs="Calibri"/>
                      <w:b/>
                      <w:bCs/>
                      <w:color w:val="000000"/>
                      <w:sz w:val="16"/>
                      <w:szCs w:val="16"/>
                    </w:rPr>
                    <w:t>10,29</w:t>
                  </w:r>
                </w:p>
              </w:tc>
            </w:tr>
          </w:tbl>
          <w:p w14:paraId="27DD550D" w14:textId="77777777" w:rsidR="00C45D5B" w:rsidRPr="00AB54ED" w:rsidRDefault="00C45D5B" w:rsidP="00CF774B">
            <w:pPr>
              <w:rPr>
                <w:rFonts w:cs="Calibri"/>
                <w:sz w:val="18"/>
                <w:szCs w:val="16"/>
                <w:highlight w:val="yellow"/>
              </w:rPr>
            </w:pPr>
            <w:r w:rsidRPr="00A23316">
              <w:rPr>
                <w:rFonts w:cs="Calibri"/>
                <w:sz w:val="16"/>
                <w:szCs w:val="16"/>
              </w:rPr>
              <w:t>**Vplyv PN a OČR je vyčíslený cez nárast dávok oprot</w:t>
            </w:r>
            <w:r>
              <w:rPr>
                <w:rFonts w:cs="Calibri"/>
                <w:sz w:val="16"/>
                <w:szCs w:val="16"/>
              </w:rPr>
              <w:t>i roku 2019, pri indexovaní báz</w:t>
            </w:r>
            <w:r w:rsidRPr="00A23316">
              <w:rPr>
                <w:rFonts w:cs="Calibri"/>
                <w:sz w:val="16"/>
                <w:szCs w:val="16"/>
              </w:rPr>
              <w:t>y pre výpočet na rok 2021 a 2022. Teda sú započítané aj niektoré PN a OČR, ktoré neboli klasifikované ako pandemické.</w:t>
            </w:r>
          </w:p>
        </w:tc>
      </w:tr>
    </w:tbl>
    <w:p w14:paraId="40986764" w14:textId="77777777" w:rsidR="00C45D5B" w:rsidRPr="00A23316" w:rsidRDefault="00C45D5B" w:rsidP="00C45D5B">
      <w:pPr>
        <w:spacing w:after="160" w:line="259" w:lineRule="auto"/>
        <w:jc w:val="right"/>
        <w:rPr>
          <w:rFonts w:eastAsiaTheme="minorHAnsi"/>
          <w:i/>
          <w:sz w:val="16"/>
          <w:szCs w:val="16"/>
        </w:rPr>
      </w:pPr>
      <w:r w:rsidRPr="00A23316">
        <w:rPr>
          <w:rFonts w:eastAsiaTheme="minorHAnsi"/>
          <w:i/>
          <w:sz w:val="16"/>
          <w:szCs w:val="16"/>
        </w:rPr>
        <w:t>Zdroj: MF SR</w:t>
      </w:r>
    </w:p>
    <w:p w14:paraId="31C3401F" w14:textId="77777777" w:rsidR="00C45D5B" w:rsidRDefault="00C45D5B" w:rsidP="00C45D5B">
      <w:pPr>
        <w:spacing w:after="160" w:line="259" w:lineRule="auto"/>
        <w:rPr>
          <w:rFonts w:cs="Arial"/>
          <w:b/>
          <w:bCs/>
          <w:color w:val="2C9ADC" w:themeColor="accent1"/>
          <w:sz w:val="24"/>
          <w:szCs w:val="24"/>
        </w:rPr>
      </w:pPr>
      <w:r>
        <w:rPr>
          <w:color w:val="2C9ADC" w:themeColor="accent1"/>
          <w:sz w:val="24"/>
          <w:szCs w:val="24"/>
        </w:rPr>
        <w:br w:type="page"/>
      </w:r>
    </w:p>
    <w:p w14:paraId="2A7FA21B" w14:textId="77777777" w:rsidR="00C45D5B" w:rsidRPr="0068507C" w:rsidRDefault="00C45D5B" w:rsidP="00C45D5B">
      <w:pPr>
        <w:pStyle w:val="Nadpis3"/>
        <w:spacing w:after="120"/>
        <w:rPr>
          <w:color w:val="2C9ADC" w:themeColor="accent1"/>
          <w:sz w:val="24"/>
          <w:szCs w:val="24"/>
        </w:rPr>
      </w:pPr>
      <w:r w:rsidRPr="0068507C">
        <w:rPr>
          <w:color w:val="2C9ADC" w:themeColor="accent1"/>
          <w:sz w:val="24"/>
          <w:szCs w:val="24"/>
        </w:rPr>
        <w:t xml:space="preserve">Príloha 3 – </w:t>
      </w:r>
      <w:bookmarkStart w:id="285" w:name="_Toc416885947"/>
      <w:bookmarkStart w:id="286" w:name="_Toc416944095"/>
      <w:bookmarkStart w:id="287" w:name="_Toc417647081"/>
      <w:bookmarkStart w:id="288" w:name="_Toc417907515"/>
      <w:r w:rsidRPr="0068507C">
        <w:rPr>
          <w:color w:val="2C9ADC" w:themeColor="accent1"/>
          <w:sz w:val="24"/>
          <w:szCs w:val="24"/>
        </w:rPr>
        <w:t>Štrukturálne saldo</w:t>
      </w:r>
    </w:p>
    <w:p w14:paraId="7D7AAC2A" w14:textId="77777777" w:rsidR="00C45D5B" w:rsidRPr="0068507C" w:rsidRDefault="00C45D5B" w:rsidP="00C45D5B">
      <w:pPr>
        <w:jc w:val="both"/>
      </w:pPr>
      <w:r w:rsidRPr="0068507C">
        <w:rPr>
          <w:b/>
        </w:rPr>
        <w:t>Štrukturálne saldo predstavuje rozdiel medzi príjmami a výdavkami verejnej správy bez jednorazových a dočasných vplyvov, a za predpokladu, že ekonomika sa pohybuje na svojej potenciálnej úrovni.</w:t>
      </w:r>
      <w:r w:rsidRPr="0068507C">
        <w:t xml:space="preserve"> Štrukturálne saldo vernejšie zobrazuje strednodobú fiškálnu pozíciu krajiny v porovnaní s nominálnym saldom. </w:t>
      </w:r>
    </w:p>
    <w:p w14:paraId="662BB699" w14:textId="77777777" w:rsidR="00C45D5B" w:rsidRPr="0068507C" w:rsidRDefault="00C45D5B" w:rsidP="00C45D5B">
      <w:pPr>
        <w:jc w:val="both"/>
      </w:pPr>
    </w:p>
    <w:p w14:paraId="360908CA" w14:textId="77777777" w:rsidR="00C45D5B" w:rsidRPr="0068507C" w:rsidRDefault="00C45D5B" w:rsidP="00C45D5B">
      <w:pPr>
        <w:jc w:val="both"/>
        <w:rPr>
          <w:rFonts w:cs="Arial"/>
          <w:color w:val="000000" w:themeColor="text1"/>
        </w:rPr>
      </w:pPr>
      <w:r w:rsidRPr="0068507C">
        <w:rPr>
          <w:b/>
          <w:bCs/>
        </w:rPr>
        <w:t>Pakt stability a rastu vychádza z premisy, že členské štáty by mali dosiahnuť symetrický prístup k fiškálnej politike v súlade s cyklickým vývojom ekonomiky</w:t>
      </w:r>
      <w:r w:rsidRPr="0068507C">
        <w:t>. Základným cieľom je zvýšená orientácia na rozpočtovú disciplínu v obdobiach hospodárskeho oživenia s cieľom vyhnúť sa pro-cyklickému charakteru fiškálnej politiky a postupne dosiahnuť svoj strednodobý rozpočtový cieľ</w:t>
      </w:r>
      <w:r w:rsidRPr="0068507C">
        <w:rPr>
          <w:rStyle w:val="Odkaznapoznmkupodiarou"/>
          <w:color w:val="000000" w:themeColor="text1"/>
          <w:lang w:val="sk-SK"/>
        </w:rPr>
        <w:footnoteReference w:id="82"/>
      </w:r>
      <w:r w:rsidRPr="0068507C">
        <w:t>.</w:t>
      </w:r>
      <w:r w:rsidRPr="0068507C">
        <w:rPr>
          <w:rFonts w:cs="Arial"/>
          <w:color w:val="000000" w:themeColor="text1"/>
        </w:rPr>
        <w:t xml:space="preserve"> Výsledkom by malo byť vytvorenie fiškálneho priestoru pre obdobia s ekonomickým poklesom a zároveň primeraným tempom znížiť verejný dlh a pozitívne tak ovplyvniť dlhodobú udržateľnosť verejných financií. </w:t>
      </w:r>
    </w:p>
    <w:p w14:paraId="13A2F4DE" w14:textId="77777777" w:rsidR="00C45D5B" w:rsidRPr="0068507C" w:rsidRDefault="00C45D5B" w:rsidP="00C45D5B">
      <w:pPr>
        <w:spacing w:before="240" w:after="120"/>
        <w:jc w:val="both"/>
        <w:rPr>
          <w:b/>
          <w:color w:val="2C9ADC"/>
        </w:rPr>
      </w:pPr>
      <w:r w:rsidRPr="0068507C">
        <w:rPr>
          <w:b/>
          <w:color w:val="2C9ADC"/>
        </w:rPr>
        <w:t>Výpočet štrukturálneho salda</w:t>
      </w:r>
    </w:p>
    <w:p w14:paraId="6D98A710" w14:textId="77777777" w:rsidR="00C45D5B" w:rsidRPr="0068507C" w:rsidRDefault="00C45D5B" w:rsidP="00C45D5B">
      <w:pPr>
        <w:jc w:val="both"/>
        <w:rPr>
          <w:b/>
        </w:rPr>
      </w:pPr>
      <w:r w:rsidRPr="0068507C">
        <w:rPr>
          <w:b/>
        </w:rPr>
        <w:t xml:space="preserve">1. krok - </w:t>
      </w:r>
      <w:r w:rsidRPr="0068507C">
        <w:t>nominálne saldo verejných financií očisťuje pomocou cyklickej zložky o vplyv hospodárskych výkyvov</w:t>
      </w:r>
      <w:r w:rsidRPr="0068507C">
        <w:rPr>
          <w:rStyle w:val="Odkaznapoznmkupodiarou"/>
          <w:lang w:val="sk-SK"/>
        </w:rPr>
        <w:footnoteReference w:id="83"/>
      </w:r>
      <w:r w:rsidRPr="0068507C">
        <w:t>. Odhad produkčnej medzery vychádza z aktuálnej makroekonomickej prognózy Ministerstva financií SR z marca 2022. Odhad senzitivity salda verejnej správy na zmeny v produkčnej medzere vychádzajúci z metodiky OECD</w:t>
      </w:r>
      <w:r w:rsidRPr="0068507C">
        <w:rPr>
          <w:vertAlign w:val="superscript"/>
        </w:rPr>
        <w:footnoteReference w:id="84"/>
      </w:r>
      <w:r w:rsidRPr="0068507C">
        <w:t xml:space="preserve"> preberá Ministerstvo financií SR v plnej miere od EK. </w:t>
      </w:r>
    </w:p>
    <w:p w14:paraId="144DF66B" w14:textId="77777777" w:rsidR="00C45D5B" w:rsidRPr="0068507C" w:rsidRDefault="00C45D5B" w:rsidP="00C45D5B">
      <w:pPr>
        <w:jc w:val="both"/>
      </w:pPr>
    </w:p>
    <w:p w14:paraId="0DF3260A" w14:textId="77777777" w:rsidR="00C45D5B" w:rsidRPr="0068507C" w:rsidRDefault="00C45D5B" w:rsidP="00C45D5B">
      <w:pPr>
        <w:jc w:val="both"/>
      </w:pPr>
      <w:r w:rsidRPr="0068507C">
        <w:rPr>
          <w:b/>
        </w:rPr>
        <w:t xml:space="preserve">2. krok </w:t>
      </w:r>
      <w:r w:rsidRPr="0068507C">
        <w:t>- upravené saldo sa očisťuje o jednorazové a dočasné opatrenia</w:t>
      </w:r>
      <w:r w:rsidRPr="0068507C">
        <w:rPr>
          <w:rStyle w:val="Odkaznapoznmkupodiarou"/>
          <w:lang w:val="sk-SK"/>
        </w:rPr>
        <w:footnoteReference w:id="85"/>
      </w:r>
      <w:r w:rsidRPr="0068507C">
        <w:t xml:space="preserve">, ktorých fiškálny vplyv sa neopakuje v ďalších rokoch. Pre potreby návrhu rozpočtového plánu postupuje Ministerstvo financií SR pri ich identifikácii v súlade s </w:t>
      </w:r>
      <w:r w:rsidRPr="0068507C">
        <w:rPr>
          <w:rFonts w:cs="Times New Roman"/>
        </w:rPr>
        <w:t>metodikou EK</w:t>
      </w:r>
      <w:r w:rsidRPr="0068507C">
        <w:rPr>
          <w:rStyle w:val="Odkaznapoznmkupodiarou"/>
          <w:lang w:val="sk-SK"/>
        </w:rPr>
        <w:footnoteReference w:id="86"/>
      </w:r>
      <w:r w:rsidRPr="0068507C">
        <w:rPr>
          <w:rFonts w:cs="Times New Roman"/>
        </w:rPr>
        <w:t>.</w:t>
      </w:r>
    </w:p>
    <w:p w14:paraId="440705D4" w14:textId="77777777" w:rsidR="00C45D5B" w:rsidRPr="00AB54ED" w:rsidRDefault="00C45D5B" w:rsidP="00C45D5B">
      <w:pPr>
        <w:ind w:firstLine="708"/>
        <w:jc w:val="both"/>
        <w:rPr>
          <w:rFonts w:cs="Times New Roman"/>
          <w:highlight w:val="yellow"/>
        </w:rPr>
      </w:pPr>
    </w:p>
    <w:p w14:paraId="5C7778B2" w14:textId="77777777" w:rsidR="00C45D5B" w:rsidRPr="00AB54ED" w:rsidRDefault="00C45D5B" w:rsidP="00C45D5B">
      <w:pPr>
        <w:jc w:val="both"/>
        <w:rPr>
          <w:b/>
          <w:highlight w:val="yellow"/>
        </w:rPr>
      </w:pPr>
    </w:p>
    <w:p w14:paraId="6E5E26F8" w14:textId="77777777" w:rsidR="00C45D5B" w:rsidRPr="00F81A97" w:rsidRDefault="00C45D5B" w:rsidP="00C45D5B">
      <w:pPr>
        <w:jc w:val="both"/>
        <w:rPr>
          <w:b/>
        </w:rPr>
      </w:pPr>
      <w:r w:rsidRPr="00F81A97">
        <w:rPr>
          <w:b/>
        </w:rPr>
        <w:t xml:space="preserve">Na výpočet štrukturálneho salda boli vyhodnotené ako jednorazové vplyvy nasledujúce opatrenia. </w:t>
      </w:r>
    </w:p>
    <w:p w14:paraId="2D09DDEC" w14:textId="77777777" w:rsidR="00C45D5B" w:rsidRPr="00AB54ED" w:rsidRDefault="00C45D5B" w:rsidP="00C45D5B">
      <w:pPr>
        <w:jc w:val="both"/>
        <w:rPr>
          <w:b/>
          <w:highlight w:val="yellow"/>
        </w:rPr>
      </w:pPr>
    </w:p>
    <w:tbl>
      <w:tblPr>
        <w:tblW w:w="8670" w:type="dxa"/>
        <w:tblCellMar>
          <w:left w:w="70" w:type="dxa"/>
          <w:right w:w="70" w:type="dxa"/>
        </w:tblCellMar>
        <w:tblLook w:val="04A0" w:firstRow="1" w:lastRow="0" w:firstColumn="1" w:lastColumn="0" w:noHBand="0" w:noVBand="1"/>
      </w:tblPr>
      <w:tblGrid>
        <w:gridCol w:w="338"/>
        <w:gridCol w:w="6768"/>
        <w:gridCol w:w="944"/>
        <w:gridCol w:w="1020"/>
      </w:tblGrid>
      <w:tr w:rsidR="00C45D5B" w:rsidRPr="00AB54ED" w14:paraId="4B21BD1E" w14:textId="77777777" w:rsidTr="00CF774B">
        <w:trPr>
          <w:trHeight w:val="288"/>
        </w:trPr>
        <w:tc>
          <w:tcPr>
            <w:tcW w:w="8670" w:type="dxa"/>
            <w:gridSpan w:val="4"/>
            <w:tcBorders>
              <w:top w:val="nil"/>
              <w:left w:val="nil"/>
              <w:bottom w:val="nil"/>
              <w:right w:val="nil"/>
            </w:tcBorders>
            <w:shd w:val="clear" w:color="auto" w:fill="auto"/>
            <w:noWrap/>
            <w:vAlign w:val="bottom"/>
            <w:hideMark/>
          </w:tcPr>
          <w:p w14:paraId="6E937AE0" w14:textId="4379E84C" w:rsidR="00C45D5B" w:rsidRPr="000D239C" w:rsidRDefault="00C45D5B" w:rsidP="00CF774B">
            <w:pPr>
              <w:rPr>
                <w:rFonts w:cs="Times New Roman"/>
                <w:b/>
                <w:bCs/>
                <w:color w:val="2C9ADC"/>
                <w:sz w:val="20"/>
              </w:rPr>
            </w:pPr>
            <w:bookmarkStart w:id="289" w:name="_Toc71622475"/>
            <w:bookmarkStart w:id="290" w:name="_Toc101880716"/>
            <w:r w:rsidRPr="000D239C">
              <w:rPr>
                <w:b/>
                <w:color w:val="2C9ADC" w:themeColor="accent1"/>
                <w:sz w:val="20"/>
              </w:rPr>
              <w:t xml:space="preserve">TABUĽKA </w:t>
            </w:r>
            <w:r w:rsidRPr="000D239C">
              <w:rPr>
                <w:b/>
                <w:color w:val="2C9ADC" w:themeColor="accent1"/>
                <w:sz w:val="20"/>
              </w:rPr>
              <w:fldChar w:fldCharType="begin"/>
            </w:r>
            <w:r w:rsidRPr="000D239C">
              <w:rPr>
                <w:b/>
                <w:color w:val="2C9ADC" w:themeColor="accent1"/>
                <w:sz w:val="20"/>
              </w:rPr>
              <w:instrText xml:space="preserve"> SEQ TABUĽKA \* ARABIC </w:instrText>
            </w:r>
            <w:r w:rsidRPr="000D239C">
              <w:rPr>
                <w:b/>
                <w:color w:val="2C9ADC" w:themeColor="accent1"/>
                <w:sz w:val="20"/>
              </w:rPr>
              <w:fldChar w:fldCharType="separate"/>
            </w:r>
            <w:r w:rsidR="005D3280">
              <w:rPr>
                <w:b/>
                <w:noProof/>
                <w:color w:val="2C9ADC" w:themeColor="accent1"/>
                <w:sz w:val="20"/>
              </w:rPr>
              <w:t>37</w:t>
            </w:r>
            <w:r w:rsidRPr="000D239C">
              <w:rPr>
                <w:b/>
                <w:color w:val="2C9ADC" w:themeColor="accent1"/>
                <w:sz w:val="20"/>
              </w:rPr>
              <w:fldChar w:fldCharType="end"/>
            </w:r>
            <w:r w:rsidRPr="000D239C">
              <w:rPr>
                <w:b/>
                <w:color w:val="2C9ADC" w:themeColor="accent1"/>
                <w:sz w:val="20"/>
              </w:rPr>
              <w:t xml:space="preserve"> – </w:t>
            </w:r>
            <w:r w:rsidRPr="000D239C">
              <w:rPr>
                <w:rFonts w:cs="Times New Roman"/>
                <w:b/>
                <w:bCs/>
                <w:color w:val="2C9ADC"/>
                <w:sz w:val="20"/>
              </w:rPr>
              <w:t>Zoznam jednorazových opatrení</w:t>
            </w:r>
            <w:bookmarkEnd w:id="289"/>
            <w:bookmarkEnd w:id="290"/>
            <w:r w:rsidRPr="000D239C">
              <w:rPr>
                <w:rFonts w:cs="Times New Roman"/>
                <w:b/>
                <w:bCs/>
                <w:color w:val="2C9ADC"/>
                <w:sz w:val="20"/>
              </w:rPr>
              <w:t xml:space="preserve"> </w:t>
            </w:r>
          </w:p>
          <w:tbl>
            <w:tblPr>
              <w:tblW w:w="8930" w:type="dxa"/>
              <w:tblCellMar>
                <w:left w:w="70" w:type="dxa"/>
                <w:right w:w="70" w:type="dxa"/>
              </w:tblCellMar>
              <w:tblLook w:val="04A0" w:firstRow="1" w:lastRow="0" w:firstColumn="1" w:lastColumn="0" w:noHBand="0" w:noVBand="1"/>
            </w:tblPr>
            <w:tblGrid>
              <w:gridCol w:w="348"/>
              <w:gridCol w:w="4160"/>
              <w:gridCol w:w="664"/>
              <w:gridCol w:w="709"/>
              <w:gridCol w:w="709"/>
              <w:gridCol w:w="708"/>
              <w:gridCol w:w="709"/>
              <w:gridCol w:w="923"/>
            </w:tblGrid>
            <w:tr w:rsidR="00C45D5B" w:rsidRPr="00AB54ED" w14:paraId="60EB0A2B" w14:textId="77777777" w:rsidTr="00CF774B">
              <w:trPr>
                <w:trHeight w:val="149"/>
              </w:trPr>
              <w:tc>
                <w:tcPr>
                  <w:tcW w:w="348" w:type="dxa"/>
                  <w:tcBorders>
                    <w:top w:val="nil"/>
                    <w:left w:val="nil"/>
                    <w:bottom w:val="single" w:sz="8" w:space="0" w:color="auto"/>
                    <w:right w:val="nil"/>
                  </w:tcBorders>
                  <w:shd w:val="clear" w:color="auto" w:fill="auto"/>
                  <w:noWrap/>
                  <w:vAlign w:val="center"/>
                  <w:hideMark/>
                </w:tcPr>
                <w:p w14:paraId="2ADDE2E8" w14:textId="77777777" w:rsidR="00C45D5B" w:rsidRPr="000D239C" w:rsidRDefault="00C45D5B" w:rsidP="00CF774B">
                  <w:pPr>
                    <w:jc w:val="center"/>
                    <w:rPr>
                      <w:rFonts w:cs="Calibri"/>
                      <w:b/>
                      <w:bCs/>
                      <w:color w:val="000000"/>
                      <w:sz w:val="18"/>
                      <w:szCs w:val="18"/>
                    </w:rPr>
                  </w:pPr>
                  <w:r w:rsidRPr="000D239C">
                    <w:rPr>
                      <w:rFonts w:cs="Calibri"/>
                      <w:b/>
                      <w:bCs/>
                      <w:color w:val="000000"/>
                      <w:sz w:val="18"/>
                      <w:szCs w:val="18"/>
                    </w:rPr>
                    <w:t> </w:t>
                  </w:r>
                </w:p>
              </w:tc>
              <w:tc>
                <w:tcPr>
                  <w:tcW w:w="4160" w:type="dxa"/>
                  <w:tcBorders>
                    <w:top w:val="nil"/>
                    <w:left w:val="nil"/>
                    <w:bottom w:val="single" w:sz="8" w:space="0" w:color="auto"/>
                    <w:right w:val="nil"/>
                  </w:tcBorders>
                  <w:shd w:val="clear" w:color="auto" w:fill="auto"/>
                  <w:noWrap/>
                  <w:vAlign w:val="bottom"/>
                  <w:hideMark/>
                </w:tcPr>
                <w:p w14:paraId="1D5697C1" w14:textId="77777777" w:rsidR="00C45D5B" w:rsidRPr="000D239C" w:rsidRDefault="00C45D5B" w:rsidP="00CF774B">
                  <w:pPr>
                    <w:rPr>
                      <w:rFonts w:cs="Calibri"/>
                      <w:color w:val="000000"/>
                      <w:sz w:val="18"/>
                      <w:szCs w:val="18"/>
                    </w:rPr>
                  </w:pPr>
                  <w:r w:rsidRPr="000D239C">
                    <w:rPr>
                      <w:rFonts w:cs="Calibri"/>
                      <w:color w:val="000000"/>
                      <w:sz w:val="18"/>
                      <w:szCs w:val="18"/>
                    </w:rPr>
                    <w:t> </w:t>
                  </w:r>
                </w:p>
              </w:tc>
              <w:tc>
                <w:tcPr>
                  <w:tcW w:w="664" w:type="dxa"/>
                  <w:tcBorders>
                    <w:top w:val="nil"/>
                    <w:left w:val="nil"/>
                    <w:bottom w:val="single" w:sz="8" w:space="0" w:color="auto"/>
                    <w:right w:val="nil"/>
                  </w:tcBorders>
                  <w:shd w:val="clear" w:color="auto" w:fill="auto"/>
                  <w:noWrap/>
                  <w:vAlign w:val="bottom"/>
                  <w:hideMark/>
                </w:tcPr>
                <w:p w14:paraId="1E0886CE" w14:textId="77777777" w:rsidR="00C45D5B" w:rsidRPr="000D239C" w:rsidRDefault="00C45D5B" w:rsidP="00CF774B">
                  <w:pPr>
                    <w:jc w:val="center"/>
                    <w:rPr>
                      <w:rFonts w:cs="Calibri"/>
                      <w:b/>
                      <w:bCs/>
                      <w:color w:val="000000"/>
                      <w:sz w:val="18"/>
                      <w:szCs w:val="18"/>
                    </w:rPr>
                  </w:pPr>
                  <w:r w:rsidRPr="000D239C">
                    <w:rPr>
                      <w:rFonts w:cs="Calibri"/>
                      <w:b/>
                      <w:bCs/>
                      <w:color w:val="000000"/>
                      <w:sz w:val="18"/>
                      <w:szCs w:val="18"/>
                    </w:rPr>
                    <w:t>2020</w:t>
                  </w:r>
                </w:p>
              </w:tc>
              <w:tc>
                <w:tcPr>
                  <w:tcW w:w="709" w:type="dxa"/>
                  <w:tcBorders>
                    <w:top w:val="nil"/>
                    <w:left w:val="nil"/>
                    <w:bottom w:val="single" w:sz="8" w:space="0" w:color="auto"/>
                    <w:right w:val="nil"/>
                  </w:tcBorders>
                  <w:shd w:val="clear" w:color="auto" w:fill="auto"/>
                  <w:noWrap/>
                  <w:vAlign w:val="bottom"/>
                  <w:hideMark/>
                </w:tcPr>
                <w:p w14:paraId="48284F72" w14:textId="77777777" w:rsidR="00C45D5B" w:rsidRPr="000D239C" w:rsidRDefault="00C45D5B" w:rsidP="00CF774B">
                  <w:pPr>
                    <w:jc w:val="center"/>
                    <w:rPr>
                      <w:rFonts w:cs="Calibri"/>
                      <w:b/>
                      <w:bCs/>
                      <w:color w:val="000000"/>
                      <w:sz w:val="18"/>
                      <w:szCs w:val="18"/>
                    </w:rPr>
                  </w:pPr>
                  <w:r w:rsidRPr="000D239C">
                    <w:rPr>
                      <w:rFonts w:cs="Calibri"/>
                      <w:b/>
                      <w:bCs/>
                      <w:color w:val="000000"/>
                      <w:sz w:val="18"/>
                      <w:szCs w:val="18"/>
                    </w:rPr>
                    <w:t>2021</w:t>
                  </w:r>
                </w:p>
              </w:tc>
              <w:tc>
                <w:tcPr>
                  <w:tcW w:w="709" w:type="dxa"/>
                  <w:tcBorders>
                    <w:top w:val="nil"/>
                    <w:left w:val="nil"/>
                    <w:bottom w:val="single" w:sz="8" w:space="0" w:color="auto"/>
                    <w:right w:val="nil"/>
                  </w:tcBorders>
                  <w:shd w:val="clear" w:color="auto" w:fill="auto"/>
                  <w:noWrap/>
                  <w:vAlign w:val="bottom"/>
                  <w:hideMark/>
                </w:tcPr>
                <w:p w14:paraId="4D7CB49C" w14:textId="77777777" w:rsidR="00C45D5B" w:rsidRPr="000D239C" w:rsidRDefault="00C45D5B" w:rsidP="00CF774B">
                  <w:pPr>
                    <w:jc w:val="center"/>
                    <w:rPr>
                      <w:rFonts w:cs="Calibri"/>
                      <w:b/>
                      <w:bCs/>
                      <w:color w:val="000000"/>
                      <w:sz w:val="18"/>
                      <w:szCs w:val="18"/>
                    </w:rPr>
                  </w:pPr>
                  <w:r w:rsidRPr="000D239C">
                    <w:rPr>
                      <w:rFonts w:cs="Calibri"/>
                      <w:b/>
                      <w:bCs/>
                      <w:color w:val="000000"/>
                      <w:sz w:val="18"/>
                      <w:szCs w:val="18"/>
                    </w:rPr>
                    <w:t>2022</w:t>
                  </w:r>
                </w:p>
              </w:tc>
              <w:tc>
                <w:tcPr>
                  <w:tcW w:w="708" w:type="dxa"/>
                  <w:tcBorders>
                    <w:top w:val="nil"/>
                    <w:left w:val="nil"/>
                    <w:bottom w:val="single" w:sz="8" w:space="0" w:color="auto"/>
                    <w:right w:val="nil"/>
                  </w:tcBorders>
                  <w:shd w:val="clear" w:color="auto" w:fill="auto"/>
                  <w:noWrap/>
                  <w:vAlign w:val="bottom"/>
                  <w:hideMark/>
                </w:tcPr>
                <w:p w14:paraId="4429A99A" w14:textId="77777777" w:rsidR="00C45D5B" w:rsidRPr="000D239C" w:rsidRDefault="00C45D5B" w:rsidP="00CF774B">
                  <w:pPr>
                    <w:jc w:val="center"/>
                    <w:rPr>
                      <w:rFonts w:cs="Calibri"/>
                      <w:b/>
                      <w:bCs/>
                      <w:color w:val="000000"/>
                      <w:sz w:val="18"/>
                      <w:szCs w:val="18"/>
                    </w:rPr>
                  </w:pPr>
                  <w:r w:rsidRPr="000D239C">
                    <w:rPr>
                      <w:rFonts w:cs="Calibri"/>
                      <w:b/>
                      <w:bCs/>
                      <w:color w:val="000000"/>
                      <w:sz w:val="18"/>
                      <w:szCs w:val="18"/>
                    </w:rPr>
                    <w:t>2023</w:t>
                  </w:r>
                </w:p>
              </w:tc>
              <w:tc>
                <w:tcPr>
                  <w:tcW w:w="709" w:type="dxa"/>
                  <w:tcBorders>
                    <w:top w:val="nil"/>
                    <w:left w:val="nil"/>
                    <w:bottom w:val="single" w:sz="8" w:space="0" w:color="auto"/>
                    <w:right w:val="nil"/>
                  </w:tcBorders>
                  <w:shd w:val="clear" w:color="auto" w:fill="auto"/>
                  <w:noWrap/>
                  <w:vAlign w:val="bottom"/>
                  <w:hideMark/>
                </w:tcPr>
                <w:p w14:paraId="0D5C4620" w14:textId="77777777" w:rsidR="00C45D5B" w:rsidRPr="000D239C" w:rsidRDefault="00C45D5B" w:rsidP="00CF774B">
                  <w:pPr>
                    <w:jc w:val="center"/>
                    <w:rPr>
                      <w:rFonts w:cs="Calibri"/>
                      <w:b/>
                      <w:bCs/>
                      <w:color w:val="000000"/>
                      <w:sz w:val="18"/>
                      <w:szCs w:val="18"/>
                    </w:rPr>
                  </w:pPr>
                  <w:r w:rsidRPr="000D239C">
                    <w:rPr>
                      <w:rFonts w:cs="Calibri"/>
                      <w:b/>
                      <w:bCs/>
                      <w:color w:val="000000"/>
                      <w:sz w:val="18"/>
                      <w:szCs w:val="18"/>
                    </w:rPr>
                    <w:t>2024</w:t>
                  </w:r>
                </w:p>
              </w:tc>
              <w:tc>
                <w:tcPr>
                  <w:tcW w:w="923" w:type="dxa"/>
                  <w:tcBorders>
                    <w:top w:val="nil"/>
                    <w:left w:val="nil"/>
                    <w:bottom w:val="single" w:sz="8" w:space="0" w:color="auto"/>
                    <w:right w:val="nil"/>
                  </w:tcBorders>
                </w:tcPr>
                <w:p w14:paraId="27FAF08D" w14:textId="77777777" w:rsidR="00C45D5B" w:rsidRPr="000D239C" w:rsidRDefault="00C45D5B" w:rsidP="00CF774B">
                  <w:pPr>
                    <w:jc w:val="center"/>
                    <w:rPr>
                      <w:rFonts w:cs="Calibri"/>
                      <w:b/>
                      <w:bCs/>
                      <w:color w:val="000000"/>
                      <w:sz w:val="18"/>
                      <w:szCs w:val="18"/>
                    </w:rPr>
                  </w:pPr>
                  <w:r w:rsidRPr="000D239C">
                    <w:rPr>
                      <w:rFonts w:cs="Calibri"/>
                      <w:b/>
                      <w:bCs/>
                      <w:color w:val="000000"/>
                      <w:sz w:val="18"/>
                      <w:szCs w:val="18"/>
                    </w:rPr>
                    <w:t>2025</w:t>
                  </w:r>
                </w:p>
              </w:tc>
            </w:tr>
            <w:tr w:rsidR="00C45D5B" w:rsidRPr="00AB54ED" w14:paraId="4BDAF0E0" w14:textId="77777777" w:rsidTr="00CF774B">
              <w:trPr>
                <w:trHeight w:val="278"/>
              </w:trPr>
              <w:tc>
                <w:tcPr>
                  <w:tcW w:w="348" w:type="dxa"/>
                  <w:tcBorders>
                    <w:top w:val="nil"/>
                    <w:left w:val="nil"/>
                    <w:bottom w:val="nil"/>
                    <w:right w:val="nil"/>
                  </w:tcBorders>
                  <w:shd w:val="clear" w:color="auto" w:fill="auto"/>
                  <w:noWrap/>
                  <w:vAlign w:val="bottom"/>
                  <w:hideMark/>
                </w:tcPr>
                <w:p w14:paraId="33F1EF42" w14:textId="77777777" w:rsidR="00C45D5B" w:rsidRDefault="00C45D5B" w:rsidP="00CF774B">
                  <w:pPr>
                    <w:jc w:val="right"/>
                    <w:rPr>
                      <w:rFonts w:cs="Calibri"/>
                      <w:color w:val="000000"/>
                      <w:sz w:val="18"/>
                      <w:szCs w:val="18"/>
                    </w:rPr>
                  </w:pPr>
                  <w:r>
                    <w:rPr>
                      <w:rFonts w:cs="Calibri"/>
                      <w:color w:val="000000"/>
                      <w:sz w:val="18"/>
                      <w:szCs w:val="18"/>
                    </w:rPr>
                    <w:t>1</w:t>
                  </w:r>
                </w:p>
              </w:tc>
              <w:tc>
                <w:tcPr>
                  <w:tcW w:w="4160" w:type="dxa"/>
                  <w:tcBorders>
                    <w:top w:val="nil"/>
                    <w:left w:val="nil"/>
                    <w:bottom w:val="nil"/>
                  </w:tcBorders>
                  <w:shd w:val="clear" w:color="auto" w:fill="auto"/>
                  <w:noWrap/>
                  <w:vAlign w:val="center"/>
                  <w:hideMark/>
                </w:tcPr>
                <w:p w14:paraId="6374966F" w14:textId="77777777" w:rsidR="00C45D5B" w:rsidRDefault="00C45D5B" w:rsidP="00CF774B">
                  <w:pPr>
                    <w:rPr>
                      <w:rFonts w:cs="Calibri"/>
                      <w:color w:val="000000"/>
                      <w:sz w:val="18"/>
                      <w:szCs w:val="18"/>
                    </w:rPr>
                  </w:pPr>
                  <w:r>
                    <w:rPr>
                      <w:rFonts w:cs="Calibri"/>
                      <w:color w:val="000000"/>
                      <w:sz w:val="18"/>
                      <w:szCs w:val="18"/>
                    </w:rPr>
                    <w:t>Spolu opatrenia 1 až 4B (Kurzarbeit)</w:t>
                  </w:r>
                </w:p>
              </w:tc>
              <w:tc>
                <w:tcPr>
                  <w:tcW w:w="664" w:type="dxa"/>
                  <w:tcBorders>
                    <w:top w:val="single" w:sz="8" w:space="0" w:color="auto"/>
                    <w:bottom w:val="nil"/>
                    <w:right w:val="nil"/>
                  </w:tcBorders>
                  <w:shd w:val="clear" w:color="auto" w:fill="auto"/>
                  <w:noWrap/>
                  <w:vAlign w:val="center"/>
                  <w:hideMark/>
                </w:tcPr>
                <w:p w14:paraId="0ABC09E7" w14:textId="77777777" w:rsidR="00C45D5B" w:rsidRDefault="00C45D5B" w:rsidP="00CF774B">
                  <w:pPr>
                    <w:jc w:val="center"/>
                    <w:rPr>
                      <w:rFonts w:cs="Calibri"/>
                      <w:color w:val="000000"/>
                      <w:sz w:val="18"/>
                      <w:szCs w:val="18"/>
                    </w:rPr>
                  </w:pPr>
                  <w:r>
                    <w:rPr>
                      <w:rFonts w:cs="Calibri"/>
                      <w:color w:val="000000"/>
                      <w:sz w:val="18"/>
                      <w:szCs w:val="18"/>
                    </w:rPr>
                    <w:t>-997</w:t>
                  </w:r>
                </w:p>
              </w:tc>
              <w:tc>
                <w:tcPr>
                  <w:tcW w:w="709" w:type="dxa"/>
                  <w:tcBorders>
                    <w:top w:val="nil"/>
                    <w:left w:val="nil"/>
                    <w:bottom w:val="nil"/>
                    <w:right w:val="nil"/>
                  </w:tcBorders>
                  <w:shd w:val="clear" w:color="auto" w:fill="auto"/>
                  <w:noWrap/>
                  <w:vAlign w:val="center"/>
                  <w:hideMark/>
                </w:tcPr>
                <w:p w14:paraId="6AD493C5" w14:textId="77777777" w:rsidR="00C45D5B" w:rsidRDefault="00C45D5B" w:rsidP="00CF774B">
                  <w:pPr>
                    <w:jc w:val="center"/>
                    <w:rPr>
                      <w:rFonts w:cs="Calibri"/>
                      <w:color w:val="000000"/>
                      <w:sz w:val="18"/>
                      <w:szCs w:val="18"/>
                    </w:rPr>
                  </w:pPr>
                  <w:r>
                    <w:rPr>
                      <w:rFonts w:cs="Calibri"/>
                      <w:color w:val="000000"/>
                      <w:sz w:val="18"/>
                      <w:szCs w:val="18"/>
                    </w:rPr>
                    <w:t>-1266</w:t>
                  </w:r>
                </w:p>
              </w:tc>
              <w:tc>
                <w:tcPr>
                  <w:tcW w:w="709" w:type="dxa"/>
                  <w:tcBorders>
                    <w:top w:val="nil"/>
                    <w:left w:val="nil"/>
                    <w:bottom w:val="nil"/>
                    <w:right w:val="nil"/>
                  </w:tcBorders>
                  <w:shd w:val="clear" w:color="auto" w:fill="auto"/>
                  <w:vAlign w:val="center"/>
                  <w:hideMark/>
                </w:tcPr>
                <w:p w14:paraId="7835D6E3" w14:textId="77777777" w:rsidR="00C45D5B" w:rsidRDefault="00C45D5B" w:rsidP="00CF774B">
                  <w:pPr>
                    <w:jc w:val="center"/>
                    <w:rPr>
                      <w:rFonts w:cs="Calibri"/>
                      <w:color w:val="000000"/>
                      <w:sz w:val="18"/>
                      <w:szCs w:val="18"/>
                    </w:rPr>
                  </w:pPr>
                  <w:r>
                    <w:rPr>
                      <w:rFonts w:cs="Calibri"/>
                      <w:color w:val="000000"/>
                      <w:sz w:val="18"/>
                      <w:szCs w:val="18"/>
                    </w:rPr>
                    <w:t>-288</w:t>
                  </w:r>
                </w:p>
              </w:tc>
              <w:tc>
                <w:tcPr>
                  <w:tcW w:w="708" w:type="dxa"/>
                  <w:tcBorders>
                    <w:top w:val="nil"/>
                    <w:left w:val="nil"/>
                    <w:bottom w:val="nil"/>
                    <w:right w:val="nil"/>
                  </w:tcBorders>
                  <w:shd w:val="clear" w:color="auto" w:fill="auto"/>
                  <w:vAlign w:val="center"/>
                  <w:hideMark/>
                </w:tcPr>
                <w:p w14:paraId="4481B914"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3FA5FC6C"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5DD19200"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1FCA0EE6" w14:textId="77777777" w:rsidTr="00CF774B">
              <w:trPr>
                <w:trHeight w:val="270"/>
              </w:trPr>
              <w:tc>
                <w:tcPr>
                  <w:tcW w:w="348" w:type="dxa"/>
                  <w:tcBorders>
                    <w:top w:val="nil"/>
                    <w:left w:val="nil"/>
                    <w:bottom w:val="nil"/>
                    <w:right w:val="nil"/>
                  </w:tcBorders>
                  <w:shd w:val="clear" w:color="auto" w:fill="auto"/>
                  <w:noWrap/>
                  <w:vAlign w:val="bottom"/>
                  <w:hideMark/>
                </w:tcPr>
                <w:p w14:paraId="2957AA47" w14:textId="77777777" w:rsidR="00C45D5B" w:rsidRDefault="00C45D5B" w:rsidP="00CF774B">
                  <w:pPr>
                    <w:jc w:val="right"/>
                    <w:rPr>
                      <w:rFonts w:cs="Calibri"/>
                      <w:color w:val="000000"/>
                      <w:sz w:val="18"/>
                      <w:szCs w:val="18"/>
                    </w:rPr>
                  </w:pPr>
                  <w:r>
                    <w:rPr>
                      <w:rFonts w:cs="Calibri"/>
                      <w:color w:val="000000"/>
                      <w:sz w:val="18"/>
                      <w:szCs w:val="18"/>
                    </w:rPr>
                    <w:t>2</w:t>
                  </w:r>
                </w:p>
              </w:tc>
              <w:tc>
                <w:tcPr>
                  <w:tcW w:w="4160" w:type="dxa"/>
                  <w:tcBorders>
                    <w:top w:val="nil"/>
                    <w:left w:val="nil"/>
                    <w:bottom w:val="nil"/>
                    <w:right w:val="nil"/>
                  </w:tcBorders>
                  <w:shd w:val="clear" w:color="auto" w:fill="auto"/>
                  <w:noWrap/>
                  <w:vAlign w:val="center"/>
                  <w:hideMark/>
                </w:tcPr>
                <w:p w14:paraId="232C24A9" w14:textId="77777777" w:rsidR="00C45D5B" w:rsidRDefault="00C45D5B" w:rsidP="00CF774B">
                  <w:pPr>
                    <w:rPr>
                      <w:rFonts w:cs="Calibri"/>
                      <w:color w:val="000000"/>
                      <w:sz w:val="18"/>
                      <w:szCs w:val="18"/>
                    </w:rPr>
                  </w:pPr>
                  <w:r>
                    <w:rPr>
                      <w:rFonts w:cs="Calibri"/>
                      <w:color w:val="000000"/>
                      <w:sz w:val="18"/>
                      <w:szCs w:val="18"/>
                    </w:rPr>
                    <w:t>Kurzarbeit pre materské školy a ZUŠ</w:t>
                  </w:r>
                </w:p>
              </w:tc>
              <w:tc>
                <w:tcPr>
                  <w:tcW w:w="664" w:type="dxa"/>
                  <w:tcBorders>
                    <w:top w:val="nil"/>
                    <w:left w:val="nil"/>
                    <w:bottom w:val="nil"/>
                    <w:right w:val="nil"/>
                  </w:tcBorders>
                  <w:shd w:val="clear" w:color="auto" w:fill="auto"/>
                  <w:noWrap/>
                  <w:vAlign w:val="center"/>
                  <w:hideMark/>
                </w:tcPr>
                <w:p w14:paraId="6F872A14" w14:textId="77777777" w:rsidR="00C45D5B" w:rsidRDefault="00C45D5B" w:rsidP="00CF774B">
                  <w:pPr>
                    <w:jc w:val="center"/>
                    <w:rPr>
                      <w:rFonts w:cs="Calibri"/>
                      <w:color w:val="000000"/>
                      <w:sz w:val="18"/>
                      <w:szCs w:val="18"/>
                    </w:rPr>
                  </w:pPr>
                  <w:r>
                    <w:rPr>
                      <w:rFonts w:cs="Calibri"/>
                      <w:color w:val="000000"/>
                      <w:sz w:val="18"/>
                      <w:szCs w:val="18"/>
                    </w:rPr>
                    <w:t>-59</w:t>
                  </w:r>
                </w:p>
              </w:tc>
              <w:tc>
                <w:tcPr>
                  <w:tcW w:w="709" w:type="dxa"/>
                  <w:tcBorders>
                    <w:top w:val="nil"/>
                    <w:left w:val="nil"/>
                    <w:bottom w:val="nil"/>
                    <w:right w:val="nil"/>
                  </w:tcBorders>
                  <w:shd w:val="clear" w:color="auto" w:fill="auto"/>
                  <w:vAlign w:val="center"/>
                  <w:hideMark/>
                </w:tcPr>
                <w:p w14:paraId="2F66346F" w14:textId="77777777" w:rsidR="00C45D5B" w:rsidRDefault="00C45D5B" w:rsidP="00CF774B">
                  <w:pPr>
                    <w:jc w:val="center"/>
                    <w:rPr>
                      <w:rFonts w:cs="Calibri"/>
                      <w:color w:val="000000"/>
                      <w:sz w:val="18"/>
                      <w:szCs w:val="18"/>
                    </w:rPr>
                  </w:pPr>
                  <w:r>
                    <w:rPr>
                      <w:rFonts w:cs="Calibri"/>
                      <w:color w:val="000000"/>
                      <w:sz w:val="18"/>
                      <w:szCs w:val="18"/>
                    </w:rPr>
                    <w:t>-18</w:t>
                  </w:r>
                </w:p>
              </w:tc>
              <w:tc>
                <w:tcPr>
                  <w:tcW w:w="709" w:type="dxa"/>
                  <w:tcBorders>
                    <w:top w:val="nil"/>
                    <w:left w:val="nil"/>
                    <w:bottom w:val="nil"/>
                    <w:right w:val="nil"/>
                  </w:tcBorders>
                  <w:shd w:val="clear" w:color="auto" w:fill="auto"/>
                  <w:vAlign w:val="center"/>
                  <w:hideMark/>
                </w:tcPr>
                <w:p w14:paraId="7EF640D7"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482272FD"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6CA2298D"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2420F7AB"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66CD1FB0" w14:textId="77777777" w:rsidTr="00CF774B">
              <w:trPr>
                <w:trHeight w:val="270"/>
              </w:trPr>
              <w:tc>
                <w:tcPr>
                  <w:tcW w:w="348" w:type="dxa"/>
                  <w:tcBorders>
                    <w:top w:val="nil"/>
                    <w:left w:val="nil"/>
                    <w:bottom w:val="nil"/>
                    <w:right w:val="nil"/>
                  </w:tcBorders>
                  <w:shd w:val="clear" w:color="auto" w:fill="auto"/>
                  <w:noWrap/>
                  <w:vAlign w:val="bottom"/>
                  <w:hideMark/>
                </w:tcPr>
                <w:p w14:paraId="25AA54BD" w14:textId="77777777" w:rsidR="00C45D5B" w:rsidRDefault="00C45D5B" w:rsidP="00CF774B">
                  <w:pPr>
                    <w:jc w:val="right"/>
                    <w:rPr>
                      <w:rFonts w:cs="Calibri"/>
                      <w:color w:val="000000"/>
                      <w:sz w:val="18"/>
                      <w:szCs w:val="18"/>
                    </w:rPr>
                  </w:pPr>
                  <w:r>
                    <w:rPr>
                      <w:rFonts w:cs="Calibri"/>
                      <w:color w:val="000000"/>
                      <w:sz w:val="18"/>
                      <w:szCs w:val="18"/>
                    </w:rPr>
                    <w:t>3</w:t>
                  </w:r>
                </w:p>
              </w:tc>
              <w:tc>
                <w:tcPr>
                  <w:tcW w:w="4160" w:type="dxa"/>
                  <w:tcBorders>
                    <w:top w:val="nil"/>
                    <w:left w:val="nil"/>
                    <w:bottom w:val="nil"/>
                    <w:right w:val="nil"/>
                  </w:tcBorders>
                  <w:shd w:val="clear" w:color="auto" w:fill="auto"/>
                  <w:noWrap/>
                  <w:vAlign w:val="center"/>
                  <w:hideMark/>
                </w:tcPr>
                <w:p w14:paraId="12819F92" w14:textId="77777777" w:rsidR="00C45D5B" w:rsidRDefault="00C45D5B" w:rsidP="00CF774B">
                  <w:pPr>
                    <w:rPr>
                      <w:rFonts w:cs="Calibri"/>
                      <w:color w:val="000000"/>
                      <w:sz w:val="18"/>
                      <w:szCs w:val="18"/>
                    </w:rPr>
                  </w:pPr>
                  <w:r>
                    <w:rPr>
                      <w:rFonts w:cs="Calibri"/>
                      <w:color w:val="000000"/>
                      <w:sz w:val="18"/>
                      <w:szCs w:val="18"/>
                    </w:rPr>
                    <w:t>Podpora podnikania v cestovnom ruchu a gastro</w:t>
                  </w:r>
                </w:p>
              </w:tc>
              <w:tc>
                <w:tcPr>
                  <w:tcW w:w="664" w:type="dxa"/>
                  <w:tcBorders>
                    <w:top w:val="nil"/>
                    <w:left w:val="nil"/>
                    <w:bottom w:val="nil"/>
                    <w:right w:val="nil"/>
                  </w:tcBorders>
                  <w:shd w:val="clear" w:color="auto" w:fill="auto"/>
                  <w:vAlign w:val="center"/>
                  <w:hideMark/>
                </w:tcPr>
                <w:p w14:paraId="11D34D67" w14:textId="77777777" w:rsidR="00C45D5B" w:rsidRDefault="00C45D5B" w:rsidP="00CF774B">
                  <w:pPr>
                    <w:jc w:val="center"/>
                    <w:rPr>
                      <w:rFonts w:cs="Calibri"/>
                      <w:color w:val="000000"/>
                      <w:sz w:val="18"/>
                      <w:szCs w:val="18"/>
                    </w:rPr>
                  </w:pPr>
                  <w:r>
                    <w:rPr>
                      <w:rFonts w:cs="Calibri"/>
                      <w:color w:val="000000"/>
                      <w:sz w:val="18"/>
                      <w:szCs w:val="18"/>
                    </w:rPr>
                    <w:t>-6</w:t>
                  </w:r>
                </w:p>
              </w:tc>
              <w:tc>
                <w:tcPr>
                  <w:tcW w:w="709" w:type="dxa"/>
                  <w:tcBorders>
                    <w:top w:val="nil"/>
                    <w:left w:val="nil"/>
                    <w:bottom w:val="nil"/>
                    <w:right w:val="nil"/>
                  </w:tcBorders>
                  <w:shd w:val="clear" w:color="auto" w:fill="auto"/>
                  <w:noWrap/>
                  <w:vAlign w:val="center"/>
                  <w:hideMark/>
                </w:tcPr>
                <w:p w14:paraId="724D2615" w14:textId="77777777" w:rsidR="00C45D5B" w:rsidRDefault="00C45D5B" w:rsidP="00CF774B">
                  <w:pPr>
                    <w:jc w:val="center"/>
                    <w:rPr>
                      <w:rFonts w:cs="Calibri"/>
                      <w:color w:val="000000"/>
                      <w:sz w:val="18"/>
                      <w:szCs w:val="18"/>
                    </w:rPr>
                  </w:pPr>
                  <w:r>
                    <w:rPr>
                      <w:rFonts w:cs="Calibri"/>
                      <w:color w:val="000000"/>
                      <w:sz w:val="18"/>
                      <w:szCs w:val="18"/>
                    </w:rPr>
                    <w:t>-120</w:t>
                  </w:r>
                </w:p>
              </w:tc>
              <w:tc>
                <w:tcPr>
                  <w:tcW w:w="709" w:type="dxa"/>
                  <w:tcBorders>
                    <w:top w:val="nil"/>
                    <w:left w:val="nil"/>
                    <w:bottom w:val="nil"/>
                    <w:right w:val="nil"/>
                  </w:tcBorders>
                  <w:shd w:val="clear" w:color="auto" w:fill="auto"/>
                  <w:vAlign w:val="center"/>
                  <w:hideMark/>
                </w:tcPr>
                <w:p w14:paraId="14BAE047" w14:textId="77777777" w:rsidR="00C45D5B" w:rsidRDefault="00C45D5B" w:rsidP="00CF774B">
                  <w:pPr>
                    <w:jc w:val="center"/>
                    <w:rPr>
                      <w:rFonts w:cs="Calibri"/>
                      <w:color w:val="000000"/>
                      <w:sz w:val="18"/>
                      <w:szCs w:val="18"/>
                    </w:rPr>
                  </w:pPr>
                  <w:r>
                    <w:rPr>
                      <w:rFonts w:cs="Calibri"/>
                      <w:color w:val="000000"/>
                      <w:sz w:val="18"/>
                      <w:szCs w:val="18"/>
                    </w:rPr>
                    <w:t>-115</w:t>
                  </w:r>
                </w:p>
              </w:tc>
              <w:tc>
                <w:tcPr>
                  <w:tcW w:w="708" w:type="dxa"/>
                  <w:tcBorders>
                    <w:top w:val="nil"/>
                    <w:left w:val="nil"/>
                    <w:bottom w:val="nil"/>
                    <w:right w:val="nil"/>
                  </w:tcBorders>
                  <w:shd w:val="clear" w:color="auto" w:fill="auto"/>
                  <w:vAlign w:val="center"/>
                  <w:hideMark/>
                </w:tcPr>
                <w:p w14:paraId="603AC5F4"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49C90A64"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40A0759F"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123B9344" w14:textId="77777777" w:rsidTr="00CF774B">
              <w:trPr>
                <w:trHeight w:val="323"/>
              </w:trPr>
              <w:tc>
                <w:tcPr>
                  <w:tcW w:w="348" w:type="dxa"/>
                  <w:tcBorders>
                    <w:top w:val="nil"/>
                    <w:left w:val="nil"/>
                    <w:bottom w:val="nil"/>
                    <w:right w:val="nil"/>
                  </w:tcBorders>
                  <w:shd w:val="clear" w:color="auto" w:fill="auto"/>
                  <w:noWrap/>
                  <w:vAlign w:val="bottom"/>
                  <w:hideMark/>
                </w:tcPr>
                <w:p w14:paraId="6645955A" w14:textId="77777777" w:rsidR="00C45D5B" w:rsidRDefault="00C45D5B" w:rsidP="00CF774B">
                  <w:pPr>
                    <w:jc w:val="right"/>
                    <w:rPr>
                      <w:rFonts w:cs="Calibri"/>
                      <w:color w:val="000000"/>
                      <w:sz w:val="18"/>
                      <w:szCs w:val="18"/>
                    </w:rPr>
                  </w:pPr>
                  <w:r>
                    <w:rPr>
                      <w:rFonts w:cs="Calibri"/>
                      <w:color w:val="000000"/>
                      <w:sz w:val="18"/>
                      <w:szCs w:val="18"/>
                    </w:rPr>
                    <w:t>4</w:t>
                  </w:r>
                </w:p>
              </w:tc>
              <w:tc>
                <w:tcPr>
                  <w:tcW w:w="4160" w:type="dxa"/>
                  <w:tcBorders>
                    <w:top w:val="nil"/>
                    <w:left w:val="nil"/>
                    <w:bottom w:val="nil"/>
                    <w:right w:val="nil"/>
                  </w:tcBorders>
                  <w:shd w:val="clear" w:color="auto" w:fill="auto"/>
                  <w:noWrap/>
                  <w:vAlign w:val="center"/>
                  <w:hideMark/>
                </w:tcPr>
                <w:p w14:paraId="167F858C" w14:textId="77777777" w:rsidR="00C45D5B" w:rsidRDefault="00C45D5B" w:rsidP="00CF774B">
                  <w:pPr>
                    <w:rPr>
                      <w:rFonts w:cs="Calibri"/>
                      <w:color w:val="000000"/>
                      <w:sz w:val="18"/>
                      <w:szCs w:val="18"/>
                    </w:rPr>
                  </w:pPr>
                  <w:r>
                    <w:rPr>
                      <w:rFonts w:cs="Calibri"/>
                      <w:color w:val="000000"/>
                      <w:sz w:val="18"/>
                      <w:szCs w:val="18"/>
                    </w:rPr>
                    <w:t>Podpora podnikania v oblasti kultúry a kreatívneho priemyslu</w:t>
                  </w:r>
                </w:p>
              </w:tc>
              <w:tc>
                <w:tcPr>
                  <w:tcW w:w="664" w:type="dxa"/>
                  <w:tcBorders>
                    <w:top w:val="nil"/>
                    <w:left w:val="nil"/>
                    <w:bottom w:val="nil"/>
                    <w:right w:val="nil"/>
                  </w:tcBorders>
                  <w:shd w:val="clear" w:color="auto" w:fill="auto"/>
                  <w:vAlign w:val="center"/>
                  <w:hideMark/>
                </w:tcPr>
                <w:p w14:paraId="35331C42"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noWrap/>
                  <w:vAlign w:val="center"/>
                  <w:hideMark/>
                </w:tcPr>
                <w:p w14:paraId="04CFE600" w14:textId="77777777" w:rsidR="00C45D5B" w:rsidRDefault="00C45D5B" w:rsidP="00CF774B">
                  <w:pPr>
                    <w:jc w:val="center"/>
                    <w:rPr>
                      <w:rFonts w:cs="Calibri"/>
                      <w:color w:val="000000"/>
                      <w:sz w:val="18"/>
                      <w:szCs w:val="18"/>
                    </w:rPr>
                  </w:pPr>
                  <w:r>
                    <w:rPr>
                      <w:rFonts w:cs="Calibri"/>
                      <w:color w:val="000000"/>
                      <w:sz w:val="18"/>
                      <w:szCs w:val="18"/>
                    </w:rPr>
                    <w:t>-8</w:t>
                  </w:r>
                </w:p>
              </w:tc>
              <w:tc>
                <w:tcPr>
                  <w:tcW w:w="709" w:type="dxa"/>
                  <w:tcBorders>
                    <w:top w:val="nil"/>
                    <w:left w:val="nil"/>
                    <w:bottom w:val="nil"/>
                    <w:right w:val="nil"/>
                  </w:tcBorders>
                  <w:shd w:val="clear" w:color="auto" w:fill="auto"/>
                  <w:vAlign w:val="center"/>
                  <w:hideMark/>
                </w:tcPr>
                <w:p w14:paraId="36B72F32"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2C9A568D"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37F71A58"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1DBA6183"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4E268695" w14:textId="77777777" w:rsidTr="00CF774B">
              <w:trPr>
                <w:trHeight w:val="289"/>
              </w:trPr>
              <w:tc>
                <w:tcPr>
                  <w:tcW w:w="348" w:type="dxa"/>
                  <w:tcBorders>
                    <w:top w:val="nil"/>
                    <w:left w:val="nil"/>
                    <w:bottom w:val="nil"/>
                    <w:right w:val="nil"/>
                  </w:tcBorders>
                  <w:shd w:val="clear" w:color="auto" w:fill="auto"/>
                  <w:noWrap/>
                  <w:vAlign w:val="bottom"/>
                  <w:hideMark/>
                </w:tcPr>
                <w:p w14:paraId="128D65C8" w14:textId="77777777" w:rsidR="00C45D5B" w:rsidRDefault="00C45D5B" w:rsidP="00CF774B">
                  <w:pPr>
                    <w:jc w:val="right"/>
                    <w:rPr>
                      <w:rFonts w:cs="Calibri"/>
                      <w:color w:val="000000"/>
                      <w:sz w:val="18"/>
                      <w:szCs w:val="18"/>
                    </w:rPr>
                  </w:pPr>
                  <w:r>
                    <w:rPr>
                      <w:rFonts w:cs="Calibri"/>
                      <w:color w:val="000000"/>
                      <w:sz w:val="18"/>
                      <w:szCs w:val="18"/>
                    </w:rPr>
                    <w:t>5</w:t>
                  </w:r>
                </w:p>
              </w:tc>
              <w:tc>
                <w:tcPr>
                  <w:tcW w:w="4160" w:type="dxa"/>
                  <w:tcBorders>
                    <w:top w:val="nil"/>
                    <w:left w:val="nil"/>
                    <w:bottom w:val="nil"/>
                    <w:right w:val="nil"/>
                  </w:tcBorders>
                  <w:shd w:val="clear" w:color="auto" w:fill="auto"/>
                  <w:noWrap/>
                  <w:vAlign w:val="bottom"/>
                  <w:hideMark/>
                </w:tcPr>
                <w:p w14:paraId="55866779" w14:textId="77777777" w:rsidR="00C45D5B" w:rsidRDefault="00C45D5B" w:rsidP="00CF774B">
                  <w:pPr>
                    <w:rPr>
                      <w:rFonts w:cs="Calibri"/>
                      <w:color w:val="000000"/>
                      <w:sz w:val="18"/>
                      <w:szCs w:val="18"/>
                    </w:rPr>
                  </w:pPr>
                  <w:r>
                    <w:rPr>
                      <w:rFonts w:cs="Calibri"/>
                      <w:color w:val="000000"/>
                      <w:sz w:val="18"/>
                      <w:szCs w:val="18"/>
                    </w:rPr>
                    <w:t>Preplácanie nájmu</w:t>
                  </w:r>
                </w:p>
              </w:tc>
              <w:tc>
                <w:tcPr>
                  <w:tcW w:w="664" w:type="dxa"/>
                  <w:tcBorders>
                    <w:top w:val="nil"/>
                    <w:left w:val="nil"/>
                    <w:bottom w:val="nil"/>
                    <w:right w:val="nil"/>
                  </w:tcBorders>
                  <w:shd w:val="clear" w:color="auto" w:fill="auto"/>
                  <w:vAlign w:val="center"/>
                  <w:hideMark/>
                </w:tcPr>
                <w:p w14:paraId="203C612E" w14:textId="77777777" w:rsidR="00C45D5B" w:rsidRDefault="00C45D5B" w:rsidP="00CF774B">
                  <w:pPr>
                    <w:jc w:val="center"/>
                    <w:rPr>
                      <w:rFonts w:cs="Calibri"/>
                      <w:color w:val="000000"/>
                      <w:sz w:val="18"/>
                      <w:szCs w:val="18"/>
                    </w:rPr>
                  </w:pPr>
                  <w:r>
                    <w:rPr>
                      <w:rFonts w:cs="Calibri"/>
                      <w:color w:val="000000"/>
                      <w:sz w:val="18"/>
                      <w:szCs w:val="18"/>
                    </w:rPr>
                    <w:t>-40</w:t>
                  </w:r>
                </w:p>
              </w:tc>
              <w:tc>
                <w:tcPr>
                  <w:tcW w:w="709" w:type="dxa"/>
                  <w:tcBorders>
                    <w:top w:val="nil"/>
                    <w:left w:val="nil"/>
                    <w:bottom w:val="nil"/>
                    <w:right w:val="nil"/>
                  </w:tcBorders>
                  <w:shd w:val="clear" w:color="auto" w:fill="auto"/>
                  <w:noWrap/>
                  <w:vAlign w:val="center"/>
                  <w:hideMark/>
                </w:tcPr>
                <w:p w14:paraId="4768DB7B" w14:textId="77777777" w:rsidR="00C45D5B" w:rsidRDefault="00C45D5B" w:rsidP="00CF774B">
                  <w:pPr>
                    <w:jc w:val="center"/>
                    <w:rPr>
                      <w:rFonts w:cs="Calibri"/>
                      <w:color w:val="000000"/>
                      <w:sz w:val="18"/>
                      <w:szCs w:val="18"/>
                    </w:rPr>
                  </w:pPr>
                  <w:r>
                    <w:rPr>
                      <w:rFonts w:cs="Calibri"/>
                      <w:color w:val="000000"/>
                      <w:sz w:val="18"/>
                      <w:szCs w:val="18"/>
                    </w:rPr>
                    <w:t>-94</w:t>
                  </w:r>
                </w:p>
              </w:tc>
              <w:tc>
                <w:tcPr>
                  <w:tcW w:w="709" w:type="dxa"/>
                  <w:tcBorders>
                    <w:top w:val="nil"/>
                    <w:left w:val="nil"/>
                    <w:bottom w:val="nil"/>
                    <w:right w:val="nil"/>
                  </w:tcBorders>
                  <w:shd w:val="clear" w:color="auto" w:fill="auto"/>
                  <w:vAlign w:val="center"/>
                  <w:hideMark/>
                </w:tcPr>
                <w:p w14:paraId="1CB8D940" w14:textId="77777777" w:rsidR="00C45D5B" w:rsidRDefault="00C45D5B" w:rsidP="00CF774B">
                  <w:pPr>
                    <w:jc w:val="center"/>
                    <w:rPr>
                      <w:rFonts w:cs="Calibri"/>
                      <w:color w:val="000000"/>
                      <w:sz w:val="18"/>
                      <w:szCs w:val="18"/>
                    </w:rPr>
                  </w:pPr>
                  <w:r>
                    <w:rPr>
                      <w:rFonts w:cs="Calibri"/>
                      <w:color w:val="000000"/>
                      <w:sz w:val="18"/>
                      <w:szCs w:val="18"/>
                    </w:rPr>
                    <w:t>-50,6</w:t>
                  </w:r>
                </w:p>
              </w:tc>
              <w:tc>
                <w:tcPr>
                  <w:tcW w:w="708" w:type="dxa"/>
                  <w:tcBorders>
                    <w:top w:val="nil"/>
                    <w:left w:val="nil"/>
                    <w:bottom w:val="nil"/>
                    <w:right w:val="nil"/>
                  </w:tcBorders>
                  <w:shd w:val="clear" w:color="auto" w:fill="auto"/>
                  <w:vAlign w:val="center"/>
                  <w:hideMark/>
                </w:tcPr>
                <w:p w14:paraId="7A731E60"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2D613692"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057755E3"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28ECACDC" w14:textId="77777777" w:rsidTr="00CF774B">
              <w:trPr>
                <w:trHeight w:val="270"/>
              </w:trPr>
              <w:tc>
                <w:tcPr>
                  <w:tcW w:w="348" w:type="dxa"/>
                  <w:tcBorders>
                    <w:top w:val="nil"/>
                    <w:left w:val="nil"/>
                    <w:bottom w:val="nil"/>
                    <w:right w:val="nil"/>
                  </w:tcBorders>
                  <w:shd w:val="clear" w:color="auto" w:fill="auto"/>
                  <w:noWrap/>
                  <w:vAlign w:val="bottom"/>
                  <w:hideMark/>
                </w:tcPr>
                <w:p w14:paraId="3705E6E9" w14:textId="77777777" w:rsidR="00C45D5B" w:rsidRDefault="00C45D5B" w:rsidP="00CF774B">
                  <w:pPr>
                    <w:jc w:val="right"/>
                    <w:rPr>
                      <w:rFonts w:cs="Calibri"/>
                      <w:color w:val="000000"/>
                      <w:sz w:val="18"/>
                      <w:szCs w:val="18"/>
                    </w:rPr>
                  </w:pPr>
                  <w:r>
                    <w:rPr>
                      <w:rFonts w:cs="Calibri"/>
                      <w:color w:val="000000"/>
                      <w:sz w:val="18"/>
                      <w:szCs w:val="18"/>
                    </w:rPr>
                    <w:t>6</w:t>
                  </w:r>
                </w:p>
              </w:tc>
              <w:tc>
                <w:tcPr>
                  <w:tcW w:w="4160" w:type="dxa"/>
                  <w:tcBorders>
                    <w:top w:val="nil"/>
                    <w:left w:val="nil"/>
                    <w:bottom w:val="nil"/>
                    <w:right w:val="nil"/>
                  </w:tcBorders>
                  <w:shd w:val="clear" w:color="auto" w:fill="auto"/>
                  <w:noWrap/>
                  <w:vAlign w:val="bottom"/>
                  <w:hideMark/>
                </w:tcPr>
                <w:p w14:paraId="787837E2" w14:textId="77777777" w:rsidR="00C45D5B" w:rsidRDefault="00C45D5B" w:rsidP="00CF774B">
                  <w:pPr>
                    <w:rPr>
                      <w:rFonts w:cs="Calibri"/>
                      <w:sz w:val="18"/>
                      <w:szCs w:val="18"/>
                    </w:rPr>
                  </w:pPr>
                  <w:r>
                    <w:rPr>
                      <w:rFonts w:cs="Calibri"/>
                      <w:sz w:val="18"/>
                      <w:szCs w:val="18"/>
                    </w:rPr>
                    <w:t xml:space="preserve">Podpora uchádzačov o zamestnanie </w:t>
                  </w:r>
                </w:p>
              </w:tc>
              <w:tc>
                <w:tcPr>
                  <w:tcW w:w="664" w:type="dxa"/>
                  <w:tcBorders>
                    <w:top w:val="nil"/>
                    <w:left w:val="nil"/>
                    <w:bottom w:val="nil"/>
                    <w:right w:val="nil"/>
                  </w:tcBorders>
                  <w:shd w:val="clear" w:color="auto" w:fill="auto"/>
                  <w:noWrap/>
                  <w:vAlign w:val="center"/>
                  <w:hideMark/>
                </w:tcPr>
                <w:p w14:paraId="3704BEA1" w14:textId="77777777" w:rsidR="00C45D5B" w:rsidRDefault="00C45D5B" w:rsidP="00CF774B">
                  <w:pPr>
                    <w:jc w:val="center"/>
                    <w:rPr>
                      <w:rFonts w:cs="Calibri"/>
                      <w:color w:val="000000"/>
                      <w:sz w:val="18"/>
                      <w:szCs w:val="18"/>
                    </w:rPr>
                  </w:pPr>
                  <w:r>
                    <w:rPr>
                      <w:rFonts w:cs="Calibri"/>
                      <w:color w:val="000000"/>
                      <w:sz w:val="18"/>
                      <w:szCs w:val="18"/>
                    </w:rPr>
                    <w:t>-49</w:t>
                  </w:r>
                </w:p>
              </w:tc>
              <w:tc>
                <w:tcPr>
                  <w:tcW w:w="709" w:type="dxa"/>
                  <w:tcBorders>
                    <w:top w:val="nil"/>
                    <w:left w:val="nil"/>
                    <w:bottom w:val="nil"/>
                    <w:right w:val="nil"/>
                  </w:tcBorders>
                  <w:shd w:val="clear" w:color="auto" w:fill="auto"/>
                  <w:noWrap/>
                  <w:vAlign w:val="center"/>
                  <w:hideMark/>
                </w:tcPr>
                <w:p w14:paraId="4C12051F"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6A5B5FE9"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4E7B4BD4"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6B18EA37"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35DE36E5"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3C7BF520" w14:textId="77777777" w:rsidTr="00CF774B">
              <w:trPr>
                <w:trHeight w:val="270"/>
              </w:trPr>
              <w:tc>
                <w:tcPr>
                  <w:tcW w:w="348" w:type="dxa"/>
                  <w:tcBorders>
                    <w:top w:val="nil"/>
                    <w:left w:val="nil"/>
                    <w:bottom w:val="nil"/>
                    <w:right w:val="nil"/>
                  </w:tcBorders>
                  <w:shd w:val="clear" w:color="auto" w:fill="auto"/>
                  <w:noWrap/>
                  <w:vAlign w:val="bottom"/>
                  <w:hideMark/>
                </w:tcPr>
                <w:p w14:paraId="1AB03A35" w14:textId="77777777" w:rsidR="00C45D5B" w:rsidRDefault="00C45D5B" w:rsidP="00CF774B">
                  <w:pPr>
                    <w:jc w:val="right"/>
                    <w:rPr>
                      <w:rFonts w:cs="Calibri"/>
                      <w:color w:val="000000"/>
                      <w:sz w:val="18"/>
                      <w:szCs w:val="18"/>
                    </w:rPr>
                  </w:pPr>
                  <w:r>
                    <w:rPr>
                      <w:rFonts w:cs="Calibri"/>
                      <w:color w:val="000000"/>
                      <w:sz w:val="18"/>
                      <w:szCs w:val="18"/>
                    </w:rPr>
                    <w:t>7</w:t>
                  </w:r>
                </w:p>
              </w:tc>
              <w:tc>
                <w:tcPr>
                  <w:tcW w:w="4160" w:type="dxa"/>
                  <w:tcBorders>
                    <w:top w:val="nil"/>
                    <w:left w:val="nil"/>
                    <w:bottom w:val="nil"/>
                    <w:right w:val="nil"/>
                  </w:tcBorders>
                  <w:shd w:val="clear" w:color="auto" w:fill="auto"/>
                  <w:noWrap/>
                  <w:vAlign w:val="center"/>
                  <w:hideMark/>
                </w:tcPr>
                <w:p w14:paraId="75B5C543" w14:textId="77777777" w:rsidR="00C45D5B" w:rsidRDefault="00C45D5B" w:rsidP="00CF774B">
                  <w:pPr>
                    <w:rPr>
                      <w:rFonts w:cs="Calibri"/>
                      <w:color w:val="000000"/>
                      <w:sz w:val="18"/>
                      <w:szCs w:val="18"/>
                    </w:rPr>
                  </w:pPr>
                  <w:r>
                    <w:rPr>
                      <w:rFonts w:cs="Calibri"/>
                      <w:color w:val="000000"/>
                      <w:sz w:val="18"/>
                      <w:szCs w:val="18"/>
                    </w:rPr>
                    <w:t xml:space="preserve">SOS príspevok </w:t>
                  </w:r>
                </w:p>
              </w:tc>
              <w:tc>
                <w:tcPr>
                  <w:tcW w:w="664" w:type="dxa"/>
                  <w:tcBorders>
                    <w:top w:val="nil"/>
                    <w:left w:val="nil"/>
                    <w:bottom w:val="nil"/>
                    <w:right w:val="nil"/>
                  </w:tcBorders>
                  <w:shd w:val="clear" w:color="auto" w:fill="auto"/>
                  <w:noWrap/>
                  <w:vAlign w:val="center"/>
                  <w:hideMark/>
                </w:tcPr>
                <w:p w14:paraId="595D9C84" w14:textId="77777777" w:rsidR="00C45D5B" w:rsidRDefault="00C45D5B" w:rsidP="00CF774B">
                  <w:pPr>
                    <w:jc w:val="center"/>
                    <w:rPr>
                      <w:rFonts w:cs="Calibri"/>
                      <w:color w:val="000000"/>
                      <w:sz w:val="18"/>
                      <w:szCs w:val="18"/>
                    </w:rPr>
                  </w:pPr>
                  <w:r>
                    <w:rPr>
                      <w:rFonts w:cs="Calibri"/>
                      <w:color w:val="000000"/>
                      <w:sz w:val="18"/>
                      <w:szCs w:val="18"/>
                    </w:rPr>
                    <w:t>-15</w:t>
                  </w:r>
                </w:p>
              </w:tc>
              <w:tc>
                <w:tcPr>
                  <w:tcW w:w="709" w:type="dxa"/>
                  <w:tcBorders>
                    <w:top w:val="nil"/>
                    <w:left w:val="nil"/>
                    <w:bottom w:val="nil"/>
                    <w:right w:val="nil"/>
                  </w:tcBorders>
                  <w:shd w:val="clear" w:color="auto" w:fill="auto"/>
                  <w:vAlign w:val="center"/>
                  <w:hideMark/>
                </w:tcPr>
                <w:p w14:paraId="774A537C" w14:textId="77777777" w:rsidR="00C45D5B" w:rsidRDefault="00C45D5B" w:rsidP="00CF774B">
                  <w:pPr>
                    <w:jc w:val="center"/>
                    <w:rPr>
                      <w:rFonts w:cs="Calibri"/>
                      <w:color w:val="000000"/>
                      <w:sz w:val="18"/>
                      <w:szCs w:val="18"/>
                    </w:rPr>
                  </w:pPr>
                  <w:r>
                    <w:rPr>
                      <w:rFonts w:cs="Calibri"/>
                      <w:color w:val="000000"/>
                      <w:sz w:val="18"/>
                      <w:szCs w:val="18"/>
                    </w:rPr>
                    <w:t>-66</w:t>
                  </w:r>
                </w:p>
              </w:tc>
              <w:tc>
                <w:tcPr>
                  <w:tcW w:w="709" w:type="dxa"/>
                  <w:tcBorders>
                    <w:top w:val="nil"/>
                    <w:left w:val="nil"/>
                    <w:bottom w:val="nil"/>
                    <w:right w:val="nil"/>
                  </w:tcBorders>
                  <w:shd w:val="clear" w:color="auto" w:fill="auto"/>
                  <w:vAlign w:val="center"/>
                  <w:hideMark/>
                </w:tcPr>
                <w:p w14:paraId="7971AC96" w14:textId="77777777" w:rsidR="00C45D5B" w:rsidRDefault="00C45D5B" w:rsidP="00CF774B">
                  <w:pPr>
                    <w:jc w:val="center"/>
                    <w:rPr>
                      <w:rFonts w:cs="Calibri"/>
                      <w:color w:val="000000"/>
                      <w:sz w:val="18"/>
                      <w:szCs w:val="18"/>
                    </w:rPr>
                  </w:pPr>
                  <w:r>
                    <w:rPr>
                      <w:rFonts w:cs="Calibri"/>
                      <w:color w:val="000000"/>
                      <w:sz w:val="18"/>
                      <w:szCs w:val="18"/>
                    </w:rPr>
                    <w:t>-12</w:t>
                  </w:r>
                </w:p>
              </w:tc>
              <w:tc>
                <w:tcPr>
                  <w:tcW w:w="708" w:type="dxa"/>
                  <w:tcBorders>
                    <w:top w:val="nil"/>
                    <w:left w:val="nil"/>
                    <w:bottom w:val="nil"/>
                    <w:right w:val="nil"/>
                  </w:tcBorders>
                  <w:shd w:val="clear" w:color="auto" w:fill="auto"/>
                  <w:vAlign w:val="center"/>
                  <w:hideMark/>
                </w:tcPr>
                <w:p w14:paraId="18F6F01B"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5465E7CA"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647A221F"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0F4E407B" w14:textId="77777777" w:rsidTr="00CF774B">
              <w:trPr>
                <w:trHeight w:val="270"/>
              </w:trPr>
              <w:tc>
                <w:tcPr>
                  <w:tcW w:w="348" w:type="dxa"/>
                  <w:tcBorders>
                    <w:top w:val="nil"/>
                    <w:left w:val="nil"/>
                    <w:bottom w:val="nil"/>
                    <w:right w:val="nil"/>
                  </w:tcBorders>
                  <w:shd w:val="clear" w:color="auto" w:fill="auto"/>
                  <w:noWrap/>
                  <w:vAlign w:val="bottom"/>
                  <w:hideMark/>
                </w:tcPr>
                <w:p w14:paraId="7A779BBF" w14:textId="77777777" w:rsidR="00C45D5B" w:rsidRDefault="00C45D5B" w:rsidP="00CF774B">
                  <w:pPr>
                    <w:jc w:val="right"/>
                    <w:rPr>
                      <w:rFonts w:cs="Calibri"/>
                      <w:color w:val="000000"/>
                      <w:sz w:val="18"/>
                      <w:szCs w:val="18"/>
                    </w:rPr>
                  </w:pPr>
                  <w:r>
                    <w:rPr>
                      <w:rFonts w:cs="Calibri"/>
                      <w:color w:val="000000"/>
                      <w:sz w:val="18"/>
                      <w:szCs w:val="18"/>
                    </w:rPr>
                    <w:t>8</w:t>
                  </w:r>
                </w:p>
              </w:tc>
              <w:tc>
                <w:tcPr>
                  <w:tcW w:w="4160" w:type="dxa"/>
                  <w:tcBorders>
                    <w:top w:val="nil"/>
                    <w:left w:val="nil"/>
                    <w:bottom w:val="nil"/>
                    <w:right w:val="nil"/>
                  </w:tcBorders>
                  <w:shd w:val="clear" w:color="auto" w:fill="auto"/>
                  <w:noWrap/>
                  <w:vAlign w:val="center"/>
                  <w:hideMark/>
                </w:tcPr>
                <w:p w14:paraId="599EE765" w14:textId="77777777" w:rsidR="00C45D5B" w:rsidRDefault="00C45D5B" w:rsidP="00CF774B">
                  <w:pPr>
                    <w:rPr>
                      <w:rFonts w:cs="Calibri"/>
                      <w:color w:val="000000"/>
                      <w:sz w:val="18"/>
                      <w:szCs w:val="18"/>
                    </w:rPr>
                  </w:pPr>
                  <w:r>
                    <w:rPr>
                      <w:rFonts w:cs="Calibri"/>
                      <w:color w:val="000000"/>
                      <w:sz w:val="18"/>
                      <w:szCs w:val="18"/>
                    </w:rPr>
                    <w:t>Rodičovský príspevok (predĺženie počas obdobia mimoriadneho stavu)</w:t>
                  </w:r>
                </w:p>
              </w:tc>
              <w:tc>
                <w:tcPr>
                  <w:tcW w:w="664" w:type="dxa"/>
                  <w:tcBorders>
                    <w:top w:val="nil"/>
                    <w:left w:val="nil"/>
                    <w:bottom w:val="nil"/>
                    <w:right w:val="nil"/>
                  </w:tcBorders>
                  <w:shd w:val="clear" w:color="auto" w:fill="auto"/>
                  <w:noWrap/>
                  <w:vAlign w:val="center"/>
                  <w:hideMark/>
                </w:tcPr>
                <w:p w14:paraId="401FF505" w14:textId="77777777" w:rsidR="00C45D5B" w:rsidRDefault="00C45D5B" w:rsidP="00CF774B">
                  <w:pPr>
                    <w:jc w:val="center"/>
                    <w:rPr>
                      <w:rFonts w:cs="Calibri"/>
                      <w:color w:val="000000"/>
                      <w:sz w:val="18"/>
                      <w:szCs w:val="18"/>
                    </w:rPr>
                  </w:pPr>
                  <w:r>
                    <w:rPr>
                      <w:rFonts w:cs="Calibri"/>
                      <w:color w:val="000000"/>
                      <w:sz w:val="18"/>
                      <w:szCs w:val="18"/>
                    </w:rPr>
                    <w:t>-13</w:t>
                  </w:r>
                </w:p>
              </w:tc>
              <w:tc>
                <w:tcPr>
                  <w:tcW w:w="709" w:type="dxa"/>
                  <w:tcBorders>
                    <w:top w:val="nil"/>
                    <w:left w:val="nil"/>
                    <w:bottom w:val="nil"/>
                    <w:right w:val="nil"/>
                  </w:tcBorders>
                  <w:shd w:val="clear" w:color="auto" w:fill="auto"/>
                  <w:noWrap/>
                  <w:vAlign w:val="center"/>
                  <w:hideMark/>
                </w:tcPr>
                <w:p w14:paraId="250786CD" w14:textId="77777777" w:rsidR="00C45D5B" w:rsidRDefault="00C45D5B" w:rsidP="00CF774B">
                  <w:pPr>
                    <w:jc w:val="center"/>
                    <w:rPr>
                      <w:rFonts w:cs="Calibri"/>
                      <w:color w:val="000000"/>
                      <w:sz w:val="18"/>
                      <w:szCs w:val="18"/>
                    </w:rPr>
                  </w:pPr>
                  <w:r>
                    <w:rPr>
                      <w:rFonts w:cs="Calibri"/>
                      <w:color w:val="000000"/>
                      <w:sz w:val="18"/>
                      <w:szCs w:val="18"/>
                    </w:rPr>
                    <w:t>-49</w:t>
                  </w:r>
                </w:p>
              </w:tc>
              <w:tc>
                <w:tcPr>
                  <w:tcW w:w="709" w:type="dxa"/>
                  <w:tcBorders>
                    <w:top w:val="nil"/>
                    <w:left w:val="nil"/>
                    <w:bottom w:val="nil"/>
                    <w:right w:val="nil"/>
                  </w:tcBorders>
                  <w:shd w:val="clear" w:color="auto" w:fill="auto"/>
                  <w:vAlign w:val="center"/>
                  <w:hideMark/>
                </w:tcPr>
                <w:p w14:paraId="2CCB32FA" w14:textId="77777777" w:rsidR="00C45D5B" w:rsidRDefault="00C45D5B" w:rsidP="00CF774B">
                  <w:pPr>
                    <w:jc w:val="center"/>
                    <w:rPr>
                      <w:rFonts w:cs="Calibri"/>
                      <w:color w:val="000000"/>
                      <w:sz w:val="18"/>
                      <w:szCs w:val="18"/>
                    </w:rPr>
                  </w:pPr>
                  <w:r>
                    <w:rPr>
                      <w:rFonts w:cs="Calibri"/>
                      <w:color w:val="000000"/>
                      <w:sz w:val="18"/>
                      <w:szCs w:val="18"/>
                    </w:rPr>
                    <w:t>-7,6</w:t>
                  </w:r>
                </w:p>
              </w:tc>
              <w:tc>
                <w:tcPr>
                  <w:tcW w:w="708" w:type="dxa"/>
                  <w:tcBorders>
                    <w:top w:val="nil"/>
                    <w:left w:val="nil"/>
                    <w:bottom w:val="nil"/>
                    <w:right w:val="nil"/>
                  </w:tcBorders>
                  <w:shd w:val="clear" w:color="auto" w:fill="auto"/>
                  <w:vAlign w:val="center"/>
                  <w:hideMark/>
                </w:tcPr>
                <w:p w14:paraId="0A6F65C2"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6E9F7B25"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77443911"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79202921" w14:textId="77777777" w:rsidTr="00CF774B">
              <w:trPr>
                <w:trHeight w:val="270"/>
              </w:trPr>
              <w:tc>
                <w:tcPr>
                  <w:tcW w:w="348" w:type="dxa"/>
                  <w:tcBorders>
                    <w:top w:val="nil"/>
                    <w:left w:val="nil"/>
                    <w:bottom w:val="nil"/>
                    <w:right w:val="nil"/>
                  </w:tcBorders>
                  <w:shd w:val="clear" w:color="auto" w:fill="auto"/>
                  <w:noWrap/>
                  <w:vAlign w:val="bottom"/>
                  <w:hideMark/>
                </w:tcPr>
                <w:p w14:paraId="480C7989" w14:textId="77777777" w:rsidR="00C45D5B" w:rsidRDefault="00C45D5B" w:rsidP="00CF774B">
                  <w:pPr>
                    <w:jc w:val="right"/>
                    <w:rPr>
                      <w:rFonts w:cs="Calibri"/>
                      <w:color w:val="000000"/>
                      <w:sz w:val="18"/>
                      <w:szCs w:val="18"/>
                    </w:rPr>
                  </w:pPr>
                  <w:r>
                    <w:rPr>
                      <w:rFonts w:cs="Calibri"/>
                      <w:color w:val="000000"/>
                      <w:sz w:val="18"/>
                      <w:szCs w:val="18"/>
                    </w:rPr>
                    <w:t>9</w:t>
                  </w:r>
                </w:p>
              </w:tc>
              <w:tc>
                <w:tcPr>
                  <w:tcW w:w="4160" w:type="dxa"/>
                  <w:tcBorders>
                    <w:top w:val="nil"/>
                    <w:left w:val="nil"/>
                    <w:bottom w:val="nil"/>
                    <w:right w:val="nil"/>
                  </w:tcBorders>
                  <w:shd w:val="clear" w:color="auto" w:fill="auto"/>
                  <w:noWrap/>
                  <w:vAlign w:val="center"/>
                  <w:hideMark/>
                </w:tcPr>
                <w:p w14:paraId="219F6838" w14:textId="77777777" w:rsidR="00C45D5B" w:rsidRDefault="00C45D5B" w:rsidP="00CF774B">
                  <w:pPr>
                    <w:rPr>
                      <w:rFonts w:cs="Calibri"/>
                      <w:color w:val="000000"/>
                      <w:sz w:val="18"/>
                      <w:szCs w:val="18"/>
                    </w:rPr>
                  </w:pPr>
                  <w:r>
                    <w:rPr>
                      <w:rFonts w:cs="Calibri"/>
                      <w:color w:val="000000"/>
                      <w:sz w:val="18"/>
                      <w:szCs w:val="18"/>
                    </w:rPr>
                    <w:t>Dávka v nezamestnanosti (predĺženie obdobia poberania)</w:t>
                  </w:r>
                </w:p>
              </w:tc>
              <w:tc>
                <w:tcPr>
                  <w:tcW w:w="664" w:type="dxa"/>
                  <w:tcBorders>
                    <w:top w:val="nil"/>
                    <w:left w:val="nil"/>
                    <w:bottom w:val="nil"/>
                    <w:right w:val="nil"/>
                  </w:tcBorders>
                  <w:shd w:val="clear" w:color="auto" w:fill="auto"/>
                  <w:noWrap/>
                  <w:vAlign w:val="center"/>
                  <w:hideMark/>
                </w:tcPr>
                <w:p w14:paraId="7B6DF1F3" w14:textId="77777777" w:rsidR="00C45D5B" w:rsidRDefault="00C45D5B" w:rsidP="00CF774B">
                  <w:pPr>
                    <w:jc w:val="center"/>
                    <w:rPr>
                      <w:rFonts w:cs="Calibri"/>
                      <w:color w:val="000000"/>
                      <w:sz w:val="18"/>
                      <w:szCs w:val="18"/>
                    </w:rPr>
                  </w:pPr>
                  <w:r>
                    <w:rPr>
                      <w:rFonts w:cs="Calibri"/>
                      <w:color w:val="000000"/>
                      <w:sz w:val="18"/>
                      <w:szCs w:val="18"/>
                    </w:rPr>
                    <w:t>-32</w:t>
                  </w:r>
                </w:p>
              </w:tc>
              <w:tc>
                <w:tcPr>
                  <w:tcW w:w="709" w:type="dxa"/>
                  <w:tcBorders>
                    <w:top w:val="nil"/>
                    <w:left w:val="nil"/>
                    <w:bottom w:val="nil"/>
                    <w:right w:val="nil"/>
                  </w:tcBorders>
                  <w:shd w:val="clear" w:color="auto" w:fill="auto"/>
                  <w:noWrap/>
                  <w:vAlign w:val="center"/>
                  <w:hideMark/>
                </w:tcPr>
                <w:p w14:paraId="43E7EDAA" w14:textId="77777777" w:rsidR="00C45D5B" w:rsidRDefault="00C45D5B" w:rsidP="00CF774B">
                  <w:pPr>
                    <w:jc w:val="center"/>
                    <w:rPr>
                      <w:rFonts w:cs="Calibri"/>
                      <w:color w:val="000000"/>
                      <w:sz w:val="18"/>
                      <w:szCs w:val="18"/>
                    </w:rPr>
                  </w:pPr>
                  <w:r>
                    <w:rPr>
                      <w:rFonts w:cs="Calibri"/>
                      <w:color w:val="000000"/>
                      <w:sz w:val="18"/>
                      <w:szCs w:val="18"/>
                    </w:rPr>
                    <w:t>-40</w:t>
                  </w:r>
                </w:p>
              </w:tc>
              <w:tc>
                <w:tcPr>
                  <w:tcW w:w="709" w:type="dxa"/>
                  <w:tcBorders>
                    <w:top w:val="nil"/>
                    <w:left w:val="nil"/>
                    <w:bottom w:val="nil"/>
                    <w:right w:val="nil"/>
                  </w:tcBorders>
                  <w:shd w:val="clear" w:color="auto" w:fill="auto"/>
                  <w:vAlign w:val="center"/>
                  <w:hideMark/>
                </w:tcPr>
                <w:p w14:paraId="33956C4C"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06687BC6"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71611E70"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35D9A1C7"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3153F420" w14:textId="77777777" w:rsidTr="00CF774B">
              <w:trPr>
                <w:trHeight w:val="270"/>
              </w:trPr>
              <w:tc>
                <w:tcPr>
                  <w:tcW w:w="348" w:type="dxa"/>
                  <w:tcBorders>
                    <w:top w:val="nil"/>
                    <w:left w:val="nil"/>
                    <w:bottom w:val="nil"/>
                    <w:right w:val="nil"/>
                  </w:tcBorders>
                  <w:shd w:val="clear" w:color="auto" w:fill="auto"/>
                  <w:noWrap/>
                  <w:vAlign w:val="bottom"/>
                  <w:hideMark/>
                </w:tcPr>
                <w:p w14:paraId="61D6CF06" w14:textId="77777777" w:rsidR="00C45D5B" w:rsidRDefault="00C45D5B" w:rsidP="00CF774B">
                  <w:pPr>
                    <w:jc w:val="right"/>
                    <w:rPr>
                      <w:rFonts w:cs="Calibri"/>
                      <w:color w:val="000000"/>
                      <w:sz w:val="18"/>
                      <w:szCs w:val="18"/>
                    </w:rPr>
                  </w:pPr>
                  <w:r>
                    <w:rPr>
                      <w:rFonts w:cs="Calibri"/>
                      <w:color w:val="000000"/>
                      <w:sz w:val="18"/>
                      <w:szCs w:val="18"/>
                    </w:rPr>
                    <w:t>10</w:t>
                  </w:r>
                </w:p>
              </w:tc>
              <w:tc>
                <w:tcPr>
                  <w:tcW w:w="4160" w:type="dxa"/>
                  <w:tcBorders>
                    <w:top w:val="nil"/>
                    <w:left w:val="nil"/>
                    <w:bottom w:val="nil"/>
                    <w:right w:val="nil"/>
                  </w:tcBorders>
                  <w:shd w:val="clear" w:color="auto" w:fill="auto"/>
                  <w:noWrap/>
                  <w:vAlign w:val="center"/>
                  <w:hideMark/>
                </w:tcPr>
                <w:p w14:paraId="08D0F2B9" w14:textId="77777777" w:rsidR="00C45D5B" w:rsidRDefault="00C45D5B" w:rsidP="00CF774B">
                  <w:pPr>
                    <w:rPr>
                      <w:rFonts w:cs="Calibri"/>
                      <w:color w:val="000000"/>
                      <w:sz w:val="18"/>
                      <w:szCs w:val="18"/>
                    </w:rPr>
                  </w:pPr>
                  <w:r>
                    <w:rPr>
                      <w:rFonts w:cs="Calibri"/>
                      <w:color w:val="000000"/>
                      <w:sz w:val="18"/>
                      <w:szCs w:val="18"/>
                    </w:rPr>
                    <w:t>Jednorazový príspevok na dieťa</w:t>
                  </w:r>
                </w:p>
              </w:tc>
              <w:tc>
                <w:tcPr>
                  <w:tcW w:w="664" w:type="dxa"/>
                  <w:tcBorders>
                    <w:top w:val="nil"/>
                    <w:left w:val="nil"/>
                    <w:bottom w:val="nil"/>
                    <w:right w:val="nil"/>
                  </w:tcBorders>
                  <w:shd w:val="clear" w:color="auto" w:fill="auto"/>
                  <w:noWrap/>
                  <w:vAlign w:val="center"/>
                  <w:hideMark/>
                </w:tcPr>
                <w:p w14:paraId="52FC5901"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noWrap/>
                  <w:vAlign w:val="center"/>
                  <w:hideMark/>
                </w:tcPr>
                <w:p w14:paraId="35EF653D" w14:textId="77777777" w:rsidR="00C45D5B" w:rsidRDefault="00C45D5B" w:rsidP="00CF774B">
                  <w:pPr>
                    <w:jc w:val="center"/>
                    <w:rPr>
                      <w:rFonts w:cs="Calibri"/>
                      <w:color w:val="000000"/>
                      <w:sz w:val="18"/>
                      <w:szCs w:val="18"/>
                    </w:rPr>
                  </w:pPr>
                  <w:r>
                    <w:rPr>
                      <w:rFonts w:cs="Calibri"/>
                      <w:color w:val="000000"/>
                      <w:sz w:val="18"/>
                      <w:szCs w:val="18"/>
                    </w:rPr>
                    <w:t>-76</w:t>
                  </w:r>
                </w:p>
              </w:tc>
              <w:tc>
                <w:tcPr>
                  <w:tcW w:w="709" w:type="dxa"/>
                  <w:tcBorders>
                    <w:top w:val="nil"/>
                    <w:left w:val="nil"/>
                    <w:bottom w:val="nil"/>
                    <w:right w:val="nil"/>
                  </w:tcBorders>
                  <w:shd w:val="clear" w:color="auto" w:fill="auto"/>
                  <w:vAlign w:val="center"/>
                  <w:hideMark/>
                </w:tcPr>
                <w:p w14:paraId="3C0BA1E3"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254E5B4E"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4A119102"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1EF4D31E"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43EE1E95" w14:textId="77777777" w:rsidTr="00CF774B">
              <w:trPr>
                <w:trHeight w:val="270"/>
              </w:trPr>
              <w:tc>
                <w:tcPr>
                  <w:tcW w:w="348" w:type="dxa"/>
                  <w:tcBorders>
                    <w:top w:val="nil"/>
                    <w:left w:val="nil"/>
                    <w:bottom w:val="nil"/>
                    <w:right w:val="nil"/>
                  </w:tcBorders>
                  <w:shd w:val="clear" w:color="auto" w:fill="auto"/>
                  <w:noWrap/>
                  <w:vAlign w:val="bottom"/>
                  <w:hideMark/>
                </w:tcPr>
                <w:p w14:paraId="7CC93B60" w14:textId="77777777" w:rsidR="00C45D5B" w:rsidRDefault="00C45D5B" w:rsidP="00CF774B">
                  <w:pPr>
                    <w:jc w:val="right"/>
                    <w:rPr>
                      <w:rFonts w:cs="Calibri"/>
                      <w:color w:val="000000"/>
                      <w:sz w:val="18"/>
                      <w:szCs w:val="18"/>
                    </w:rPr>
                  </w:pPr>
                  <w:r>
                    <w:rPr>
                      <w:rFonts w:cs="Calibri"/>
                      <w:color w:val="000000"/>
                      <w:sz w:val="18"/>
                      <w:szCs w:val="18"/>
                    </w:rPr>
                    <w:t>11</w:t>
                  </w:r>
                </w:p>
              </w:tc>
              <w:tc>
                <w:tcPr>
                  <w:tcW w:w="4160" w:type="dxa"/>
                  <w:tcBorders>
                    <w:top w:val="nil"/>
                    <w:left w:val="nil"/>
                    <w:bottom w:val="nil"/>
                    <w:right w:val="nil"/>
                  </w:tcBorders>
                  <w:shd w:val="clear" w:color="auto" w:fill="auto"/>
                  <w:noWrap/>
                  <w:vAlign w:val="center"/>
                  <w:hideMark/>
                </w:tcPr>
                <w:p w14:paraId="4EF7C437" w14:textId="77777777" w:rsidR="00C45D5B" w:rsidRDefault="00C45D5B" w:rsidP="00CF774B">
                  <w:pPr>
                    <w:rPr>
                      <w:rFonts w:cs="Calibri"/>
                      <w:color w:val="000000"/>
                      <w:sz w:val="18"/>
                      <w:szCs w:val="18"/>
                    </w:rPr>
                  </w:pPr>
                  <w:r>
                    <w:rPr>
                      <w:rFonts w:cs="Calibri"/>
                      <w:color w:val="000000"/>
                      <w:sz w:val="18"/>
                      <w:szCs w:val="18"/>
                    </w:rPr>
                    <w:t>Humanitárna pomoc a úrazový príplatok</w:t>
                  </w:r>
                </w:p>
              </w:tc>
              <w:tc>
                <w:tcPr>
                  <w:tcW w:w="664" w:type="dxa"/>
                  <w:tcBorders>
                    <w:top w:val="nil"/>
                    <w:left w:val="nil"/>
                    <w:bottom w:val="nil"/>
                    <w:right w:val="nil"/>
                  </w:tcBorders>
                  <w:shd w:val="clear" w:color="auto" w:fill="auto"/>
                  <w:noWrap/>
                  <w:vAlign w:val="center"/>
                  <w:hideMark/>
                </w:tcPr>
                <w:p w14:paraId="122F5304"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noWrap/>
                  <w:vAlign w:val="center"/>
                  <w:hideMark/>
                </w:tcPr>
                <w:p w14:paraId="3C907C8C"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0E06D444"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3709DA2B"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10037692"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6FE8756F"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533D042A" w14:textId="77777777" w:rsidTr="00CF774B">
              <w:trPr>
                <w:trHeight w:val="270"/>
              </w:trPr>
              <w:tc>
                <w:tcPr>
                  <w:tcW w:w="348" w:type="dxa"/>
                  <w:tcBorders>
                    <w:top w:val="nil"/>
                    <w:left w:val="nil"/>
                    <w:bottom w:val="nil"/>
                    <w:right w:val="nil"/>
                  </w:tcBorders>
                  <w:shd w:val="clear" w:color="auto" w:fill="auto"/>
                  <w:noWrap/>
                  <w:vAlign w:val="bottom"/>
                  <w:hideMark/>
                </w:tcPr>
                <w:p w14:paraId="21180C54" w14:textId="77777777" w:rsidR="00C45D5B" w:rsidRDefault="00C45D5B" w:rsidP="00CF774B">
                  <w:pPr>
                    <w:jc w:val="right"/>
                    <w:rPr>
                      <w:rFonts w:cs="Calibri"/>
                      <w:color w:val="000000"/>
                      <w:sz w:val="18"/>
                      <w:szCs w:val="18"/>
                    </w:rPr>
                  </w:pPr>
                  <w:r>
                    <w:rPr>
                      <w:rFonts w:cs="Calibri"/>
                      <w:color w:val="000000"/>
                      <w:sz w:val="18"/>
                      <w:szCs w:val="18"/>
                    </w:rPr>
                    <w:t>12</w:t>
                  </w:r>
                </w:p>
              </w:tc>
              <w:tc>
                <w:tcPr>
                  <w:tcW w:w="4160" w:type="dxa"/>
                  <w:tcBorders>
                    <w:top w:val="nil"/>
                    <w:left w:val="nil"/>
                    <w:bottom w:val="nil"/>
                    <w:right w:val="nil"/>
                  </w:tcBorders>
                  <w:shd w:val="clear" w:color="auto" w:fill="auto"/>
                  <w:noWrap/>
                  <w:vAlign w:val="center"/>
                  <w:hideMark/>
                </w:tcPr>
                <w:p w14:paraId="329DAFF5" w14:textId="77777777" w:rsidR="00C45D5B" w:rsidRDefault="00C45D5B" w:rsidP="00CF774B">
                  <w:pPr>
                    <w:rPr>
                      <w:rFonts w:cs="Calibri"/>
                      <w:color w:val="000000"/>
                      <w:sz w:val="18"/>
                      <w:szCs w:val="18"/>
                    </w:rPr>
                  </w:pPr>
                  <w:r>
                    <w:rPr>
                      <w:rFonts w:cs="Calibri"/>
                      <w:color w:val="000000"/>
                      <w:sz w:val="18"/>
                      <w:szCs w:val="18"/>
                    </w:rPr>
                    <w:t>Nemocenské (PN) - dávky vyplatené nad úrovňou roka 2019 (indexované)</w:t>
                  </w:r>
                </w:p>
              </w:tc>
              <w:tc>
                <w:tcPr>
                  <w:tcW w:w="664" w:type="dxa"/>
                  <w:tcBorders>
                    <w:top w:val="nil"/>
                    <w:left w:val="nil"/>
                    <w:bottom w:val="nil"/>
                    <w:right w:val="nil"/>
                  </w:tcBorders>
                  <w:shd w:val="clear" w:color="auto" w:fill="auto"/>
                  <w:noWrap/>
                  <w:vAlign w:val="center"/>
                  <w:hideMark/>
                </w:tcPr>
                <w:p w14:paraId="667421BE" w14:textId="77777777" w:rsidR="00C45D5B" w:rsidRDefault="00C45D5B" w:rsidP="00CF774B">
                  <w:pPr>
                    <w:jc w:val="center"/>
                    <w:rPr>
                      <w:rFonts w:cs="Calibri"/>
                      <w:color w:val="000000"/>
                      <w:sz w:val="18"/>
                      <w:szCs w:val="18"/>
                    </w:rPr>
                  </w:pPr>
                  <w:r>
                    <w:rPr>
                      <w:rFonts w:cs="Calibri"/>
                      <w:color w:val="000000"/>
                      <w:sz w:val="18"/>
                      <w:szCs w:val="18"/>
                    </w:rPr>
                    <w:t>-106</w:t>
                  </w:r>
                </w:p>
              </w:tc>
              <w:tc>
                <w:tcPr>
                  <w:tcW w:w="709" w:type="dxa"/>
                  <w:tcBorders>
                    <w:top w:val="nil"/>
                    <w:left w:val="nil"/>
                    <w:bottom w:val="nil"/>
                    <w:right w:val="nil"/>
                  </w:tcBorders>
                  <w:shd w:val="clear" w:color="auto" w:fill="auto"/>
                  <w:noWrap/>
                  <w:vAlign w:val="center"/>
                  <w:hideMark/>
                </w:tcPr>
                <w:p w14:paraId="103F6AC4" w14:textId="77777777" w:rsidR="00C45D5B" w:rsidRDefault="00C45D5B" w:rsidP="00CF774B">
                  <w:pPr>
                    <w:jc w:val="center"/>
                    <w:rPr>
                      <w:rFonts w:cs="Calibri"/>
                      <w:color w:val="000000"/>
                      <w:sz w:val="18"/>
                      <w:szCs w:val="18"/>
                    </w:rPr>
                  </w:pPr>
                  <w:r>
                    <w:rPr>
                      <w:rFonts w:cs="Calibri"/>
                      <w:color w:val="000000"/>
                      <w:sz w:val="18"/>
                      <w:szCs w:val="18"/>
                    </w:rPr>
                    <w:t>-211</w:t>
                  </w:r>
                </w:p>
              </w:tc>
              <w:tc>
                <w:tcPr>
                  <w:tcW w:w="709" w:type="dxa"/>
                  <w:tcBorders>
                    <w:top w:val="nil"/>
                    <w:left w:val="nil"/>
                    <w:bottom w:val="nil"/>
                    <w:right w:val="nil"/>
                  </w:tcBorders>
                  <w:shd w:val="clear" w:color="auto" w:fill="auto"/>
                  <w:vAlign w:val="center"/>
                  <w:hideMark/>
                </w:tcPr>
                <w:p w14:paraId="6BEF9487" w14:textId="77777777" w:rsidR="00C45D5B" w:rsidRDefault="00C45D5B" w:rsidP="00CF774B">
                  <w:pPr>
                    <w:jc w:val="center"/>
                    <w:rPr>
                      <w:rFonts w:cs="Calibri"/>
                      <w:color w:val="000000"/>
                      <w:sz w:val="18"/>
                      <w:szCs w:val="18"/>
                    </w:rPr>
                  </w:pPr>
                  <w:r>
                    <w:rPr>
                      <w:rFonts w:cs="Calibri"/>
                      <w:color w:val="000000"/>
                      <w:sz w:val="18"/>
                      <w:szCs w:val="18"/>
                    </w:rPr>
                    <w:t>-61</w:t>
                  </w:r>
                </w:p>
              </w:tc>
              <w:tc>
                <w:tcPr>
                  <w:tcW w:w="708" w:type="dxa"/>
                  <w:tcBorders>
                    <w:top w:val="nil"/>
                    <w:left w:val="nil"/>
                    <w:bottom w:val="nil"/>
                    <w:right w:val="nil"/>
                  </w:tcBorders>
                  <w:shd w:val="clear" w:color="auto" w:fill="auto"/>
                  <w:vAlign w:val="center"/>
                  <w:hideMark/>
                </w:tcPr>
                <w:p w14:paraId="6121E924"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6CF9EBB5"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4AD47298"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4A652756" w14:textId="77777777" w:rsidTr="00CF774B">
              <w:trPr>
                <w:trHeight w:val="270"/>
              </w:trPr>
              <w:tc>
                <w:tcPr>
                  <w:tcW w:w="348" w:type="dxa"/>
                  <w:tcBorders>
                    <w:top w:val="nil"/>
                    <w:left w:val="nil"/>
                    <w:bottom w:val="nil"/>
                    <w:right w:val="nil"/>
                  </w:tcBorders>
                  <w:shd w:val="clear" w:color="auto" w:fill="auto"/>
                  <w:noWrap/>
                  <w:vAlign w:val="bottom"/>
                  <w:hideMark/>
                </w:tcPr>
                <w:p w14:paraId="66D59C04" w14:textId="77777777" w:rsidR="00C45D5B" w:rsidRDefault="00C45D5B" w:rsidP="00CF774B">
                  <w:pPr>
                    <w:jc w:val="right"/>
                    <w:rPr>
                      <w:rFonts w:cs="Calibri"/>
                      <w:color w:val="000000"/>
                      <w:sz w:val="18"/>
                      <w:szCs w:val="18"/>
                    </w:rPr>
                  </w:pPr>
                  <w:r>
                    <w:rPr>
                      <w:rFonts w:cs="Calibri"/>
                      <w:color w:val="000000"/>
                      <w:sz w:val="18"/>
                      <w:szCs w:val="18"/>
                    </w:rPr>
                    <w:t>13</w:t>
                  </w:r>
                </w:p>
              </w:tc>
              <w:tc>
                <w:tcPr>
                  <w:tcW w:w="4160" w:type="dxa"/>
                  <w:tcBorders>
                    <w:top w:val="nil"/>
                    <w:left w:val="nil"/>
                    <w:bottom w:val="nil"/>
                    <w:right w:val="nil"/>
                  </w:tcBorders>
                  <w:shd w:val="clear" w:color="auto" w:fill="auto"/>
                  <w:noWrap/>
                  <w:vAlign w:val="center"/>
                  <w:hideMark/>
                </w:tcPr>
                <w:p w14:paraId="2BCF40B6" w14:textId="77777777" w:rsidR="00C45D5B" w:rsidRDefault="00C45D5B" w:rsidP="00CF774B">
                  <w:pPr>
                    <w:rPr>
                      <w:rFonts w:cs="Calibri"/>
                      <w:color w:val="000000"/>
                      <w:sz w:val="18"/>
                      <w:szCs w:val="18"/>
                    </w:rPr>
                  </w:pPr>
                  <w:r>
                    <w:rPr>
                      <w:rFonts w:cs="Calibri"/>
                      <w:color w:val="000000"/>
                      <w:sz w:val="18"/>
                      <w:szCs w:val="18"/>
                    </w:rPr>
                    <w:t>Ošetrovné (OČR) - dávky vyplatené nad úrovňou roka 2019 (indexované)</w:t>
                  </w:r>
                </w:p>
              </w:tc>
              <w:tc>
                <w:tcPr>
                  <w:tcW w:w="664" w:type="dxa"/>
                  <w:tcBorders>
                    <w:top w:val="nil"/>
                    <w:left w:val="nil"/>
                    <w:bottom w:val="nil"/>
                    <w:right w:val="nil"/>
                  </w:tcBorders>
                  <w:shd w:val="clear" w:color="auto" w:fill="auto"/>
                  <w:noWrap/>
                  <w:vAlign w:val="center"/>
                  <w:hideMark/>
                </w:tcPr>
                <w:p w14:paraId="48F2583D" w14:textId="77777777" w:rsidR="00C45D5B" w:rsidRDefault="00C45D5B" w:rsidP="00CF774B">
                  <w:pPr>
                    <w:jc w:val="center"/>
                    <w:rPr>
                      <w:rFonts w:cs="Calibri"/>
                      <w:color w:val="000000"/>
                      <w:sz w:val="18"/>
                      <w:szCs w:val="18"/>
                    </w:rPr>
                  </w:pPr>
                  <w:r>
                    <w:rPr>
                      <w:rFonts w:cs="Calibri"/>
                      <w:color w:val="000000"/>
                      <w:sz w:val="18"/>
                      <w:szCs w:val="18"/>
                    </w:rPr>
                    <w:t>-133</w:t>
                  </w:r>
                </w:p>
              </w:tc>
              <w:tc>
                <w:tcPr>
                  <w:tcW w:w="709" w:type="dxa"/>
                  <w:tcBorders>
                    <w:top w:val="nil"/>
                    <w:left w:val="nil"/>
                    <w:bottom w:val="nil"/>
                    <w:right w:val="nil"/>
                  </w:tcBorders>
                  <w:shd w:val="clear" w:color="auto" w:fill="auto"/>
                  <w:vAlign w:val="center"/>
                  <w:hideMark/>
                </w:tcPr>
                <w:p w14:paraId="142FF900" w14:textId="77777777" w:rsidR="00C45D5B" w:rsidRDefault="00C45D5B" w:rsidP="00CF774B">
                  <w:pPr>
                    <w:jc w:val="center"/>
                    <w:rPr>
                      <w:rFonts w:cs="Calibri"/>
                      <w:color w:val="000000"/>
                      <w:sz w:val="18"/>
                      <w:szCs w:val="18"/>
                    </w:rPr>
                  </w:pPr>
                  <w:r>
                    <w:rPr>
                      <w:rFonts w:cs="Calibri"/>
                      <w:color w:val="000000"/>
                      <w:sz w:val="18"/>
                      <w:szCs w:val="18"/>
                    </w:rPr>
                    <w:t>-35</w:t>
                  </w:r>
                </w:p>
              </w:tc>
              <w:tc>
                <w:tcPr>
                  <w:tcW w:w="709" w:type="dxa"/>
                  <w:tcBorders>
                    <w:top w:val="nil"/>
                    <w:left w:val="nil"/>
                    <w:bottom w:val="nil"/>
                    <w:right w:val="nil"/>
                  </w:tcBorders>
                  <w:shd w:val="clear" w:color="auto" w:fill="auto"/>
                  <w:vAlign w:val="center"/>
                  <w:hideMark/>
                </w:tcPr>
                <w:p w14:paraId="0F702A81" w14:textId="77777777" w:rsidR="00C45D5B" w:rsidRDefault="00C45D5B" w:rsidP="00CF774B">
                  <w:pPr>
                    <w:jc w:val="center"/>
                    <w:rPr>
                      <w:rFonts w:cs="Calibri"/>
                      <w:color w:val="000000"/>
                      <w:sz w:val="18"/>
                      <w:szCs w:val="18"/>
                    </w:rPr>
                  </w:pPr>
                  <w:r>
                    <w:rPr>
                      <w:rFonts w:cs="Calibri"/>
                      <w:color w:val="000000"/>
                      <w:sz w:val="18"/>
                      <w:szCs w:val="18"/>
                    </w:rPr>
                    <w:t>-11</w:t>
                  </w:r>
                </w:p>
              </w:tc>
              <w:tc>
                <w:tcPr>
                  <w:tcW w:w="708" w:type="dxa"/>
                  <w:tcBorders>
                    <w:top w:val="nil"/>
                    <w:left w:val="nil"/>
                    <w:bottom w:val="nil"/>
                    <w:right w:val="nil"/>
                  </w:tcBorders>
                  <w:shd w:val="clear" w:color="auto" w:fill="auto"/>
                  <w:vAlign w:val="center"/>
                  <w:hideMark/>
                </w:tcPr>
                <w:p w14:paraId="5D1B3E80"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793991B5"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3097CB75"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51649A0C" w14:textId="77777777" w:rsidTr="00CF774B">
              <w:trPr>
                <w:trHeight w:val="270"/>
              </w:trPr>
              <w:tc>
                <w:tcPr>
                  <w:tcW w:w="348" w:type="dxa"/>
                  <w:tcBorders>
                    <w:top w:val="nil"/>
                    <w:left w:val="nil"/>
                    <w:bottom w:val="nil"/>
                    <w:right w:val="nil"/>
                  </w:tcBorders>
                  <w:shd w:val="clear" w:color="auto" w:fill="auto"/>
                  <w:noWrap/>
                  <w:vAlign w:val="bottom"/>
                  <w:hideMark/>
                </w:tcPr>
                <w:p w14:paraId="25A2F44C" w14:textId="77777777" w:rsidR="00C45D5B" w:rsidRDefault="00C45D5B" w:rsidP="00CF774B">
                  <w:pPr>
                    <w:jc w:val="right"/>
                    <w:rPr>
                      <w:rFonts w:cs="Calibri"/>
                      <w:color w:val="000000"/>
                      <w:sz w:val="18"/>
                      <w:szCs w:val="18"/>
                    </w:rPr>
                  </w:pPr>
                  <w:r>
                    <w:rPr>
                      <w:rFonts w:cs="Calibri"/>
                      <w:color w:val="000000"/>
                      <w:sz w:val="18"/>
                      <w:szCs w:val="18"/>
                    </w:rPr>
                    <w:t>14</w:t>
                  </w:r>
                </w:p>
              </w:tc>
              <w:tc>
                <w:tcPr>
                  <w:tcW w:w="4160" w:type="dxa"/>
                  <w:tcBorders>
                    <w:top w:val="nil"/>
                    <w:left w:val="nil"/>
                    <w:bottom w:val="nil"/>
                    <w:right w:val="nil"/>
                  </w:tcBorders>
                  <w:shd w:val="clear" w:color="auto" w:fill="auto"/>
                  <w:noWrap/>
                  <w:vAlign w:val="bottom"/>
                  <w:hideMark/>
                </w:tcPr>
                <w:p w14:paraId="7782CA38" w14:textId="77777777" w:rsidR="00C45D5B" w:rsidRDefault="00C45D5B" w:rsidP="00CF774B">
                  <w:pPr>
                    <w:rPr>
                      <w:rFonts w:cs="Calibri"/>
                      <w:color w:val="000000"/>
                      <w:sz w:val="18"/>
                      <w:szCs w:val="18"/>
                    </w:rPr>
                  </w:pPr>
                  <w:r>
                    <w:rPr>
                      <w:rFonts w:cs="Calibri"/>
                      <w:color w:val="000000"/>
                      <w:sz w:val="18"/>
                      <w:szCs w:val="18"/>
                    </w:rPr>
                    <w:t>Odpustenie sociálnych odvodov za apríl</w:t>
                  </w:r>
                </w:p>
              </w:tc>
              <w:tc>
                <w:tcPr>
                  <w:tcW w:w="664" w:type="dxa"/>
                  <w:tcBorders>
                    <w:top w:val="nil"/>
                    <w:left w:val="nil"/>
                    <w:bottom w:val="nil"/>
                    <w:right w:val="nil"/>
                  </w:tcBorders>
                  <w:shd w:val="clear" w:color="auto" w:fill="auto"/>
                  <w:noWrap/>
                  <w:vAlign w:val="center"/>
                  <w:hideMark/>
                </w:tcPr>
                <w:p w14:paraId="6F94B28A" w14:textId="77777777" w:rsidR="00C45D5B" w:rsidRDefault="00C45D5B" w:rsidP="00CF774B">
                  <w:pPr>
                    <w:jc w:val="center"/>
                    <w:rPr>
                      <w:rFonts w:cs="Calibri"/>
                      <w:color w:val="000000"/>
                      <w:sz w:val="18"/>
                      <w:szCs w:val="18"/>
                    </w:rPr>
                  </w:pPr>
                  <w:r>
                    <w:rPr>
                      <w:rFonts w:cs="Calibri"/>
                      <w:color w:val="000000"/>
                      <w:sz w:val="18"/>
                      <w:szCs w:val="18"/>
                    </w:rPr>
                    <w:t>-57</w:t>
                  </w:r>
                </w:p>
              </w:tc>
              <w:tc>
                <w:tcPr>
                  <w:tcW w:w="709" w:type="dxa"/>
                  <w:tcBorders>
                    <w:top w:val="nil"/>
                    <w:left w:val="nil"/>
                    <w:bottom w:val="nil"/>
                    <w:right w:val="nil"/>
                  </w:tcBorders>
                  <w:shd w:val="clear" w:color="auto" w:fill="auto"/>
                  <w:vAlign w:val="center"/>
                  <w:hideMark/>
                </w:tcPr>
                <w:p w14:paraId="36923D10"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233D5C11"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0401B612"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50B2855D"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6BB31CCB"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46FF89BC" w14:textId="77777777" w:rsidTr="00CF774B">
              <w:trPr>
                <w:trHeight w:val="270"/>
              </w:trPr>
              <w:tc>
                <w:tcPr>
                  <w:tcW w:w="348" w:type="dxa"/>
                  <w:tcBorders>
                    <w:top w:val="nil"/>
                    <w:left w:val="nil"/>
                    <w:bottom w:val="nil"/>
                    <w:right w:val="nil"/>
                  </w:tcBorders>
                  <w:shd w:val="clear" w:color="auto" w:fill="auto"/>
                  <w:noWrap/>
                  <w:vAlign w:val="bottom"/>
                  <w:hideMark/>
                </w:tcPr>
                <w:p w14:paraId="1B769368" w14:textId="77777777" w:rsidR="00C45D5B" w:rsidRDefault="00C45D5B" w:rsidP="00CF774B">
                  <w:pPr>
                    <w:jc w:val="right"/>
                    <w:rPr>
                      <w:rFonts w:cs="Calibri"/>
                      <w:color w:val="000000"/>
                      <w:sz w:val="18"/>
                      <w:szCs w:val="18"/>
                    </w:rPr>
                  </w:pPr>
                  <w:r>
                    <w:rPr>
                      <w:rFonts w:cs="Calibri"/>
                      <w:color w:val="000000"/>
                      <w:sz w:val="18"/>
                      <w:szCs w:val="18"/>
                    </w:rPr>
                    <w:t>15</w:t>
                  </w:r>
                </w:p>
              </w:tc>
              <w:tc>
                <w:tcPr>
                  <w:tcW w:w="4160" w:type="dxa"/>
                  <w:tcBorders>
                    <w:top w:val="nil"/>
                    <w:left w:val="nil"/>
                    <w:bottom w:val="nil"/>
                    <w:right w:val="nil"/>
                  </w:tcBorders>
                  <w:shd w:val="clear" w:color="auto" w:fill="auto"/>
                  <w:noWrap/>
                  <w:vAlign w:val="bottom"/>
                  <w:hideMark/>
                </w:tcPr>
                <w:p w14:paraId="2F01B67A" w14:textId="77777777" w:rsidR="00C45D5B" w:rsidRDefault="00C45D5B" w:rsidP="00CF774B">
                  <w:pPr>
                    <w:rPr>
                      <w:rFonts w:cs="Calibri"/>
                      <w:color w:val="000000"/>
                      <w:sz w:val="18"/>
                      <w:szCs w:val="18"/>
                    </w:rPr>
                  </w:pPr>
                  <w:r>
                    <w:rPr>
                      <w:rFonts w:cs="Calibri"/>
                      <w:color w:val="000000"/>
                      <w:sz w:val="18"/>
                      <w:szCs w:val="18"/>
                    </w:rPr>
                    <w:t xml:space="preserve">Odpočet firemných strát z rokov 2015-18 </w:t>
                  </w:r>
                </w:p>
              </w:tc>
              <w:tc>
                <w:tcPr>
                  <w:tcW w:w="664" w:type="dxa"/>
                  <w:tcBorders>
                    <w:top w:val="nil"/>
                    <w:left w:val="nil"/>
                    <w:bottom w:val="nil"/>
                    <w:right w:val="nil"/>
                  </w:tcBorders>
                  <w:shd w:val="clear" w:color="auto" w:fill="auto"/>
                  <w:noWrap/>
                  <w:vAlign w:val="center"/>
                  <w:hideMark/>
                </w:tcPr>
                <w:p w14:paraId="6FC23AE9" w14:textId="77777777" w:rsidR="00C45D5B" w:rsidRDefault="00C45D5B" w:rsidP="00CF774B">
                  <w:pPr>
                    <w:jc w:val="center"/>
                    <w:rPr>
                      <w:rFonts w:cs="Calibri"/>
                      <w:color w:val="000000"/>
                      <w:sz w:val="18"/>
                      <w:szCs w:val="18"/>
                    </w:rPr>
                  </w:pPr>
                  <w:r>
                    <w:rPr>
                      <w:rFonts w:cs="Calibri"/>
                      <w:color w:val="000000"/>
                      <w:sz w:val="18"/>
                      <w:szCs w:val="18"/>
                    </w:rPr>
                    <w:t>-28</w:t>
                  </w:r>
                </w:p>
              </w:tc>
              <w:tc>
                <w:tcPr>
                  <w:tcW w:w="709" w:type="dxa"/>
                  <w:tcBorders>
                    <w:top w:val="nil"/>
                    <w:left w:val="nil"/>
                    <w:bottom w:val="nil"/>
                    <w:right w:val="nil"/>
                  </w:tcBorders>
                  <w:shd w:val="clear" w:color="auto" w:fill="auto"/>
                  <w:vAlign w:val="center"/>
                  <w:hideMark/>
                </w:tcPr>
                <w:p w14:paraId="095AFF9F"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030D3DB9"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2E059635"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27604B58"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34374284"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187B703A" w14:textId="77777777" w:rsidTr="00CF774B">
              <w:trPr>
                <w:trHeight w:val="270"/>
              </w:trPr>
              <w:tc>
                <w:tcPr>
                  <w:tcW w:w="348" w:type="dxa"/>
                  <w:tcBorders>
                    <w:top w:val="nil"/>
                    <w:left w:val="nil"/>
                    <w:bottom w:val="nil"/>
                    <w:right w:val="nil"/>
                  </w:tcBorders>
                  <w:shd w:val="clear" w:color="auto" w:fill="auto"/>
                  <w:noWrap/>
                  <w:vAlign w:val="bottom"/>
                  <w:hideMark/>
                </w:tcPr>
                <w:p w14:paraId="5453CB96" w14:textId="77777777" w:rsidR="00C45D5B" w:rsidRDefault="00C45D5B" w:rsidP="00CF774B">
                  <w:pPr>
                    <w:jc w:val="right"/>
                    <w:rPr>
                      <w:rFonts w:cs="Calibri"/>
                      <w:color w:val="000000"/>
                      <w:sz w:val="18"/>
                      <w:szCs w:val="18"/>
                    </w:rPr>
                  </w:pPr>
                  <w:r>
                    <w:rPr>
                      <w:rFonts w:cs="Calibri"/>
                      <w:color w:val="000000"/>
                      <w:sz w:val="18"/>
                      <w:szCs w:val="18"/>
                    </w:rPr>
                    <w:t>16</w:t>
                  </w:r>
                </w:p>
              </w:tc>
              <w:tc>
                <w:tcPr>
                  <w:tcW w:w="4160" w:type="dxa"/>
                  <w:tcBorders>
                    <w:top w:val="nil"/>
                    <w:left w:val="nil"/>
                    <w:bottom w:val="nil"/>
                    <w:right w:val="nil"/>
                  </w:tcBorders>
                  <w:shd w:val="clear" w:color="auto" w:fill="auto"/>
                  <w:noWrap/>
                  <w:vAlign w:val="bottom"/>
                  <w:hideMark/>
                </w:tcPr>
                <w:p w14:paraId="2DB60E9D" w14:textId="77777777" w:rsidR="00C45D5B" w:rsidRDefault="00C45D5B" w:rsidP="00CF774B">
                  <w:pPr>
                    <w:rPr>
                      <w:rFonts w:cs="Calibri"/>
                      <w:color w:val="000000"/>
                      <w:sz w:val="18"/>
                      <w:szCs w:val="18"/>
                    </w:rPr>
                  </w:pPr>
                  <w:r>
                    <w:rPr>
                      <w:rFonts w:cs="Calibri"/>
                      <w:color w:val="000000"/>
                      <w:sz w:val="18"/>
                      <w:szCs w:val="18"/>
                    </w:rPr>
                    <w:t>Nesplatenie časti odložených odvodov</w:t>
                  </w:r>
                </w:p>
              </w:tc>
              <w:tc>
                <w:tcPr>
                  <w:tcW w:w="664" w:type="dxa"/>
                  <w:tcBorders>
                    <w:top w:val="nil"/>
                    <w:left w:val="nil"/>
                    <w:bottom w:val="nil"/>
                    <w:right w:val="nil"/>
                  </w:tcBorders>
                  <w:shd w:val="clear" w:color="auto" w:fill="auto"/>
                  <w:vAlign w:val="center"/>
                  <w:hideMark/>
                </w:tcPr>
                <w:p w14:paraId="3C5B5DB3" w14:textId="77777777" w:rsidR="00C45D5B" w:rsidRDefault="00C45D5B" w:rsidP="00CF774B">
                  <w:pPr>
                    <w:jc w:val="center"/>
                    <w:rPr>
                      <w:rFonts w:cs="Calibri"/>
                      <w:color w:val="000000"/>
                      <w:sz w:val="18"/>
                      <w:szCs w:val="18"/>
                    </w:rPr>
                  </w:pPr>
                  <w:r>
                    <w:rPr>
                      <w:rFonts w:cs="Calibri"/>
                      <w:color w:val="000000"/>
                      <w:sz w:val="18"/>
                      <w:szCs w:val="18"/>
                    </w:rPr>
                    <w:t>-5</w:t>
                  </w:r>
                </w:p>
              </w:tc>
              <w:tc>
                <w:tcPr>
                  <w:tcW w:w="709" w:type="dxa"/>
                  <w:tcBorders>
                    <w:top w:val="nil"/>
                    <w:left w:val="nil"/>
                    <w:bottom w:val="nil"/>
                    <w:right w:val="nil"/>
                  </w:tcBorders>
                  <w:shd w:val="clear" w:color="auto" w:fill="auto"/>
                  <w:noWrap/>
                  <w:vAlign w:val="center"/>
                  <w:hideMark/>
                </w:tcPr>
                <w:p w14:paraId="18266C81" w14:textId="77777777" w:rsidR="00C45D5B" w:rsidRDefault="00C45D5B" w:rsidP="00CF774B">
                  <w:pPr>
                    <w:jc w:val="center"/>
                    <w:rPr>
                      <w:rFonts w:cs="Calibri"/>
                      <w:color w:val="000000"/>
                      <w:sz w:val="18"/>
                      <w:szCs w:val="18"/>
                    </w:rPr>
                  </w:pPr>
                  <w:r>
                    <w:rPr>
                      <w:rFonts w:cs="Calibri"/>
                      <w:color w:val="000000"/>
                      <w:sz w:val="18"/>
                      <w:szCs w:val="18"/>
                    </w:rPr>
                    <w:t>-7</w:t>
                  </w:r>
                </w:p>
              </w:tc>
              <w:tc>
                <w:tcPr>
                  <w:tcW w:w="709" w:type="dxa"/>
                  <w:tcBorders>
                    <w:top w:val="nil"/>
                    <w:left w:val="nil"/>
                    <w:bottom w:val="nil"/>
                    <w:right w:val="nil"/>
                  </w:tcBorders>
                  <w:shd w:val="clear" w:color="auto" w:fill="auto"/>
                  <w:vAlign w:val="center"/>
                  <w:hideMark/>
                </w:tcPr>
                <w:p w14:paraId="151D477D" w14:textId="77777777" w:rsidR="00C45D5B" w:rsidRDefault="00C45D5B" w:rsidP="00CF774B">
                  <w:pPr>
                    <w:jc w:val="center"/>
                    <w:rPr>
                      <w:rFonts w:cs="Calibri"/>
                      <w:color w:val="000000"/>
                      <w:sz w:val="18"/>
                      <w:szCs w:val="18"/>
                    </w:rPr>
                  </w:pPr>
                  <w:r>
                    <w:rPr>
                      <w:rFonts w:cs="Calibri"/>
                      <w:color w:val="000000"/>
                      <w:sz w:val="18"/>
                      <w:szCs w:val="18"/>
                    </w:rPr>
                    <w:t>-2</w:t>
                  </w:r>
                </w:p>
              </w:tc>
              <w:tc>
                <w:tcPr>
                  <w:tcW w:w="708" w:type="dxa"/>
                  <w:tcBorders>
                    <w:top w:val="nil"/>
                    <w:left w:val="nil"/>
                    <w:bottom w:val="nil"/>
                    <w:right w:val="nil"/>
                  </w:tcBorders>
                  <w:shd w:val="clear" w:color="auto" w:fill="auto"/>
                  <w:vAlign w:val="center"/>
                  <w:hideMark/>
                </w:tcPr>
                <w:p w14:paraId="1F4C49D9"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4CB9CF97"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0F5DB1D2"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61A7A9A5" w14:textId="77777777" w:rsidTr="00CF774B">
              <w:trPr>
                <w:trHeight w:val="270"/>
              </w:trPr>
              <w:tc>
                <w:tcPr>
                  <w:tcW w:w="348" w:type="dxa"/>
                  <w:tcBorders>
                    <w:top w:val="nil"/>
                    <w:left w:val="nil"/>
                    <w:bottom w:val="nil"/>
                    <w:right w:val="nil"/>
                  </w:tcBorders>
                  <w:shd w:val="clear" w:color="auto" w:fill="auto"/>
                  <w:noWrap/>
                  <w:vAlign w:val="bottom"/>
                  <w:hideMark/>
                </w:tcPr>
                <w:p w14:paraId="528D179E" w14:textId="77777777" w:rsidR="00C45D5B" w:rsidRDefault="00C45D5B" w:rsidP="00CF774B">
                  <w:pPr>
                    <w:jc w:val="right"/>
                    <w:rPr>
                      <w:rFonts w:cs="Calibri"/>
                      <w:color w:val="000000"/>
                      <w:sz w:val="18"/>
                      <w:szCs w:val="18"/>
                    </w:rPr>
                  </w:pPr>
                  <w:r>
                    <w:rPr>
                      <w:rFonts w:cs="Calibri"/>
                      <w:color w:val="000000"/>
                      <w:sz w:val="18"/>
                      <w:szCs w:val="18"/>
                    </w:rPr>
                    <w:t>17</w:t>
                  </w:r>
                </w:p>
              </w:tc>
              <w:tc>
                <w:tcPr>
                  <w:tcW w:w="4160" w:type="dxa"/>
                  <w:tcBorders>
                    <w:top w:val="nil"/>
                    <w:left w:val="nil"/>
                    <w:bottom w:val="nil"/>
                    <w:right w:val="nil"/>
                  </w:tcBorders>
                  <w:shd w:val="clear" w:color="auto" w:fill="auto"/>
                  <w:noWrap/>
                  <w:vAlign w:val="bottom"/>
                  <w:hideMark/>
                </w:tcPr>
                <w:p w14:paraId="09CFEB3C" w14:textId="77777777" w:rsidR="00C45D5B" w:rsidRDefault="00C45D5B" w:rsidP="00CF774B">
                  <w:pPr>
                    <w:rPr>
                      <w:rFonts w:cs="Calibri"/>
                      <w:color w:val="000000"/>
                      <w:sz w:val="18"/>
                      <w:szCs w:val="18"/>
                    </w:rPr>
                  </w:pPr>
                  <w:r>
                    <w:rPr>
                      <w:rFonts w:cs="Calibri"/>
                      <w:color w:val="000000"/>
                      <w:sz w:val="18"/>
                      <w:szCs w:val="18"/>
                    </w:rPr>
                    <w:t xml:space="preserve">Nulová daň z pridanej hodnoty na respirátory FFP2/3 </w:t>
                  </w:r>
                </w:p>
              </w:tc>
              <w:tc>
                <w:tcPr>
                  <w:tcW w:w="664" w:type="dxa"/>
                  <w:tcBorders>
                    <w:top w:val="nil"/>
                    <w:left w:val="nil"/>
                    <w:bottom w:val="nil"/>
                    <w:right w:val="nil"/>
                  </w:tcBorders>
                  <w:shd w:val="clear" w:color="auto" w:fill="auto"/>
                  <w:noWrap/>
                  <w:vAlign w:val="center"/>
                  <w:hideMark/>
                </w:tcPr>
                <w:p w14:paraId="08800051"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noWrap/>
                  <w:vAlign w:val="center"/>
                  <w:hideMark/>
                </w:tcPr>
                <w:p w14:paraId="3198DAA6" w14:textId="77777777" w:rsidR="00C45D5B" w:rsidRDefault="00C45D5B" w:rsidP="00CF774B">
                  <w:pPr>
                    <w:jc w:val="center"/>
                    <w:rPr>
                      <w:rFonts w:cs="Calibri"/>
                      <w:color w:val="000000"/>
                      <w:sz w:val="18"/>
                      <w:szCs w:val="18"/>
                    </w:rPr>
                  </w:pPr>
                  <w:r>
                    <w:rPr>
                      <w:rFonts w:cs="Calibri"/>
                      <w:color w:val="000000"/>
                      <w:sz w:val="18"/>
                      <w:szCs w:val="18"/>
                    </w:rPr>
                    <w:t>-10</w:t>
                  </w:r>
                </w:p>
              </w:tc>
              <w:tc>
                <w:tcPr>
                  <w:tcW w:w="709" w:type="dxa"/>
                  <w:tcBorders>
                    <w:top w:val="nil"/>
                    <w:left w:val="nil"/>
                    <w:bottom w:val="nil"/>
                    <w:right w:val="nil"/>
                  </w:tcBorders>
                  <w:shd w:val="clear" w:color="auto" w:fill="auto"/>
                  <w:vAlign w:val="center"/>
                  <w:hideMark/>
                </w:tcPr>
                <w:p w14:paraId="5008E71F"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009781C8"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4F5A9040"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605CC2BD"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5D08EC3D" w14:textId="77777777" w:rsidTr="00CF774B">
              <w:trPr>
                <w:trHeight w:val="270"/>
              </w:trPr>
              <w:tc>
                <w:tcPr>
                  <w:tcW w:w="348" w:type="dxa"/>
                  <w:tcBorders>
                    <w:top w:val="nil"/>
                    <w:left w:val="nil"/>
                    <w:bottom w:val="nil"/>
                    <w:right w:val="nil"/>
                  </w:tcBorders>
                  <w:shd w:val="clear" w:color="auto" w:fill="auto"/>
                  <w:noWrap/>
                  <w:vAlign w:val="bottom"/>
                  <w:hideMark/>
                </w:tcPr>
                <w:p w14:paraId="782408BD" w14:textId="77777777" w:rsidR="00C45D5B" w:rsidRDefault="00C45D5B" w:rsidP="00CF774B">
                  <w:pPr>
                    <w:jc w:val="right"/>
                    <w:rPr>
                      <w:rFonts w:cs="Calibri"/>
                      <w:color w:val="000000"/>
                      <w:sz w:val="18"/>
                      <w:szCs w:val="18"/>
                    </w:rPr>
                  </w:pPr>
                  <w:r>
                    <w:rPr>
                      <w:rFonts w:cs="Calibri"/>
                      <w:color w:val="000000"/>
                      <w:sz w:val="18"/>
                      <w:szCs w:val="18"/>
                    </w:rPr>
                    <w:t>18</w:t>
                  </w:r>
                </w:p>
              </w:tc>
              <w:tc>
                <w:tcPr>
                  <w:tcW w:w="4160" w:type="dxa"/>
                  <w:tcBorders>
                    <w:top w:val="nil"/>
                    <w:left w:val="nil"/>
                    <w:bottom w:val="nil"/>
                    <w:right w:val="nil"/>
                  </w:tcBorders>
                  <w:shd w:val="clear" w:color="auto" w:fill="auto"/>
                  <w:noWrap/>
                  <w:vAlign w:val="center"/>
                  <w:hideMark/>
                </w:tcPr>
                <w:p w14:paraId="197026C9" w14:textId="77777777" w:rsidR="00C45D5B" w:rsidRDefault="00C45D5B" w:rsidP="00CF774B">
                  <w:pPr>
                    <w:rPr>
                      <w:rFonts w:cs="Calibri"/>
                      <w:color w:val="000000"/>
                      <w:sz w:val="18"/>
                      <w:szCs w:val="18"/>
                    </w:rPr>
                  </w:pPr>
                  <w:r>
                    <w:rPr>
                      <w:rFonts w:cs="Calibri"/>
                      <w:color w:val="000000"/>
                      <w:sz w:val="18"/>
                      <w:szCs w:val="18"/>
                    </w:rPr>
                    <w:t>Odmeny pracovníkom v zdravotníctve</w:t>
                  </w:r>
                </w:p>
              </w:tc>
              <w:tc>
                <w:tcPr>
                  <w:tcW w:w="664" w:type="dxa"/>
                  <w:tcBorders>
                    <w:top w:val="nil"/>
                    <w:left w:val="nil"/>
                    <w:bottom w:val="nil"/>
                    <w:right w:val="nil"/>
                  </w:tcBorders>
                  <w:shd w:val="clear" w:color="auto" w:fill="auto"/>
                  <w:noWrap/>
                  <w:vAlign w:val="center"/>
                  <w:hideMark/>
                </w:tcPr>
                <w:p w14:paraId="7E8CA4B0" w14:textId="77777777" w:rsidR="00C45D5B" w:rsidRDefault="00C45D5B" w:rsidP="00CF774B">
                  <w:pPr>
                    <w:jc w:val="center"/>
                    <w:rPr>
                      <w:rFonts w:cs="Calibri"/>
                      <w:color w:val="000000"/>
                      <w:sz w:val="18"/>
                      <w:szCs w:val="18"/>
                    </w:rPr>
                  </w:pPr>
                  <w:r>
                    <w:rPr>
                      <w:rFonts w:cs="Calibri"/>
                      <w:color w:val="000000"/>
                      <w:sz w:val="18"/>
                      <w:szCs w:val="18"/>
                    </w:rPr>
                    <w:t>-13</w:t>
                  </w:r>
                </w:p>
              </w:tc>
              <w:tc>
                <w:tcPr>
                  <w:tcW w:w="709" w:type="dxa"/>
                  <w:tcBorders>
                    <w:top w:val="nil"/>
                    <w:left w:val="nil"/>
                    <w:bottom w:val="nil"/>
                    <w:right w:val="nil"/>
                  </w:tcBorders>
                  <w:shd w:val="clear" w:color="auto" w:fill="auto"/>
                  <w:vAlign w:val="center"/>
                  <w:hideMark/>
                </w:tcPr>
                <w:p w14:paraId="7496F290" w14:textId="77777777" w:rsidR="00C45D5B" w:rsidRDefault="00C45D5B" w:rsidP="00CF774B">
                  <w:pPr>
                    <w:jc w:val="center"/>
                    <w:rPr>
                      <w:rFonts w:cs="Calibri"/>
                      <w:color w:val="000000"/>
                      <w:sz w:val="18"/>
                      <w:szCs w:val="18"/>
                    </w:rPr>
                  </w:pPr>
                  <w:r>
                    <w:rPr>
                      <w:rFonts w:cs="Calibri"/>
                      <w:color w:val="000000"/>
                      <w:sz w:val="18"/>
                      <w:szCs w:val="18"/>
                    </w:rPr>
                    <w:t>-54</w:t>
                  </w:r>
                </w:p>
              </w:tc>
              <w:tc>
                <w:tcPr>
                  <w:tcW w:w="709" w:type="dxa"/>
                  <w:tcBorders>
                    <w:top w:val="nil"/>
                    <w:left w:val="nil"/>
                    <w:bottom w:val="nil"/>
                    <w:right w:val="nil"/>
                  </w:tcBorders>
                  <w:shd w:val="clear" w:color="auto" w:fill="auto"/>
                  <w:vAlign w:val="center"/>
                  <w:hideMark/>
                </w:tcPr>
                <w:p w14:paraId="5DE47D9D" w14:textId="77777777" w:rsidR="00C45D5B" w:rsidRDefault="00C45D5B" w:rsidP="00CF774B">
                  <w:pPr>
                    <w:jc w:val="center"/>
                    <w:rPr>
                      <w:rFonts w:cs="Calibri"/>
                      <w:color w:val="000000"/>
                      <w:sz w:val="18"/>
                      <w:szCs w:val="18"/>
                    </w:rPr>
                  </w:pPr>
                  <w:r>
                    <w:rPr>
                      <w:rFonts w:cs="Calibri"/>
                      <w:color w:val="000000"/>
                      <w:sz w:val="18"/>
                      <w:szCs w:val="18"/>
                    </w:rPr>
                    <w:t>-5</w:t>
                  </w:r>
                </w:p>
              </w:tc>
              <w:tc>
                <w:tcPr>
                  <w:tcW w:w="708" w:type="dxa"/>
                  <w:tcBorders>
                    <w:top w:val="nil"/>
                    <w:left w:val="nil"/>
                    <w:bottom w:val="nil"/>
                    <w:right w:val="nil"/>
                  </w:tcBorders>
                  <w:shd w:val="clear" w:color="auto" w:fill="auto"/>
                  <w:vAlign w:val="center"/>
                  <w:hideMark/>
                </w:tcPr>
                <w:p w14:paraId="21B3E141"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0CD53FB3"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6BF97BA2"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1E412162" w14:textId="77777777" w:rsidTr="00CF774B">
              <w:trPr>
                <w:trHeight w:val="270"/>
              </w:trPr>
              <w:tc>
                <w:tcPr>
                  <w:tcW w:w="348" w:type="dxa"/>
                  <w:tcBorders>
                    <w:top w:val="nil"/>
                    <w:left w:val="nil"/>
                    <w:bottom w:val="nil"/>
                    <w:right w:val="nil"/>
                  </w:tcBorders>
                  <w:shd w:val="clear" w:color="auto" w:fill="auto"/>
                  <w:noWrap/>
                  <w:vAlign w:val="bottom"/>
                  <w:hideMark/>
                </w:tcPr>
                <w:p w14:paraId="3A5BB9B3" w14:textId="77777777" w:rsidR="00C45D5B" w:rsidRDefault="00C45D5B" w:rsidP="00CF774B">
                  <w:pPr>
                    <w:jc w:val="right"/>
                    <w:rPr>
                      <w:rFonts w:cs="Calibri"/>
                      <w:color w:val="000000"/>
                      <w:sz w:val="18"/>
                      <w:szCs w:val="18"/>
                    </w:rPr>
                  </w:pPr>
                  <w:r>
                    <w:rPr>
                      <w:rFonts w:cs="Calibri"/>
                      <w:color w:val="000000"/>
                      <w:sz w:val="18"/>
                      <w:szCs w:val="18"/>
                    </w:rPr>
                    <w:t>19</w:t>
                  </w:r>
                </w:p>
              </w:tc>
              <w:tc>
                <w:tcPr>
                  <w:tcW w:w="4160" w:type="dxa"/>
                  <w:tcBorders>
                    <w:top w:val="nil"/>
                    <w:left w:val="nil"/>
                    <w:bottom w:val="nil"/>
                    <w:right w:val="nil"/>
                  </w:tcBorders>
                  <w:shd w:val="clear" w:color="auto" w:fill="auto"/>
                  <w:noWrap/>
                  <w:vAlign w:val="center"/>
                  <w:hideMark/>
                </w:tcPr>
                <w:p w14:paraId="6BEFE430" w14:textId="77777777" w:rsidR="00C45D5B" w:rsidRDefault="00C45D5B" w:rsidP="00CF774B">
                  <w:pPr>
                    <w:rPr>
                      <w:rFonts w:cs="Calibri"/>
                      <w:color w:val="000000"/>
                      <w:sz w:val="18"/>
                      <w:szCs w:val="18"/>
                    </w:rPr>
                  </w:pPr>
                  <w:r>
                    <w:rPr>
                      <w:rFonts w:cs="Calibri"/>
                      <w:color w:val="000000"/>
                      <w:sz w:val="18"/>
                      <w:szCs w:val="18"/>
                    </w:rPr>
                    <w:t>Platba doktorom špecialistom</w:t>
                  </w:r>
                </w:p>
              </w:tc>
              <w:tc>
                <w:tcPr>
                  <w:tcW w:w="664" w:type="dxa"/>
                  <w:tcBorders>
                    <w:top w:val="nil"/>
                    <w:left w:val="nil"/>
                    <w:bottom w:val="nil"/>
                    <w:right w:val="nil"/>
                  </w:tcBorders>
                  <w:shd w:val="clear" w:color="auto" w:fill="auto"/>
                  <w:noWrap/>
                  <w:vAlign w:val="center"/>
                  <w:hideMark/>
                </w:tcPr>
                <w:p w14:paraId="6D11EF4F" w14:textId="77777777" w:rsidR="00C45D5B" w:rsidRDefault="00C45D5B" w:rsidP="00CF774B">
                  <w:pPr>
                    <w:jc w:val="center"/>
                    <w:rPr>
                      <w:rFonts w:cs="Calibri"/>
                      <w:color w:val="000000"/>
                      <w:sz w:val="18"/>
                      <w:szCs w:val="18"/>
                    </w:rPr>
                  </w:pPr>
                  <w:r>
                    <w:rPr>
                      <w:rFonts w:cs="Calibri"/>
                      <w:color w:val="000000"/>
                      <w:sz w:val="18"/>
                      <w:szCs w:val="18"/>
                    </w:rPr>
                    <w:t>-138</w:t>
                  </w:r>
                </w:p>
              </w:tc>
              <w:tc>
                <w:tcPr>
                  <w:tcW w:w="709" w:type="dxa"/>
                  <w:tcBorders>
                    <w:top w:val="nil"/>
                    <w:left w:val="nil"/>
                    <w:bottom w:val="nil"/>
                    <w:right w:val="nil"/>
                  </w:tcBorders>
                  <w:shd w:val="clear" w:color="auto" w:fill="auto"/>
                  <w:vAlign w:val="center"/>
                  <w:hideMark/>
                </w:tcPr>
                <w:p w14:paraId="64169CDD"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528CAB2B"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798F6523"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0D27EBB9"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4F8AE35C"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70981375" w14:textId="77777777" w:rsidTr="00CF774B">
              <w:trPr>
                <w:trHeight w:val="270"/>
              </w:trPr>
              <w:tc>
                <w:tcPr>
                  <w:tcW w:w="348" w:type="dxa"/>
                  <w:tcBorders>
                    <w:top w:val="nil"/>
                    <w:left w:val="nil"/>
                    <w:bottom w:val="nil"/>
                    <w:right w:val="nil"/>
                  </w:tcBorders>
                  <w:shd w:val="clear" w:color="auto" w:fill="auto"/>
                  <w:noWrap/>
                  <w:vAlign w:val="bottom"/>
                  <w:hideMark/>
                </w:tcPr>
                <w:p w14:paraId="43AA61BA" w14:textId="77777777" w:rsidR="00C45D5B" w:rsidRDefault="00C45D5B" w:rsidP="00CF774B">
                  <w:pPr>
                    <w:jc w:val="right"/>
                    <w:rPr>
                      <w:rFonts w:cs="Calibri"/>
                      <w:color w:val="000000"/>
                      <w:sz w:val="18"/>
                      <w:szCs w:val="18"/>
                    </w:rPr>
                  </w:pPr>
                  <w:r>
                    <w:rPr>
                      <w:rFonts w:cs="Calibri"/>
                      <w:color w:val="000000"/>
                      <w:sz w:val="18"/>
                      <w:szCs w:val="18"/>
                    </w:rPr>
                    <w:t>20</w:t>
                  </w:r>
                </w:p>
              </w:tc>
              <w:tc>
                <w:tcPr>
                  <w:tcW w:w="4160" w:type="dxa"/>
                  <w:tcBorders>
                    <w:top w:val="nil"/>
                    <w:left w:val="nil"/>
                    <w:bottom w:val="nil"/>
                    <w:right w:val="nil"/>
                  </w:tcBorders>
                  <w:shd w:val="clear" w:color="auto" w:fill="auto"/>
                  <w:noWrap/>
                  <w:vAlign w:val="center"/>
                  <w:hideMark/>
                </w:tcPr>
                <w:p w14:paraId="7A73EE17" w14:textId="77777777" w:rsidR="00C45D5B" w:rsidRDefault="00C45D5B" w:rsidP="00CF774B">
                  <w:pPr>
                    <w:rPr>
                      <w:rFonts w:cs="Calibri"/>
                      <w:color w:val="000000"/>
                      <w:sz w:val="18"/>
                      <w:szCs w:val="18"/>
                    </w:rPr>
                  </w:pPr>
                  <w:r>
                    <w:rPr>
                      <w:rFonts w:cs="Calibri"/>
                      <w:color w:val="000000"/>
                      <w:sz w:val="18"/>
                      <w:szCs w:val="18"/>
                    </w:rPr>
                    <w:t>Zvýšené výdavky - ventilátory a iné</w:t>
                  </w:r>
                </w:p>
              </w:tc>
              <w:tc>
                <w:tcPr>
                  <w:tcW w:w="664" w:type="dxa"/>
                  <w:tcBorders>
                    <w:top w:val="nil"/>
                    <w:left w:val="nil"/>
                    <w:bottom w:val="nil"/>
                    <w:right w:val="nil"/>
                  </w:tcBorders>
                  <w:shd w:val="clear" w:color="auto" w:fill="auto"/>
                  <w:noWrap/>
                  <w:vAlign w:val="center"/>
                  <w:hideMark/>
                </w:tcPr>
                <w:p w14:paraId="4C81DA2C" w14:textId="77777777" w:rsidR="00C45D5B" w:rsidRDefault="00C45D5B" w:rsidP="00CF774B">
                  <w:pPr>
                    <w:jc w:val="center"/>
                    <w:rPr>
                      <w:rFonts w:cs="Calibri"/>
                      <w:color w:val="000000"/>
                      <w:sz w:val="18"/>
                      <w:szCs w:val="18"/>
                    </w:rPr>
                  </w:pPr>
                  <w:r>
                    <w:rPr>
                      <w:rFonts w:cs="Calibri"/>
                      <w:color w:val="000000"/>
                      <w:sz w:val="18"/>
                      <w:szCs w:val="18"/>
                    </w:rPr>
                    <w:t>-39</w:t>
                  </w:r>
                </w:p>
              </w:tc>
              <w:tc>
                <w:tcPr>
                  <w:tcW w:w="709" w:type="dxa"/>
                  <w:tcBorders>
                    <w:top w:val="nil"/>
                    <w:left w:val="nil"/>
                    <w:bottom w:val="nil"/>
                    <w:right w:val="nil"/>
                  </w:tcBorders>
                  <w:shd w:val="clear" w:color="auto" w:fill="auto"/>
                  <w:noWrap/>
                  <w:vAlign w:val="center"/>
                  <w:hideMark/>
                </w:tcPr>
                <w:p w14:paraId="2C9BA087" w14:textId="77777777" w:rsidR="00C45D5B" w:rsidRDefault="00C45D5B" w:rsidP="00CF774B">
                  <w:pPr>
                    <w:jc w:val="center"/>
                    <w:rPr>
                      <w:rFonts w:cs="Calibri"/>
                      <w:color w:val="000000"/>
                      <w:sz w:val="18"/>
                      <w:szCs w:val="18"/>
                    </w:rPr>
                  </w:pPr>
                  <w:r>
                    <w:rPr>
                      <w:rFonts w:cs="Calibri"/>
                      <w:color w:val="000000"/>
                      <w:sz w:val="18"/>
                      <w:szCs w:val="18"/>
                    </w:rPr>
                    <w:t>-25</w:t>
                  </w:r>
                </w:p>
              </w:tc>
              <w:tc>
                <w:tcPr>
                  <w:tcW w:w="709" w:type="dxa"/>
                  <w:tcBorders>
                    <w:top w:val="nil"/>
                    <w:left w:val="nil"/>
                    <w:bottom w:val="nil"/>
                    <w:right w:val="nil"/>
                  </w:tcBorders>
                  <w:shd w:val="clear" w:color="auto" w:fill="auto"/>
                  <w:vAlign w:val="center"/>
                  <w:hideMark/>
                </w:tcPr>
                <w:p w14:paraId="696A2D03"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294DC15B"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26FF7DCD"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3289EEBA"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09A5929E" w14:textId="77777777" w:rsidTr="00CF774B">
              <w:trPr>
                <w:trHeight w:val="270"/>
              </w:trPr>
              <w:tc>
                <w:tcPr>
                  <w:tcW w:w="348" w:type="dxa"/>
                  <w:tcBorders>
                    <w:top w:val="nil"/>
                    <w:left w:val="nil"/>
                    <w:bottom w:val="nil"/>
                    <w:right w:val="nil"/>
                  </w:tcBorders>
                  <w:shd w:val="clear" w:color="auto" w:fill="auto"/>
                  <w:noWrap/>
                  <w:vAlign w:val="bottom"/>
                  <w:hideMark/>
                </w:tcPr>
                <w:p w14:paraId="152F710F" w14:textId="77777777" w:rsidR="00C45D5B" w:rsidRDefault="00C45D5B" w:rsidP="00CF774B">
                  <w:pPr>
                    <w:jc w:val="right"/>
                    <w:rPr>
                      <w:rFonts w:cs="Calibri"/>
                      <w:color w:val="000000"/>
                      <w:sz w:val="18"/>
                      <w:szCs w:val="18"/>
                    </w:rPr>
                  </w:pPr>
                  <w:r>
                    <w:rPr>
                      <w:rFonts w:cs="Calibri"/>
                      <w:color w:val="000000"/>
                      <w:sz w:val="18"/>
                      <w:szCs w:val="18"/>
                    </w:rPr>
                    <w:t>21</w:t>
                  </w:r>
                </w:p>
              </w:tc>
              <w:tc>
                <w:tcPr>
                  <w:tcW w:w="4160" w:type="dxa"/>
                  <w:tcBorders>
                    <w:top w:val="nil"/>
                    <w:left w:val="nil"/>
                    <w:bottom w:val="nil"/>
                    <w:right w:val="nil"/>
                  </w:tcBorders>
                  <w:shd w:val="clear" w:color="auto" w:fill="auto"/>
                  <w:noWrap/>
                  <w:vAlign w:val="bottom"/>
                  <w:hideMark/>
                </w:tcPr>
                <w:p w14:paraId="5811022C" w14:textId="77777777" w:rsidR="00C45D5B" w:rsidRDefault="00C45D5B" w:rsidP="00CF774B">
                  <w:pPr>
                    <w:rPr>
                      <w:rFonts w:cs="Calibri"/>
                      <w:sz w:val="18"/>
                      <w:szCs w:val="18"/>
                    </w:rPr>
                  </w:pPr>
                  <w:r>
                    <w:rPr>
                      <w:rFonts w:cs="Calibri"/>
                      <w:sz w:val="18"/>
                      <w:szCs w:val="18"/>
                    </w:rPr>
                    <w:t>Výdavky na testovanie</w:t>
                  </w:r>
                </w:p>
              </w:tc>
              <w:tc>
                <w:tcPr>
                  <w:tcW w:w="664" w:type="dxa"/>
                  <w:tcBorders>
                    <w:top w:val="nil"/>
                    <w:left w:val="nil"/>
                    <w:bottom w:val="nil"/>
                    <w:right w:val="nil"/>
                  </w:tcBorders>
                  <w:shd w:val="clear" w:color="auto" w:fill="auto"/>
                  <w:noWrap/>
                  <w:vAlign w:val="center"/>
                  <w:hideMark/>
                </w:tcPr>
                <w:p w14:paraId="1F8D34E4" w14:textId="77777777" w:rsidR="00C45D5B" w:rsidRDefault="00C45D5B" w:rsidP="00CF774B">
                  <w:pPr>
                    <w:jc w:val="center"/>
                    <w:rPr>
                      <w:rFonts w:cs="Calibri"/>
                      <w:color w:val="000000"/>
                      <w:sz w:val="18"/>
                      <w:szCs w:val="18"/>
                    </w:rPr>
                  </w:pPr>
                  <w:r>
                    <w:rPr>
                      <w:rFonts w:cs="Calibri"/>
                      <w:color w:val="000000"/>
                      <w:sz w:val="18"/>
                      <w:szCs w:val="18"/>
                    </w:rPr>
                    <w:t>-124</w:t>
                  </w:r>
                </w:p>
              </w:tc>
              <w:tc>
                <w:tcPr>
                  <w:tcW w:w="709" w:type="dxa"/>
                  <w:tcBorders>
                    <w:top w:val="nil"/>
                    <w:left w:val="nil"/>
                    <w:bottom w:val="nil"/>
                    <w:right w:val="nil"/>
                  </w:tcBorders>
                  <w:shd w:val="clear" w:color="auto" w:fill="auto"/>
                  <w:noWrap/>
                  <w:vAlign w:val="center"/>
                  <w:hideMark/>
                </w:tcPr>
                <w:p w14:paraId="0732DFAE" w14:textId="77777777" w:rsidR="00C45D5B" w:rsidRDefault="00C45D5B" w:rsidP="00CF774B">
                  <w:pPr>
                    <w:jc w:val="center"/>
                    <w:rPr>
                      <w:rFonts w:cs="Calibri"/>
                      <w:color w:val="000000"/>
                      <w:sz w:val="18"/>
                      <w:szCs w:val="18"/>
                    </w:rPr>
                  </w:pPr>
                  <w:r>
                    <w:rPr>
                      <w:rFonts w:cs="Calibri"/>
                      <w:color w:val="000000"/>
                      <w:sz w:val="18"/>
                      <w:szCs w:val="18"/>
                    </w:rPr>
                    <w:t>-332</w:t>
                  </w:r>
                </w:p>
              </w:tc>
              <w:tc>
                <w:tcPr>
                  <w:tcW w:w="709" w:type="dxa"/>
                  <w:tcBorders>
                    <w:top w:val="nil"/>
                    <w:left w:val="nil"/>
                    <w:bottom w:val="nil"/>
                    <w:right w:val="nil"/>
                  </w:tcBorders>
                  <w:shd w:val="clear" w:color="auto" w:fill="auto"/>
                  <w:vAlign w:val="center"/>
                  <w:hideMark/>
                </w:tcPr>
                <w:p w14:paraId="45BBC950" w14:textId="77777777" w:rsidR="00C45D5B" w:rsidRDefault="00C45D5B" w:rsidP="00CF774B">
                  <w:pPr>
                    <w:jc w:val="center"/>
                    <w:rPr>
                      <w:rFonts w:cs="Calibri"/>
                      <w:color w:val="000000"/>
                      <w:sz w:val="18"/>
                      <w:szCs w:val="18"/>
                    </w:rPr>
                  </w:pPr>
                  <w:r>
                    <w:rPr>
                      <w:rFonts w:cs="Calibri"/>
                      <w:color w:val="000000"/>
                      <w:sz w:val="18"/>
                      <w:szCs w:val="18"/>
                    </w:rPr>
                    <w:t>-75</w:t>
                  </w:r>
                </w:p>
              </w:tc>
              <w:tc>
                <w:tcPr>
                  <w:tcW w:w="708" w:type="dxa"/>
                  <w:tcBorders>
                    <w:top w:val="nil"/>
                    <w:left w:val="nil"/>
                    <w:bottom w:val="nil"/>
                    <w:right w:val="nil"/>
                  </w:tcBorders>
                  <w:shd w:val="clear" w:color="auto" w:fill="auto"/>
                  <w:vAlign w:val="center"/>
                  <w:hideMark/>
                </w:tcPr>
                <w:p w14:paraId="5026D741"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7D1CC69B"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53FC1B06"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5E56C2B2" w14:textId="77777777" w:rsidTr="00CF774B">
              <w:trPr>
                <w:trHeight w:val="270"/>
              </w:trPr>
              <w:tc>
                <w:tcPr>
                  <w:tcW w:w="348" w:type="dxa"/>
                  <w:tcBorders>
                    <w:top w:val="nil"/>
                    <w:left w:val="nil"/>
                    <w:bottom w:val="nil"/>
                    <w:right w:val="nil"/>
                  </w:tcBorders>
                  <w:shd w:val="clear" w:color="auto" w:fill="auto"/>
                  <w:noWrap/>
                  <w:vAlign w:val="bottom"/>
                  <w:hideMark/>
                </w:tcPr>
                <w:p w14:paraId="2FF67E48" w14:textId="77777777" w:rsidR="00C45D5B" w:rsidRDefault="00C45D5B" w:rsidP="00CF774B">
                  <w:pPr>
                    <w:jc w:val="right"/>
                    <w:rPr>
                      <w:rFonts w:cs="Calibri"/>
                      <w:color w:val="000000"/>
                      <w:sz w:val="18"/>
                      <w:szCs w:val="18"/>
                    </w:rPr>
                  </w:pPr>
                  <w:r>
                    <w:rPr>
                      <w:rFonts w:cs="Calibri"/>
                      <w:color w:val="000000"/>
                      <w:sz w:val="18"/>
                      <w:szCs w:val="18"/>
                    </w:rPr>
                    <w:t>22</w:t>
                  </w:r>
                </w:p>
              </w:tc>
              <w:tc>
                <w:tcPr>
                  <w:tcW w:w="4160" w:type="dxa"/>
                  <w:tcBorders>
                    <w:top w:val="nil"/>
                    <w:left w:val="nil"/>
                    <w:bottom w:val="nil"/>
                    <w:right w:val="nil"/>
                  </w:tcBorders>
                  <w:shd w:val="clear" w:color="auto" w:fill="auto"/>
                  <w:noWrap/>
                  <w:vAlign w:val="bottom"/>
                  <w:hideMark/>
                </w:tcPr>
                <w:p w14:paraId="1E57638E" w14:textId="77777777" w:rsidR="00C45D5B" w:rsidRDefault="00C45D5B" w:rsidP="00CF774B">
                  <w:pPr>
                    <w:rPr>
                      <w:rFonts w:cs="Calibri"/>
                      <w:color w:val="000000"/>
                      <w:sz w:val="18"/>
                      <w:szCs w:val="18"/>
                    </w:rPr>
                  </w:pPr>
                  <w:r>
                    <w:rPr>
                      <w:rFonts w:cs="Calibri"/>
                      <w:color w:val="000000"/>
                      <w:sz w:val="18"/>
                      <w:szCs w:val="18"/>
                    </w:rPr>
                    <w:t>Náklady na lieky a vakcínáciu</w:t>
                  </w:r>
                </w:p>
              </w:tc>
              <w:tc>
                <w:tcPr>
                  <w:tcW w:w="664" w:type="dxa"/>
                  <w:tcBorders>
                    <w:top w:val="nil"/>
                    <w:left w:val="nil"/>
                    <w:bottom w:val="nil"/>
                    <w:right w:val="nil"/>
                  </w:tcBorders>
                  <w:shd w:val="clear" w:color="auto" w:fill="auto"/>
                  <w:noWrap/>
                  <w:vAlign w:val="center"/>
                  <w:hideMark/>
                </w:tcPr>
                <w:p w14:paraId="1992F86F" w14:textId="77777777" w:rsidR="00C45D5B" w:rsidRDefault="00C45D5B" w:rsidP="00CF774B">
                  <w:pPr>
                    <w:jc w:val="center"/>
                    <w:rPr>
                      <w:rFonts w:cs="Calibri"/>
                      <w:color w:val="000000"/>
                      <w:sz w:val="18"/>
                      <w:szCs w:val="18"/>
                    </w:rPr>
                  </w:pPr>
                  <w:r>
                    <w:rPr>
                      <w:rFonts w:cs="Calibri"/>
                      <w:color w:val="000000"/>
                      <w:sz w:val="18"/>
                      <w:szCs w:val="18"/>
                    </w:rPr>
                    <w:t>0</w:t>
                  </w:r>
                </w:p>
              </w:tc>
              <w:tc>
                <w:tcPr>
                  <w:tcW w:w="709" w:type="dxa"/>
                  <w:tcBorders>
                    <w:top w:val="nil"/>
                    <w:left w:val="nil"/>
                    <w:bottom w:val="nil"/>
                    <w:right w:val="nil"/>
                  </w:tcBorders>
                  <w:shd w:val="clear" w:color="auto" w:fill="auto"/>
                  <w:noWrap/>
                  <w:vAlign w:val="center"/>
                  <w:hideMark/>
                </w:tcPr>
                <w:p w14:paraId="3651767E" w14:textId="77777777" w:rsidR="00C45D5B" w:rsidRDefault="00C45D5B" w:rsidP="00CF774B">
                  <w:pPr>
                    <w:jc w:val="center"/>
                    <w:rPr>
                      <w:rFonts w:cs="Calibri"/>
                      <w:color w:val="000000"/>
                      <w:sz w:val="18"/>
                      <w:szCs w:val="18"/>
                    </w:rPr>
                  </w:pPr>
                  <w:r>
                    <w:rPr>
                      <w:rFonts w:cs="Calibri"/>
                      <w:color w:val="000000"/>
                      <w:sz w:val="18"/>
                      <w:szCs w:val="18"/>
                    </w:rPr>
                    <w:t>-162</w:t>
                  </w:r>
                </w:p>
              </w:tc>
              <w:tc>
                <w:tcPr>
                  <w:tcW w:w="709" w:type="dxa"/>
                  <w:tcBorders>
                    <w:top w:val="nil"/>
                    <w:left w:val="nil"/>
                    <w:bottom w:val="nil"/>
                    <w:right w:val="nil"/>
                  </w:tcBorders>
                  <w:shd w:val="clear" w:color="auto" w:fill="auto"/>
                  <w:vAlign w:val="center"/>
                  <w:hideMark/>
                </w:tcPr>
                <w:p w14:paraId="6E3B9424" w14:textId="77777777" w:rsidR="00C45D5B" w:rsidRDefault="00C45D5B" w:rsidP="00CF774B">
                  <w:pPr>
                    <w:jc w:val="center"/>
                    <w:rPr>
                      <w:rFonts w:cs="Calibri"/>
                      <w:color w:val="000000"/>
                      <w:sz w:val="18"/>
                      <w:szCs w:val="18"/>
                    </w:rPr>
                  </w:pPr>
                  <w:r>
                    <w:rPr>
                      <w:rFonts w:cs="Calibri"/>
                      <w:color w:val="000000"/>
                      <w:sz w:val="18"/>
                      <w:szCs w:val="18"/>
                    </w:rPr>
                    <w:t>-182</w:t>
                  </w:r>
                </w:p>
              </w:tc>
              <w:tc>
                <w:tcPr>
                  <w:tcW w:w="708" w:type="dxa"/>
                  <w:tcBorders>
                    <w:top w:val="nil"/>
                    <w:left w:val="nil"/>
                    <w:bottom w:val="nil"/>
                    <w:right w:val="nil"/>
                  </w:tcBorders>
                  <w:shd w:val="clear" w:color="auto" w:fill="auto"/>
                  <w:vAlign w:val="center"/>
                  <w:hideMark/>
                </w:tcPr>
                <w:p w14:paraId="7EAF1725"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1E17E034"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1500E4D0"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32219FEC" w14:textId="77777777" w:rsidTr="00CF774B">
              <w:trPr>
                <w:trHeight w:val="270"/>
              </w:trPr>
              <w:tc>
                <w:tcPr>
                  <w:tcW w:w="348" w:type="dxa"/>
                  <w:tcBorders>
                    <w:top w:val="nil"/>
                    <w:left w:val="nil"/>
                    <w:bottom w:val="nil"/>
                    <w:right w:val="nil"/>
                  </w:tcBorders>
                  <w:shd w:val="clear" w:color="auto" w:fill="auto"/>
                  <w:noWrap/>
                  <w:vAlign w:val="bottom"/>
                  <w:hideMark/>
                </w:tcPr>
                <w:p w14:paraId="41781D47" w14:textId="77777777" w:rsidR="00C45D5B" w:rsidRDefault="00C45D5B" w:rsidP="00CF774B">
                  <w:pPr>
                    <w:jc w:val="right"/>
                    <w:rPr>
                      <w:rFonts w:cs="Calibri"/>
                      <w:color w:val="000000"/>
                      <w:sz w:val="18"/>
                      <w:szCs w:val="18"/>
                    </w:rPr>
                  </w:pPr>
                  <w:r>
                    <w:rPr>
                      <w:rFonts w:cs="Calibri"/>
                      <w:color w:val="000000"/>
                      <w:sz w:val="18"/>
                      <w:szCs w:val="18"/>
                    </w:rPr>
                    <w:t>23</w:t>
                  </w:r>
                </w:p>
              </w:tc>
              <w:tc>
                <w:tcPr>
                  <w:tcW w:w="4160" w:type="dxa"/>
                  <w:tcBorders>
                    <w:top w:val="nil"/>
                    <w:left w:val="nil"/>
                    <w:bottom w:val="nil"/>
                    <w:right w:val="nil"/>
                  </w:tcBorders>
                  <w:shd w:val="clear" w:color="auto" w:fill="auto"/>
                  <w:noWrap/>
                  <w:vAlign w:val="bottom"/>
                  <w:hideMark/>
                </w:tcPr>
                <w:p w14:paraId="3807F4E0" w14:textId="77777777" w:rsidR="00C45D5B" w:rsidRDefault="00C45D5B" w:rsidP="00CF774B">
                  <w:pPr>
                    <w:rPr>
                      <w:rFonts w:cs="Calibri"/>
                      <w:sz w:val="18"/>
                      <w:szCs w:val="18"/>
                    </w:rPr>
                  </w:pPr>
                  <w:r>
                    <w:rPr>
                      <w:rFonts w:cs="Calibri"/>
                      <w:sz w:val="18"/>
                      <w:szCs w:val="18"/>
                    </w:rPr>
                    <w:t>Zariadenie a iné výdavky ZZ</w:t>
                  </w:r>
                </w:p>
              </w:tc>
              <w:tc>
                <w:tcPr>
                  <w:tcW w:w="664" w:type="dxa"/>
                  <w:tcBorders>
                    <w:top w:val="nil"/>
                    <w:left w:val="nil"/>
                    <w:bottom w:val="nil"/>
                    <w:right w:val="nil"/>
                  </w:tcBorders>
                  <w:shd w:val="clear" w:color="auto" w:fill="auto"/>
                  <w:noWrap/>
                  <w:vAlign w:val="center"/>
                  <w:hideMark/>
                </w:tcPr>
                <w:p w14:paraId="244A052D" w14:textId="77777777" w:rsidR="00C45D5B" w:rsidRDefault="00C45D5B" w:rsidP="00CF774B">
                  <w:pPr>
                    <w:jc w:val="center"/>
                    <w:rPr>
                      <w:rFonts w:cs="Calibri"/>
                      <w:color w:val="000000"/>
                      <w:sz w:val="18"/>
                      <w:szCs w:val="18"/>
                    </w:rPr>
                  </w:pPr>
                  <w:r>
                    <w:rPr>
                      <w:rFonts w:cs="Calibri"/>
                      <w:color w:val="000000"/>
                      <w:sz w:val="18"/>
                      <w:szCs w:val="18"/>
                    </w:rPr>
                    <w:t>-63</w:t>
                  </w:r>
                </w:p>
              </w:tc>
              <w:tc>
                <w:tcPr>
                  <w:tcW w:w="709" w:type="dxa"/>
                  <w:tcBorders>
                    <w:top w:val="nil"/>
                    <w:left w:val="nil"/>
                    <w:bottom w:val="nil"/>
                    <w:right w:val="nil"/>
                  </w:tcBorders>
                  <w:shd w:val="clear" w:color="auto" w:fill="auto"/>
                  <w:noWrap/>
                  <w:vAlign w:val="center"/>
                  <w:hideMark/>
                </w:tcPr>
                <w:p w14:paraId="46B553FB" w14:textId="77777777" w:rsidR="00C45D5B" w:rsidRDefault="00C45D5B" w:rsidP="00CF774B">
                  <w:pPr>
                    <w:jc w:val="center"/>
                    <w:rPr>
                      <w:rFonts w:cs="Calibri"/>
                      <w:color w:val="000000"/>
                      <w:sz w:val="18"/>
                      <w:szCs w:val="18"/>
                    </w:rPr>
                  </w:pPr>
                  <w:r>
                    <w:rPr>
                      <w:rFonts w:cs="Calibri"/>
                      <w:color w:val="000000"/>
                      <w:sz w:val="18"/>
                      <w:szCs w:val="18"/>
                    </w:rPr>
                    <w:t>-261</w:t>
                  </w:r>
                </w:p>
              </w:tc>
              <w:tc>
                <w:tcPr>
                  <w:tcW w:w="709" w:type="dxa"/>
                  <w:tcBorders>
                    <w:top w:val="nil"/>
                    <w:left w:val="nil"/>
                    <w:bottom w:val="nil"/>
                    <w:right w:val="nil"/>
                  </w:tcBorders>
                  <w:shd w:val="clear" w:color="auto" w:fill="auto"/>
                  <w:vAlign w:val="center"/>
                  <w:hideMark/>
                </w:tcPr>
                <w:p w14:paraId="3563ACB6"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4BE58481"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3F192028"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41F36976"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5B88F057" w14:textId="77777777" w:rsidTr="00CF774B">
              <w:trPr>
                <w:trHeight w:val="270"/>
              </w:trPr>
              <w:tc>
                <w:tcPr>
                  <w:tcW w:w="348" w:type="dxa"/>
                  <w:tcBorders>
                    <w:top w:val="nil"/>
                    <w:left w:val="nil"/>
                    <w:bottom w:val="nil"/>
                    <w:right w:val="nil"/>
                  </w:tcBorders>
                  <w:shd w:val="clear" w:color="auto" w:fill="auto"/>
                  <w:noWrap/>
                  <w:vAlign w:val="bottom"/>
                  <w:hideMark/>
                </w:tcPr>
                <w:p w14:paraId="4F00E239" w14:textId="77777777" w:rsidR="00C45D5B" w:rsidRDefault="00C45D5B" w:rsidP="00CF774B">
                  <w:pPr>
                    <w:jc w:val="right"/>
                    <w:rPr>
                      <w:rFonts w:cs="Calibri"/>
                      <w:color w:val="000000"/>
                      <w:sz w:val="18"/>
                      <w:szCs w:val="18"/>
                    </w:rPr>
                  </w:pPr>
                  <w:r>
                    <w:rPr>
                      <w:rFonts w:cs="Calibri"/>
                      <w:color w:val="000000"/>
                      <w:sz w:val="18"/>
                      <w:szCs w:val="18"/>
                    </w:rPr>
                    <w:t>24</w:t>
                  </w:r>
                </w:p>
              </w:tc>
              <w:tc>
                <w:tcPr>
                  <w:tcW w:w="4160" w:type="dxa"/>
                  <w:tcBorders>
                    <w:top w:val="nil"/>
                    <w:left w:val="nil"/>
                    <w:bottom w:val="nil"/>
                    <w:right w:val="nil"/>
                  </w:tcBorders>
                  <w:shd w:val="clear" w:color="auto" w:fill="auto"/>
                  <w:noWrap/>
                  <w:vAlign w:val="bottom"/>
                  <w:hideMark/>
                </w:tcPr>
                <w:p w14:paraId="6FF3751A" w14:textId="77777777" w:rsidR="00C45D5B" w:rsidRDefault="00C45D5B" w:rsidP="00CF774B">
                  <w:pPr>
                    <w:rPr>
                      <w:rFonts w:cs="Calibri"/>
                      <w:sz w:val="18"/>
                      <w:szCs w:val="18"/>
                    </w:rPr>
                  </w:pPr>
                  <w:r>
                    <w:rPr>
                      <w:rFonts w:cs="Calibri"/>
                      <w:sz w:val="18"/>
                      <w:szCs w:val="18"/>
                    </w:rPr>
                    <w:t>Tvorba pohotovostných zásob (mimo testov)</w:t>
                  </w:r>
                </w:p>
              </w:tc>
              <w:tc>
                <w:tcPr>
                  <w:tcW w:w="664" w:type="dxa"/>
                  <w:tcBorders>
                    <w:top w:val="nil"/>
                    <w:left w:val="nil"/>
                    <w:bottom w:val="nil"/>
                    <w:right w:val="nil"/>
                  </w:tcBorders>
                  <w:shd w:val="clear" w:color="auto" w:fill="auto"/>
                  <w:noWrap/>
                  <w:vAlign w:val="center"/>
                  <w:hideMark/>
                </w:tcPr>
                <w:p w14:paraId="69E062D3" w14:textId="77777777" w:rsidR="00C45D5B" w:rsidRDefault="00C45D5B" w:rsidP="00CF774B">
                  <w:pPr>
                    <w:jc w:val="center"/>
                    <w:rPr>
                      <w:rFonts w:cs="Calibri"/>
                      <w:color w:val="000000"/>
                      <w:sz w:val="18"/>
                      <w:szCs w:val="18"/>
                    </w:rPr>
                  </w:pPr>
                  <w:r>
                    <w:rPr>
                      <w:rFonts w:cs="Calibri"/>
                      <w:color w:val="000000"/>
                      <w:sz w:val="18"/>
                      <w:szCs w:val="18"/>
                    </w:rPr>
                    <w:t>-33</w:t>
                  </w:r>
                </w:p>
              </w:tc>
              <w:tc>
                <w:tcPr>
                  <w:tcW w:w="709" w:type="dxa"/>
                  <w:tcBorders>
                    <w:top w:val="nil"/>
                    <w:left w:val="nil"/>
                    <w:bottom w:val="nil"/>
                    <w:right w:val="nil"/>
                  </w:tcBorders>
                  <w:shd w:val="clear" w:color="auto" w:fill="auto"/>
                  <w:vAlign w:val="center"/>
                  <w:hideMark/>
                </w:tcPr>
                <w:p w14:paraId="603C2692" w14:textId="77777777" w:rsidR="00C45D5B" w:rsidRDefault="00C45D5B" w:rsidP="00CF774B">
                  <w:pPr>
                    <w:jc w:val="center"/>
                    <w:rPr>
                      <w:rFonts w:cs="Calibri"/>
                      <w:color w:val="000000"/>
                      <w:sz w:val="18"/>
                      <w:szCs w:val="18"/>
                    </w:rPr>
                  </w:pPr>
                  <w:r>
                    <w:rPr>
                      <w:rFonts w:cs="Calibri"/>
                      <w:color w:val="000000"/>
                      <w:sz w:val="18"/>
                      <w:szCs w:val="18"/>
                    </w:rPr>
                    <w:t>-15</w:t>
                  </w:r>
                </w:p>
              </w:tc>
              <w:tc>
                <w:tcPr>
                  <w:tcW w:w="709" w:type="dxa"/>
                  <w:tcBorders>
                    <w:top w:val="nil"/>
                    <w:left w:val="nil"/>
                    <w:bottom w:val="nil"/>
                    <w:right w:val="nil"/>
                  </w:tcBorders>
                  <w:shd w:val="clear" w:color="auto" w:fill="auto"/>
                  <w:vAlign w:val="center"/>
                  <w:hideMark/>
                </w:tcPr>
                <w:p w14:paraId="7EA09AC8" w14:textId="77777777" w:rsidR="00C45D5B" w:rsidRDefault="00C45D5B" w:rsidP="00CF774B">
                  <w:pPr>
                    <w:jc w:val="center"/>
                    <w:rPr>
                      <w:rFonts w:cs="Calibri"/>
                      <w:color w:val="000000"/>
                      <w:sz w:val="18"/>
                      <w:szCs w:val="18"/>
                    </w:rPr>
                  </w:pPr>
                  <w:r>
                    <w:rPr>
                      <w:rFonts w:cs="Calibri"/>
                      <w:color w:val="000000"/>
                      <w:sz w:val="18"/>
                      <w:szCs w:val="18"/>
                    </w:rPr>
                    <w:t>-65</w:t>
                  </w:r>
                </w:p>
              </w:tc>
              <w:tc>
                <w:tcPr>
                  <w:tcW w:w="708" w:type="dxa"/>
                  <w:tcBorders>
                    <w:top w:val="nil"/>
                    <w:left w:val="nil"/>
                    <w:bottom w:val="nil"/>
                    <w:right w:val="nil"/>
                  </w:tcBorders>
                  <w:shd w:val="clear" w:color="auto" w:fill="auto"/>
                  <w:vAlign w:val="center"/>
                  <w:hideMark/>
                </w:tcPr>
                <w:p w14:paraId="725EF280"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3F89FE7A"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2BF47067"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62292D54" w14:textId="77777777" w:rsidTr="00CF774B">
              <w:trPr>
                <w:trHeight w:val="270"/>
              </w:trPr>
              <w:tc>
                <w:tcPr>
                  <w:tcW w:w="348" w:type="dxa"/>
                  <w:tcBorders>
                    <w:top w:val="nil"/>
                    <w:left w:val="nil"/>
                    <w:bottom w:val="nil"/>
                    <w:right w:val="nil"/>
                  </w:tcBorders>
                  <w:shd w:val="clear" w:color="auto" w:fill="auto"/>
                  <w:noWrap/>
                  <w:vAlign w:val="bottom"/>
                  <w:hideMark/>
                </w:tcPr>
                <w:p w14:paraId="2F791A0A" w14:textId="77777777" w:rsidR="00C45D5B" w:rsidRDefault="00C45D5B" w:rsidP="00CF774B">
                  <w:pPr>
                    <w:jc w:val="right"/>
                    <w:rPr>
                      <w:rFonts w:cs="Calibri"/>
                      <w:color w:val="000000"/>
                      <w:sz w:val="18"/>
                      <w:szCs w:val="18"/>
                    </w:rPr>
                  </w:pPr>
                  <w:r>
                    <w:rPr>
                      <w:rFonts w:cs="Calibri"/>
                      <w:color w:val="000000"/>
                      <w:sz w:val="18"/>
                      <w:szCs w:val="18"/>
                    </w:rPr>
                    <w:t>25</w:t>
                  </w:r>
                </w:p>
              </w:tc>
              <w:tc>
                <w:tcPr>
                  <w:tcW w:w="4160" w:type="dxa"/>
                  <w:tcBorders>
                    <w:top w:val="nil"/>
                    <w:left w:val="nil"/>
                    <w:bottom w:val="nil"/>
                    <w:right w:val="nil"/>
                  </w:tcBorders>
                  <w:shd w:val="clear" w:color="auto" w:fill="auto"/>
                  <w:noWrap/>
                  <w:vAlign w:val="bottom"/>
                  <w:hideMark/>
                </w:tcPr>
                <w:p w14:paraId="53E8C2B4" w14:textId="77777777" w:rsidR="00C45D5B" w:rsidRDefault="00C45D5B" w:rsidP="00CF774B">
                  <w:pPr>
                    <w:rPr>
                      <w:rFonts w:cs="Calibri"/>
                      <w:sz w:val="18"/>
                      <w:szCs w:val="18"/>
                    </w:rPr>
                  </w:pPr>
                  <w:r>
                    <w:rPr>
                      <w:rFonts w:cs="Calibri"/>
                      <w:sz w:val="18"/>
                      <w:szCs w:val="18"/>
                    </w:rPr>
                    <w:t>Odmeny pracovníkom v prvej línii (mimo MZ)</w:t>
                  </w:r>
                </w:p>
              </w:tc>
              <w:tc>
                <w:tcPr>
                  <w:tcW w:w="664" w:type="dxa"/>
                  <w:tcBorders>
                    <w:top w:val="nil"/>
                    <w:left w:val="nil"/>
                    <w:bottom w:val="nil"/>
                    <w:right w:val="nil"/>
                  </w:tcBorders>
                  <w:shd w:val="clear" w:color="auto" w:fill="auto"/>
                  <w:noWrap/>
                  <w:vAlign w:val="center"/>
                  <w:hideMark/>
                </w:tcPr>
                <w:p w14:paraId="238261C3" w14:textId="77777777" w:rsidR="00C45D5B" w:rsidRDefault="00C45D5B" w:rsidP="00CF774B">
                  <w:pPr>
                    <w:jc w:val="center"/>
                    <w:rPr>
                      <w:rFonts w:cs="Calibri"/>
                      <w:color w:val="000000"/>
                      <w:sz w:val="18"/>
                      <w:szCs w:val="18"/>
                    </w:rPr>
                  </w:pPr>
                  <w:r>
                    <w:rPr>
                      <w:rFonts w:cs="Calibri"/>
                      <w:color w:val="000000"/>
                      <w:sz w:val="18"/>
                      <w:szCs w:val="18"/>
                    </w:rPr>
                    <w:t>-64</w:t>
                  </w:r>
                </w:p>
              </w:tc>
              <w:tc>
                <w:tcPr>
                  <w:tcW w:w="709" w:type="dxa"/>
                  <w:tcBorders>
                    <w:top w:val="nil"/>
                    <w:left w:val="nil"/>
                    <w:bottom w:val="nil"/>
                    <w:right w:val="nil"/>
                  </w:tcBorders>
                  <w:shd w:val="clear" w:color="auto" w:fill="auto"/>
                  <w:vAlign w:val="center"/>
                  <w:hideMark/>
                </w:tcPr>
                <w:p w14:paraId="5BED3EAB" w14:textId="77777777" w:rsidR="00C45D5B" w:rsidRDefault="00C45D5B" w:rsidP="00CF774B">
                  <w:pPr>
                    <w:jc w:val="center"/>
                    <w:rPr>
                      <w:rFonts w:cs="Calibri"/>
                      <w:color w:val="000000"/>
                      <w:sz w:val="18"/>
                      <w:szCs w:val="18"/>
                    </w:rPr>
                  </w:pPr>
                  <w:r>
                    <w:rPr>
                      <w:rFonts w:cs="Calibri"/>
                      <w:color w:val="000000"/>
                      <w:sz w:val="18"/>
                      <w:szCs w:val="18"/>
                    </w:rPr>
                    <w:t>-9</w:t>
                  </w:r>
                </w:p>
              </w:tc>
              <w:tc>
                <w:tcPr>
                  <w:tcW w:w="709" w:type="dxa"/>
                  <w:tcBorders>
                    <w:top w:val="nil"/>
                    <w:left w:val="nil"/>
                    <w:bottom w:val="nil"/>
                    <w:right w:val="nil"/>
                  </w:tcBorders>
                  <w:shd w:val="clear" w:color="auto" w:fill="auto"/>
                  <w:vAlign w:val="center"/>
                  <w:hideMark/>
                </w:tcPr>
                <w:p w14:paraId="378A153E"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475DAD4F"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6FCE9BF8"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644264FD"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6ECEF657" w14:textId="77777777" w:rsidTr="00CF774B">
              <w:trPr>
                <w:trHeight w:val="270"/>
              </w:trPr>
              <w:tc>
                <w:tcPr>
                  <w:tcW w:w="348" w:type="dxa"/>
                  <w:tcBorders>
                    <w:top w:val="nil"/>
                    <w:left w:val="nil"/>
                    <w:bottom w:val="nil"/>
                    <w:right w:val="nil"/>
                  </w:tcBorders>
                  <w:shd w:val="clear" w:color="auto" w:fill="auto"/>
                  <w:noWrap/>
                  <w:vAlign w:val="bottom"/>
                  <w:hideMark/>
                </w:tcPr>
                <w:p w14:paraId="60BCCD2D" w14:textId="77777777" w:rsidR="00C45D5B" w:rsidRDefault="00C45D5B" w:rsidP="00CF774B">
                  <w:pPr>
                    <w:jc w:val="right"/>
                    <w:rPr>
                      <w:rFonts w:cs="Calibri"/>
                      <w:color w:val="000000"/>
                      <w:sz w:val="18"/>
                      <w:szCs w:val="18"/>
                    </w:rPr>
                  </w:pPr>
                  <w:r>
                    <w:rPr>
                      <w:rFonts w:cs="Calibri"/>
                      <w:color w:val="000000"/>
                      <w:sz w:val="18"/>
                      <w:szCs w:val="18"/>
                    </w:rPr>
                    <w:t>26</w:t>
                  </w:r>
                </w:p>
              </w:tc>
              <w:tc>
                <w:tcPr>
                  <w:tcW w:w="4160" w:type="dxa"/>
                  <w:tcBorders>
                    <w:top w:val="nil"/>
                    <w:left w:val="nil"/>
                    <w:bottom w:val="nil"/>
                    <w:right w:val="nil"/>
                  </w:tcBorders>
                  <w:shd w:val="clear" w:color="auto" w:fill="auto"/>
                  <w:noWrap/>
                  <w:vAlign w:val="bottom"/>
                  <w:hideMark/>
                </w:tcPr>
                <w:p w14:paraId="46181323" w14:textId="77777777" w:rsidR="00C45D5B" w:rsidRDefault="00C45D5B" w:rsidP="00CF774B">
                  <w:pPr>
                    <w:rPr>
                      <w:rFonts w:cs="Calibri"/>
                      <w:sz w:val="18"/>
                      <w:szCs w:val="18"/>
                    </w:rPr>
                  </w:pPr>
                  <w:r>
                    <w:rPr>
                      <w:rFonts w:cs="Calibri"/>
                      <w:sz w:val="18"/>
                      <w:szCs w:val="18"/>
                    </w:rPr>
                    <w:t>Tovary a služby súvisiace s COVID-19 (dezinfekcia, iné)</w:t>
                  </w:r>
                </w:p>
              </w:tc>
              <w:tc>
                <w:tcPr>
                  <w:tcW w:w="664" w:type="dxa"/>
                  <w:tcBorders>
                    <w:top w:val="nil"/>
                    <w:left w:val="nil"/>
                    <w:bottom w:val="nil"/>
                    <w:right w:val="nil"/>
                  </w:tcBorders>
                  <w:shd w:val="clear" w:color="auto" w:fill="auto"/>
                  <w:noWrap/>
                  <w:vAlign w:val="center"/>
                  <w:hideMark/>
                </w:tcPr>
                <w:p w14:paraId="24A2ECC0" w14:textId="77777777" w:rsidR="00C45D5B" w:rsidRDefault="00C45D5B" w:rsidP="00CF774B">
                  <w:pPr>
                    <w:jc w:val="center"/>
                    <w:rPr>
                      <w:rFonts w:cs="Calibri"/>
                      <w:color w:val="000000"/>
                      <w:sz w:val="18"/>
                      <w:szCs w:val="18"/>
                    </w:rPr>
                  </w:pPr>
                  <w:r>
                    <w:rPr>
                      <w:rFonts w:cs="Calibri"/>
                      <w:color w:val="000000"/>
                      <w:sz w:val="18"/>
                      <w:szCs w:val="18"/>
                    </w:rPr>
                    <w:t>-22</w:t>
                  </w:r>
                </w:p>
              </w:tc>
              <w:tc>
                <w:tcPr>
                  <w:tcW w:w="709" w:type="dxa"/>
                  <w:tcBorders>
                    <w:top w:val="nil"/>
                    <w:left w:val="nil"/>
                    <w:bottom w:val="nil"/>
                    <w:right w:val="nil"/>
                  </w:tcBorders>
                  <w:shd w:val="clear" w:color="auto" w:fill="auto"/>
                  <w:noWrap/>
                  <w:vAlign w:val="center"/>
                  <w:hideMark/>
                </w:tcPr>
                <w:p w14:paraId="19613CB9" w14:textId="77777777" w:rsidR="00C45D5B" w:rsidRDefault="00C45D5B" w:rsidP="00CF774B">
                  <w:pPr>
                    <w:jc w:val="center"/>
                    <w:rPr>
                      <w:rFonts w:cs="Calibri"/>
                      <w:color w:val="000000"/>
                      <w:sz w:val="18"/>
                      <w:szCs w:val="18"/>
                    </w:rPr>
                  </w:pPr>
                  <w:r>
                    <w:rPr>
                      <w:rFonts w:cs="Calibri"/>
                      <w:color w:val="000000"/>
                      <w:sz w:val="18"/>
                      <w:szCs w:val="18"/>
                    </w:rPr>
                    <w:t>-17</w:t>
                  </w:r>
                </w:p>
              </w:tc>
              <w:tc>
                <w:tcPr>
                  <w:tcW w:w="709" w:type="dxa"/>
                  <w:tcBorders>
                    <w:top w:val="nil"/>
                    <w:left w:val="nil"/>
                    <w:bottom w:val="nil"/>
                    <w:right w:val="nil"/>
                  </w:tcBorders>
                  <w:shd w:val="clear" w:color="auto" w:fill="auto"/>
                  <w:vAlign w:val="center"/>
                  <w:hideMark/>
                </w:tcPr>
                <w:p w14:paraId="426336CF"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733A867A"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2745EA03"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402F39F3"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655A92CE" w14:textId="77777777" w:rsidTr="00CF774B">
              <w:trPr>
                <w:trHeight w:val="270"/>
              </w:trPr>
              <w:tc>
                <w:tcPr>
                  <w:tcW w:w="348" w:type="dxa"/>
                  <w:tcBorders>
                    <w:top w:val="nil"/>
                    <w:left w:val="nil"/>
                    <w:bottom w:val="nil"/>
                    <w:right w:val="nil"/>
                  </w:tcBorders>
                  <w:shd w:val="clear" w:color="auto" w:fill="auto"/>
                  <w:noWrap/>
                  <w:vAlign w:val="bottom"/>
                  <w:hideMark/>
                </w:tcPr>
                <w:p w14:paraId="14CD6A5C" w14:textId="77777777" w:rsidR="00C45D5B" w:rsidRDefault="00C45D5B" w:rsidP="00CF774B">
                  <w:pPr>
                    <w:jc w:val="right"/>
                    <w:rPr>
                      <w:rFonts w:cs="Calibri"/>
                      <w:color w:val="000000"/>
                      <w:sz w:val="18"/>
                      <w:szCs w:val="18"/>
                    </w:rPr>
                  </w:pPr>
                  <w:r>
                    <w:rPr>
                      <w:rFonts w:cs="Calibri"/>
                      <w:color w:val="000000"/>
                      <w:sz w:val="18"/>
                      <w:szCs w:val="18"/>
                    </w:rPr>
                    <w:t>27</w:t>
                  </w:r>
                </w:p>
              </w:tc>
              <w:tc>
                <w:tcPr>
                  <w:tcW w:w="4160" w:type="dxa"/>
                  <w:tcBorders>
                    <w:top w:val="nil"/>
                    <w:left w:val="nil"/>
                    <w:bottom w:val="nil"/>
                    <w:right w:val="nil"/>
                  </w:tcBorders>
                  <w:shd w:val="clear" w:color="auto" w:fill="auto"/>
                  <w:noWrap/>
                  <w:vAlign w:val="bottom"/>
                  <w:hideMark/>
                </w:tcPr>
                <w:p w14:paraId="2775FD8D" w14:textId="77777777" w:rsidR="00C45D5B" w:rsidRDefault="00C45D5B" w:rsidP="00CF774B">
                  <w:pPr>
                    <w:rPr>
                      <w:rFonts w:cs="Calibri"/>
                      <w:sz w:val="18"/>
                      <w:szCs w:val="18"/>
                    </w:rPr>
                  </w:pPr>
                  <w:r>
                    <w:rPr>
                      <w:rFonts w:cs="Calibri"/>
                      <w:sz w:val="18"/>
                      <w:szCs w:val="18"/>
                    </w:rPr>
                    <w:t>Dotačné schémy rôznym sektorom / subjektom</w:t>
                  </w:r>
                </w:p>
              </w:tc>
              <w:tc>
                <w:tcPr>
                  <w:tcW w:w="664" w:type="dxa"/>
                  <w:tcBorders>
                    <w:top w:val="nil"/>
                    <w:left w:val="nil"/>
                    <w:bottom w:val="nil"/>
                    <w:right w:val="nil"/>
                  </w:tcBorders>
                  <w:shd w:val="clear" w:color="auto" w:fill="auto"/>
                  <w:noWrap/>
                  <w:vAlign w:val="center"/>
                  <w:hideMark/>
                </w:tcPr>
                <w:p w14:paraId="748CD18D" w14:textId="77777777" w:rsidR="00C45D5B" w:rsidRDefault="00C45D5B" w:rsidP="00CF774B">
                  <w:pPr>
                    <w:jc w:val="center"/>
                    <w:rPr>
                      <w:rFonts w:cs="Calibri"/>
                      <w:color w:val="000000"/>
                      <w:sz w:val="18"/>
                      <w:szCs w:val="18"/>
                    </w:rPr>
                  </w:pPr>
                  <w:r>
                    <w:rPr>
                      <w:rFonts w:cs="Calibri"/>
                      <w:color w:val="000000"/>
                      <w:sz w:val="18"/>
                      <w:szCs w:val="18"/>
                    </w:rPr>
                    <w:t>-16</w:t>
                  </w:r>
                </w:p>
              </w:tc>
              <w:tc>
                <w:tcPr>
                  <w:tcW w:w="709" w:type="dxa"/>
                  <w:tcBorders>
                    <w:top w:val="nil"/>
                    <w:left w:val="nil"/>
                    <w:bottom w:val="nil"/>
                    <w:right w:val="nil"/>
                  </w:tcBorders>
                  <w:shd w:val="clear" w:color="auto" w:fill="auto"/>
                  <w:noWrap/>
                  <w:vAlign w:val="center"/>
                  <w:hideMark/>
                </w:tcPr>
                <w:p w14:paraId="59500B6D" w14:textId="77777777" w:rsidR="00C45D5B" w:rsidRDefault="00C45D5B" w:rsidP="00CF774B">
                  <w:pPr>
                    <w:jc w:val="center"/>
                    <w:rPr>
                      <w:rFonts w:cs="Calibri"/>
                      <w:color w:val="000000"/>
                      <w:sz w:val="18"/>
                      <w:szCs w:val="18"/>
                    </w:rPr>
                  </w:pPr>
                  <w:r>
                    <w:rPr>
                      <w:rFonts w:cs="Calibri"/>
                      <w:color w:val="000000"/>
                      <w:sz w:val="18"/>
                      <w:szCs w:val="18"/>
                    </w:rPr>
                    <w:t>-76</w:t>
                  </w:r>
                </w:p>
              </w:tc>
              <w:tc>
                <w:tcPr>
                  <w:tcW w:w="709" w:type="dxa"/>
                  <w:tcBorders>
                    <w:top w:val="nil"/>
                    <w:left w:val="nil"/>
                    <w:bottom w:val="nil"/>
                    <w:right w:val="nil"/>
                  </w:tcBorders>
                  <w:shd w:val="clear" w:color="auto" w:fill="auto"/>
                  <w:vAlign w:val="center"/>
                  <w:hideMark/>
                </w:tcPr>
                <w:p w14:paraId="6ED34284"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39ABADB3"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0A338DAA"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76CE59DE"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7187056E" w14:textId="77777777" w:rsidTr="00CF774B">
              <w:trPr>
                <w:trHeight w:val="270"/>
              </w:trPr>
              <w:tc>
                <w:tcPr>
                  <w:tcW w:w="348" w:type="dxa"/>
                  <w:tcBorders>
                    <w:top w:val="nil"/>
                    <w:left w:val="nil"/>
                    <w:bottom w:val="nil"/>
                    <w:right w:val="nil"/>
                  </w:tcBorders>
                  <w:shd w:val="clear" w:color="auto" w:fill="auto"/>
                  <w:noWrap/>
                  <w:vAlign w:val="bottom"/>
                  <w:hideMark/>
                </w:tcPr>
                <w:p w14:paraId="5EBEDE19" w14:textId="77777777" w:rsidR="00C45D5B" w:rsidRDefault="00C45D5B" w:rsidP="00CF774B">
                  <w:pPr>
                    <w:jc w:val="right"/>
                    <w:rPr>
                      <w:rFonts w:cs="Calibri"/>
                      <w:color w:val="000000"/>
                      <w:sz w:val="18"/>
                      <w:szCs w:val="18"/>
                    </w:rPr>
                  </w:pPr>
                  <w:r>
                    <w:rPr>
                      <w:rFonts w:cs="Calibri"/>
                      <w:color w:val="000000"/>
                      <w:sz w:val="18"/>
                      <w:szCs w:val="18"/>
                    </w:rPr>
                    <w:t>28</w:t>
                  </w:r>
                </w:p>
              </w:tc>
              <w:tc>
                <w:tcPr>
                  <w:tcW w:w="4160" w:type="dxa"/>
                  <w:tcBorders>
                    <w:top w:val="nil"/>
                    <w:left w:val="nil"/>
                    <w:bottom w:val="nil"/>
                    <w:right w:val="nil"/>
                  </w:tcBorders>
                  <w:shd w:val="clear" w:color="auto" w:fill="auto"/>
                  <w:noWrap/>
                  <w:vAlign w:val="bottom"/>
                  <w:hideMark/>
                </w:tcPr>
                <w:p w14:paraId="5B5B492F" w14:textId="77777777" w:rsidR="00C45D5B" w:rsidRDefault="00C45D5B" w:rsidP="00CF774B">
                  <w:pPr>
                    <w:rPr>
                      <w:rFonts w:cs="Calibri"/>
                      <w:color w:val="000000"/>
                      <w:sz w:val="18"/>
                      <w:szCs w:val="18"/>
                    </w:rPr>
                  </w:pPr>
                  <w:r>
                    <w:rPr>
                      <w:rFonts w:cs="Calibri"/>
                      <w:color w:val="000000"/>
                      <w:sz w:val="18"/>
                      <w:szCs w:val="18"/>
                    </w:rPr>
                    <w:t>Opatrenia hospodárskej mobilizácie</w:t>
                  </w:r>
                </w:p>
              </w:tc>
              <w:tc>
                <w:tcPr>
                  <w:tcW w:w="664" w:type="dxa"/>
                  <w:tcBorders>
                    <w:top w:val="nil"/>
                    <w:left w:val="nil"/>
                    <w:bottom w:val="nil"/>
                    <w:right w:val="nil"/>
                  </w:tcBorders>
                  <w:shd w:val="clear" w:color="auto" w:fill="auto"/>
                  <w:noWrap/>
                  <w:vAlign w:val="center"/>
                  <w:hideMark/>
                </w:tcPr>
                <w:p w14:paraId="581383B0" w14:textId="77777777" w:rsidR="00C45D5B" w:rsidRDefault="00C45D5B" w:rsidP="00CF774B">
                  <w:pPr>
                    <w:jc w:val="center"/>
                    <w:rPr>
                      <w:rFonts w:cs="Calibri"/>
                      <w:color w:val="000000"/>
                      <w:sz w:val="18"/>
                      <w:szCs w:val="18"/>
                    </w:rPr>
                  </w:pPr>
                  <w:r>
                    <w:rPr>
                      <w:rFonts w:cs="Calibri"/>
                      <w:color w:val="000000"/>
                      <w:sz w:val="18"/>
                      <w:szCs w:val="18"/>
                    </w:rPr>
                    <w:t>-24</w:t>
                  </w:r>
                </w:p>
              </w:tc>
              <w:tc>
                <w:tcPr>
                  <w:tcW w:w="709" w:type="dxa"/>
                  <w:tcBorders>
                    <w:top w:val="nil"/>
                    <w:left w:val="nil"/>
                    <w:bottom w:val="nil"/>
                    <w:right w:val="nil"/>
                  </w:tcBorders>
                  <w:shd w:val="clear" w:color="auto" w:fill="auto"/>
                  <w:vAlign w:val="center"/>
                  <w:hideMark/>
                </w:tcPr>
                <w:p w14:paraId="7FAFDB30" w14:textId="77777777" w:rsidR="00C45D5B" w:rsidRDefault="00C45D5B" w:rsidP="00CF774B">
                  <w:pPr>
                    <w:jc w:val="center"/>
                    <w:rPr>
                      <w:rFonts w:cs="Calibri"/>
                      <w:color w:val="000000"/>
                      <w:sz w:val="18"/>
                      <w:szCs w:val="18"/>
                    </w:rPr>
                  </w:pPr>
                  <w:r>
                    <w:rPr>
                      <w:rFonts w:cs="Calibri"/>
                      <w:color w:val="000000"/>
                      <w:sz w:val="18"/>
                      <w:szCs w:val="18"/>
                    </w:rPr>
                    <w:t>-112</w:t>
                  </w:r>
                </w:p>
              </w:tc>
              <w:tc>
                <w:tcPr>
                  <w:tcW w:w="709" w:type="dxa"/>
                  <w:tcBorders>
                    <w:top w:val="nil"/>
                    <w:left w:val="nil"/>
                    <w:bottom w:val="nil"/>
                    <w:right w:val="nil"/>
                  </w:tcBorders>
                  <w:shd w:val="clear" w:color="auto" w:fill="auto"/>
                  <w:vAlign w:val="center"/>
                  <w:hideMark/>
                </w:tcPr>
                <w:p w14:paraId="1878C1FE" w14:textId="77777777" w:rsidR="00C45D5B" w:rsidRDefault="00C45D5B" w:rsidP="00CF774B">
                  <w:pPr>
                    <w:jc w:val="center"/>
                    <w:rPr>
                      <w:rFonts w:cs="Calibri"/>
                      <w:color w:val="000000"/>
                      <w:sz w:val="18"/>
                      <w:szCs w:val="18"/>
                    </w:rPr>
                  </w:pPr>
                  <w:r>
                    <w:rPr>
                      <w:rFonts w:cs="Calibri"/>
                      <w:color w:val="000000"/>
                      <w:sz w:val="18"/>
                      <w:szCs w:val="18"/>
                    </w:rPr>
                    <w:t>-22</w:t>
                  </w:r>
                </w:p>
              </w:tc>
              <w:tc>
                <w:tcPr>
                  <w:tcW w:w="708" w:type="dxa"/>
                  <w:tcBorders>
                    <w:top w:val="nil"/>
                    <w:left w:val="nil"/>
                    <w:bottom w:val="nil"/>
                    <w:right w:val="nil"/>
                  </w:tcBorders>
                  <w:shd w:val="clear" w:color="auto" w:fill="auto"/>
                  <w:vAlign w:val="center"/>
                  <w:hideMark/>
                </w:tcPr>
                <w:p w14:paraId="6BB6E2FF"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622F338A"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47D92C58"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1C55E8DF" w14:textId="77777777" w:rsidTr="00CF774B">
              <w:trPr>
                <w:trHeight w:val="270"/>
              </w:trPr>
              <w:tc>
                <w:tcPr>
                  <w:tcW w:w="348" w:type="dxa"/>
                  <w:tcBorders>
                    <w:top w:val="nil"/>
                    <w:left w:val="nil"/>
                    <w:bottom w:val="nil"/>
                    <w:right w:val="nil"/>
                  </w:tcBorders>
                  <w:shd w:val="clear" w:color="auto" w:fill="auto"/>
                  <w:noWrap/>
                  <w:vAlign w:val="bottom"/>
                  <w:hideMark/>
                </w:tcPr>
                <w:p w14:paraId="63E84884" w14:textId="77777777" w:rsidR="00C45D5B" w:rsidRDefault="00C45D5B" w:rsidP="00CF774B">
                  <w:pPr>
                    <w:jc w:val="right"/>
                    <w:rPr>
                      <w:rFonts w:cs="Calibri"/>
                      <w:color w:val="000000"/>
                      <w:sz w:val="18"/>
                      <w:szCs w:val="18"/>
                    </w:rPr>
                  </w:pPr>
                  <w:r>
                    <w:rPr>
                      <w:rFonts w:cs="Calibri"/>
                      <w:color w:val="000000"/>
                      <w:sz w:val="18"/>
                      <w:szCs w:val="18"/>
                    </w:rPr>
                    <w:t>29</w:t>
                  </w:r>
                </w:p>
              </w:tc>
              <w:tc>
                <w:tcPr>
                  <w:tcW w:w="4160" w:type="dxa"/>
                  <w:tcBorders>
                    <w:top w:val="nil"/>
                    <w:left w:val="nil"/>
                    <w:bottom w:val="nil"/>
                    <w:right w:val="nil"/>
                  </w:tcBorders>
                  <w:shd w:val="clear" w:color="auto" w:fill="auto"/>
                  <w:noWrap/>
                  <w:vAlign w:val="bottom"/>
                  <w:hideMark/>
                </w:tcPr>
                <w:p w14:paraId="6132DE05" w14:textId="77777777" w:rsidR="00C45D5B" w:rsidRDefault="00C45D5B" w:rsidP="00CF774B">
                  <w:pPr>
                    <w:rPr>
                      <w:rFonts w:cs="Calibri"/>
                      <w:color w:val="000000"/>
                      <w:sz w:val="18"/>
                      <w:szCs w:val="18"/>
                    </w:rPr>
                  </w:pPr>
                  <w:r>
                    <w:rPr>
                      <w:rFonts w:cs="Calibri"/>
                      <w:color w:val="000000"/>
                      <w:sz w:val="18"/>
                      <w:szCs w:val="18"/>
                    </w:rPr>
                    <w:t>Vklad do základného imania Slovenskej záručnej a rozvojovej banky</w:t>
                  </w:r>
                </w:p>
              </w:tc>
              <w:tc>
                <w:tcPr>
                  <w:tcW w:w="664" w:type="dxa"/>
                  <w:tcBorders>
                    <w:top w:val="nil"/>
                    <w:left w:val="nil"/>
                    <w:bottom w:val="nil"/>
                    <w:right w:val="nil"/>
                  </w:tcBorders>
                  <w:shd w:val="clear" w:color="auto" w:fill="auto"/>
                  <w:noWrap/>
                  <w:vAlign w:val="center"/>
                  <w:hideMark/>
                </w:tcPr>
                <w:p w14:paraId="777C5F7F" w14:textId="77777777" w:rsidR="00C45D5B" w:rsidRDefault="00C45D5B" w:rsidP="00CF774B">
                  <w:pPr>
                    <w:jc w:val="center"/>
                    <w:rPr>
                      <w:rFonts w:cs="Calibri"/>
                      <w:color w:val="000000"/>
                      <w:sz w:val="18"/>
                      <w:szCs w:val="18"/>
                    </w:rPr>
                  </w:pPr>
                  <w:r>
                    <w:rPr>
                      <w:rFonts w:cs="Calibri"/>
                      <w:color w:val="000000"/>
                      <w:sz w:val="18"/>
                      <w:szCs w:val="18"/>
                    </w:rPr>
                    <w:t>-50</w:t>
                  </w:r>
                </w:p>
              </w:tc>
              <w:tc>
                <w:tcPr>
                  <w:tcW w:w="709" w:type="dxa"/>
                  <w:tcBorders>
                    <w:top w:val="nil"/>
                    <w:left w:val="nil"/>
                    <w:bottom w:val="nil"/>
                    <w:right w:val="nil"/>
                  </w:tcBorders>
                  <w:shd w:val="clear" w:color="auto" w:fill="auto"/>
                  <w:vAlign w:val="center"/>
                  <w:hideMark/>
                </w:tcPr>
                <w:p w14:paraId="79688ABD"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3A9F5B63"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0E81C002"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22AFB471"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49AA10DE"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7A68180D" w14:textId="77777777" w:rsidTr="00CF774B">
              <w:trPr>
                <w:trHeight w:val="270"/>
              </w:trPr>
              <w:tc>
                <w:tcPr>
                  <w:tcW w:w="348" w:type="dxa"/>
                  <w:tcBorders>
                    <w:top w:val="nil"/>
                    <w:left w:val="nil"/>
                    <w:bottom w:val="nil"/>
                    <w:right w:val="nil"/>
                  </w:tcBorders>
                  <w:shd w:val="clear" w:color="auto" w:fill="auto"/>
                  <w:noWrap/>
                  <w:vAlign w:val="bottom"/>
                  <w:hideMark/>
                </w:tcPr>
                <w:p w14:paraId="26D36CC9" w14:textId="77777777" w:rsidR="00C45D5B" w:rsidRDefault="00C45D5B" w:rsidP="00CF774B">
                  <w:pPr>
                    <w:jc w:val="right"/>
                    <w:rPr>
                      <w:rFonts w:cs="Calibri"/>
                      <w:color w:val="000000"/>
                      <w:sz w:val="18"/>
                      <w:szCs w:val="18"/>
                    </w:rPr>
                  </w:pPr>
                  <w:r>
                    <w:rPr>
                      <w:rFonts w:cs="Calibri"/>
                      <w:color w:val="000000"/>
                      <w:sz w:val="18"/>
                      <w:szCs w:val="18"/>
                    </w:rPr>
                    <w:t>30</w:t>
                  </w:r>
                </w:p>
              </w:tc>
              <w:tc>
                <w:tcPr>
                  <w:tcW w:w="4160" w:type="dxa"/>
                  <w:tcBorders>
                    <w:top w:val="nil"/>
                    <w:left w:val="nil"/>
                    <w:bottom w:val="nil"/>
                    <w:right w:val="nil"/>
                  </w:tcBorders>
                  <w:shd w:val="clear" w:color="auto" w:fill="auto"/>
                  <w:noWrap/>
                  <w:vAlign w:val="bottom"/>
                  <w:hideMark/>
                </w:tcPr>
                <w:p w14:paraId="18011039" w14:textId="77777777" w:rsidR="00C45D5B" w:rsidRDefault="00C45D5B" w:rsidP="00CF774B">
                  <w:pPr>
                    <w:rPr>
                      <w:rFonts w:cs="Calibri"/>
                      <w:color w:val="000000"/>
                      <w:sz w:val="18"/>
                      <w:szCs w:val="18"/>
                    </w:rPr>
                  </w:pPr>
                  <w:r>
                    <w:rPr>
                      <w:rFonts w:cs="Calibri"/>
                      <w:color w:val="000000"/>
                      <w:sz w:val="18"/>
                      <w:szCs w:val="18"/>
                    </w:rPr>
                    <w:t>Vklad do základného imania Letových prevádzkových služieb</w:t>
                  </w:r>
                </w:p>
              </w:tc>
              <w:tc>
                <w:tcPr>
                  <w:tcW w:w="664" w:type="dxa"/>
                  <w:tcBorders>
                    <w:top w:val="nil"/>
                    <w:left w:val="nil"/>
                    <w:bottom w:val="nil"/>
                    <w:right w:val="nil"/>
                  </w:tcBorders>
                  <w:shd w:val="clear" w:color="auto" w:fill="auto"/>
                  <w:noWrap/>
                  <w:vAlign w:val="center"/>
                  <w:hideMark/>
                </w:tcPr>
                <w:p w14:paraId="7BD80CD5" w14:textId="77777777" w:rsidR="00C45D5B" w:rsidRDefault="00C45D5B" w:rsidP="00CF774B">
                  <w:pPr>
                    <w:jc w:val="center"/>
                    <w:rPr>
                      <w:rFonts w:cs="Calibri"/>
                      <w:color w:val="000000"/>
                      <w:sz w:val="18"/>
                      <w:szCs w:val="18"/>
                    </w:rPr>
                  </w:pPr>
                  <w:r>
                    <w:rPr>
                      <w:rFonts w:cs="Calibri"/>
                      <w:color w:val="000000"/>
                      <w:sz w:val="18"/>
                      <w:szCs w:val="18"/>
                    </w:rPr>
                    <w:t>-13</w:t>
                  </w:r>
                </w:p>
              </w:tc>
              <w:tc>
                <w:tcPr>
                  <w:tcW w:w="709" w:type="dxa"/>
                  <w:tcBorders>
                    <w:top w:val="nil"/>
                    <w:left w:val="nil"/>
                    <w:bottom w:val="nil"/>
                    <w:right w:val="nil"/>
                  </w:tcBorders>
                  <w:shd w:val="clear" w:color="auto" w:fill="auto"/>
                  <w:noWrap/>
                  <w:vAlign w:val="center"/>
                  <w:hideMark/>
                </w:tcPr>
                <w:p w14:paraId="2A713513"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540DF0BE"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35D996DF"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777DA76D"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2A8CE634"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66DE2295" w14:textId="77777777" w:rsidTr="00CF774B">
              <w:trPr>
                <w:trHeight w:val="270"/>
              </w:trPr>
              <w:tc>
                <w:tcPr>
                  <w:tcW w:w="348" w:type="dxa"/>
                  <w:tcBorders>
                    <w:top w:val="nil"/>
                    <w:left w:val="nil"/>
                    <w:bottom w:val="nil"/>
                    <w:right w:val="nil"/>
                  </w:tcBorders>
                  <w:shd w:val="clear" w:color="auto" w:fill="auto"/>
                  <w:noWrap/>
                  <w:vAlign w:val="bottom"/>
                  <w:hideMark/>
                </w:tcPr>
                <w:p w14:paraId="066FAFA6" w14:textId="77777777" w:rsidR="00C45D5B" w:rsidRDefault="00C45D5B" w:rsidP="00CF774B">
                  <w:pPr>
                    <w:jc w:val="right"/>
                    <w:rPr>
                      <w:rFonts w:cs="Calibri"/>
                      <w:color w:val="000000"/>
                      <w:sz w:val="18"/>
                      <w:szCs w:val="18"/>
                    </w:rPr>
                  </w:pPr>
                  <w:r>
                    <w:rPr>
                      <w:rFonts w:cs="Calibri"/>
                      <w:color w:val="000000"/>
                      <w:sz w:val="18"/>
                      <w:szCs w:val="18"/>
                    </w:rPr>
                    <w:t>31</w:t>
                  </w:r>
                </w:p>
              </w:tc>
              <w:tc>
                <w:tcPr>
                  <w:tcW w:w="4160" w:type="dxa"/>
                  <w:tcBorders>
                    <w:top w:val="nil"/>
                    <w:left w:val="nil"/>
                    <w:bottom w:val="nil"/>
                    <w:right w:val="nil"/>
                  </w:tcBorders>
                  <w:shd w:val="clear" w:color="auto" w:fill="auto"/>
                  <w:noWrap/>
                  <w:vAlign w:val="bottom"/>
                  <w:hideMark/>
                </w:tcPr>
                <w:p w14:paraId="05B22FC7" w14:textId="77777777" w:rsidR="00C45D5B" w:rsidRDefault="00C45D5B" w:rsidP="00CF774B">
                  <w:pPr>
                    <w:rPr>
                      <w:rFonts w:cs="Calibri"/>
                      <w:color w:val="000000"/>
                      <w:sz w:val="18"/>
                      <w:szCs w:val="18"/>
                    </w:rPr>
                  </w:pPr>
                  <w:r>
                    <w:rPr>
                      <w:rFonts w:cs="Calibri"/>
                      <w:color w:val="000000"/>
                      <w:sz w:val="18"/>
                      <w:szCs w:val="18"/>
                    </w:rPr>
                    <w:t>Očkovacia prémia a sprostredkovateľský bonus</w:t>
                  </w:r>
                </w:p>
              </w:tc>
              <w:tc>
                <w:tcPr>
                  <w:tcW w:w="664" w:type="dxa"/>
                  <w:tcBorders>
                    <w:top w:val="nil"/>
                    <w:left w:val="nil"/>
                    <w:bottom w:val="nil"/>
                    <w:right w:val="nil"/>
                  </w:tcBorders>
                  <w:shd w:val="clear" w:color="auto" w:fill="auto"/>
                  <w:vAlign w:val="center"/>
                  <w:hideMark/>
                </w:tcPr>
                <w:p w14:paraId="1FDF88D0"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noWrap/>
                  <w:vAlign w:val="center"/>
                  <w:hideMark/>
                </w:tcPr>
                <w:p w14:paraId="5D904AC8" w14:textId="77777777" w:rsidR="00C45D5B" w:rsidRDefault="00C45D5B" w:rsidP="00CF774B">
                  <w:pPr>
                    <w:jc w:val="center"/>
                    <w:rPr>
                      <w:rFonts w:cs="Calibri"/>
                      <w:color w:val="000000"/>
                      <w:sz w:val="18"/>
                      <w:szCs w:val="18"/>
                    </w:rPr>
                  </w:pPr>
                  <w:r>
                    <w:rPr>
                      <w:rFonts w:cs="Calibri"/>
                      <w:color w:val="000000"/>
                      <w:sz w:val="18"/>
                      <w:szCs w:val="18"/>
                    </w:rPr>
                    <w:t>-28</w:t>
                  </w:r>
                </w:p>
              </w:tc>
              <w:tc>
                <w:tcPr>
                  <w:tcW w:w="709" w:type="dxa"/>
                  <w:tcBorders>
                    <w:top w:val="nil"/>
                    <w:left w:val="nil"/>
                    <w:bottom w:val="nil"/>
                    <w:right w:val="nil"/>
                  </w:tcBorders>
                  <w:shd w:val="clear" w:color="auto" w:fill="auto"/>
                  <w:vAlign w:val="center"/>
                  <w:hideMark/>
                </w:tcPr>
                <w:p w14:paraId="0391D5D8"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0CC56443"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0BA418F0"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315D6450"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301B4702" w14:textId="77777777" w:rsidTr="00CF774B">
              <w:trPr>
                <w:trHeight w:val="270"/>
              </w:trPr>
              <w:tc>
                <w:tcPr>
                  <w:tcW w:w="348" w:type="dxa"/>
                  <w:tcBorders>
                    <w:top w:val="nil"/>
                    <w:left w:val="nil"/>
                    <w:bottom w:val="nil"/>
                    <w:right w:val="nil"/>
                  </w:tcBorders>
                  <w:shd w:val="clear" w:color="auto" w:fill="auto"/>
                  <w:noWrap/>
                  <w:vAlign w:val="bottom"/>
                  <w:hideMark/>
                </w:tcPr>
                <w:p w14:paraId="72E19FF1" w14:textId="77777777" w:rsidR="00C45D5B" w:rsidRDefault="00C45D5B" w:rsidP="00CF774B">
                  <w:pPr>
                    <w:jc w:val="right"/>
                    <w:rPr>
                      <w:rFonts w:cs="Calibri"/>
                      <w:color w:val="000000"/>
                      <w:sz w:val="18"/>
                      <w:szCs w:val="18"/>
                    </w:rPr>
                  </w:pPr>
                  <w:r>
                    <w:rPr>
                      <w:rFonts w:cs="Calibri"/>
                      <w:color w:val="000000"/>
                      <w:sz w:val="18"/>
                      <w:szCs w:val="18"/>
                    </w:rPr>
                    <w:t>32</w:t>
                  </w:r>
                </w:p>
              </w:tc>
              <w:tc>
                <w:tcPr>
                  <w:tcW w:w="4160" w:type="dxa"/>
                  <w:tcBorders>
                    <w:top w:val="nil"/>
                    <w:left w:val="nil"/>
                    <w:bottom w:val="nil"/>
                    <w:right w:val="nil"/>
                  </w:tcBorders>
                  <w:shd w:val="clear" w:color="auto" w:fill="auto"/>
                  <w:noWrap/>
                  <w:vAlign w:val="bottom"/>
                  <w:hideMark/>
                </w:tcPr>
                <w:p w14:paraId="54C1DD61" w14:textId="77777777" w:rsidR="00C45D5B" w:rsidRDefault="00C45D5B" w:rsidP="00CF774B">
                  <w:pPr>
                    <w:rPr>
                      <w:rFonts w:cs="Calibri"/>
                      <w:color w:val="000000"/>
                      <w:sz w:val="18"/>
                      <w:szCs w:val="18"/>
                    </w:rPr>
                  </w:pPr>
                  <w:r>
                    <w:rPr>
                      <w:rFonts w:cs="Calibri"/>
                      <w:color w:val="000000"/>
                      <w:sz w:val="18"/>
                      <w:szCs w:val="18"/>
                    </w:rPr>
                    <w:t>Finančná pomoc pre seniorov, ktorí sa dali zaočkovať</w:t>
                  </w:r>
                </w:p>
              </w:tc>
              <w:tc>
                <w:tcPr>
                  <w:tcW w:w="664" w:type="dxa"/>
                  <w:tcBorders>
                    <w:top w:val="nil"/>
                    <w:left w:val="nil"/>
                    <w:bottom w:val="nil"/>
                    <w:right w:val="nil"/>
                  </w:tcBorders>
                  <w:shd w:val="clear" w:color="auto" w:fill="auto"/>
                  <w:noWrap/>
                  <w:vAlign w:val="center"/>
                  <w:hideMark/>
                </w:tcPr>
                <w:p w14:paraId="2C56C3C2"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17A0A413" w14:textId="77777777" w:rsidR="00C45D5B" w:rsidRDefault="00C45D5B" w:rsidP="00CF774B">
                  <w:pPr>
                    <w:jc w:val="center"/>
                    <w:rPr>
                      <w:rFonts w:cs="Calibri"/>
                      <w:color w:val="000000"/>
                      <w:sz w:val="18"/>
                      <w:szCs w:val="18"/>
                    </w:rPr>
                  </w:pPr>
                  <w:r>
                    <w:rPr>
                      <w:rFonts w:cs="Calibri"/>
                      <w:color w:val="000000"/>
                      <w:sz w:val="18"/>
                      <w:szCs w:val="18"/>
                    </w:rPr>
                    <w:t>-216</w:t>
                  </w:r>
                </w:p>
              </w:tc>
              <w:tc>
                <w:tcPr>
                  <w:tcW w:w="709" w:type="dxa"/>
                  <w:tcBorders>
                    <w:top w:val="nil"/>
                    <w:left w:val="nil"/>
                    <w:bottom w:val="nil"/>
                    <w:right w:val="nil"/>
                  </w:tcBorders>
                  <w:shd w:val="clear" w:color="auto" w:fill="auto"/>
                  <w:vAlign w:val="center"/>
                  <w:hideMark/>
                </w:tcPr>
                <w:p w14:paraId="08C32208" w14:textId="77777777" w:rsidR="00C45D5B" w:rsidRDefault="00C45D5B" w:rsidP="00CF774B">
                  <w:pPr>
                    <w:jc w:val="center"/>
                    <w:rPr>
                      <w:rFonts w:cs="Calibri"/>
                      <w:color w:val="000000"/>
                      <w:sz w:val="18"/>
                      <w:szCs w:val="18"/>
                    </w:rPr>
                  </w:pPr>
                  <w:r>
                    <w:rPr>
                      <w:rFonts w:cs="Calibri"/>
                      <w:color w:val="000000"/>
                      <w:sz w:val="18"/>
                      <w:szCs w:val="18"/>
                    </w:rPr>
                    <w:t>-130</w:t>
                  </w:r>
                </w:p>
              </w:tc>
              <w:tc>
                <w:tcPr>
                  <w:tcW w:w="708" w:type="dxa"/>
                  <w:tcBorders>
                    <w:top w:val="nil"/>
                    <w:left w:val="nil"/>
                    <w:bottom w:val="nil"/>
                    <w:right w:val="nil"/>
                  </w:tcBorders>
                  <w:shd w:val="clear" w:color="auto" w:fill="auto"/>
                  <w:vAlign w:val="center"/>
                  <w:hideMark/>
                </w:tcPr>
                <w:p w14:paraId="40FD3811"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4D5CAFA1"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77CA89F4"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6D143ECF" w14:textId="77777777" w:rsidTr="00CF774B">
              <w:trPr>
                <w:trHeight w:val="270"/>
              </w:trPr>
              <w:tc>
                <w:tcPr>
                  <w:tcW w:w="348" w:type="dxa"/>
                  <w:tcBorders>
                    <w:top w:val="nil"/>
                    <w:left w:val="nil"/>
                    <w:bottom w:val="nil"/>
                    <w:right w:val="nil"/>
                  </w:tcBorders>
                  <w:shd w:val="clear" w:color="auto" w:fill="auto"/>
                  <w:noWrap/>
                  <w:vAlign w:val="bottom"/>
                  <w:hideMark/>
                </w:tcPr>
                <w:p w14:paraId="217FEAD3" w14:textId="77777777" w:rsidR="00C45D5B" w:rsidRDefault="00C45D5B" w:rsidP="00CF774B">
                  <w:pPr>
                    <w:jc w:val="right"/>
                    <w:rPr>
                      <w:rFonts w:cs="Calibri"/>
                      <w:color w:val="000000"/>
                      <w:sz w:val="18"/>
                      <w:szCs w:val="18"/>
                    </w:rPr>
                  </w:pPr>
                  <w:r>
                    <w:rPr>
                      <w:rFonts w:cs="Calibri"/>
                      <w:color w:val="000000"/>
                      <w:sz w:val="18"/>
                      <w:szCs w:val="18"/>
                    </w:rPr>
                    <w:t>33</w:t>
                  </w:r>
                </w:p>
              </w:tc>
              <w:tc>
                <w:tcPr>
                  <w:tcW w:w="4160" w:type="dxa"/>
                  <w:tcBorders>
                    <w:top w:val="nil"/>
                    <w:left w:val="nil"/>
                    <w:bottom w:val="nil"/>
                    <w:right w:val="nil"/>
                  </w:tcBorders>
                  <w:shd w:val="clear" w:color="auto" w:fill="auto"/>
                  <w:vAlign w:val="bottom"/>
                  <w:hideMark/>
                </w:tcPr>
                <w:p w14:paraId="436064FD" w14:textId="77777777" w:rsidR="00C45D5B" w:rsidRDefault="00C45D5B" w:rsidP="00CF774B">
                  <w:pPr>
                    <w:rPr>
                      <w:rFonts w:cs="Calibri"/>
                      <w:color w:val="000000"/>
                      <w:sz w:val="18"/>
                      <w:szCs w:val="18"/>
                    </w:rPr>
                  </w:pPr>
                  <w:r>
                    <w:rPr>
                      <w:rFonts w:cs="Calibri"/>
                      <w:color w:val="000000"/>
                      <w:sz w:val="18"/>
                      <w:szCs w:val="18"/>
                    </w:rPr>
                    <w:t>Vyvolané COVID záruky</w:t>
                  </w:r>
                </w:p>
              </w:tc>
              <w:tc>
                <w:tcPr>
                  <w:tcW w:w="664" w:type="dxa"/>
                  <w:tcBorders>
                    <w:top w:val="nil"/>
                    <w:left w:val="nil"/>
                    <w:bottom w:val="nil"/>
                    <w:right w:val="nil"/>
                  </w:tcBorders>
                  <w:shd w:val="clear" w:color="auto" w:fill="auto"/>
                  <w:vAlign w:val="center"/>
                  <w:hideMark/>
                </w:tcPr>
                <w:p w14:paraId="640F0A8F" w14:textId="77777777" w:rsidR="00C45D5B" w:rsidRDefault="00C45D5B" w:rsidP="00CF774B">
                  <w:pPr>
                    <w:jc w:val="center"/>
                    <w:rPr>
                      <w:rFonts w:cs="Calibri"/>
                      <w:color w:val="000000"/>
                      <w:sz w:val="18"/>
                      <w:szCs w:val="18"/>
                    </w:rPr>
                  </w:pPr>
                  <w:r>
                    <w:rPr>
                      <w:rFonts w:cs="Calibri"/>
                      <w:color w:val="000000"/>
                      <w:sz w:val="18"/>
                      <w:szCs w:val="18"/>
                    </w:rPr>
                    <w:t>-25</w:t>
                  </w:r>
                </w:p>
              </w:tc>
              <w:tc>
                <w:tcPr>
                  <w:tcW w:w="709" w:type="dxa"/>
                  <w:tcBorders>
                    <w:top w:val="nil"/>
                    <w:left w:val="nil"/>
                    <w:bottom w:val="nil"/>
                    <w:right w:val="nil"/>
                  </w:tcBorders>
                  <w:shd w:val="clear" w:color="auto" w:fill="auto"/>
                  <w:vAlign w:val="center"/>
                  <w:hideMark/>
                </w:tcPr>
                <w:p w14:paraId="3015092F" w14:textId="77777777" w:rsidR="00C45D5B" w:rsidRDefault="00C45D5B" w:rsidP="00CF774B">
                  <w:pPr>
                    <w:jc w:val="center"/>
                    <w:rPr>
                      <w:rFonts w:cs="Calibri"/>
                      <w:color w:val="000000"/>
                      <w:sz w:val="18"/>
                      <w:szCs w:val="18"/>
                    </w:rPr>
                  </w:pPr>
                  <w:r>
                    <w:rPr>
                      <w:rFonts w:cs="Calibri"/>
                      <w:color w:val="000000"/>
                      <w:sz w:val="18"/>
                      <w:szCs w:val="18"/>
                    </w:rPr>
                    <w:t>-23</w:t>
                  </w:r>
                </w:p>
              </w:tc>
              <w:tc>
                <w:tcPr>
                  <w:tcW w:w="709" w:type="dxa"/>
                  <w:tcBorders>
                    <w:top w:val="nil"/>
                    <w:left w:val="nil"/>
                    <w:bottom w:val="nil"/>
                    <w:right w:val="nil"/>
                  </w:tcBorders>
                  <w:shd w:val="clear" w:color="auto" w:fill="auto"/>
                  <w:vAlign w:val="center"/>
                  <w:hideMark/>
                </w:tcPr>
                <w:p w14:paraId="320E25DE"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hideMark/>
                </w:tcPr>
                <w:p w14:paraId="63CF8EA9"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hideMark/>
                </w:tcPr>
                <w:p w14:paraId="2CA0E182"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32F7F239"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1102EA92" w14:textId="77777777" w:rsidTr="00CF774B">
              <w:trPr>
                <w:trHeight w:val="270"/>
              </w:trPr>
              <w:tc>
                <w:tcPr>
                  <w:tcW w:w="348" w:type="dxa"/>
                  <w:tcBorders>
                    <w:top w:val="nil"/>
                    <w:left w:val="nil"/>
                    <w:bottom w:val="nil"/>
                    <w:right w:val="nil"/>
                  </w:tcBorders>
                  <w:shd w:val="clear" w:color="auto" w:fill="auto"/>
                  <w:noWrap/>
                  <w:vAlign w:val="bottom"/>
                </w:tcPr>
                <w:p w14:paraId="3CBA7DB1" w14:textId="77777777" w:rsidR="00C45D5B" w:rsidRDefault="00C45D5B" w:rsidP="00CF774B">
                  <w:pPr>
                    <w:jc w:val="right"/>
                    <w:rPr>
                      <w:rFonts w:cs="Calibri"/>
                      <w:color w:val="000000"/>
                      <w:sz w:val="18"/>
                      <w:szCs w:val="18"/>
                    </w:rPr>
                  </w:pPr>
                  <w:r>
                    <w:rPr>
                      <w:rFonts w:cs="Calibri"/>
                      <w:color w:val="000000"/>
                      <w:sz w:val="18"/>
                      <w:szCs w:val="18"/>
                    </w:rPr>
                    <w:t>34</w:t>
                  </w:r>
                </w:p>
              </w:tc>
              <w:tc>
                <w:tcPr>
                  <w:tcW w:w="4160" w:type="dxa"/>
                  <w:tcBorders>
                    <w:top w:val="nil"/>
                    <w:left w:val="nil"/>
                    <w:bottom w:val="nil"/>
                    <w:right w:val="nil"/>
                  </w:tcBorders>
                  <w:shd w:val="clear" w:color="auto" w:fill="auto"/>
                  <w:vAlign w:val="bottom"/>
                </w:tcPr>
                <w:p w14:paraId="5974B7C1" w14:textId="77777777" w:rsidR="00C45D5B" w:rsidRDefault="00C45D5B" w:rsidP="00CF774B">
                  <w:pPr>
                    <w:rPr>
                      <w:rFonts w:cs="Calibri"/>
                      <w:color w:val="000000"/>
                      <w:sz w:val="18"/>
                      <w:szCs w:val="18"/>
                    </w:rPr>
                  </w:pPr>
                  <w:r>
                    <w:rPr>
                      <w:rFonts w:cs="Calibri"/>
                      <w:color w:val="000000"/>
                      <w:sz w:val="18"/>
                      <w:szCs w:val="18"/>
                    </w:rPr>
                    <w:t xml:space="preserve">Ostatné </w:t>
                  </w:r>
                </w:p>
              </w:tc>
              <w:tc>
                <w:tcPr>
                  <w:tcW w:w="664" w:type="dxa"/>
                  <w:tcBorders>
                    <w:top w:val="nil"/>
                    <w:left w:val="nil"/>
                    <w:bottom w:val="nil"/>
                    <w:right w:val="nil"/>
                  </w:tcBorders>
                  <w:shd w:val="clear" w:color="auto" w:fill="auto"/>
                  <w:vAlign w:val="center"/>
                </w:tcPr>
                <w:p w14:paraId="6DBA59C0" w14:textId="77777777" w:rsidR="00C45D5B" w:rsidRDefault="00C45D5B" w:rsidP="00CF774B">
                  <w:pPr>
                    <w:jc w:val="center"/>
                    <w:rPr>
                      <w:rFonts w:cs="Calibri"/>
                      <w:color w:val="000000"/>
                      <w:sz w:val="18"/>
                      <w:szCs w:val="18"/>
                    </w:rPr>
                  </w:pPr>
                  <w:r>
                    <w:rPr>
                      <w:rFonts w:cs="Calibri"/>
                      <w:color w:val="000000"/>
                      <w:sz w:val="18"/>
                      <w:szCs w:val="18"/>
                    </w:rPr>
                    <w:t>-18</w:t>
                  </w:r>
                </w:p>
              </w:tc>
              <w:tc>
                <w:tcPr>
                  <w:tcW w:w="709" w:type="dxa"/>
                  <w:tcBorders>
                    <w:top w:val="nil"/>
                    <w:left w:val="nil"/>
                    <w:bottom w:val="nil"/>
                    <w:right w:val="nil"/>
                  </w:tcBorders>
                  <w:shd w:val="clear" w:color="auto" w:fill="auto"/>
                  <w:vAlign w:val="center"/>
                </w:tcPr>
                <w:p w14:paraId="21121782" w14:textId="77777777" w:rsidR="00C45D5B" w:rsidRDefault="00C45D5B" w:rsidP="00CF774B">
                  <w:pPr>
                    <w:jc w:val="center"/>
                    <w:rPr>
                      <w:rFonts w:cs="Calibri"/>
                      <w:color w:val="000000"/>
                      <w:sz w:val="18"/>
                      <w:szCs w:val="18"/>
                    </w:rPr>
                  </w:pPr>
                  <w:r>
                    <w:rPr>
                      <w:rFonts w:cs="Calibri"/>
                      <w:color w:val="000000"/>
                      <w:sz w:val="18"/>
                      <w:szCs w:val="18"/>
                    </w:rPr>
                    <w:t>-48</w:t>
                  </w:r>
                </w:p>
              </w:tc>
              <w:tc>
                <w:tcPr>
                  <w:tcW w:w="709" w:type="dxa"/>
                  <w:tcBorders>
                    <w:top w:val="nil"/>
                    <w:left w:val="nil"/>
                    <w:bottom w:val="nil"/>
                    <w:right w:val="nil"/>
                  </w:tcBorders>
                  <w:shd w:val="clear" w:color="auto" w:fill="auto"/>
                  <w:vAlign w:val="center"/>
                </w:tcPr>
                <w:p w14:paraId="4E1C9A56" w14:textId="77777777" w:rsidR="00C45D5B" w:rsidRDefault="00C45D5B" w:rsidP="00CF774B">
                  <w:pPr>
                    <w:jc w:val="center"/>
                    <w:rPr>
                      <w:rFonts w:cs="Calibri"/>
                      <w:color w:val="000000"/>
                      <w:sz w:val="18"/>
                      <w:szCs w:val="18"/>
                    </w:rPr>
                  </w:pPr>
                  <w:r>
                    <w:rPr>
                      <w:rFonts w:cs="Calibri"/>
                      <w:color w:val="000000"/>
                      <w:sz w:val="18"/>
                      <w:szCs w:val="18"/>
                    </w:rPr>
                    <w:t>-9</w:t>
                  </w:r>
                </w:p>
              </w:tc>
              <w:tc>
                <w:tcPr>
                  <w:tcW w:w="708" w:type="dxa"/>
                  <w:tcBorders>
                    <w:top w:val="nil"/>
                    <w:left w:val="nil"/>
                    <w:bottom w:val="nil"/>
                    <w:right w:val="nil"/>
                  </w:tcBorders>
                  <w:shd w:val="clear" w:color="auto" w:fill="auto"/>
                  <w:vAlign w:val="center"/>
                </w:tcPr>
                <w:p w14:paraId="3A59B35A"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tcPr>
                <w:p w14:paraId="1E4262EE"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73DA1921"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7F6707FE" w14:textId="77777777" w:rsidTr="00CF774B">
              <w:trPr>
                <w:trHeight w:val="270"/>
              </w:trPr>
              <w:tc>
                <w:tcPr>
                  <w:tcW w:w="348" w:type="dxa"/>
                  <w:tcBorders>
                    <w:top w:val="nil"/>
                    <w:left w:val="nil"/>
                    <w:bottom w:val="nil"/>
                    <w:right w:val="nil"/>
                  </w:tcBorders>
                  <w:shd w:val="clear" w:color="auto" w:fill="auto"/>
                  <w:noWrap/>
                  <w:vAlign w:val="bottom"/>
                </w:tcPr>
                <w:p w14:paraId="37EDA5F3" w14:textId="77777777" w:rsidR="00C45D5B" w:rsidRDefault="00C45D5B" w:rsidP="00CF774B">
                  <w:pPr>
                    <w:jc w:val="right"/>
                    <w:rPr>
                      <w:rFonts w:cs="Calibri"/>
                      <w:color w:val="000000"/>
                      <w:sz w:val="18"/>
                      <w:szCs w:val="18"/>
                    </w:rPr>
                  </w:pPr>
                  <w:r>
                    <w:rPr>
                      <w:rFonts w:cs="Calibri"/>
                      <w:color w:val="000000"/>
                      <w:sz w:val="18"/>
                      <w:szCs w:val="18"/>
                    </w:rPr>
                    <w:t>35</w:t>
                  </w:r>
                </w:p>
              </w:tc>
              <w:tc>
                <w:tcPr>
                  <w:tcW w:w="4160" w:type="dxa"/>
                  <w:tcBorders>
                    <w:top w:val="nil"/>
                    <w:left w:val="nil"/>
                    <w:bottom w:val="nil"/>
                    <w:right w:val="nil"/>
                  </w:tcBorders>
                  <w:shd w:val="clear" w:color="auto" w:fill="auto"/>
                  <w:vAlign w:val="bottom"/>
                </w:tcPr>
                <w:p w14:paraId="33043CFC" w14:textId="77777777" w:rsidR="00C45D5B" w:rsidRDefault="00C45D5B" w:rsidP="00CF774B">
                  <w:pPr>
                    <w:rPr>
                      <w:rFonts w:cs="Calibri"/>
                      <w:color w:val="000000"/>
                      <w:sz w:val="18"/>
                      <w:szCs w:val="18"/>
                    </w:rPr>
                  </w:pPr>
                  <w:r>
                    <w:rPr>
                      <w:rFonts w:cs="Calibri"/>
                      <w:color w:val="000000"/>
                      <w:sz w:val="18"/>
                      <w:szCs w:val="18"/>
                    </w:rPr>
                    <w:t>Financovanie z EU zdrojov</w:t>
                  </w:r>
                </w:p>
              </w:tc>
              <w:tc>
                <w:tcPr>
                  <w:tcW w:w="664" w:type="dxa"/>
                  <w:tcBorders>
                    <w:top w:val="nil"/>
                    <w:left w:val="nil"/>
                    <w:bottom w:val="nil"/>
                    <w:right w:val="nil"/>
                  </w:tcBorders>
                  <w:shd w:val="clear" w:color="auto" w:fill="auto"/>
                  <w:vAlign w:val="center"/>
                </w:tcPr>
                <w:p w14:paraId="44A463FE" w14:textId="77777777" w:rsidR="00C45D5B" w:rsidRDefault="00C45D5B" w:rsidP="00CF774B">
                  <w:pPr>
                    <w:jc w:val="center"/>
                    <w:rPr>
                      <w:rFonts w:cs="Calibri"/>
                      <w:color w:val="000000"/>
                      <w:sz w:val="18"/>
                      <w:szCs w:val="18"/>
                    </w:rPr>
                  </w:pPr>
                  <w:r>
                    <w:rPr>
                      <w:rFonts w:cs="Calibri"/>
                      <w:color w:val="000000"/>
                      <w:sz w:val="18"/>
                      <w:szCs w:val="18"/>
                    </w:rPr>
                    <w:t>413</w:t>
                  </w:r>
                </w:p>
              </w:tc>
              <w:tc>
                <w:tcPr>
                  <w:tcW w:w="709" w:type="dxa"/>
                  <w:tcBorders>
                    <w:top w:val="nil"/>
                    <w:left w:val="nil"/>
                    <w:bottom w:val="nil"/>
                    <w:right w:val="nil"/>
                  </w:tcBorders>
                  <w:shd w:val="clear" w:color="auto" w:fill="auto"/>
                  <w:vAlign w:val="center"/>
                </w:tcPr>
                <w:p w14:paraId="719CD5F2" w14:textId="77777777" w:rsidR="00C45D5B" w:rsidRDefault="00C45D5B" w:rsidP="00CF774B">
                  <w:pPr>
                    <w:jc w:val="center"/>
                    <w:rPr>
                      <w:rFonts w:cs="Calibri"/>
                      <w:color w:val="000000"/>
                      <w:sz w:val="18"/>
                      <w:szCs w:val="18"/>
                    </w:rPr>
                  </w:pPr>
                  <w:r>
                    <w:rPr>
                      <w:rFonts w:cs="Calibri"/>
                      <w:color w:val="000000"/>
                      <w:sz w:val="18"/>
                      <w:szCs w:val="18"/>
                    </w:rPr>
                    <w:t>388</w:t>
                  </w:r>
                </w:p>
              </w:tc>
              <w:tc>
                <w:tcPr>
                  <w:tcW w:w="709" w:type="dxa"/>
                  <w:tcBorders>
                    <w:top w:val="nil"/>
                    <w:left w:val="nil"/>
                    <w:bottom w:val="nil"/>
                    <w:right w:val="nil"/>
                  </w:tcBorders>
                  <w:shd w:val="clear" w:color="auto" w:fill="auto"/>
                  <w:vAlign w:val="center"/>
                </w:tcPr>
                <w:p w14:paraId="28C89A7A"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tcPr>
                <w:p w14:paraId="32DB1403"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tcPr>
                <w:p w14:paraId="199B7AD4"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7CC3D248"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179C93AD" w14:textId="77777777" w:rsidTr="00CF774B">
              <w:trPr>
                <w:trHeight w:val="270"/>
              </w:trPr>
              <w:tc>
                <w:tcPr>
                  <w:tcW w:w="348" w:type="dxa"/>
                  <w:tcBorders>
                    <w:top w:val="nil"/>
                    <w:left w:val="nil"/>
                    <w:bottom w:val="nil"/>
                    <w:right w:val="nil"/>
                  </w:tcBorders>
                  <w:shd w:val="clear" w:color="auto" w:fill="auto"/>
                  <w:noWrap/>
                  <w:vAlign w:val="bottom"/>
                </w:tcPr>
                <w:p w14:paraId="2EAA9495" w14:textId="77777777" w:rsidR="00C45D5B" w:rsidRDefault="00C45D5B" w:rsidP="00CF774B">
                  <w:pPr>
                    <w:jc w:val="right"/>
                    <w:rPr>
                      <w:rFonts w:cs="Calibri"/>
                      <w:color w:val="000000"/>
                      <w:sz w:val="18"/>
                      <w:szCs w:val="18"/>
                    </w:rPr>
                  </w:pPr>
                  <w:r>
                    <w:rPr>
                      <w:rFonts w:cs="Calibri"/>
                      <w:color w:val="000000"/>
                      <w:sz w:val="18"/>
                      <w:szCs w:val="18"/>
                    </w:rPr>
                    <w:t>36</w:t>
                  </w:r>
                </w:p>
              </w:tc>
              <w:tc>
                <w:tcPr>
                  <w:tcW w:w="4160" w:type="dxa"/>
                  <w:tcBorders>
                    <w:top w:val="nil"/>
                    <w:left w:val="nil"/>
                    <w:bottom w:val="nil"/>
                    <w:right w:val="nil"/>
                  </w:tcBorders>
                  <w:shd w:val="clear" w:color="auto" w:fill="auto"/>
                  <w:vAlign w:val="bottom"/>
                </w:tcPr>
                <w:p w14:paraId="6112F4F7" w14:textId="77777777" w:rsidR="00C45D5B" w:rsidRDefault="00C45D5B" w:rsidP="00CF774B">
                  <w:pPr>
                    <w:rPr>
                      <w:rFonts w:cs="Calibri"/>
                      <w:color w:val="000000"/>
                      <w:sz w:val="18"/>
                      <w:szCs w:val="18"/>
                    </w:rPr>
                  </w:pPr>
                  <w:r>
                    <w:rPr>
                      <w:rFonts w:cs="Calibri"/>
                      <w:color w:val="000000"/>
                      <w:sz w:val="18"/>
                      <w:szCs w:val="18"/>
                    </w:rPr>
                    <w:t>Špeciálny odvod do EÚ - podhodnotené preslievanie tovaru z III. krajín</w:t>
                  </w:r>
                </w:p>
              </w:tc>
              <w:tc>
                <w:tcPr>
                  <w:tcW w:w="664" w:type="dxa"/>
                  <w:tcBorders>
                    <w:top w:val="nil"/>
                    <w:left w:val="nil"/>
                    <w:bottom w:val="nil"/>
                    <w:right w:val="nil"/>
                  </w:tcBorders>
                  <w:shd w:val="clear" w:color="auto" w:fill="auto"/>
                  <w:vAlign w:val="center"/>
                </w:tcPr>
                <w:p w14:paraId="2F4C8398"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tcPr>
                <w:p w14:paraId="25612C39" w14:textId="77777777" w:rsidR="00C45D5B" w:rsidRDefault="00C45D5B" w:rsidP="00CF774B">
                  <w:pPr>
                    <w:jc w:val="center"/>
                    <w:rPr>
                      <w:rFonts w:cs="Calibri"/>
                      <w:color w:val="000000"/>
                      <w:sz w:val="18"/>
                      <w:szCs w:val="18"/>
                    </w:rPr>
                  </w:pPr>
                  <w:r>
                    <w:rPr>
                      <w:rFonts w:cs="Calibri"/>
                      <w:color w:val="000000"/>
                      <w:sz w:val="18"/>
                      <w:szCs w:val="18"/>
                    </w:rPr>
                    <w:t>-527</w:t>
                  </w:r>
                </w:p>
              </w:tc>
              <w:tc>
                <w:tcPr>
                  <w:tcW w:w="709" w:type="dxa"/>
                  <w:tcBorders>
                    <w:top w:val="nil"/>
                    <w:left w:val="nil"/>
                    <w:bottom w:val="nil"/>
                    <w:right w:val="nil"/>
                  </w:tcBorders>
                  <w:shd w:val="clear" w:color="auto" w:fill="auto"/>
                  <w:vAlign w:val="center"/>
                </w:tcPr>
                <w:p w14:paraId="1BEA3D8F"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tcPr>
                <w:p w14:paraId="044848EE"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tcPr>
                <w:p w14:paraId="64228BDB"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1C5C2FA5"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3F735769" w14:textId="77777777" w:rsidTr="00CF774B">
              <w:trPr>
                <w:trHeight w:val="270"/>
              </w:trPr>
              <w:tc>
                <w:tcPr>
                  <w:tcW w:w="348" w:type="dxa"/>
                  <w:tcBorders>
                    <w:top w:val="nil"/>
                    <w:left w:val="nil"/>
                    <w:bottom w:val="nil"/>
                    <w:right w:val="nil"/>
                  </w:tcBorders>
                  <w:shd w:val="clear" w:color="auto" w:fill="auto"/>
                  <w:noWrap/>
                  <w:vAlign w:val="bottom"/>
                </w:tcPr>
                <w:p w14:paraId="6CDA194E" w14:textId="77777777" w:rsidR="00C45D5B" w:rsidRDefault="00C45D5B" w:rsidP="00CF774B">
                  <w:pPr>
                    <w:jc w:val="right"/>
                    <w:rPr>
                      <w:rFonts w:cs="Calibri"/>
                      <w:color w:val="000000"/>
                      <w:sz w:val="18"/>
                      <w:szCs w:val="18"/>
                    </w:rPr>
                  </w:pPr>
                  <w:r>
                    <w:rPr>
                      <w:rFonts w:cs="Calibri"/>
                      <w:color w:val="000000"/>
                      <w:sz w:val="18"/>
                      <w:szCs w:val="18"/>
                    </w:rPr>
                    <w:t>39</w:t>
                  </w:r>
                </w:p>
              </w:tc>
              <w:tc>
                <w:tcPr>
                  <w:tcW w:w="4160" w:type="dxa"/>
                  <w:tcBorders>
                    <w:top w:val="nil"/>
                    <w:left w:val="nil"/>
                    <w:bottom w:val="nil"/>
                    <w:right w:val="nil"/>
                  </w:tcBorders>
                  <w:shd w:val="clear" w:color="auto" w:fill="auto"/>
                  <w:vAlign w:val="center"/>
                </w:tcPr>
                <w:p w14:paraId="0609ADCA" w14:textId="77777777" w:rsidR="00C45D5B" w:rsidRDefault="00C45D5B" w:rsidP="00CF774B">
                  <w:pPr>
                    <w:rPr>
                      <w:rFonts w:cs="Calibri"/>
                      <w:color w:val="000000"/>
                      <w:sz w:val="18"/>
                      <w:szCs w:val="18"/>
                    </w:rPr>
                  </w:pPr>
                  <w:r>
                    <w:rPr>
                      <w:rFonts w:cs="Calibri"/>
                      <w:color w:val="000000"/>
                      <w:sz w:val="18"/>
                      <w:szCs w:val="18"/>
                    </w:rPr>
                    <w:t>Platba DPH koncesionára stavby D4/R7</w:t>
                  </w:r>
                </w:p>
              </w:tc>
              <w:tc>
                <w:tcPr>
                  <w:tcW w:w="664" w:type="dxa"/>
                  <w:tcBorders>
                    <w:top w:val="nil"/>
                    <w:left w:val="nil"/>
                    <w:bottom w:val="nil"/>
                    <w:right w:val="nil"/>
                  </w:tcBorders>
                  <w:shd w:val="clear" w:color="auto" w:fill="auto"/>
                  <w:vAlign w:val="center"/>
                </w:tcPr>
                <w:p w14:paraId="3C5CD9F4" w14:textId="77777777" w:rsidR="00C45D5B" w:rsidRDefault="00C45D5B" w:rsidP="00CF774B">
                  <w:pPr>
                    <w:jc w:val="center"/>
                    <w:rPr>
                      <w:rFonts w:cs="Calibri"/>
                      <w:color w:val="000000"/>
                      <w:sz w:val="18"/>
                      <w:szCs w:val="18"/>
                    </w:rPr>
                  </w:pPr>
                  <w:r>
                    <w:rPr>
                      <w:rFonts w:cs="Calibri"/>
                      <w:color w:val="000000"/>
                      <w:sz w:val="18"/>
                      <w:szCs w:val="18"/>
                    </w:rPr>
                    <w:t>71</w:t>
                  </w:r>
                </w:p>
              </w:tc>
              <w:tc>
                <w:tcPr>
                  <w:tcW w:w="709" w:type="dxa"/>
                  <w:tcBorders>
                    <w:top w:val="nil"/>
                    <w:left w:val="nil"/>
                    <w:bottom w:val="nil"/>
                    <w:right w:val="nil"/>
                  </w:tcBorders>
                  <w:shd w:val="clear" w:color="auto" w:fill="auto"/>
                  <w:vAlign w:val="center"/>
                </w:tcPr>
                <w:p w14:paraId="512228A0" w14:textId="77777777" w:rsidR="00C45D5B" w:rsidRDefault="00C45D5B" w:rsidP="00CF774B">
                  <w:pPr>
                    <w:jc w:val="center"/>
                    <w:rPr>
                      <w:rFonts w:cs="Calibri"/>
                      <w:color w:val="000000"/>
                      <w:sz w:val="18"/>
                      <w:szCs w:val="18"/>
                    </w:rPr>
                  </w:pPr>
                  <w:r>
                    <w:rPr>
                      <w:rFonts w:cs="Calibri"/>
                      <w:color w:val="000000"/>
                      <w:sz w:val="18"/>
                      <w:szCs w:val="18"/>
                    </w:rPr>
                    <w:t>130</w:t>
                  </w:r>
                </w:p>
              </w:tc>
              <w:tc>
                <w:tcPr>
                  <w:tcW w:w="709" w:type="dxa"/>
                  <w:tcBorders>
                    <w:top w:val="nil"/>
                    <w:left w:val="nil"/>
                    <w:bottom w:val="nil"/>
                    <w:right w:val="nil"/>
                  </w:tcBorders>
                  <w:shd w:val="clear" w:color="auto" w:fill="auto"/>
                  <w:vAlign w:val="center"/>
                </w:tcPr>
                <w:p w14:paraId="267D6ACD" w14:textId="77777777" w:rsidR="00C45D5B" w:rsidRDefault="00C45D5B" w:rsidP="00CF774B">
                  <w:pPr>
                    <w:jc w:val="center"/>
                    <w:rPr>
                      <w:rFonts w:cs="Calibri"/>
                      <w:color w:val="000000"/>
                      <w:sz w:val="18"/>
                      <w:szCs w:val="18"/>
                    </w:rPr>
                  </w:pPr>
                  <w:r>
                    <w:rPr>
                      <w:rFonts w:cs="Calibri"/>
                      <w:color w:val="000000"/>
                      <w:sz w:val="18"/>
                      <w:szCs w:val="18"/>
                    </w:rPr>
                    <w:t>-</w:t>
                  </w:r>
                </w:p>
              </w:tc>
              <w:tc>
                <w:tcPr>
                  <w:tcW w:w="708" w:type="dxa"/>
                  <w:tcBorders>
                    <w:top w:val="nil"/>
                    <w:left w:val="nil"/>
                    <w:bottom w:val="nil"/>
                    <w:right w:val="nil"/>
                  </w:tcBorders>
                  <w:shd w:val="clear" w:color="auto" w:fill="auto"/>
                  <w:vAlign w:val="center"/>
                </w:tcPr>
                <w:p w14:paraId="34770ACC" w14:textId="77777777" w:rsidR="00C45D5B" w:rsidRDefault="00C45D5B" w:rsidP="00CF774B">
                  <w:pPr>
                    <w:jc w:val="center"/>
                    <w:rPr>
                      <w:rFonts w:cs="Calibri"/>
                      <w:color w:val="000000"/>
                      <w:sz w:val="18"/>
                      <w:szCs w:val="18"/>
                    </w:rPr>
                  </w:pPr>
                  <w:r>
                    <w:rPr>
                      <w:rFonts w:cs="Calibri"/>
                      <w:color w:val="000000"/>
                      <w:sz w:val="18"/>
                      <w:szCs w:val="18"/>
                    </w:rPr>
                    <w:t>-</w:t>
                  </w:r>
                </w:p>
              </w:tc>
              <w:tc>
                <w:tcPr>
                  <w:tcW w:w="709" w:type="dxa"/>
                  <w:tcBorders>
                    <w:top w:val="nil"/>
                    <w:left w:val="nil"/>
                    <w:bottom w:val="nil"/>
                    <w:right w:val="nil"/>
                  </w:tcBorders>
                  <w:shd w:val="clear" w:color="auto" w:fill="auto"/>
                  <w:vAlign w:val="center"/>
                </w:tcPr>
                <w:p w14:paraId="55E60328" w14:textId="77777777" w:rsidR="00C45D5B" w:rsidRDefault="00C45D5B" w:rsidP="00CF774B">
                  <w:pPr>
                    <w:jc w:val="center"/>
                    <w:rPr>
                      <w:rFonts w:cs="Calibri"/>
                      <w:color w:val="000000"/>
                      <w:sz w:val="18"/>
                      <w:szCs w:val="18"/>
                    </w:rPr>
                  </w:pPr>
                  <w:r>
                    <w:rPr>
                      <w:rFonts w:cs="Calibri"/>
                      <w:color w:val="000000"/>
                      <w:sz w:val="18"/>
                      <w:szCs w:val="18"/>
                    </w:rPr>
                    <w:t>-</w:t>
                  </w:r>
                </w:p>
              </w:tc>
              <w:tc>
                <w:tcPr>
                  <w:tcW w:w="923" w:type="dxa"/>
                  <w:tcBorders>
                    <w:top w:val="nil"/>
                    <w:left w:val="nil"/>
                    <w:bottom w:val="nil"/>
                    <w:right w:val="nil"/>
                  </w:tcBorders>
                  <w:vAlign w:val="center"/>
                </w:tcPr>
                <w:p w14:paraId="74140792" w14:textId="77777777" w:rsidR="00C45D5B" w:rsidRDefault="00C45D5B" w:rsidP="00CF774B">
                  <w:pPr>
                    <w:jc w:val="center"/>
                    <w:rPr>
                      <w:rFonts w:cs="Calibri"/>
                      <w:color w:val="000000"/>
                      <w:sz w:val="18"/>
                      <w:szCs w:val="18"/>
                    </w:rPr>
                  </w:pPr>
                  <w:r>
                    <w:rPr>
                      <w:rFonts w:cs="Calibri"/>
                      <w:color w:val="000000"/>
                      <w:sz w:val="18"/>
                      <w:szCs w:val="18"/>
                    </w:rPr>
                    <w:t>-</w:t>
                  </w:r>
                </w:p>
              </w:tc>
            </w:tr>
            <w:tr w:rsidR="00C45D5B" w:rsidRPr="00AB54ED" w14:paraId="7C95D894" w14:textId="77777777" w:rsidTr="00CF774B">
              <w:trPr>
                <w:trHeight w:val="285"/>
              </w:trPr>
              <w:tc>
                <w:tcPr>
                  <w:tcW w:w="348" w:type="dxa"/>
                  <w:tcBorders>
                    <w:top w:val="nil"/>
                    <w:left w:val="nil"/>
                    <w:bottom w:val="nil"/>
                    <w:right w:val="nil"/>
                  </w:tcBorders>
                  <w:shd w:val="clear" w:color="auto" w:fill="auto"/>
                  <w:noWrap/>
                  <w:vAlign w:val="bottom"/>
                  <w:hideMark/>
                </w:tcPr>
                <w:p w14:paraId="46ED3C39" w14:textId="77777777" w:rsidR="00C45D5B" w:rsidRPr="000D239C" w:rsidRDefault="00C45D5B" w:rsidP="00CF774B">
                  <w:pPr>
                    <w:jc w:val="center"/>
                    <w:rPr>
                      <w:rFonts w:cs="Calibri"/>
                      <w:color w:val="000000"/>
                      <w:sz w:val="18"/>
                      <w:szCs w:val="18"/>
                    </w:rPr>
                  </w:pPr>
                </w:p>
              </w:tc>
              <w:tc>
                <w:tcPr>
                  <w:tcW w:w="4160" w:type="dxa"/>
                  <w:tcBorders>
                    <w:top w:val="nil"/>
                    <w:left w:val="nil"/>
                    <w:bottom w:val="single" w:sz="8" w:space="0" w:color="auto"/>
                    <w:right w:val="nil"/>
                  </w:tcBorders>
                  <w:shd w:val="clear" w:color="auto" w:fill="auto"/>
                  <w:noWrap/>
                  <w:vAlign w:val="center"/>
                  <w:hideMark/>
                </w:tcPr>
                <w:p w14:paraId="162C31D3" w14:textId="77777777" w:rsidR="00C45D5B" w:rsidRPr="000D239C" w:rsidRDefault="00C45D5B" w:rsidP="00CF774B">
                  <w:pPr>
                    <w:rPr>
                      <w:rFonts w:cs="Calibri"/>
                      <w:b/>
                      <w:bCs/>
                      <w:color w:val="000000"/>
                      <w:sz w:val="18"/>
                      <w:szCs w:val="18"/>
                    </w:rPr>
                  </w:pPr>
                  <w:r w:rsidRPr="000D239C">
                    <w:rPr>
                      <w:rFonts w:cs="Calibri"/>
                      <w:b/>
                      <w:bCs/>
                      <w:color w:val="000000"/>
                      <w:sz w:val="18"/>
                      <w:szCs w:val="18"/>
                    </w:rPr>
                    <w:t xml:space="preserve">Spolu  </w:t>
                  </w:r>
                </w:p>
              </w:tc>
              <w:tc>
                <w:tcPr>
                  <w:tcW w:w="664" w:type="dxa"/>
                  <w:tcBorders>
                    <w:top w:val="nil"/>
                    <w:left w:val="nil"/>
                    <w:bottom w:val="single" w:sz="8" w:space="0" w:color="auto"/>
                    <w:right w:val="nil"/>
                  </w:tcBorders>
                  <w:shd w:val="clear" w:color="auto" w:fill="auto"/>
                  <w:noWrap/>
                  <w:vAlign w:val="bottom"/>
                  <w:hideMark/>
                </w:tcPr>
                <w:p w14:paraId="38801A55" w14:textId="77777777" w:rsidR="00C45D5B" w:rsidRDefault="00C45D5B" w:rsidP="00CF774B">
                  <w:pPr>
                    <w:jc w:val="center"/>
                    <w:rPr>
                      <w:rFonts w:cs="Calibri"/>
                      <w:b/>
                      <w:bCs/>
                      <w:color w:val="000000"/>
                      <w:sz w:val="18"/>
                      <w:szCs w:val="18"/>
                    </w:rPr>
                  </w:pPr>
                  <w:r>
                    <w:rPr>
                      <w:rFonts w:cs="Calibri"/>
                      <w:b/>
                      <w:bCs/>
                      <w:color w:val="000000"/>
                      <w:sz w:val="18"/>
                      <w:szCs w:val="18"/>
                    </w:rPr>
                    <w:t>-1698</w:t>
                  </w:r>
                </w:p>
              </w:tc>
              <w:tc>
                <w:tcPr>
                  <w:tcW w:w="709" w:type="dxa"/>
                  <w:tcBorders>
                    <w:top w:val="nil"/>
                    <w:left w:val="nil"/>
                    <w:bottom w:val="single" w:sz="8" w:space="0" w:color="auto"/>
                    <w:right w:val="nil"/>
                  </w:tcBorders>
                  <w:shd w:val="clear" w:color="auto" w:fill="auto"/>
                  <w:noWrap/>
                  <w:vAlign w:val="bottom"/>
                  <w:hideMark/>
                </w:tcPr>
                <w:p w14:paraId="257F0EF0" w14:textId="77777777" w:rsidR="00C45D5B" w:rsidRDefault="00C45D5B" w:rsidP="00CF774B">
                  <w:pPr>
                    <w:jc w:val="center"/>
                    <w:rPr>
                      <w:rFonts w:cs="Calibri"/>
                      <w:b/>
                      <w:bCs/>
                      <w:color w:val="000000"/>
                      <w:sz w:val="18"/>
                      <w:szCs w:val="18"/>
                    </w:rPr>
                  </w:pPr>
                  <w:r>
                    <w:rPr>
                      <w:rFonts w:cs="Calibri"/>
                      <w:b/>
                      <w:bCs/>
                      <w:color w:val="000000"/>
                      <w:sz w:val="18"/>
                      <w:szCs w:val="18"/>
                    </w:rPr>
                    <w:t>-3394</w:t>
                  </w:r>
                </w:p>
              </w:tc>
              <w:tc>
                <w:tcPr>
                  <w:tcW w:w="709" w:type="dxa"/>
                  <w:tcBorders>
                    <w:top w:val="nil"/>
                    <w:left w:val="nil"/>
                    <w:bottom w:val="single" w:sz="8" w:space="0" w:color="auto"/>
                    <w:right w:val="nil"/>
                  </w:tcBorders>
                  <w:shd w:val="clear" w:color="auto" w:fill="auto"/>
                  <w:noWrap/>
                  <w:vAlign w:val="bottom"/>
                  <w:hideMark/>
                </w:tcPr>
                <w:p w14:paraId="166CE1C9" w14:textId="77777777" w:rsidR="00C45D5B" w:rsidRDefault="00C45D5B" w:rsidP="00CF774B">
                  <w:pPr>
                    <w:jc w:val="center"/>
                    <w:rPr>
                      <w:rFonts w:cs="Calibri"/>
                      <w:b/>
                      <w:bCs/>
                      <w:color w:val="000000"/>
                      <w:sz w:val="18"/>
                      <w:szCs w:val="18"/>
                    </w:rPr>
                  </w:pPr>
                  <w:r>
                    <w:rPr>
                      <w:rFonts w:cs="Calibri"/>
                      <w:b/>
                      <w:bCs/>
                      <w:color w:val="000000"/>
                      <w:sz w:val="18"/>
                      <w:szCs w:val="18"/>
                    </w:rPr>
                    <w:t>-1034</w:t>
                  </w:r>
                </w:p>
              </w:tc>
              <w:tc>
                <w:tcPr>
                  <w:tcW w:w="708" w:type="dxa"/>
                  <w:tcBorders>
                    <w:top w:val="nil"/>
                    <w:left w:val="nil"/>
                    <w:bottom w:val="single" w:sz="8" w:space="0" w:color="auto"/>
                    <w:right w:val="nil"/>
                  </w:tcBorders>
                  <w:shd w:val="clear" w:color="auto" w:fill="auto"/>
                  <w:noWrap/>
                  <w:vAlign w:val="bottom"/>
                  <w:hideMark/>
                </w:tcPr>
                <w:p w14:paraId="6A1E9244" w14:textId="77777777" w:rsidR="00C45D5B" w:rsidRDefault="00C45D5B" w:rsidP="00CF774B">
                  <w:pPr>
                    <w:jc w:val="center"/>
                    <w:rPr>
                      <w:rFonts w:cs="Calibri"/>
                      <w:b/>
                      <w:bCs/>
                      <w:color w:val="000000"/>
                      <w:sz w:val="18"/>
                      <w:szCs w:val="18"/>
                    </w:rPr>
                  </w:pPr>
                  <w:r>
                    <w:rPr>
                      <w:rFonts w:cs="Calibri"/>
                      <w:b/>
                      <w:bCs/>
                      <w:color w:val="000000"/>
                      <w:sz w:val="18"/>
                      <w:szCs w:val="18"/>
                    </w:rPr>
                    <w:t>0</w:t>
                  </w:r>
                </w:p>
              </w:tc>
              <w:tc>
                <w:tcPr>
                  <w:tcW w:w="709" w:type="dxa"/>
                  <w:tcBorders>
                    <w:top w:val="nil"/>
                    <w:left w:val="nil"/>
                    <w:bottom w:val="single" w:sz="8" w:space="0" w:color="auto"/>
                    <w:right w:val="nil"/>
                  </w:tcBorders>
                  <w:shd w:val="clear" w:color="auto" w:fill="auto"/>
                  <w:noWrap/>
                  <w:vAlign w:val="bottom"/>
                  <w:hideMark/>
                </w:tcPr>
                <w:p w14:paraId="31DE2806" w14:textId="77777777" w:rsidR="00C45D5B" w:rsidRDefault="00C45D5B" w:rsidP="00CF774B">
                  <w:pPr>
                    <w:jc w:val="center"/>
                    <w:rPr>
                      <w:rFonts w:cs="Calibri"/>
                      <w:b/>
                      <w:bCs/>
                      <w:color w:val="000000"/>
                      <w:sz w:val="18"/>
                      <w:szCs w:val="18"/>
                    </w:rPr>
                  </w:pPr>
                  <w:r>
                    <w:rPr>
                      <w:rFonts w:cs="Calibri"/>
                      <w:b/>
                      <w:bCs/>
                      <w:color w:val="000000"/>
                      <w:sz w:val="18"/>
                      <w:szCs w:val="18"/>
                    </w:rPr>
                    <w:t>0</w:t>
                  </w:r>
                </w:p>
              </w:tc>
              <w:tc>
                <w:tcPr>
                  <w:tcW w:w="923" w:type="dxa"/>
                  <w:tcBorders>
                    <w:top w:val="nil"/>
                    <w:left w:val="nil"/>
                    <w:bottom w:val="single" w:sz="8" w:space="0" w:color="auto"/>
                    <w:right w:val="nil"/>
                  </w:tcBorders>
                  <w:vAlign w:val="bottom"/>
                </w:tcPr>
                <w:p w14:paraId="32B2488B" w14:textId="77777777" w:rsidR="00C45D5B" w:rsidRDefault="00C45D5B" w:rsidP="00CF774B">
                  <w:pPr>
                    <w:jc w:val="center"/>
                    <w:rPr>
                      <w:rFonts w:cs="Calibri"/>
                      <w:b/>
                      <w:bCs/>
                      <w:color w:val="000000"/>
                      <w:sz w:val="18"/>
                      <w:szCs w:val="18"/>
                    </w:rPr>
                  </w:pPr>
                  <w:r>
                    <w:rPr>
                      <w:rFonts w:cs="Calibri"/>
                      <w:b/>
                      <w:bCs/>
                      <w:color w:val="000000"/>
                      <w:sz w:val="18"/>
                      <w:szCs w:val="18"/>
                    </w:rPr>
                    <w:t>0</w:t>
                  </w:r>
                </w:p>
              </w:tc>
            </w:tr>
          </w:tbl>
          <w:p w14:paraId="1BA2AF09" w14:textId="77777777" w:rsidR="00C45D5B" w:rsidRPr="00AB54ED" w:rsidRDefault="00C45D5B" w:rsidP="00CF774B">
            <w:pPr>
              <w:rPr>
                <w:rFonts w:cs="Times New Roman"/>
                <w:b/>
                <w:bCs/>
                <w:color w:val="2C9ADC"/>
                <w:highlight w:val="yellow"/>
              </w:rPr>
            </w:pPr>
          </w:p>
        </w:tc>
      </w:tr>
      <w:tr w:rsidR="00C45D5B" w:rsidRPr="00AB54ED" w14:paraId="0C359028" w14:textId="77777777" w:rsidTr="00CF774B">
        <w:trPr>
          <w:trHeight w:val="288"/>
        </w:trPr>
        <w:tc>
          <w:tcPr>
            <w:tcW w:w="323" w:type="dxa"/>
            <w:tcBorders>
              <w:top w:val="nil"/>
              <w:left w:val="nil"/>
              <w:bottom w:val="nil"/>
              <w:right w:val="nil"/>
            </w:tcBorders>
            <w:shd w:val="clear" w:color="auto" w:fill="auto"/>
            <w:noWrap/>
            <w:vAlign w:val="bottom"/>
            <w:hideMark/>
          </w:tcPr>
          <w:p w14:paraId="6861015C" w14:textId="77777777" w:rsidR="00C45D5B" w:rsidRPr="000D239C" w:rsidRDefault="00C45D5B" w:rsidP="00CF774B">
            <w:pPr>
              <w:jc w:val="center"/>
              <w:rPr>
                <w:rFonts w:cs="Times New Roman"/>
                <w:b/>
                <w:bCs/>
                <w:color w:val="000000"/>
                <w:sz w:val="20"/>
                <w:szCs w:val="20"/>
              </w:rPr>
            </w:pPr>
          </w:p>
        </w:tc>
        <w:tc>
          <w:tcPr>
            <w:tcW w:w="6470" w:type="dxa"/>
            <w:tcBorders>
              <w:top w:val="nil"/>
              <w:left w:val="nil"/>
              <w:bottom w:val="nil"/>
              <w:right w:val="nil"/>
            </w:tcBorders>
            <w:shd w:val="clear" w:color="auto" w:fill="auto"/>
            <w:noWrap/>
            <w:vAlign w:val="bottom"/>
            <w:hideMark/>
          </w:tcPr>
          <w:p w14:paraId="6C7E21FA" w14:textId="77777777" w:rsidR="00C45D5B" w:rsidRPr="000D239C" w:rsidRDefault="00C45D5B" w:rsidP="00CF774B">
            <w:pPr>
              <w:rPr>
                <w:rFonts w:ascii="Times New Roman" w:hAnsi="Times New Roman" w:cs="Times New Roman"/>
                <w:sz w:val="20"/>
                <w:szCs w:val="20"/>
              </w:rPr>
            </w:pPr>
          </w:p>
        </w:tc>
        <w:tc>
          <w:tcPr>
            <w:tcW w:w="902" w:type="dxa"/>
            <w:tcBorders>
              <w:top w:val="nil"/>
              <w:left w:val="nil"/>
              <w:bottom w:val="nil"/>
              <w:right w:val="nil"/>
            </w:tcBorders>
            <w:shd w:val="clear" w:color="auto" w:fill="auto"/>
            <w:noWrap/>
            <w:vAlign w:val="bottom"/>
            <w:hideMark/>
          </w:tcPr>
          <w:p w14:paraId="3DEA61D1" w14:textId="77777777" w:rsidR="00C45D5B" w:rsidRPr="000D239C" w:rsidRDefault="00C45D5B" w:rsidP="00CF774B">
            <w:pPr>
              <w:rPr>
                <w:rFonts w:ascii="Times New Roman" w:hAnsi="Times New Roman" w:cs="Times New Roman"/>
                <w:sz w:val="20"/>
                <w:szCs w:val="20"/>
              </w:rPr>
            </w:pPr>
          </w:p>
        </w:tc>
        <w:tc>
          <w:tcPr>
            <w:tcW w:w="975" w:type="dxa"/>
            <w:tcBorders>
              <w:top w:val="nil"/>
              <w:left w:val="nil"/>
              <w:bottom w:val="nil"/>
              <w:right w:val="nil"/>
            </w:tcBorders>
            <w:shd w:val="clear" w:color="auto" w:fill="auto"/>
            <w:noWrap/>
            <w:vAlign w:val="bottom"/>
            <w:hideMark/>
          </w:tcPr>
          <w:p w14:paraId="63B75B47" w14:textId="77777777" w:rsidR="00C45D5B" w:rsidRPr="000D239C" w:rsidRDefault="00C45D5B" w:rsidP="00CF774B">
            <w:pPr>
              <w:rPr>
                <w:rFonts w:cs="Times New Roman"/>
                <w:color w:val="000000"/>
                <w:sz w:val="16"/>
                <w:szCs w:val="16"/>
              </w:rPr>
            </w:pPr>
            <w:r w:rsidRPr="000D239C">
              <w:rPr>
                <w:rFonts w:cs="Times New Roman"/>
                <w:color w:val="000000"/>
                <w:sz w:val="16"/>
                <w:szCs w:val="16"/>
              </w:rPr>
              <w:t>Zdroj: MF SR</w:t>
            </w:r>
          </w:p>
        </w:tc>
      </w:tr>
    </w:tbl>
    <w:p w14:paraId="7DE80E71" w14:textId="77777777" w:rsidR="00C45D5B" w:rsidRPr="00AB54ED" w:rsidRDefault="00C45D5B" w:rsidP="00C45D5B">
      <w:pPr>
        <w:jc w:val="both"/>
        <w:rPr>
          <w:b/>
          <w:highlight w:val="yellow"/>
        </w:rPr>
      </w:pPr>
    </w:p>
    <w:p w14:paraId="4A7F02EE" w14:textId="77777777" w:rsidR="00C45D5B" w:rsidRPr="00AB54ED" w:rsidRDefault="00C45D5B" w:rsidP="00C45D5B">
      <w:pPr>
        <w:spacing w:after="160" w:line="259" w:lineRule="auto"/>
        <w:jc w:val="right"/>
        <w:rPr>
          <w:b/>
          <w:color w:val="2C9ADC" w:themeColor="accent1"/>
          <w:sz w:val="24"/>
          <w:highlight w:val="yellow"/>
        </w:rPr>
      </w:pPr>
      <w:r w:rsidRPr="00AB54ED">
        <w:rPr>
          <w:b/>
          <w:color w:val="2C9ADC" w:themeColor="accent1"/>
          <w:sz w:val="24"/>
          <w:highlight w:val="yellow"/>
        </w:rPr>
        <w:br w:type="page"/>
      </w:r>
    </w:p>
    <w:p w14:paraId="05A0444C" w14:textId="77777777" w:rsidR="00C45D5B" w:rsidRPr="00731628" w:rsidRDefault="00C45D5B" w:rsidP="00C45D5B">
      <w:pPr>
        <w:spacing w:before="240" w:after="120"/>
        <w:rPr>
          <w:b/>
          <w:color w:val="2C9ADC" w:themeColor="accent1"/>
          <w:lang w:eastAsia="en-US"/>
        </w:rPr>
      </w:pPr>
      <w:bookmarkStart w:id="291" w:name="_Toc449430205"/>
      <w:r w:rsidRPr="00731628">
        <w:rPr>
          <w:b/>
          <w:color w:val="2C9ADC" w:themeColor="accent1"/>
        </w:rPr>
        <w:t>Diskrečné príjmové opatrenia</w:t>
      </w:r>
      <w:bookmarkEnd w:id="285"/>
      <w:bookmarkEnd w:id="286"/>
      <w:bookmarkEnd w:id="287"/>
      <w:bookmarkEnd w:id="288"/>
      <w:bookmarkEnd w:id="291"/>
    </w:p>
    <w:p w14:paraId="7068D74C" w14:textId="77777777" w:rsidR="00C45D5B" w:rsidRPr="00731628" w:rsidRDefault="00C45D5B" w:rsidP="00C45D5B">
      <w:pPr>
        <w:spacing w:after="120"/>
        <w:jc w:val="both"/>
      </w:pPr>
      <w:r w:rsidRPr="00731628">
        <w:rPr>
          <w:b/>
        </w:rPr>
        <w:t>Diskrečné príjmové opatrenia definuje metodika EK ako opatrenia legislatívneho charakteru s vplyvom na príjmy verejnej správy</w:t>
      </w:r>
      <w:r w:rsidRPr="00731628">
        <w:t>. Vyhodnocujú sa pomocou dodatočných vplyvov (marginálnych zmien) týchto opatrení. Rozlišuje sa, či sa jedná o trvalé alebo jednorazové opatrenie. Trvalé štrukturálne opatrenia sa zaznamenajú s vplyvom v prvom roku (v čase nadobudnutia účinnosti) a v ostatných rokoch bez vplyvu. Makroekonomický vývoj v nasledujúcich rokoch sa nezohľadňuje. Ak dochádza k rozdielnym vplyvom kvôli posunutej platnosti opatrenia zaznamená sa len marginálna, medziročná zmena.</w:t>
      </w:r>
      <w:r w:rsidRPr="00731628">
        <w:rPr>
          <w:rStyle w:val="Odkaznapoznmkupodiarou"/>
          <w:lang w:val="sk-SK"/>
        </w:rPr>
        <w:footnoteReference w:id="87"/>
      </w:r>
      <w:r w:rsidRPr="00731628">
        <w:t xml:space="preserve"> Pri jednorazových príjmových opatreniach sa zaznamenáva vplyv v jednom roku a v nasledujúcom výpadok v rovnakej sume - celkový vplyv v dvoch po sebe idúcich rokoch je nulový.</w:t>
      </w:r>
    </w:p>
    <w:p w14:paraId="01186797" w14:textId="5453B909" w:rsidR="00C45D5B" w:rsidRPr="00B64E6E" w:rsidRDefault="00C45D5B" w:rsidP="00C45D5B">
      <w:pPr>
        <w:pStyle w:val="Popis"/>
        <w:keepNext/>
        <w:spacing w:after="0"/>
        <w:rPr>
          <w:sz w:val="20"/>
          <w:szCs w:val="20"/>
        </w:rPr>
      </w:pPr>
      <w:bookmarkStart w:id="292" w:name="_Toc40186694"/>
      <w:bookmarkStart w:id="293" w:name="_Toc71622477"/>
      <w:bookmarkStart w:id="294" w:name="_Toc101880717"/>
      <w:r w:rsidRPr="00B64E6E">
        <w:rPr>
          <w:rFonts w:eastAsiaTheme="minorHAnsi"/>
          <w:color w:val="2C9ADC"/>
          <w:sz w:val="20"/>
          <w:szCs w:val="20"/>
          <w:lang w:eastAsia="en-US"/>
        </w:rPr>
        <w:t xml:space="preserve">TABUĽKA </w:t>
      </w:r>
      <w:r w:rsidRPr="00B64E6E">
        <w:rPr>
          <w:rFonts w:eastAsiaTheme="minorHAnsi"/>
          <w:color w:val="2C9ADC"/>
          <w:sz w:val="20"/>
          <w:szCs w:val="20"/>
          <w:lang w:eastAsia="en-US"/>
        </w:rPr>
        <w:fldChar w:fldCharType="begin"/>
      </w:r>
      <w:r w:rsidRPr="00B64E6E">
        <w:rPr>
          <w:rFonts w:eastAsiaTheme="minorHAnsi"/>
          <w:color w:val="2C9ADC"/>
          <w:sz w:val="20"/>
          <w:szCs w:val="20"/>
          <w:lang w:eastAsia="en-US"/>
        </w:rPr>
        <w:instrText xml:space="preserve"> SEQ TABUĽKA \* ARABIC </w:instrText>
      </w:r>
      <w:r w:rsidRPr="00B64E6E">
        <w:rPr>
          <w:rFonts w:eastAsiaTheme="minorHAnsi"/>
          <w:color w:val="2C9ADC"/>
          <w:sz w:val="20"/>
          <w:szCs w:val="20"/>
          <w:lang w:eastAsia="en-US"/>
        </w:rPr>
        <w:fldChar w:fldCharType="separate"/>
      </w:r>
      <w:r w:rsidR="005D3280">
        <w:rPr>
          <w:rFonts w:eastAsiaTheme="minorHAnsi"/>
          <w:noProof/>
          <w:color w:val="2C9ADC"/>
          <w:sz w:val="20"/>
          <w:szCs w:val="20"/>
          <w:lang w:eastAsia="en-US"/>
        </w:rPr>
        <w:t>38</w:t>
      </w:r>
      <w:r w:rsidRPr="00B64E6E">
        <w:rPr>
          <w:rFonts w:eastAsiaTheme="minorHAnsi"/>
          <w:color w:val="2C9ADC"/>
          <w:sz w:val="20"/>
          <w:szCs w:val="20"/>
          <w:lang w:eastAsia="en-US"/>
        </w:rPr>
        <w:fldChar w:fldCharType="end"/>
      </w:r>
      <w:r w:rsidRPr="00B64E6E">
        <w:rPr>
          <w:sz w:val="20"/>
          <w:szCs w:val="20"/>
        </w:rPr>
        <w:t xml:space="preserve"> </w:t>
      </w:r>
      <w:r w:rsidRPr="00B64E6E">
        <w:rPr>
          <w:rFonts w:eastAsiaTheme="minorHAnsi"/>
          <w:b w:val="0"/>
          <w:color w:val="2C9ADC"/>
          <w:sz w:val="20"/>
          <w:szCs w:val="20"/>
          <w:lang w:eastAsia="en-US"/>
        </w:rPr>
        <w:t>–</w:t>
      </w:r>
      <w:r w:rsidRPr="00B64E6E">
        <w:rPr>
          <w:sz w:val="20"/>
          <w:szCs w:val="20"/>
        </w:rPr>
        <w:t xml:space="preserve"> Diskrečné príjmové opatrenia – medziročné vplyvy opatrení (mil. eur, ESA2010)</w:t>
      </w:r>
      <w:bookmarkEnd w:id="292"/>
      <w:bookmarkEnd w:id="293"/>
      <w:bookmarkEnd w:id="294"/>
    </w:p>
    <w:tbl>
      <w:tblPr>
        <w:tblW w:w="9430" w:type="dxa"/>
        <w:tblLayout w:type="fixed"/>
        <w:tblLook w:val="04A0" w:firstRow="1" w:lastRow="0" w:firstColumn="1" w:lastColumn="0" w:noHBand="0" w:noVBand="1"/>
      </w:tblPr>
      <w:tblGrid>
        <w:gridCol w:w="5176"/>
        <w:gridCol w:w="709"/>
        <w:gridCol w:w="709"/>
        <w:gridCol w:w="709"/>
        <w:gridCol w:w="709"/>
        <w:gridCol w:w="709"/>
        <w:gridCol w:w="709"/>
      </w:tblGrid>
      <w:tr w:rsidR="00C45D5B" w:rsidRPr="00AB54ED" w14:paraId="4D95CE06" w14:textId="77777777" w:rsidTr="00CF774B">
        <w:trPr>
          <w:trHeight w:val="208"/>
        </w:trPr>
        <w:tc>
          <w:tcPr>
            <w:tcW w:w="5176" w:type="dxa"/>
            <w:tcBorders>
              <w:top w:val="single" w:sz="4" w:space="0" w:color="auto"/>
              <w:left w:val="nil"/>
              <w:bottom w:val="single" w:sz="8" w:space="0" w:color="auto"/>
              <w:right w:val="nil"/>
            </w:tcBorders>
            <w:shd w:val="clear" w:color="auto" w:fill="auto"/>
            <w:noWrap/>
            <w:vAlign w:val="center"/>
            <w:hideMark/>
          </w:tcPr>
          <w:p w14:paraId="204AAB67" w14:textId="77777777" w:rsidR="00C45D5B" w:rsidRPr="00B64E6E" w:rsidRDefault="00C45D5B" w:rsidP="00CF774B">
            <w:pPr>
              <w:rPr>
                <w:rFonts w:cs="Times New Roman"/>
                <w:b/>
                <w:bCs/>
                <w:color w:val="000000" w:themeColor="text1"/>
                <w:sz w:val="20"/>
                <w:szCs w:val="20"/>
                <w:lang w:eastAsia="en-GB"/>
              </w:rPr>
            </w:pPr>
            <w:r w:rsidRPr="00B64E6E">
              <w:rPr>
                <w:rFonts w:cs="Times New Roman"/>
                <w:b/>
                <w:bCs/>
                <w:color w:val="000000" w:themeColor="text1"/>
                <w:sz w:val="20"/>
                <w:szCs w:val="20"/>
                <w:lang w:eastAsia="en-GB"/>
              </w:rPr>
              <w:t>Popis opatrenia</w:t>
            </w:r>
          </w:p>
        </w:tc>
        <w:tc>
          <w:tcPr>
            <w:tcW w:w="709" w:type="dxa"/>
            <w:tcBorders>
              <w:top w:val="single" w:sz="4" w:space="0" w:color="auto"/>
              <w:left w:val="nil"/>
              <w:bottom w:val="single" w:sz="8" w:space="0" w:color="auto"/>
              <w:right w:val="nil"/>
            </w:tcBorders>
            <w:shd w:val="clear" w:color="auto" w:fill="auto"/>
            <w:noWrap/>
            <w:vAlign w:val="center"/>
            <w:hideMark/>
          </w:tcPr>
          <w:p w14:paraId="6B9E53F3"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2020</w:t>
            </w:r>
          </w:p>
        </w:tc>
        <w:tc>
          <w:tcPr>
            <w:tcW w:w="709" w:type="dxa"/>
            <w:tcBorders>
              <w:top w:val="single" w:sz="4" w:space="0" w:color="auto"/>
              <w:left w:val="nil"/>
              <w:bottom w:val="single" w:sz="8" w:space="0" w:color="auto"/>
              <w:right w:val="nil"/>
            </w:tcBorders>
            <w:shd w:val="clear" w:color="auto" w:fill="auto"/>
            <w:noWrap/>
            <w:vAlign w:val="center"/>
            <w:hideMark/>
          </w:tcPr>
          <w:p w14:paraId="34078C33"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2021</w:t>
            </w:r>
          </w:p>
        </w:tc>
        <w:tc>
          <w:tcPr>
            <w:tcW w:w="709" w:type="dxa"/>
            <w:tcBorders>
              <w:top w:val="single" w:sz="4" w:space="0" w:color="auto"/>
              <w:left w:val="nil"/>
              <w:bottom w:val="single" w:sz="8" w:space="0" w:color="auto"/>
              <w:right w:val="nil"/>
            </w:tcBorders>
            <w:shd w:val="clear" w:color="auto" w:fill="auto"/>
            <w:noWrap/>
            <w:vAlign w:val="center"/>
            <w:hideMark/>
          </w:tcPr>
          <w:p w14:paraId="209A4696"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2022</w:t>
            </w:r>
          </w:p>
        </w:tc>
        <w:tc>
          <w:tcPr>
            <w:tcW w:w="709" w:type="dxa"/>
            <w:tcBorders>
              <w:top w:val="single" w:sz="4" w:space="0" w:color="auto"/>
              <w:left w:val="nil"/>
              <w:bottom w:val="single" w:sz="8" w:space="0" w:color="auto"/>
              <w:right w:val="nil"/>
            </w:tcBorders>
            <w:shd w:val="clear" w:color="auto" w:fill="auto"/>
            <w:noWrap/>
            <w:vAlign w:val="center"/>
            <w:hideMark/>
          </w:tcPr>
          <w:p w14:paraId="5992BBF6"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2023</w:t>
            </w:r>
          </w:p>
        </w:tc>
        <w:tc>
          <w:tcPr>
            <w:tcW w:w="709" w:type="dxa"/>
            <w:tcBorders>
              <w:top w:val="single" w:sz="4" w:space="0" w:color="auto"/>
              <w:left w:val="nil"/>
              <w:bottom w:val="single" w:sz="8" w:space="0" w:color="auto"/>
              <w:right w:val="nil"/>
            </w:tcBorders>
            <w:shd w:val="clear" w:color="auto" w:fill="auto"/>
            <w:noWrap/>
            <w:vAlign w:val="center"/>
            <w:hideMark/>
          </w:tcPr>
          <w:p w14:paraId="6D41B38A"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2024</w:t>
            </w:r>
          </w:p>
        </w:tc>
        <w:tc>
          <w:tcPr>
            <w:tcW w:w="709" w:type="dxa"/>
            <w:tcBorders>
              <w:top w:val="single" w:sz="4" w:space="0" w:color="auto"/>
              <w:left w:val="nil"/>
              <w:bottom w:val="single" w:sz="8" w:space="0" w:color="auto"/>
              <w:right w:val="nil"/>
            </w:tcBorders>
            <w:shd w:val="clear" w:color="auto" w:fill="auto"/>
            <w:noWrap/>
            <w:vAlign w:val="center"/>
            <w:hideMark/>
          </w:tcPr>
          <w:p w14:paraId="0C91B9E9"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2025</w:t>
            </w:r>
          </w:p>
        </w:tc>
      </w:tr>
      <w:tr w:rsidR="00C45D5B" w:rsidRPr="00AB54ED" w14:paraId="54CCF8DF" w14:textId="77777777" w:rsidTr="00CF774B">
        <w:trPr>
          <w:trHeight w:val="208"/>
        </w:trPr>
        <w:tc>
          <w:tcPr>
            <w:tcW w:w="5176" w:type="dxa"/>
            <w:tcBorders>
              <w:top w:val="nil"/>
              <w:left w:val="nil"/>
              <w:bottom w:val="nil"/>
              <w:right w:val="nil"/>
            </w:tcBorders>
            <w:shd w:val="clear" w:color="auto" w:fill="auto"/>
            <w:hideMark/>
          </w:tcPr>
          <w:p w14:paraId="070DA6BB"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Zavedenie 13. a 14. platu (zavedenie od 2018, legislatívne zmeny od 2019), zrušenie od 2021</w:t>
            </w:r>
          </w:p>
        </w:tc>
        <w:tc>
          <w:tcPr>
            <w:tcW w:w="709" w:type="dxa"/>
            <w:tcBorders>
              <w:top w:val="nil"/>
              <w:left w:val="nil"/>
              <w:bottom w:val="nil"/>
              <w:right w:val="nil"/>
            </w:tcBorders>
            <w:shd w:val="clear" w:color="auto" w:fill="auto"/>
            <w:noWrap/>
            <w:vAlign w:val="bottom"/>
            <w:hideMark/>
          </w:tcPr>
          <w:p w14:paraId="31C212A6"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11,1</w:t>
            </w:r>
          </w:p>
        </w:tc>
        <w:tc>
          <w:tcPr>
            <w:tcW w:w="709" w:type="dxa"/>
            <w:tcBorders>
              <w:top w:val="nil"/>
              <w:left w:val="nil"/>
              <w:bottom w:val="nil"/>
              <w:right w:val="nil"/>
            </w:tcBorders>
            <w:shd w:val="clear" w:color="auto" w:fill="auto"/>
            <w:noWrap/>
            <w:vAlign w:val="bottom"/>
            <w:hideMark/>
          </w:tcPr>
          <w:p w14:paraId="7D52456A"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20,6</w:t>
            </w:r>
          </w:p>
        </w:tc>
        <w:tc>
          <w:tcPr>
            <w:tcW w:w="709" w:type="dxa"/>
            <w:tcBorders>
              <w:top w:val="nil"/>
              <w:left w:val="nil"/>
              <w:bottom w:val="nil"/>
              <w:right w:val="nil"/>
            </w:tcBorders>
            <w:shd w:val="clear" w:color="auto" w:fill="auto"/>
            <w:noWrap/>
            <w:vAlign w:val="bottom"/>
            <w:hideMark/>
          </w:tcPr>
          <w:p w14:paraId="583DEEEA"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0,0</w:t>
            </w:r>
          </w:p>
        </w:tc>
        <w:tc>
          <w:tcPr>
            <w:tcW w:w="709" w:type="dxa"/>
            <w:tcBorders>
              <w:top w:val="nil"/>
              <w:left w:val="nil"/>
              <w:bottom w:val="nil"/>
              <w:right w:val="nil"/>
            </w:tcBorders>
            <w:shd w:val="clear" w:color="auto" w:fill="auto"/>
            <w:noWrap/>
            <w:vAlign w:val="bottom"/>
            <w:hideMark/>
          </w:tcPr>
          <w:p w14:paraId="5B03672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2C98ABA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7FD8B11"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r>
      <w:tr w:rsidR="00C45D5B" w:rsidRPr="00AB54ED" w14:paraId="76B5CC1B" w14:textId="77777777" w:rsidTr="00CF774B">
        <w:trPr>
          <w:trHeight w:val="208"/>
        </w:trPr>
        <w:tc>
          <w:tcPr>
            <w:tcW w:w="5176" w:type="dxa"/>
            <w:tcBorders>
              <w:top w:val="nil"/>
              <w:left w:val="nil"/>
              <w:bottom w:val="nil"/>
              <w:right w:val="nil"/>
            </w:tcBorders>
            <w:shd w:val="clear" w:color="auto" w:fill="auto"/>
            <w:hideMark/>
          </w:tcPr>
          <w:p w14:paraId="567459DA"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Oslobodenie príjmov z predaja akcií a obchodných podielov</w:t>
            </w:r>
          </w:p>
        </w:tc>
        <w:tc>
          <w:tcPr>
            <w:tcW w:w="709" w:type="dxa"/>
            <w:tcBorders>
              <w:top w:val="nil"/>
              <w:left w:val="nil"/>
              <w:bottom w:val="nil"/>
              <w:right w:val="nil"/>
            </w:tcBorders>
            <w:shd w:val="clear" w:color="auto" w:fill="auto"/>
            <w:noWrap/>
            <w:vAlign w:val="bottom"/>
            <w:hideMark/>
          </w:tcPr>
          <w:p w14:paraId="48A7EE0A"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-23</w:t>
            </w:r>
          </w:p>
        </w:tc>
        <w:tc>
          <w:tcPr>
            <w:tcW w:w="709" w:type="dxa"/>
            <w:tcBorders>
              <w:top w:val="nil"/>
              <w:left w:val="nil"/>
              <w:bottom w:val="nil"/>
              <w:right w:val="nil"/>
            </w:tcBorders>
            <w:shd w:val="clear" w:color="auto" w:fill="auto"/>
            <w:noWrap/>
            <w:vAlign w:val="bottom"/>
            <w:hideMark/>
          </w:tcPr>
          <w:p w14:paraId="6D63DA69"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2ABED3C0"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5CE2BE9"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01778E92"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2A53381"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r>
      <w:tr w:rsidR="00C45D5B" w:rsidRPr="00AB54ED" w14:paraId="26410998" w14:textId="77777777" w:rsidTr="00CF774B">
        <w:trPr>
          <w:trHeight w:val="208"/>
        </w:trPr>
        <w:tc>
          <w:tcPr>
            <w:tcW w:w="5176" w:type="dxa"/>
            <w:tcBorders>
              <w:top w:val="nil"/>
              <w:left w:val="nil"/>
              <w:bottom w:val="nil"/>
              <w:right w:val="nil"/>
            </w:tcBorders>
            <w:shd w:val="clear" w:color="auto" w:fill="auto"/>
            <w:hideMark/>
          </w:tcPr>
          <w:p w14:paraId="376410DC"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Súbor opatrení vedúci k zvýšeniu efektívnosti výberu DPH</w:t>
            </w:r>
          </w:p>
        </w:tc>
        <w:tc>
          <w:tcPr>
            <w:tcW w:w="709" w:type="dxa"/>
            <w:tcBorders>
              <w:top w:val="nil"/>
              <w:left w:val="nil"/>
              <w:bottom w:val="nil"/>
              <w:right w:val="nil"/>
            </w:tcBorders>
            <w:shd w:val="clear" w:color="auto" w:fill="auto"/>
            <w:noWrap/>
            <w:vAlign w:val="bottom"/>
            <w:hideMark/>
          </w:tcPr>
          <w:p w14:paraId="14E794E0"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-114</w:t>
            </w:r>
          </w:p>
        </w:tc>
        <w:tc>
          <w:tcPr>
            <w:tcW w:w="709" w:type="dxa"/>
            <w:tcBorders>
              <w:top w:val="nil"/>
              <w:left w:val="nil"/>
              <w:bottom w:val="nil"/>
              <w:right w:val="nil"/>
            </w:tcBorders>
            <w:shd w:val="clear" w:color="auto" w:fill="auto"/>
            <w:noWrap/>
            <w:vAlign w:val="bottom"/>
            <w:hideMark/>
          </w:tcPr>
          <w:p w14:paraId="13471DC2"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385</w:t>
            </w:r>
          </w:p>
        </w:tc>
        <w:tc>
          <w:tcPr>
            <w:tcW w:w="709" w:type="dxa"/>
            <w:tcBorders>
              <w:top w:val="nil"/>
              <w:left w:val="nil"/>
              <w:bottom w:val="nil"/>
              <w:right w:val="nil"/>
            </w:tcBorders>
            <w:shd w:val="clear" w:color="auto" w:fill="auto"/>
            <w:noWrap/>
            <w:vAlign w:val="bottom"/>
            <w:hideMark/>
          </w:tcPr>
          <w:p w14:paraId="2A4D60C9"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586D988"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5154206E"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236CF6B3"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1B0588E0" w14:textId="77777777" w:rsidTr="00CF774B">
        <w:trPr>
          <w:trHeight w:val="208"/>
        </w:trPr>
        <w:tc>
          <w:tcPr>
            <w:tcW w:w="5176" w:type="dxa"/>
            <w:tcBorders>
              <w:top w:val="nil"/>
              <w:left w:val="nil"/>
              <w:bottom w:val="nil"/>
              <w:right w:val="nil"/>
            </w:tcBorders>
            <w:shd w:val="clear" w:color="auto" w:fill="auto"/>
            <w:hideMark/>
          </w:tcPr>
          <w:p w14:paraId="2819DA85"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Zvýšenie spotrebnej dane z tabakových výrobkov</w:t>
            </w:r>
          </w:p>
        </w:tc>
        <w:tc>
          <w:tcPr>
            <w:tcW w:w="709" w:type="dxa"/>
            <w:tcBorders>
              <w:top w:val="nil"/>
              <w:left w:val="nil"/>
              <w:bottom w:val="nil"/>
              <w:right w:val="nil"/>
            </w:tcBorders>
            <w:shd w:val="clear" w:color="auto" w:fill="auto"/>
            <w:noWrap/>
            <w:vAlign w:val="bottom"/>
            <w:hideMark/>
          </w:tcPr>
          <w:p w14:paraId="02E0F30B"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0AD88E7E"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121</w:t>
            </w:r>
          </w:p>
        </w:tc>
        <w:tc>
          <w:tcPr>
            <w:tcW w:w="709" w:type="dxa"/>
            <w:tcBorders>
              <w:top w:val="nil"/>
              <w:left w:val="nil"/>
              <w:bottom w:val="nil"/>
              <w:right w:val="nil"/>
            </w:tcBorders>
            <w:shd w:val="clear" w:color="auto" w:fill="auto"/>
            <w:noWrap/>
            <w:vAlign w:val="bottom"/>
            <w:hideMark/>
          </w:tcPr>
          <w:p w14:paraId="30DF32AC"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76</w:t>
            </w:r>
          </w:p>
        </w:tc>
        <w:tc>
          <w:tcPr>
            <w:tcW w:w="709" w:type="dxa"/>
            <w:tcBorders>
              <w:top w:val="nil"/>
              <w:left w:val="nil"/>
              <w:bottom w:val="nil"/>
              <w:right w:val="nil"/>
            </w:tcBorders>
            <w:shd w:val="clear" w:color="auto" w:fill="auto"/>
            <w:noWrap/>
            <w:vAlign w:val="bottom"/>
            <w:hideMark/>
          </w:tcPr>
          <w:p w14:paraId="7DA7B21C"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63</w:t>
            </w:r>
          </w:p>
        </w:tc>
        <w:tc>
          <w:tcPr>
            <w:tcW w:w="709" w:type="dxa"/>
            <w:tcBorders>
              <w:top w:val="nil"/>
              <w:left w:val="nil"/>
              <w:bottom w:val="nil"/>
              <w:right w:val="nil"/>
            </w:tcBorders>
            <w:shd w:val="clear" w:color="auto" w:fill="auto"/>
            <w:noWrap/>
            <w:vAlign w:val="bottom"/>
            <w:hideMark/>
          </w:tcPr>
          <w:p w14:paraId="2568D1A0"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13EA325"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0F7A5012" w14:textId="77777777" w:rsidTr="00CF774B">
        <w:trPr>
          <w:trHeight w:val="208"/>
        </w:trPr>
        <w:tc>
          <w:tcPr>
            <w:tcW w:w="5176" w:type="dxa"/>
            <w:tcBorders>
              <w:top w:val="nil"/>
              <w:left w:val="nil"/>
              <w:bottom w:val="nil"/>
              <w:right w:val="nil"/>
            </w:tcBorders>
            <w:shd w:val="clear" w:color="auto" w:fill="auto"/>
            <w:hideMark/>
          </w:tcPr>
          <w:p w14:paraId="3E60C953"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Postupný rast odvodu do II. piliera (automaticky od 2017 o 0,25 p.b./rok)</w:t>
            </w:r>
          </w:p>
        </w:tc>
        <w:tc>
          <w:tcPr>
            <w:tcW w:w="709" w:type="dxa"/>
            <w:tcBorders>
              <w:top w:val="nil"/>
              <w:left w:val="nil"/>
              <w:bottom w:val="nil"/>
              <w:right w:val="nil"/>
            </w:tcBorders>
            <w:shd w:val="clear" w:color="auto" w:fill="auto"/>
            <w:noWrap/>
            <w:vAlign w:val="bottom"/>
            <w:hideMark/>
          </w:tcPr>
          <w:p w14:paraId="221847BA"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-49</w:t>
            </w:r>
          </w:p>
        </w:tc>
        <w:tc>
          <w:tcPr>
            <w:tcW w:w="709" w:type="dxa"/>
            <w:tcBorders>
              <w:top w:val="nil"/>
              <w:left w:val="nil"/>
              <w:bottom w:val="nil"/>
              <w:right w:val="nil"/>
            </w:tcBorders>
            <w:shd w:val="clear" w:color="auto" w:fill="auto"/>
            <w:noWrap/>
            <w:vAlign w:val="bottom"/>
            <w:hideMark/>
          </w:tcPr>
          <w:p w14:paraId="1884647E"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-28</w:t>
            </w:r>
          </w:p>
        </w:tc>
        <w:tc>
          <w:tcPr>
            <w:tcW w:w="709" w:type="dxa"/>
            <w:tcBorders>
              <w:top w:val="nil"/>
              <w:left w:val="nil"/>
              <w:bottom w:val="nil"/>
              <w:right w:val="nil"/>
            </w:tcBorders>
            <w:shd w:val="clear" w:color="auto" w:fill="auto"/>
            <w:noWrap/>
            <w:vAlign w:val="bottom"/>
            <w:hideMark/>
          </w:tcPr>
          <w:p w14:paraId="2A0FF8E9"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-90</w:t>
            </w:r>
          </w:p>
        </w:tc>
        <w:tc>
          <w:tcPr>
            <w:tcW w:w="709" w:type="dxa"/>
            <w:tcBorders>
              <w:top w:val="nil"/>
              <w:left w:val="nil"/>
              <w:bottom w:val="nil"/>
              <w:right w:val="nil"/>
            </w:tcBorders>
            <w:shd w:val="clear" w:color="auto" w:fill="auto"/>
            <w:noWrap/>
            <w:vAlign w:val="bottom"/>
            <w:hideMark/>
          </w:tcPr>
          <w:p w14:paraId="41CCD2E5"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-75</w:t>
            </w:r>
          </w:p>
        </w:tc>
        <w:tc>
          <w:tcPr>
            <w:tcW w:w="709" w:type="dxa"/>
            <w:tcBorders>
              <w:top w:val="nil"/>
              <w:left w:val="nil"/>
              <w:bottom w:val="nil"/>
              <w:right w:val="nil"/>
            </w:tcBorders>
            <w:shd w:val="clear" w:color="auto" w:fill="auto"/>
            <w:noWrap/>
            <w:vAlign w:val="bottom"/>
            <w:hideMark/>
          </w:tcPr>
          <w:p w14:paraId="69C36345"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-83</w:t>
            </w:r>
          </w:p>
        </w:tc>
        <w:tc>
          <w:tcPr>
            <w:tcW w:w="709" w:type="dxa"/>
            <w:tcBorders>
              <w:top w:val="nil"/>
              <w:left w:val="nil"/>
              <w:bottom w:val="nil"/>
              <w:right w:val="nil"/>
            </w:tcBorders>
            <w:shd w:val="clear" w:color="auto" w:fill="auto"/>
            <w:noWrap/>
            <w:vAlign w:val="bottom"/>
            <w:hideMark/>
          </w:tcPr>
          <w:p w14:paraId="07C4443B"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-25</w:t>
            </w:r>
          </w:p>
        </w:tc>
      </w:tr>
      <w:tr w:rsidR="00C45D5B" w:rsidRPr="00AB54ED" w14:paraId="301B7CBD" w14:textId="77777777" w:rsidTr="00CF774B">
        <w:trPr>
          <w:trHeight w:val="208"/>
        </w:trPr>
        <w:tc>
          <w:tcPr>
            <w:tcW w:w="5176" w:type="dxa"/>
            <w:tcBorders>
              <w:top w:val="nil"/>
              <w:left w:val="nil"/>
              <w:bottom w:val="nil"/>
              <w:right w:val="nil"/>
            </w:tcBorders>
            <w:shd w:val="clear" w:color="auto" w:fill="auto"/>
            <w:hideMark/>
          </w:tcPr>
          <w:p w14:paraId="625E84B3"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Zdvojnásobenie sadzby osobitného odvodu v regulovaných odvetviach, a následné zníženie</w:t>
            </w:r>
          </w:p>
        </w:tc>
        <w:tc>
          <w:tcPr>
            <w:tcW w:w="709" w:type="dxa"/>
            <w:tcBorders>
              <w:top w:val="nil"/>
              <w:left w:val="nil"/>
              <w:bottom w:val="nil"/>
              <w:right w:val="nil"/>
            </w:tcBorders>
            <w:shd w:val="clear" w:color="auto" w:fill="auto"/>
            <w:noWrap/>
            <w:vAlign w:val="bottom"/>
            <w:hideMark/>
          </w:tcPr>
          <w:p w14:paraId="5F15AFC7"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5E053C95"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-17</w:t>
            </w:r>
          </w:p>
        </w:tc>
        <w:tc>
          <w:tcPr>
            <w:tcW w:w="709" w:type="dxa"/>
            <w:tcBorders>
              <w:top w:val="nil"/>
              <w:left w:val="nil"/>
              <w:bottom w:val="nil"/>
              <w:right w:val="nil"/>
            </w:tcBorders>
            <w:shd w:val="clear" w:color="auto" w:fill="auto"/>
            <w:noWrap/>
            <w:vAlign w:val="bottom"/>
            <w:hideMark/>
          </w:tcPr>
          <w:p w14:paraId="09F2116D"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2693284A"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67D605E"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2E6ECE9"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50B65084" w14:textId="77777777" w:rsidTr="00CF774B">
        <w:trPr>
          <w:trHeight w:val="208"/>
        </w:trPr>
        <w:tc>
          <w:tcPr>
            <w:tcW w:w="5176" w:type="dxa"/>
            <w:tcBorders>
              <w:top w:val="nil"/>
              <w:left w:val="nil"/>
              <w:bottom w:val="nil"/>
              <w:right w:val="nil"/>
            </w:tcBorders>
            <w:shd w:val="clear" w:color="auto" w:fill="auto"/>
            <w:hideMark/>
          </w:tcPr>
          <w:p w14:paraId="298D2D30"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Navýšenie bankového odvodu a jeho zrušenie od 2. pol 2020</w:t>
            </w:r>
          </w:p>
        </w:tc>
        <w:tc>
          <w:tcPr>
            <w:tcW w:w="709" w:type="dxa"/>
            <w:tcBorders>
              <w:top w:val="nil"/>
              <w:left w:val="nil"/>
              <w:bottom w:val="nil"/>
              <w:right w:val="nil"/>
            </w:tcBorders>
            <w:shd w:val="clear" w:color="auto" w:fill="auto"/>
            <w:noWrap/>
            <w:vAlign w:val="bottom"/>
            <w:hideMark/>
          </w:tcPr>
          <w:p w14:paraId="280B4BB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w:t>
            </w:r>
          </w:p>
        </w:tc>
        <w:tc>
          <w:tcPr>
            <w:tcW w:w="709" w:type="dxa"/>
            <w:tcBorders>
              <w:top w:val="nil"/>
              <w:left w:val="nil"/>
              <w:bottom w:val="nil"/>
              <w:right w:val="nil"/>
            </w:tcBorders>
            <w:shd w:val="clear" w:color="auto" w:fill="auto"/>
            <w:noWrap/>
            <w:vAlign w:val="bottom"/>
            <w:hideMark/>
          </w:tcPr>
          <w:p w14:paraId="5463F3E2"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-120</w:t>
            </w:r>
          </w:p>
        </w:tc>
        <w:tc>
          <w:tcPr>
            <w:tcW w:w="709" w:type="dxa"/>
            <w:tcBorders>
              <w:top w:val="nil"/>
              <w:left w:val="nil"/>
              <w:bottom w:val="nil"/>
              <w:right w:val="nil"/>
            </w:tcBorders>
            <w:shd w:val="clear" w:color="auto" w:fill="auto"/>
            <w:noWrap/>
            <w:vAlign w:val="bottom"/>
            <w:hideMark/>
          </w:tcPr>
          <w:p w14:paraId="1990077C"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57BE67B"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3D45CCA2"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39C8356C"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0B06AF44" w14:textId="77777777" w:rsidTr="00CF774B">
        <w:trPr>
          <w:trHeight w:val="208"/>
        </w:trPr>
        <w:tc>
          <w:tcPr>
            <w:tcW w:w="5176" w:type="dxa"/>
            <w:tcBorders>
              <w:top w:val="nil"/>
              <w:left w:val="nil"/>
              <w:bottom w:val="nil"/>
              <w:right w:val="nil"/>
            </w:tcBorders>
            <w:shd w:val="clear" w:color="auto" w:fill="auto"/>
            <w:hideMark/>
          </w:tcPr>
          <w:p w14:paraId="7D3BC173"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Zvýšenie hranice platenia preddavkov (z 2500 na 5000 eur)</w:t>
            </w:r>
          </w:p>
        </w:tc>
        <w:tc>
          <w:tcPr>
            <w:tcW w:w="709" w:type="dxa"/>
            <w:tcBorders>
              <w:top w:val="nil"/>
              <w:left w:val="nil"/>
              <w:bottom w:val="nil"/>
              <w:right w:val="nil"/>
            </w:tcBorders>
            <w:shd w:val="clear" w:color="auto" w:fill="auto"/>
            <w:noWrap/>
            <w:vAlign w:val="bottom"/>
            <w:hideMark/>
          </w:tcPr>
          <w:p w14:paraId="78794F63"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0E7777B"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-11</w:t>
            </w:r>
          </w:p>
        </w:tc>
        <w:tc>
          <w:tcPr>
            <w:tcW w:w="709" w:type="dxa"/>
            <w:tcBorders>
              <w:top w:val="nil"/>
              <w:left w:val="nil"/>
              <w:bottom w:val="nil"/>
              <w:right w:val="nil"/>
            </w:tcBorders>
            <w:shd w:val="clear" w:color="auto" w:fill="auto"/>
            <w:noWrap/>
            <w:vAlign w:val="bottom"/>
            <w:hideMark/>
          </w:tcPr>
          <w:p w14:paraId="2ADFA6E4"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112404F"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1439FB7B"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0F715CED"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7A2743C3" w14:textId="77777777" w:rsidTr="00CF774B">
        <w:trPr>
          <w:trHeight w:val="208"/>
        </w:trPr>
        <w:tc>
          <w:tcPr>
            <w:tcW w:w="5176" w:type="dxa"/>
            <w:tcBorders>
              <w:top w:val="nil"/>
              <w:left w:val="nil"/>
              <w:bottom w:val="nil"/>
              <w:right w:val="nil"/>
            </w:tcBorders>
            <w:shd w:val="clear" w:color="auto" w:fill="auto"/>
            <w:hideMark/>
          </w:tcPr>
          <w:p w14:paraId="1A7E7BE7"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Odpočet daňovej straty pre ostatné firmy (max. do 50 % ZD počas 5 rokov)</w:t>
            </w:r>
          </w:p>
        </w:tc>
        <w:tc>
          <w:tcPr>
            <w:tcW w:w="709" w:type="dxa"/>
            <w:tcBorders>
              <w:top w:val="nil"/>
              <w:left w:val="nil"/>
              <w:bottom w:val="nil"/>
              <w:right w:val="nil"/>
            </w:tcBorders>
            <w:shd w:val="clear" w:color="auto" w:fill="auto"/>
            <w:noWrap/>
            <w:vAlign w:val="bottom"/>
            <w:hideMark/>
          </w:tcPr>
          <w:p w14:paraId="0164093D"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5C3251A"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36</w:t>
            </w:r>
          </w:p>
        </w:tc>
        <w:tc>
          <w:tcPr>
            <w:tcW w:w="709" w:type="dxa"/>
            <w:tcBorders>
              <w:top w:val="nil"/>
              <w:left w:val="nil"/>
              <w:bottom w:val="nil"/>
              <w:right w:val="nil"/>
            </w:tcBorders>
            <w:shd w:val="clear" w:color="auto" w:fill="auto"/>
            <w:noWrap/>
            <w:vAlign w:val="bottom"/>
            <w:hideMark/>
          </w:tcPr>
          <w:p w14:paraId="5A733C46"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-6</w:t>
            </w:r>
          </w:p>
        </w:tc>
        <w:tc>
          <w:tcPr>
            <w:tcW w:w="709" w:type="dxa"/>
            <w:tcBorders>
              <w:top w:val="nil"/>
              <w:left w:val="nil"/>
              <w:bottom w:val="nil"/>
              <w:right w:val="nil"/>
            </w:tcBorders>
            <w:shd w:val="clear" w:color="auto" w:fill="auto"/>
            <w:noWrap/>
            <w:vAlign w:val="bottom"/>
            <w:hideMark/>
          </w:tcPr>
          <w:p w14:paraId="11DC291E"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62215A7"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24A57286"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7349A218" w14:textId="77777777" w:rsidTr="00CF774B">
        <w:trPr>
          <w:trHeight w:val="208"/>
        </w:trPr>
        <w:tc>
          <w:tcPr>
            <w:tcW w:w="5176" w:type="dxa"/>
            <w:tcBorders>
              <w:top w:val="nil"/>
              <w:left w:val="nil"/>
              <w:bottom w:val="nil"/>
              <w:right w:val="nil"/>
            </w:tcBorders>
            <w:shd w:val="clear" w:color="auto" w:fill="auto"/>
            <w:hideMark/>
          </w:tcPr>
          <w:p w14:paraId="4F5F7BD0"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Ľubovoľná doba odpisov pre mikropodniky</w:t>
            </w:r>
          </w:p>
        </w:tc>
        <w:tc>
          <w:tcPr>
            <w:tcW w:w="709" w:type="dxa"/>
            <w:tcBorders>
              <w:top w:val="nil"/>
              <w:left w:val="nil"/>
              <w:bottom w:val="nil"/>
              <w:right w:val="nil"/>
            </w:tcBorders>
            <w:shd w:val="clear" w:color="auto" w:fill="auto"/>
            <w:noWrap/>
            <w:vAlign w:val="bottom"/>
            <w:hideMark/>
          </w:tcPr>
          <w:p w14:paraId="1D1DAAAA"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1628F5E8"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-15</w:t>
            </w:r>
          </w:p>
        </w:tc>
        <w:tc>
          <w:tcPr>
            <w:tcW w:w="709" w:type="dxa"/>
            <w:tcBorders>
              <w:top w:val="nil"/>
              <w:left w:val="nil"/>
              <w:bottom w:val="nil"/>
              <w:right w:val="nil"/>
            </w:tcBorders>
            <w:shd w:val="clear" w:color="auto" w:fill="auto"/>
            <w:noWrap/>
            <w:vAlign w:val="bottom"/>
            <w:hideMark/>
          </w:tcPr>
          <w:p w14:paraId="3C6E76F6"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4D67F40"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3DCA9D1"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236BA29A"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r>
      <w:tr w:rsidR="00C45D5B" w:rsidRPr="00AB54ED" w14:paraId="60D78096" w14:textId="77777777" w:rsidTr="00CF774B">
        <w:trPr>
          <w:trHeight w:val="208"/>
        </w:trPr>
        <w:tc>
          <w:tcPr>
            <w:tcW w:w="5176" w:type="dxa"/>
            <w:tcBorders>
              <w:top w:val="nil"/>
              <w:left w:val="nil"/>
              <w:bottom w:val="nil"/>
              <w:right w:val="nil"/>
            </w:tcBorders>
            <w:shd w:val="clear" w:color="auto" w:fill="auto"/>
            <w:hideMark/>
          </w:tcPr>
          <w:p w14:paraId="6ADC5CBD"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15 % sadzba DPPO pre firmy a SZČO s obratom do 100 tis. Eur, následná úprava do 49,79 tisíc eur</w:t>
            </w:r>
          </w:p>
        </w:tc>
        <w:tc>
          <w:tcPr>
            <w:tcW w:w="709" w:type="dxa"/>
            <w:tcBorders>
              <w:top w:val="nil"/>
              <w:left w:val="nil"/>
              <w:bottom w:val="nil"/>
              <w:right w:val="nil"/>
            </w:tcBorders>
            <w:shd w:val="clear" w:color="auto" w:fill="auto"/>
            <w:noWrap/>
            <w:vAlign w:val="bottom"/>
            <w:hideMark/>
          </w:tcPr>
          <w:p w14:paraId="22DEBFC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-57</w:t>
            </w:r>
          </w:p>
        </w:tc>
        <w:tc>
          <w:tcPr>
            <w:tcW w:w="709" w:type="dxa"/>
            <w:tcBorders>
              <w:top w:val="nil"/>
              <w:left w:val="nil"/>
              <w:bottom w:val="nil"/>
              <w:right w:val="nil"/>
            </w:tcBorders>
            <w:shd w:val="clear" w:color="auto" w:fill="auto"/>
            <w:noWrap/>
            <w:vAlign w:val="bottom"/>
            <w:hideMark/>
          </w:tcPr>
          <w:p w14:paraId="566F747B"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19</w:t>
            </w:r>
          </w:p>
        </w:tc>
        <w:tc>
          <w:tcPr>
            <w:tcW w:w="709" w:type="dxa"/>
            <w:tcBorders>
              <w:top w:val="nil"/>
              <w:left w:val="nil"/>
              <w:bottom w:val="nil"/>
              <w:right w:val="nil"/>
            </w:tcBorders>
            <w:shd w:val="clear" w:color="auto" w:fill="auto"/>
            <w:noWrap/>
            <w:vAlign w:val="bottom"/>
            <w:hideMark/>
          </w:tcPr>
          <w:p w14:paraId="0CD467F5"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BA4CA3D"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0BEF74C2"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C5EEDD8"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7AA6131F" w14:textId="77777777" w:rsidTr="00CF774B">
        <w:trPr>
          <w:trHeight w:val="208"/>
        </w:trPr>
        <w:tc>
          <w:tcPr>
            <w:tcW w:w="5176" w:type="dxa"/>
            <w:tcBorders>
              <w:top w:val="nil"/>
              <w:left w:val="nil"/>
              <w:bottom w:val="nil"/>
              <w:right w:val="nil"/>
            </w:tcBorders>
            <w:shd w:val="clear" w:color="auto" w:fill="auto"/>
            <w:hideMark/>
          </w:tcPr>
          <w:p w14:paraId="466CE3EB"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Zvýšenie nezdaniteľnej časti základu dane na 21-násobok životného minima</w:t>
            </w:r>
          </w:p>
        </w:tc>
        <w:tc>
          <w:tcPr>
            <w:tcW w:w="709" w:type="dxa"/>
            <w:tcBorders>
              <w:top w:val="nil"/>
              <w:left w:val="nil"/>
              <w:bottom w:val="nil"/>
              <w:right w:val="nil"/>
            </w:tcBorders>
            <w:shd w:val="clear" w:color="auto" w:fill="auto"/>
            <w:noWrap/>
            <w:vAlign w:val="bottom"/>
            <w:hideMark/>
          </w:tcPr>
          <w:p w14:paraId="5A7077A6"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-111</w:t>
            </w:r>
          </w:p>
        </w:tc>
        <w:tc>
          <w:tcPr>
            <w:tcW w:w="709" w:type="dxa"/>
            <w:tcBorders>
              <w:top w:val="nil"/>
              <w:left w:val="nil"/>
              <w:bottom w:val="nil"/>
              <w:right w:val="nil"/>
            </w:tcBorders>
            <w:shd w:val="clear" w:color="auto" w:fill="auto"/>
            <w:noWrap/>
            <w:vAlign w:val="bottom"/>
            <w:hideMark/>
          </w:tcPr>
          <w:p w14:paraId="27AB0DDF"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83FF36F"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86AD7D7"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35E7503D"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05FDF4D4"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78166AF6" w14:textId="77777777" w:rsidTr="00CF774B">
        <w:trPr>
          <w:trHeight w:val="208"/>
        </w:trPr>
        <w:tc>
          <w:tcPr>
            <w:tcW w:w="5176" w:type="dxa"/>
            <w:tcBorders>
              <w:top w:val="nil"/>
              <w:left w:val="nil"/>
              <w:bottom w:val="nil"/>
              <w:right w:val="nil"/>
            </w:tcBorders>
            <w:shd w:val="clear" w:color="auto" w:fill="auto"/>
            <w:hideMark/>
          </w:tcPr>
          <w:p w14:paraId="50388F9C"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Znížená sadzba DPH na ďalšie potraviny</w:t>
            </w:r>
          </w:p>
        </w:tc>
        <w:tc>
          <w:tcPr>
            <w:tcW w:w="709" w:type="dxa"/>
            <w:tcBorders>
              <w:top w:val="nil"/>
              <w:left w:val="nil"/>
              <w:bottom w:val="nil"/>
              <w:right w:val="nil"/>
            </w:tcBorders>
            <w:shd w:val="clear" w:color="auto" w:fill="auto"/>
            <w:noWrap/>
            <w:vAlign w:val="bottom"/>
            <w:hideMark/>
          </w:tcPr>
          <w:p w14:paraId="24EA3D8C"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-81</w:t>
            </w:r>
          </w:p>
        </w:tc>
        <w:tc>
          <w:tcPr>
            <w:tcW w:w="709" w:type="dxa"/>
            <w:tcBorders>
              <w:top w:val="nil"/>
              <w:left w:val="nil"/>
              <w:bottom w:val="nil"/>
              <w:right w:val="nil"/>
            </w:tcBorders>
            <w:shd w:val="clear" w:color="auto" w:fill="auto"/>
            <w:noWrap/>
            <w:vAlign w:val="bottom"/>
            <w:hideMark/>
          </w:tcPr>
          <w:p w14:paraId="4947F096"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7E5845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B12828C"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027349D"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3B1A3956"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360A1B78" w14:textId="77777777" w:rsidTr="00CF774B">
        <w:trPr>
          <w:trHeight w:val="208"/>
        </w:trPr>
        <w:tc>
          <w:tcPr>
            <w:tcW w:w="5176" w:type="dxa"/>
            <w:tcBorders>
              <w:top w:val="nil"/>
              <w:left w:val="nil"/>
              <w:bottom w:val="nil"/>
              <w:right w:val="nil"/>
            </w:tcBorders>
            <w:shd w:val="clear" w:color="auto" w:fill="auto"/>
            <w:hideMark/>
          </w:tcPr>
          <w:p w14:paraId="0F124D97"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Zavedenie paušálu na nepeň. benefit pre zamestnanca na dopravu (100 eur mesačne)</w:t>
            </w:r>
          </w:p>
        </w:tc>
        <w:tc>
          <w:tcPr>
            <w:tcW w:w="709" w:type="dxa"/>
            <w:tcBorders>
              <w:top w:val="nil"/>
              <w:left w:val="nil"/>
              <w:bottom w:val="nil"/>
              <w:right w:val="nil"/>
            </w:tcBorders>
            <w:shd w:val="clear" w:color="auto" w:fill="auto"/>
            <w:noWrap/>
            <w:vAlign w:val="bottom"/>
            <w:hideMark/>
          </w:tcPr>
          <w:p w14:paraId="4C3754D3"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-6</w:t>
            </w:r>
          </w:p>
        </w:tc>
        <w:tc>
          <w:tcPr>
            <w:tcW w:w="709" w:type="dxa"/>
            <w:tcBorders>
              <w:top w:val="nil"/>
              <w:left w:val="nil"/>
              <w:bottom w:val="nil"/>
              <w:right w:val="nil"/>
            </w:tcBorders>
            <w:shd w:val="clear" w:color="auto" w:fill="auto"/>
            <w:noWrap/>
            <w:vAlign w:val="bottom"/>
            <w:hideMark/>
          </w:tcPr>
          <w:p w14:paraId="01BDFA9F"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-12</w:t>
            </w:r>
          </w:p>
        </w:tc>
        <w:tc>
          <w:tcPr>
            <w:tcW w:w="709" w:type="dxa"/>
            <w:tcBorders>
              <w:top w:val="nil"/>
              <w:left w:val="nil"/>
              <w:bottom w:val="nil"/>
              <w:right w:val="nil"/>
            </w:tcBorders>
            <w:shd w:val="clear" w:color="auto" w:fill="auto"/>
            <w:noWrap/>
            <w:vAlign w:val="bottom"/>
            <w:hideMark/>
          </w:tcPr>
          <w:p w14:paraId="704462AD"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0A8A7A8B"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D8BDC11"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9867381"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4B2C0166" w14:textId="77777777" w:rsidTr="00CF774B">
        <w:trPr>
          <w:trHeight w:val="208"/>
        </w:trPr>
        <w:tc>
          <w:tcPr>
            <w:tcW w:w="5176" w:type="dxa"/>
            <w:tcBorders>
              <w:top w:val="nil"/>
              <w:left w:val="nil"/>
              <w:bottom w:val="nil"/>
              <w:right w:val="nil"/>
            </w:tcBorders>
            <w:shd w:val="clear" w:color="auto" w:fill="auto"/>
            <w:hideMark/>
          </w:tcPr>
          <w:p w14:paraId="3CCC8AF5"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Opatrenia na podporu mobility práce</w:t>
            </w:r>
          </w:p>
        </w:tc>
        <w:tc>
          <w:tcPr>
            <w:tcW w:w="709" w:type="dxa"/>
            <w:tcBorders>
              <w:top w:val="nil"/>
              <w:left w:val="nil"/>
              <w:bottom w:val="nil"/>
              <w:right w:val="nil"/>
            </w:tcBorders>
            <w:shd w:val="clear" w:color="auto" w:fill="auto"/>
            <w:noWrap/>
            <w:vAlign w:val="bottom"/>
            <w:hideMark/>
          </w:tcPr>
          <w:p w14:paraId="0DFBB3F8"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-34</w:t>
            </w:r>
          </w:p>
        </w:tc>
        <w:tc>
          <w:tcPr>
            <w:tcW w:w="709" w:type="dxa"/>
            <w:tcBorders>
              <w:top w:val="nil"/>
              <w:left w:val="nil"/>
              <w:bottom w:val="nil"/>
              <w:right w:val="nil"/>
            </w:tcBorders>
            <w:shd w:val="clear" w:color="auto" w:fill="auto"/>
            <w:noWrap/>
            <w:vAlign w:val="bottom"/>
            <w:hideMark/>
          </w:tcPr>
          <w:p w14:paraId="0C33F83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0C5A4D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9512CDB"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3A32D794"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B8512B8"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4AD65776" w14:textId="77777777" w:rsidTr="00CF774B">
        <w:trPr>
          <w:trHeight w:val="208"/>
        </w:trPr>
        <w:tc>
          <w:tcPr>
            <w:tcW w:w="5176" w:type="dxa"/>
            <w:tcBorders>
              <w:top w:val="nil"/>
              <w:left w:val="nil"/>
              <w:bottom w:val="nil"/>
              <w:right w:val="nil"/>
            </w:tcBorders>
            <w:shd w:val="clear" w:color="auto" w:fill="auto"/>
            <w:hideMark/>
          </w:tcPr>
          <w:p w14:paraId="723E76C0"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Zmena sadzieb daní z nehnuteľností na úrovni VZN</w:t>
            </w:r>
          </w:p>
        </w:tc>
        <w:tc>
          <w:tcPr>
            <w:tcW w:w="709" w:type="dxa"/>
            <w:tcBorders>
              <w:top w:val="nil"/>
              <w:left w:val="nil"/>
              <w:bottom w:val="nil"/>
              <w:right w:val="nil"/>
            </w:tcBorders>
            <w:shd w:val="clear" w:color="auto" w:fill="auto"/>
            <w:noWrap/>
            <w:vAlign w:val="bottom"/>
            <w:hideMark/>
          </w:tcPr>
          <w:p w14:paraId="615E95A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74</w:t>
            </w:r>
          </w:p>
        </w:tc>
        <w:tc>
          <w:tcPr>
            <w:tcW w:w="709" w:type="dxa"/>
            <w:tcBorders>
              <w:top w:val="nil"/>
              <w:left w:val="nil"/>
              <w:bottom w:val="nil"/>
              <w:right w:val="nil"/>
            </w:tcBorders>
            <w:shd w:val="clear" w:color="auto" w:fill="auto"/>
            <w:noWrap/>
            <w:vAlign w:val="bottom"/>
            <w:hideMark/>
          </w:tcPr>
          <w:p w14:paraId="049F9205"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2</w:t>
            </w:r>
          </w:p>
        </w:tc>
        <w:tc>
          <w:tcPr>
            <w:tcW w:w="709" w:type="dxa"/>
            <w:tcBorders>
              <w:top w:val="nil"/>
              <w:left w:val="nil"/>
              <w:bottom w:val="nil"/>
              <w:right w:val="nil"/>
            </w:tcBorders>
            <w:shd w:val="clear" w:color="auto" w:fill="auto"/>
            <w:noWrap/>
            <w:vAlign w:val="bottom"/>
            <w:hideMark/>
          </w:tcPr>
          <w:p w14:paraId="78B16A55"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94938A3"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190EA580"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1EFE2A2"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222CB81C" w14:textId="77777777" w:rsidTr="00CF774B">
        <w:trPr>
          <w:trHeight w:val="208"/>
        </w:trPr>
        <w:tc>
          <w:tcPr>
            <w:tcW w:w="5176" w:type="dxa"/>
            <w:tcBorders>
              <w:top w:val="nil"/>
              <w:left w:val="nil"/>
              <w:bottom w:val="nil"/>
              <w:right w:val="nil"/>
            </w:tcBorders>
            <w:shd w:val="clear" w:color="auto" w:fill="auto"/>
            <w:hideMark/>
          </w:tcPr>
          <w:p w14:paraId="1BE63850"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COVID 19 opatrenie: Prerušenie daňových kontrol a daňových konaní, okrem kontrol s výsledkom vracania peňazí</w:t>
            </w:r>
          </w:p>
        </w:tc>
        <w:tc>
          <w:tcPr>
            <w:tcW w:w="709" w:type="dxa"/>
            <w:tcBorders>
              <w:top w:val="nil"/>
              <w:left w:val="nil"/>
              <w:bottom w:val="nil"/>
              <w:right w:val="nil"/>
            </w:tcBorders>
            <w:shd w:val="clear" w:color="auto" w:fill="auto"/>
            <w:noWrap/>
            <w:vAlign w:val="bottom"/>
            <w:hideMark/>
          </w:tcPr>
          <w:p w14:paraId="6A0B24DC"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-13</w:t>
            </w:r>
          </w:p>
        </w:tc>
        <w:tc>
          <w:tcPr>
            <w:tcW w:w="709" w:type="dxa"/>
            <w:tcBorders>
              <w:top w:val="nil"/>
              <w:left w:val="nil"/>
              <w:bottom w:val="nil"/>
              <w:right w:val="nil"/>
            </w:tcBorders>
            <w:shd w:val="clear" w:color="auto" w:fill="auto"/>
            <w:noWrap/>
            <w:vAlign w:val="bottom"/>
            <w:hideMark/>
          </w:tcPr>
          <w:p w14:paraId="4891F6EB"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13</w:t>
            </w:r>
          </w:p>
        </w:tc>
        <w:tc>
          <w:tcPr>
            <w:tcW w:w="709" w:type="dxa"/>
            <w:tcBorders>
              <w:top w:val="nil"/>
              <w:left w:val="nil"/>
              <w:bottom w:val="nil"/>
              <w:right w:val="nil"/>
            </w:tcBorders>
            <w:shd w:val="clear" w:color="auto" w:fill="auto"/>
            <w:noWrap/>
            <w:vAlign w:val="bottom"/>
            <w:hideMark/>
          </w:tcPr>
          <w:p w14:paraId="22BA7DE6"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77CA2F0"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3383CED8"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2A2FF65"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2999E09C" w14:textId="77777777" w:rsidTr="00CF774B">
        <w:trPr>
          <w:trHeight w:val="208"/>
        </w:trPr>
        <w:tc>
          <w:tcPr>
            <w:tcW w:w="5176" w:type="dxa"/>
            <w:tcBorders>
              <w:top w:val="nil"/>
              <w:left w:val="nil"/>
              <w:bottom w:val="nil"/>
              <w:right w:val="nil"/>
            </w:tcBorders>
            <w:shd w:val="clear" w:color="auto" w:fill="auto"/>
            <w:hideMark/>
          </w:tcPr>
          <w:p w14:paraId="289FCBA9"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COVID 19 opatrenie: Odpustenie platby odvodov pre zavreté prevádzky</w:t>
            </w:r>
          </w:p>
        </w:tc>
        <w:tc>
          <w:tcPr>
            <w:tcW w:w="709" w:type="dxa"/>
            <w:tcBorders>
              <w:top w:val="nil"/>
              <w:left w:val="nil"/>
              <w:bottom w:val="nil"/>
              <w:right w:val="nil"/>
            </w:tcBorders>
            <w:shd w:val="clear" w:color="auto" w:fill="auto"/>
            <w:noWrap/>
            <w:vAlign w:val="bottom"/>
            <w:hideMark/>
          </w:tcPr>
          <w:p w14:paraId="1554E2CC"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-57</w:t>
            </w:r>
          </w:p>
        </w:tc>
        <w:tc>
          <w:tcPr>
            <w:tcW w:w="709" w:type="dxa"/>
            <w:tcBorders>
              <w:top w:val="nil"/>
              <w:left w:val="nil"/>
              <w:bottom w:val="nil"/>
              <w:right w:val="nil"/>
            </w:tcBorders>
            <w:shd w:val="clear" w:color="auto" w:fill="auto"/>
            <w:noWrap/>
            <w:vAlign w:val="bottom"/>
            <w:hideMark/>
          </w:tcPr>
          <w:p w14:paraId="748D5BC3"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57</w:t>
            </w:r>
          </w:p>
        </w:tc>
        <w:tc>
          <w:tcPr>
            <w:tcW w:w="709" w:type="dxa"/>
            <w:tcBorders>
              <w:top w:val="nil"/>
              <w:left w:val="nil"/>
              <w:bottom w:val="nil"/>
              <w:right w:val="nil"/>
            </w:tcBorders>
            <w:shd w:val="clear" w:color="auto" w:fill="auto"/>
            <w:noWrap/>
            <w:vAlign w:val="bottom"/>
            <w:hideMark/>
          </w:tcPr>
          <w:p w14:paraId="6E0635C2"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7F493F4B"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380E2F23"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1333142E"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63AFB4AF" w14:textId="77777777" w:rsidTr="00CF774B">
        <w:trPr>
          <w:trHeight w:val="208"/>
        </w:trPr>
        <w:tc>
          <w:tcPr>
            <w:tcW w:w="5176" w:type="dxa"/>
            <w:tcBorders>
              <w:top w:val="nil"/>
              <w:left w:val="nil"/>
              <w:bottom w:val="nil"/>
              <w:right w:val="nil"/>
            </w:tcBorders>
            <w:shd w:val="clear" w:color="auto" w:fill="auto"/>
            <w:hideMark/>
          </w:tcPr>
          <w:p w14:paraId="0F4A877B"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COVID 19 opatrenie: Možnosť započítania doteraz neuplatnenej daňovej straty za roky 2015-2018</w:t>
            </w:r>
          </w:p>
        </w:tc>
        <w:tc>
          <w:tcPr>
            <w:tcW w:w="709" w:type="dxa"/>
            <w:tcBorders>
              <w:top w:val="nil"/>
              <w:left w:val="nil"/>
              <w:bottom w:val="nil"/>
              <w:right w:val="nil"/>
            </w:tcBorders>
            <w:shd w:val="clear" w:color="auto" w:fill="auto"/>
            <w:noWrap/>
            <w:vAlign w:val="bottom"/>
            <w:hideMark/>
          </w:tcPr>
          <w:p w14:paraId="393C461C"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-28</w:t>
            </w:r>
          </w:p>
        </w:tc>
        <w:tc>
          <w:tcPr>
            <w:tcW w:w="709" w:type="dxa"/>
            <w:tcBorders>
              <w:top w:val="nil"/>
              <w:left w:val="nil"/>
              <w:bottom w:val="nil"/>
              <w:right w:val="nil"/>
            </w:tcBorders>
            <w:shd w:val="clear" w:color="auto" w:fill="auto"/>
            <w:noWrap/>
            <w:vAlign w:val="bottom"/>
            <w:hideMark/>
          </w:tcPr>
          <w:p w14:paraId="585A8480"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28</w:t>
            </w:r>
          </w:p>
        </w:tc>
        <w:tc>
          <w:tcPr>
            <w:tcW w:w="709" w:type="dxa"/>
            <w:tcBorders>
              <w:top w:val="nil"/>
              <w:left w:val="nil"/>
              <w:bottom w:val="nil"/>
              <w:right w:val="nil"/>
            </w:tcBorders>
            <w:shd w:val="clear" w:color="auto" w:fill="auto"/>
            <w:noWrap/>
            <w:vAlign w:val="bottom"/>
            <w:hideMark/>
          </w:tcPr>
          <w:p w14:paraId="239A04A8"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66B178EC"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4178D20C"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c>
          <w:tcPr>
            <w:tcW w:w="709" w:type="dxa"/>
            <w:tcBorders>
              <w:top w:val="nil"/>
              <w:left w:val="nil"/>
              <w:bottom w:val="nil"/>
              <w:right w:val="nil"/>
            </w:tcBorders>
            <w:shd w:val="clear" w:color="auto" w:fill="auto"/>
            <w:noWrap/>
            <w:vAlign w:val="bottom"/>
            <w:hideMark/>
          </w:tcPr>
          <w:p w14:paraId="531EE7CE"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0</w:t>
            </w:r>
          </w:p>
        </w:tc>
      </w:tr>
      <w:tr w:rsidR="00C45D5B" w:rsidRPr="00AB54ED" w14:paraId="4CB827BE" w14:textId="77777777" w:rsidTr="00CF774B">
        <w:trPr>
          <w:trHeight w:val="208"/>
        </w:trPr>
        <w:tc>
          <w:tcPr>
            <w:tcW w:w="5176" w:type="dxa"/>
            <w:tcBorders>
              <w:top w:val="nil"/>
              <w:left w:val="nil"/>
              <w:right w:val="nil"/>
            </w:tcBorders>
            <w:shd w:val="clear" w:color="auto" w:fill="auto"/>
            <w:hideMark/>
          </w:tcPr>
          <w:p w14:paraId="66B37829"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COVID 19 opatrenie: Odklad soc. odvodov v roku 2020 a 2021</w:t>
            </w:r>
          </w:p>
        </w:tc>
        <w:tc>
          <w:tcPr>
            <w:tcW w:w="709" w:type="dxa"/>
            <w:tcBorders>
              <w:top w:val="nil"/>
              <w:left w:val="nil"/>
              <w:right w:val="nil"/>
            </w:tcBorders>
            <w:shd w:val="clear" w:color="auto" w:fill="auto"/>
            <w:noWrap/>
            <w:vAlign w:val="bottom"/>
            <w:hideMark/>
          </w:tcPr>
          <w:p w14:paraId="0E15ADE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-35</w:t>
            </w:r>
          </w:p>
        </w:tc>
        <w:tc>
          <w:tcPr>
            <w:tcW w:w="709" w:type="dxa"/>
            <w:tcBorders>
              <w:top w:val="nil"/>
              <w:left w:val="nil"/>
              <w:right w:val="nil"/>
            </w:tcBorders>
            <w:shd w:val="clear" w:color="auto" w:fill="auto"/>
            <w:noWrap/>
            <w:vAlign w:val="bottom"/>
            <w:hideMark/>
          </w:tcPr>
          <w:p w14:paraId="70BCB401"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17</w:t>
            </w:r>
          </w:p>
        </w:tc>
        <w:tc>
          <w:tcPr>
            <w:tcW w:w="709" w:type="dxa"/>
            <w:tcBorders>
              <w:top w:val="nil"/>
              <w:left w:val="nil"/>
              <w:right w:val="nil"/>
            </w:tcBorders>
            <w:shd w:val="clear" w:color="auto" w:fill="auto"/>
            <w:noWrap/>
            <w:vAlign w:val="bottom"/>
            <w:hideMark/>
          </w:tcPr>
          <w:p w14:paraId="125282B4"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27</w:t>
            </w:r>
          </w:p>
        </w:tc>
        <w:tc>
          <w:tcPr>
            <w:tcW w:w="709" w:type="dxa"/>
            <w:tcBorders>
              <w:top w:val="nil"/>
              <w:left w:val="nil"/>
              <w:right w:val="nil"/>
            </w:tcBorders>
            <w:shd w:val="clear" w:color="auto" w:fill="auto"/>
            <w:noWrap/>
            <w:vAlign w:val="bottom"/>
            <w:hideMark/>
          </w:tcPr>
          <w:p w14:paraId="026CDC15"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4</w:t>
            </w:r>
          </w:p>
        </w:tc>
        <w:tc>
          <w:tcPr>
            <w:tcW w:w="709" w:type="dxa"/>
            <w:tcBorders>
              <w:top w:val="nil"/>
              <w:left w:val="nil"/>
              <w:right w:val="nil"/>
            </w:tcBorders>
            <w:shd w:val="clear" w:color="auto" w:fill="auto"/>
            <w:noWrap/>
            <w:vAlign w:val="bottom"/>
            <w:hideMark/>
          </w:tcPr>
          <w:p w14:paraId="2543B6F2"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-3</w:t>
            </w:r>
          </w:p>
        </w:tc>
        <w:tc>
          <w:tcPr>
            <w:tcW w:w="709" w:type="dxa"/>
            <w:tcBorders>
              <w:top w:val="nil"/>
              <w:left w:val="nil"/>
              <w:right w:val="nil"/>
            </w:tcBorders>
            <w:shd w:val="clear" w:color="auto" w:fill="auto"/>
            <w:noWrap/>
            <w:vAlign w:val="bottom"/>
            <w:hideMark/>
          </w:tcPr>
          <w:p w14:paraId="31CE26ED" w14:textId="77777777" w:rsidR="00C45D5B" w:rsidRPr="002877E1" w:rsidRDefault="00C45D5B" w:rsidP="00CF774B">
            <w:pPr>
              <w:jc w:val="center"/>
              <w:rPr>
                <w:rFonts w:cs="Times New Roman"/>
                <w:sz w:val="18"/>
                <w:szCs w:val="17"/>
                <w:highlight w:val="yellow"/>
                <w:lang w:eastAsia="en-GB"/>
              </w:rPr>
            </w:pPr>
            <w:r w:rsidRPr="002877E1">
              <w:rPr>
                <w:rFonts w:cs="Calibri"/>
                <w:color w:val="000000"/>
                <w:sz w:val="18"/>
                <w:szCs w:val="20"/>
              </w:rPr>
              <w:t>-3</w:t>
            </w:r>
          </w:p>
        </w:tc>
      </w:tr>
      <w:tr w:rsidR="00C45D5B" w:rsidRPr="00AB54ED" w14:paraId="185AF1F7" w14:textId="77777777" w:rsidTr="00CF774B">
        <w:trPr>
          <w:trHeight w:val="208"/>
        </w:trPr>
        <w:tc>
          <w:tcPr>
            <w:tcW w:w="5176" w:type="dxa"/>
            <w:tcBorders>
              <w:top w:val="nil"/>
              <w:left w:val="nil"/>
              <w:right w:val="nil"/>
            </w:tcBorders>
            <w:shd w:val="clear" w:color="auto" w:fill="auto"/>
            <w:hideMark/>
          </w:tcPr>
          <w:p w14:paraId="4FD96F1A" w14:textId="77777777" w:rsidR="00C45D5B" w:rsidRPr="002877E1" w:rsidRDefault="00C45D5B" w:rsidP="00CF774B">
            <w:pPr>
              <w:rPr>
                <w:rFonts w:cs="Times New Roman"/>
                <w:color w:val="000000"/>
                <w:sz w:val="18"/>
                <w:szCs w:val="17"/>
                <w:highlight w:val="yellow"/>
                <w:lang w:eastAsia="en-GB"/>
              </w:rPr>
            </w:pPr>
            <w:r w:rsidRPr="002877E1">
              <w:rPr>
                <w:rFonts w:cs="Calibri"/>
                <w:color w:val="000000"/>
                <w:sz w:val="18"/>
                <w:szCs w:val="20"/>
              </w:rPr>
              <w:t>COVID 19 opatrenie: Dočasné oslobodenie respirátorov FFP2 a FFP3 od DPH</w:t>
            </w:r>
          </w:p>
        </w:tc>
        <w:tc>
          <w:tcPr>
            <w:tcW w:w="709" w:type="dxa"/>
            <w:tcBorders>
              <w:top w:val="nil"/>
              <w:left w:val="nil"/>
              <w:right w:val="nil"/>
            </w:tcBorders>
            <w:shd w:val="clear" w:color="auto" w:fill="auto"/>
            <w:noWrap/>
            <w:hideMark/>
          </w:tcPr>
          <w:p w14:paraId="6388126F"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right w:val="nil"/>
            </w:tcBorders>
            <w:shd w:val="clear" w:color="auto" w:fill="auto"/>
            <w:noWrap/>
            <w:vAlign w:val="bottom"/>
            <w:hideMark/>
          </w:tcPr>
          <w:p w14:paraId="76380BEE"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-10</w:t>
            </w:r>
          </w:p>
        </w:tc>
        <w:tc>
          <w:tcPr>
            <w:tcW w:w="709" w:type="dxa"/>
            <w:tcBorders>
              <w:top w:val="nil"/>
              <w:left w:val="nil"/>
              <w:right w:val="nil"/>
            </w:tcBorders>
            <w:shd w:val="clear" w:color="auto" w:fill="auto"/>
            <w:noWrap/>
            <w:vAlign w:val="bottom"/>
            <w:hideMark/>
          </w:tcPr>
          <w:p w14:paraId="5F2EA0F8"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10</w:t>
            </w:r>
          </w:p>
        </w:tc>
        <w:tc>
          <w:tcPr>
            <w:tcW w:w="709" w:type="dxa"/>
            <w:tcBorders>
              <w:top w:val="nil"/>
              <w:left w:val="nil"/>
              <w:right w:val="nil"/>
            </w:tcBorders>
            <w:shd w:val="clear" w:color="auto" w:fill="auto"/>
            <w:noWrap/>
            <w:vAlign w:val="bottom"/>
            <w:hideMark/>
          </w:tcPr>
          <w:p w14:paraId="1AE23F82"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right w:val="nil"/>
            </w:tcBorders>
            <w:shd w:val="clear" w:color="auto" w:fill="auto"/>
            <w:noWrap/>
            <w:vAlign w:val="bottom"/>
            <w:hideMark/>
          </w:tcPr>
          <w:p w14:paraId="74AB29E7"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c>
          <w:tcPr>
            <w:tcW w:w="709" w:type="dxa"/>
            <w:tcBorders>
              <w:top w:val="nil"/>
              <w:left w:val="nil"/>
              <w:right w:val="nil"/>
            </w:tcBorders>
            <w:shd w:val="clear" w:color="auto" w:fill="auto"/>
            <w:noWrap/>
            <w:vAlign w:val="bottom"/>
            <w:hideMark/>
          </w:tcPr>
          <w:p w14:paraId="65736E4A" w14:textId="77777777" w:rsidR="00C45D5B" w:rsidRPr="002877E1" w:rsidRDefault="00C45D5B" w:rsidP="00CF774B">
            <w:pPr>
              <w:jc w:val="center"/>
              <w:rPr>
                <w:rFonts w:cs="Times New Roman"/>
                <w:color w:val="000000"/>
                <w:sz w:val="18"/>
                <w:szCs w:val="17"/>
                <w:highlight w:val="yellow"/>
                <w:lang w:eastAsia="en-GB"/>
              </w:rPr>
            </w:pPr>
            <w:r w:rsidRPr="002877E1">
              <w:rPr>
                <w:rFonts w:cs="Calibri"/>
                <w:color w:val="000000"/>
                <w:sz w:val="18"/>
                <w:szCs w:val="20"/>
              </w:rPr>
              <w:t>0</w:t>
            </w:r>
          </w:p>
        </w:tc>
      </w:tr>
      <w:tr w:rsidR="00C45D5B" w:rsidRPr="00AB54ED" w14:paraId="281B2F05" w14:textId="77777777" w:rsidTr="00CF774B">
        <w:trPr>
          <w:trHeight w:val="208"/>
        </w:trPr>
        <w:tc>
          <w:tcPr>
            <w:tcW w:w="5176" w:type="dxa"/>
            <w:tcBorders>
              <w:top w:val="nil"/>
              <w:left w:val="nil"/>
              <w:right w:val="nil"/>
            </w:tcBorders>
            <w:shd w:val="clear" w:color="auto" w:fill="auto"/>
          </w:tcPr>
          <w:p w14:paraId="7401457A" w14:textId="77777777" w:rsidR="00C45D5B" w:rsidRPr="002877E1" w:rsidRDefault="00C45D5B" w:rsidP="00CF774B">
            <w:pPr>
              <w:rPr>
                <w:rFonts w:cs="Times New Roman"/>
                <w:color w:val="000000"/>
                <w:sz w:val="18"/>
                <w:szCs w:val="17"/>
                <w:highlight w:val="yellow"/>
              </w:rPr>
            </w:pPr>
            <w:r w:rsidRPr="002877E1">
              <w:rPr>
                <w:rFonts w:cs="Calibri"/>
                <w:color w:val="000000"/>
                <w:sz w:val="18"/>
                <w:szCs w:val="20"/>
              </w:rPr>
              <w:t>Oprava základu dane DPH pri dodaní tovaru alebo služby</w:t>
            </w:r>
          </w:p>
        </w:tc>
        <w:tc>
          <w:tcPr>
            <w:tcW w:w="709" w:type="dxa"/>
            <w:tcBorders>
              <w:top w:val="nil"/>
              <w:left w:val="nil"/>
              <w:right w:val="nil"/>
            </w:tcBorders>
            <w:shd w:val="clear" w:color="auto" w:fill="auto"/>
            <w:noWrap/>
            <w:vAlign w:val="bottom"/>
          </w:tcPr>
          <w:p w14:paraId="6FD354BA"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196643B5" w14:textId="77777777" w:rsidR="00C45D5B" w:rsidRPr="002877E1" w:rsidRDefault="00C45D5B" w:rsidP="00CF774B">
            <w:pPr>
              <w:jc w:val="center"/>
              <w:rPr>
                <w:sz w:val="18"/>
                <w:szCs w:val="17"/>
                <w:highlight w:val="yellow"/>
              </w:rPr>
            </w:pPr>
            <w:r w:rsidRPr="002877E1">
              <w:rPr>
                <w:rFonts w:cs="Calibri"/>
                <w:color w:val="000000"/>
                <w:sz w:val="18"/>
                <w:szCs w:val="20"/>
              </w:rPr>
              <w:t>-22</w:t>
            </w:r>
          </w:p>
        </w:tc>
        <w:tc>
          <w:tcPr>
            <w:tcW w:w="709" w:type="dxa"/>
            <w:tcBorders>
              <w:top w:val="nil"/>
              <w:left w:val="nil"/>
              <w:right w:val="nil"/>
            </w:tcBorders>
            <w:shd w:val="clear" w:color="auto" w:fill="auto"/>
            <w:noWrap/>
            <w:vAlign w:val="bottom"/>
          </w:tcPr>
          <w:p w14:paraId="03402C08"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4FE5E800"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42023194"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6934C29F" w14:textId="77777777" w:rsidR="00C45D5B" w:rsidRPr="002877E1" w:rsidRDefault="00C45D5B" w:rsidP="00CF774B">
            <w:pPr>
              <w:jc w:val="center"/>
              <w:rPr>
                <w:sz w:val="18"/>
                <w:szCs w:val="17"/>
                <w:highlight w:val="yellow"/>
              </w:rPr>
            </w:pPr>
            <w:r w:rsidRPr="002877E1">
              <w:rPr>
                <w:rFonts w:cs="Calibri"/>
                <w:color w:val="000000"/>
                <w:sz w:val="18"/>
                <w:szCs w:val="20"/>
              </w:rPr>
              <w:t>0</w:t>
            </w:r>
          </w:p>
        </w:tc>
      </w:tr>
      <w:tr w:rsidR="00C45D5B" w:rsidRPr="00AB54ED" w14:paraId="6D9DDA68" w14:textId="77777777" w:rsidTr="00CF774B">
        <w:trPr>
          <w:trHeight w:val="208"/>
        </w:trPr>
        <w:tc>
          <w:tcPr>
            <w:tcW w:w="5176" w:type="dxa"/>
            <w:tcBorders>
              <w:top w:val="nil"/>
              <w:left w:val="nil"/>
              <w:right w:val="nil"/>
            </w:tcBorders>
            <w:shd w:val="clear" w:color="auto" w:fill="auto"/>
          </w:tcPr>
          <w:p w14:paraId="35E7A3D1" w14:textId="77777777" w:rsidR="00C45D5B" w:rsidRPr="002877E1" w:rsidRDefault="00C45D5B" w:rsidP="00CF774B">
            <w:pPr>
              <w:rPr>
                <w:color w:val="000000"/>
                <w:sz w:val="18"/>
                <w:szCs w:val="17"/>
                <w:highlight w:val="yellow"/>
              </w:rPr>
            </w:pPr>
            <w:r w:rsidRPr="002877E1">
              <w:rPr>
                <w:rFonts w:cs="Calibri"/>
                <w:color w:val="000000"/>
                <w:sz w:val="18"/>
                <w:szCs w:val="20"/>
              </w:rPr>
              <w:t>Zrušenie oslobodenia od DPH pri zásielkach do 22 eur z 3. krajín</w:t>
            </w:r>
          </w:p>
        </w:tc>
        <w:tc>
          <w:tcPr>
            <w:tcW w:w="709" w:type="dxa"/>
            <w:tcBorders>
              <w:top w:val="nil"/>
              <w:left w:val="nil"/>
              <w:right w:val="nil"/>
            </w:tcBorders>
            <w:shd w:val="clear" w:color="auto" w:fill="auto"/>
            <w:noWrap/>
            <w:vAlign w:val="bottom"/>
          </w:tcPr>
          <w:p w14:paraId="128449F7"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781655AE" w14:textId="77777777" w:rsidR="00C45D5B" w:rsidRPr="002877E1" w:rsidRDefault="00C45D5B" w:rsidP="00CF774B">
            <w:pPr>
              <w:jc w:val="center"/>
              <w:rPr>
                <w:sz w:val="18"/>
                <w:szCs w:val="17"/>
                <w:highlight w:val="yellow"/>
              </w:rPr>
            </w:pPr>
            <w:r w:rsidRPr="002877E1">
              <w:rPr>
                <w:rFonts w:cs="Calibri"/>
                <w:color w:val="000000"/>
                <w:sz w:val="18"/>
                <w:szCs w:val="20"/>
              </w:rPr>
              <w:t>11</w:t>
            </w:r>
          </w:p>
        </w:tc>
        <w:tc>
          <w:tcPr>
            <w:tcW w:w="709" w:type="dxa"/>
            <w:tcBorders>
              <w:top w:val="nil"/>
              <w:left w:val="nil"/>
              <w:right w:val="nil"/>
            </w:tcBorders>
            <w:shd w:val="clear" w:color="auto" w:fill="auto"/>
            <w:noWrap/>
            <w:vAlign w:val="bottom"/>
          </w:tcPr>
          <w:p w14:paraId="0BE1E2F5" w14:textId="77777777" w:rsidR="00C45D5B" w:rsidRPr="002877E1" w:rsidRDefault="00C45D5B" w:rsidP="00CF774B">
            <w:pPr>
              <w:jc w:val="center"/>
              <w:rPr>
                <w:sz w:val="18"/>
                <w:szCs w:val="17"/>
                <w:highlight w:val="yellow"/>
              </w:rPr>
            </w:pPr>
            <w:r w:rsidRPr="002877E1">
              <w:rPr>
                <w:rFonts w:cs="Calibri"/>
                <w:color w:val="000000"/>
                <w:sz w:val="18"/>
                <w:szCs w:val="20"/>
              </w:rPr>
              <w:t>12</w:t>
            </w:r>
          </w:p>
        </w:tc>
        <w:tc>
          <w:tcPr>
            <w:tcW w:w="709" w:type="dxa"/>
            <w:tcBorders>
              <w:top w:val="nil"/>
              <w:left w:val="nil"/>
              <w:right w:val="nil"/>
            </w:tcBorders>
            <w:shd w:val="clear" w:color="auto" w:fill="auto"/>
            <w:noWrap/>
            <w:vAlign w:val="bottom"/>
          </w:tcPr>
          <w:p w14:paraId="73CC9676"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0AB51552"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5FFFA65B" w14:textId="77777777" w:rsidR="00C45D5B" w:rsidRPr="002877E1" w:rsidRDefault="00C45D5B" w:rsidP="00CF774B">
            <w:pPr>
              <w:jc w:val="center"/>
              <w:rPr>
                <w:sz w:val="18"/>
                <w:szCs w:val="17"/>
                <w:highlight w:val="yellow"/>
              </w:rPr>
            </w:pPr>
            <w:r w:rsidRPr="002877E1">
              <w:rPr>
                <w:rFonts w:cs="Calibri"/>
                <w:color w:val="000000"/>
                <w:sz w:val="18"/>
                <w:szCs w:val="20"/>
              </w:rPr>
              <w:t>0</w:t>
            </w:r>
          </w:p>
        </w:tc>
      </w:tr>
      <w:tr w:rsidR="00C45D5B" w:rsidRPr="00AB54ED" w14:paraId="16EE4F95" w14:textId="77777777" w:rsidTr="00CF774B">
        <w:trPr>
          <w:trHeight w:val="208"/>
        </w:trPr>
        <w:tc>
          <w:tcPr>
            <w:tcW w:w="5176" w:type="dxa"/>
            <w:tcBorders>
              <w:top w:val="nil"/>
              <w:left w:val="nil"/>
              <w:right w:val="nil"/>
            </w:tcBorders>
            <w:shd w:val="clear" w:color="auto" w:fill="auto"/>
          </w:tcPr>
          <w:p w14:paraId="5BD0B074" w14:textId="77777777" w:rsidR="00C45D5B" w:rsidRPr="002877E1" w:rsidRDefault="00C45D5B" w:rsidP="00CF774B">
            <w:pPr>
              <w:rPr>
                <w:color w:val="000000"/>
                <w:sz w:val="18"/>
                <w:szCs w:val="17"/>
                <w:highlight w:val="yellow"/>
              </w:rPr>
            </w:pPr>
            <w:r w:rsidRPr="002877E1">
              <w:rPr>
                <w:rFonts w:cs="Calibri"/>
                <w:color w:val="000000"/>
                <w:sz w:val="18"/>
                <w:szCs w:val="20"/>
              </w:rPr>
              <w:t>Zmeny v zdaňovaní motorových vozidiel</w:t>
            </w:r>
          </w:p>
        </w:tc>
        <w:tc>
          <w:tcPr>
            <w:tcW w:w="709" w:type="dxa"/>
            <w:tcBorders>
              <w:top w:val="nil"/>
              <w:left w:val="nil"/>
              <w:right w:val="nil"/>
            </w:tcBorders>
            <w:shd w:val="clear" w:color="auto" w:fill="auto"/>
            <w:noWrap/>
            <w:vAlign w:val="bottom"/>
          </w:tcPr>
          <w:p w14:paraId="700E48E6" w14:textId="77777777" w:rsidR="00C45D5B" w:rsidRPr="002877E1" w:rsidRDefault="00C45D5B" w:rsidP="00CF774B">
            <w:pPr>
              <w:jc w:val="center"/>
              <w:rPr>
                <w:sz w:val="18"/>
                <w:szCs w:val="17"/>
                <w:highlight w:val="yellow"/>
              </w:rPr>
            </w:pPr>
            <w:r w:rsidRPr="002877E1">
              <w:rPr>
                <w:rFonts w:cs="Calibri"/>
                <w:color w:val="000000"/>
                <w:sz w:val="18"/>
                <w:szCs w:val="20"/>
              </w:rPr>
              <w:t>-23,7</w:t>
            </w:r>
          </w:p>
        </w:tc>
        <w:tc>
          <w:tcPr>
            <w:tcW w:w="709" w:type="dxa"/>
            <w:tcBorders>
              <w:top w:val="nil"/>
              <w:left w:val="nil"/>
              <w:right w:val="nil"/>
            </w:tcBorders>
            <w:shd w:val="clear" w:color="auto" w:fill="auto"/>
            <w:noWrap/>
            <w:vAlign w:val="bottom"/>
          </w:tcPr>
          <w:p w14:paraId="6F0F9BEF"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44DE0DBE"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15C21DD9"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52FFCFEB"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3AD84C27" w14:textId="77777777" w:rsidR="00C45D5B" w:rsidRPr="002877E1" w:rsidRDefault="00C45D5B" w:rsidP="00CF774B">
            <w:pPr>
              <w:jc w:val="center"/>
              <w:rPr>
                <w:sz w:val="18"/>
                <w:szCs w:val="17"/>
                <w:highlight w:val="yellow"/>
              </w:rPr>
            </w:pPr>
            <w:r w:rsidRPr="002877E1">
              <w:rPr>
                <w:rFonts w:cs="Calibri"/>
                <w:color w:val="000000"/>
                <w:sz w:val="18"/>
                <w:szCs w:val="20"/>
              </w:rPr>
              <w:t>0</w:t>
            </w:r>
          </w:p>
        </w:tc>
      </w:tr>
      <w:tr w:rsidR="00C45D5B" w:rsidRPr="00AB54ED" w14:paraId="480C5D70" w14:textId="77777777" w:rsidTr="00CF774B">
        <w:trPr>
          <w:trHeight w:val="208"/>
        </w:trPr>
        <w:tc>
          <w:tcPr>
            <w:tcW w:w="5176" w:type="dxa"/>
            <w:tcBorders>
              <w:top w:val="nil"/>
              <w:left w:val="nil"/>
              <w:right w:val="nil"/>
            </w:tcBorders>
            <w:shd w:val="clear" w:color="auto" w:fill="auto"/>
          </w:tcPr>
          <w:p w14:paraId="4F6FD1AF" w14:textId="77777777" w:rsidR="00C45D5B" w:rsidRPr="002877E1" w:rsidRDefault="00C45D5B" w:rsidP="00CF774B">
            <w:pPr>
              <w:rPr>
                <w:color w:val="000000"/>
                <w:sz w:val="18"/>
                <w:szCs w:val="17"/>
                <w:highlight w:val="yellow"/>
              </w:rPr>
            </w:pPr>
            <w:r w:rsidRPr="002877E1">
              <w:rPr>
                <w:rFonts w:cs="Calibri"/>
                <w:color w:val="000000"/>
                <w:sz w:val="18"/>
                <w:szCs w:val="20"/>
              </w:rPr>
              <w:t>Zmeny v</w:t>
            </w:r>
            <w:r>
              <w:rPr>
                <w:rFonts w:cs="Calibri"/>
                <w:color w:val="000000"/>
                <w:sz w:val="18"/>
                <w:szCs w:val="20"/>
              </w:rPr>
              <w:t> </w:t>
            </w:r>
            <w:r w:rsidRPr="002877E1">
              <w:rPr>
                <w:rFonts w:cs="Calibri"/>
                <w:color w:val="000000"/>
                <w:sz w:val="18"/>
                <w:szCs w:val="20"/>
              </w:rPr>
              <w:t>super</w:t>
            </w:r>
            <w:r>
              <w:rPr>
                <w:rFonts w:cs="Calibri"/>
                <w:color w:val="000000"/>
                <w:sz w:val="18"/>
                <w:szCs w:val="20"/>
              </w:rPr>
              <w:t>-</w:t>
            </w:r>
            <w:r w:rsidRPr="002877E1">
              <w:rPr>
                <w:rFonts w:cs="Calibri"/>
                <w:color w:val="000000"/>
                <w:sz w:val="18"/>
                <w:szCs w:val="20"/>
              </w:rPr>
              <w:t>odpočte</w:t>
            </w:r>
          </w:p>
        </w:tc>
        <w:tc>
          <w:tcPr>
            <w:tcW w:w="709" w:type="dxa"/>
            <w:tcBorders>
              <w:top w:val="nil"/>
              <w:left w:val="nil"/>
              <w:right w:val="nil"/>
            </w:tcBorders>
            <w:shd w:val="clear" w:color="auto" w:fill="auto"/>
            <w:noWrap/>
            <w:vAlign w:val="bottom"/>
          </w:tcPr>
          <w:p w14:paraId="0FCBF627"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1EAEE5E6"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36B67715" w14:textId="77777777" w:rsidR="00C45D5B" w:rsidRPr="002877E1" w:rsidRDefault="00C45D5B" w:rsidP="00CF774B">
            <w:pPr>
              <w:jc w:val="center"/>
              <w:rPr>
                <w:sz w:val="18"/>
                <w:szCs w:val="17"/>
                <w:highlight w:val="yellow"/>
              </w:rPr>
            </w:pPr>
            <w:r w:rsidRPr="002877E1">
              <w:rPr>
                <w:rFonts w:cs="Calibri"/>
                <w:color w:val="000000"/>
                <w:sz w:val="18"/>
                <w:szCs w:val="20"/>
              </w:rPr>
              <w:t>15</w:t>
            </w:r>
          </w:p>
        </w:tc>
        <w:tc>
          <w:tcPr>
            <w:tcW w:w="709" w:type="dxa"/>
            <w:tcBorders>
              <w:top w:val="nil"/>
              <w:left w:val="nil"/>
              <w:right w:val="nil"/>
            </w:tcBorders>
            <w:shd w:val="clear" w:color="auto" w:fill="auto"/>
            <w:noWrap/>
            <w:vAlign w:val="bottom"/>
          </w:tcPr>
          <w:p w14:paraId="110321E5" w14:textId="77777777" w:rsidR="00C45D5B" w:rsidRPr="002877E1" w:rsidRDefault="00C45D5B" w:rsidP="00CF774B">
            <w:pPr>
              <w:jc w:val="center"/>
              <w:rPr>
                <w:sz w:val="18"/>
                <w:szCs w:val="17"/>
                <w:highlight w:val="yellow"/>
              </w:rPr>
            </w:pPr>
            <w:r w:rsidRPr="002877E1">
              <w:rPr>
                <w:rFonts w:cs="Calibri"/>
                <w:color w:val="000000"/>
                <w:sz w:val="18"/>
                <w:szCs w:val="20"/>
              </w:rPr>
              <w:t>-15</w:t>
            </w:r>
          </w:p>
        </w:tc>
        <w:tc>
          <w:tcPr>
            <w:tcW w:w="709" w:type="dxa"/>
            <w:tcBorders>
              <w:top w:val="nil"/>
              <w:left w:val="nil"/>
              <w:right w:val="nil"/>
            </w:tcBorders>
            <w:shd w:val="clear" w:color="auto" w:fill="auto"/>
            <w:noWrap/>
            <w:vAlign w:val="bottom"/>
          </w:tcPr>
          <w:p w14:paraId="403809AF" w14:textId="77777777" w:rsidR="00C45D5B" w:rsidRPr="002877E1" w:rsidRDefault="00C45D5B" w:rsidP="00CF774B">
            <w:pPr>
              <w:jc w:val="center"/>
              <w:rPr>
                <w:sz w:val="18"/>
                <w:szCs w:val="17"/>
                <w:highlight w:val="yellow"/>
              </w:rPr>
            </w:pPr>
            <w:r w:rsidRPr="002877E1">
              <w:rPr>
                <w:rFonts w:cs="Calibri"/>
                <w:color w:val="000000"/>
                <w:sz w:val="18"/>
                <w:szCs w:val="20"/>
              </w:rPr>
              <w:t>0</w:t>
            </w:r>
          </w:p>
        </w:tc>
        <w:tc>
          <w:tcPr>
            <w:tcW w:w="709" w:type="dxa"/>
            <w:tcBorders>
              <w:top w:val="nil"/>
              <w:left w:val="nil"/>
              <w:right w:val="nil"/>
            </w:tcBorders>
            <w:shd w:val="clear" w:color="auto" w:fill="auto"/>
            <w:noWrap/>
            <w:vAlign w:val="bottom"/>
          </w:tcPr>
          <w:p w14:paraId="40D860F5" w14:textId="77777777" w:rsidR="00C45D5B" w:rsidRPr="002877E1" w:rsidRDefault="00C45D5B" w:rsidP="00CF774B">
            <w:pPr>
              <w:jc w:val="center"/>
              <w:rPr>
                <w:sz w:val="18"/>
                <w:szCs w:val="17"/>
                <w:highlight w:val="yellow"/>
              </w:rPr>
            </w:pPr>
            <w:r w:rsidRPr="002877E1">
              <w:rPr>
                <w:rFonts w:cs="Calibri"/>
                <w:color w:val="000000"/>
                <w:sz w:val="18"/>
                <w:szCs w:val="20"/>
              </w:rPr>
              <w:t>0</w:t>
            </w:r>
          </w:p>
        </w:tc>
      </w:tr>
      <w:tr w:rsidR="00C45D5B" w:rsidRPr="00AB54ED" w14:paraId="00D335F3" w14:textId="77777777" w:rsidTr="00CF774B">
        <w:trPr>
          <w:trHeight w:val="208"/>
        </w:trPr>
        <w:tc>
          <w:tcPr>
            <w:tcW w:w="5176" w:type="dxa"/>
            <w:tcBorders>
              <w:top w:val="single" w:sz="4" w:space="0" w:color="auto"/>
              <w:left w:val="nil"/>
              <w:bottom w:val="nil"/>
              <w:right w:val="nil"/>
            </w:tcBorders>
            <w:shd w:val="clear" w:color="auto" w:fill="auto"/>
          </w:tcPr>
          <w:p w14:paraId="1D6961A3" w14:textId="77777777" w:rsidR="00C45D5B" w:rsidRPr="002877E1" w:rsidRDefault="00C45D5B" w:rsidP="00CF774B">
            <w:pPr>
              <w:rPr>
                <w:b/>
                <w:color w:val="000000" w:themeColor="text1"/>
                <w:sz w:val="18"/>
                <w:szCs w:val="20"/>
              </w:rPr>
            </w:pPr>
            <w:r w:rsidRPr="002877E1">
              <w:rPr>
                <w:rFonts w:cs="Calibri"/>
                <w:b/>
                <w:bCs/>
                <w:color w:val="000000"/>
                <w:sz w:val="18"/>
                <w:szCs w:val="20"/>
              </w:rPr>
              <w:t>Spolu</w:t>
            </w:r>
          </w:p>
        </w:tc>
        <w:tc>
          <w:tcPr>
            <w:tcW w:w="709" w:type="dxa"/>
            <w:tcBorders>
              <w:top w:val="single" w:sz="4" w:space="0" w:color="auto"/>
              <w:left w:val="nil"/>
              <w:bottom w:val="nil"/>
              <w:right w:val="nil"/>
            </w:tcBorders>
            <w:shd w:val="clear" w:color="auto" w:fill="auto"/>
            <w:noWrap/>
          </w:tcPr>
          <w:p w14:paraId="6ED37CC9" w14:textId="77777777" w:rsidR="00C45D5B" w:rsidRPr="002877E1" w:rsidRDefault="00C45D5B" w:rsidP="00CF774B">
            <w:pPr>
              <w:jc w:val="center"/>
              <w:rPr>
                <w:b/>
                <w:color w:val="000000" w:themeColor="text1"/>
                <w:sz w:val="18"/>
                <w:szCs w:val="20"/>
              </w:rPr>
            </w:pPr>
            <w:r w:rsidRPr="002877E1">
              <w:rPr>
                <w:rFonts w:cs="Calibri"/>
                <w:b/>
                <w:bCs/>
                <w:color w:val="000000"/>
                <w:sz w:val="18"/>
                <w:szCs w:val="20"/>
              </w:rPr>
              <w:t>-545,8</w:t>
            </w:r>
          </w:p>
        </w:tc>
        <w:tc>
          <w:tcPr>
            <w:tcW w:w="709" w:type="dxa"/>
            <w:tcBorders>
              <w:top w:val="single" w:sz="4" w:space="0" w:color="auto"/>
              <w:left w:val="nil"/>
              <w:bottom w:val="nil"/>
              <w:right w:val="nil"/>
            </w:tcBorders>
            <w:shd w:val="clear" w:color="auto" w:fill="auto"/>
            <w:noWrap/>
          </w:tcPr>
          <w:p w14:paraId="42670B4D" w14:textId="77777777" w:rsidR="00C45D5B" w:rsidRPr="002877E1" w:rsidRDefault="00C45D5B" w:rsidP="00CF774B">
            <w:pPr>
              <w:jc w:val="center"/>
              <w:rPr>
                <w:b/>
                <w:color w:val="000000" w:themeColor="text1"/>
                <w:sz w:val="18"/>
                <w:szCs w:val="20"/>
              </w:rPr>
            </w:pPr>
            <w:r w:rsidRPr="002877E1">
              <w:rPr>
                <w:rFonts w:cs="Calibri"/>
                <w:b/>
                <w:bCs/>
                <w:color w:val="000000"/>
                <w:sz w:val="18"/>
                <w:szCs w:val="20"/>
              </w:rPr>
              <w:t>474,0</w:t>
            </w:r>
          </w:p>
        </w:tc>
        <w:tc>
          <w:tcPr>
            <w:tcW w:w="709" w:type="dxa"/>
            <w:tcBorders>
              <w:top w:val="single" w:sz="4" w:space="0" w:color="auto"/>
              <w:left w:val="nil"/>
              <w:bottom w:val="nil"/>
              <w:right w:val="nil"/>
            </w:tcBorders>
            <w:shd w:val="clear" w:color="auto" w:fill="auto"/>
            <w:noWrap/>
          </w:tcPr>
          <w:p w14:paraId="0629728D" w14:textId="77777777" w:rsidR="00C45D5B" w:rsidRPr="002877E1" w:rsidRDefault="00C45D5B" w:rsidP="00CF774B">
            <w:pPr>
              <w:jc w:val="center"/>
              <w:rPr>
                <w:b/>
                <w:color w:val="000000" w:themeColor="text1"/>
                <w:sz w:val="18"/>
                <w:szCs w:val="20"/>
              </w:rPr>
            </w:pPr>
            <w:r w:rsidRPr="002877E1">
              <w:rPr>
                <w:rFonts w:cs="Calibri"/>
                <w:b/>
                <w:bCs/>
                <w:color w:val="000000"/>
                <w:sz w:val="18"/>
                <w:szCs w:val="20"/>
              </w:rPr>
              <w:t>43,4</w:t>
            </w:r>
          </w:p>
        </w:tc>
        <w:tc>
          <w:tcPr>
            <w:tcW w:w="709" w:type="dxa"/>
            <w:tcBorders>
              <w:top w:val="single" w:sz="4" w:space="0" w:color="auto"/>
              <w:left w:val="nil"/>
              <w:bottom w:val="nil"/>
              <w:right w:val="nil"/>
            </w:tcBorders>
            <w:shd w:val="clear" w:color="auto" w:fill="auto"/>
            <w:noWrap/>
          </w:tcPr>
          <w:p w14:paraId="7F1C3C13" w14:textId="77777777" w:rsidR="00C45D5B" w:rsidRPr="002877E1" w:rsidRDefault="00C45D5B" w:rsidP="00CF774B">
            <w:pPr>
              <w:jc w:val="center"/>
              <w:rPr>
                <w:b/>
                <w:color w:val="000000" w:themeColor="text1"/>
                <w:sz w:val="18"/>
                <w:szCs w:val="20"/>
              </w:rPr>
            </w:pPr>
            <w:r w:rsidRPr="002877E1">
              <w:rPr>
                <w:rFonts w:cs="Calibri"/>
                <w:b/>
                <w:bCs/>
                <w:color w:val="000000"/>
                <w:sz w:val="18"/>
                <w:szCs w:val="20"/>
              </w:rPr>
              <w:t>-22,6</w:t>
            </w:r>
          </w:p>
        </w:tc>
        <w:tc>
          <w:tcPr>
            <w:tcW w:w="709" w:type="dxa"/>
            <w:tcBorders>
              <w:top w:val="single" w:sz="4" w:space="0" w:color="auto"/>
              <w:left w:val="nil"/>
              <w:bottom w:val="nil"/>
              <w:right w:val="nil"/>
            </w:tcBorders>
            <w:shd w:val="clear" w:color="auto" w:fill="auto"/>
            <w:noWrap/>
          </w:tcPr>
          <w:p w14:paraId="79398F39" w14:textId="77777777" w:rsidR="00C45D5B" w:rsidRPr="002877E1" w:rsidRDefault="00C45D5B" w:rsidP="00CF774B">
            <w:pPr>
              <w:jc w:val="center"/>
              <w:rPr>
                <w:b/>
                <w:color w:val="000000" w:themeColor="text1"/>
                <w:sz w:val="18"/>
                <w:szCs w:val="20"/>
              </w:rPr>
            </w:pPr>
            <w:r w:rsidRPr="002877E1">
              <w:rPr>
                <w:rFonts w:cs="Calibri"/>
                <w:b/>
                <w:bCs/>
                <w:color w:val="000000"/>
                <w:sz w:val="18"/>
                <w:szCs w:val="20"/>
              </w:rPr>
              <w:t>-85,4</w:t>
            </w:r>
          </w:p>
        </w:tc>
        <w:tc>
          <w:tcPr>
            <w:tcW w:w="709" w:type="dxa"/>
            <w:tcBorders>
              <w:top w:val="single" w:sz="4" w:space="0" w:color="auto"/>
              <w:left w:val="nil"/>
              <w:bottom w:val="nil"/>
              <w:right w:val="nil"/>
            </w:tcBorders>
            <w:shd w:val="clear" w:color="auto" w:fill="auto"/>
            <w:noWrap/>
          </w:tcPr>
          <w:p w14:paraId="30387452" w14:textId="77777777" w:rsidR="00C45D5B" w:rsidRPr="002877E1" w:rsidRDefault="00C45D5B" w:rsidP="00CF774B">
            <w:pPr>
              <w:jc w:val="center"/>
              <w:rPr>
                <w:b/>
                <w:color w:val="000000" w:themeColor="text1"/>
                <w:sz w:val="18"/>
                <w:szCs w:val="20"/>
              </w:rPr>
            </w:pPr>
            <w:r w:rsidRPr="002877E1">
              <w:rPr>
                <w:rFonts w:cs="Calibri"/>
                <w:b/>
                <w:bCs/>
                <w:color w:val="000000"/>
                <w:sz w:val="18"/>
                <w:szCs w:val="20"/>
              </w:rPr>
              <w:t>-28,7</w:t>
            </w:r>
          </w:p>
        </w:tc>
      </w:tr>
    </w:tbl>
    <w:p w14:paraId="41C95BAE" w14:textId="77777777" w:rsidR="00C45D5B" w:rsidRPr="0004507F" w:rsidRDefault="00C45D5B" w:rsidP="0004507F">
      <w:pPr>
        <w:jc w:val="right"/>
        <w:rPr>
          <w:i/>
          <w:color w:val="000000" w:themeColor="text1"/>
          <w:sz w:val="16"/>
          <w:szCs w:val="20"/>
        </w:rPr>
      </w:pPr>
      <w:r w:rsidRPr="0004507F">
        <w:rPr>
          <w:i/>
          <w:color w:val="000000" w:themeColor="text1"/>
          <w:sz w:val="16"/>
          <w:szCs w:val="20"/>
        </w:rPr>
        <w:t>Zdroj: MF SR</w:t>
      </w:r>
    </w:p>
    <w:p w14:paraId="64CF0916" w14:textId="77777777" w:rsidR="00C45D5B" w:rsidRPr="00731628" w:rsidRDefault="00C45D5B" w:rsidP="00C45D5B">
      <w:pPr>
        <w:spacing w:before="240" w:after="120"/>
        <w:rPr>
          <w:b/>
          <w:color w:val="2C9ADC" w:themeColor="accent1"/>
          <w:lang w:eastAsia="en-US"/>
        </w:rPr>
      </w:pPr>
      <w:r>
        <w:rPr>
          <w:b/>
          <w:color w:val="2C9ADC" w:themeColor="accent1"/>
        </w:rPr>
        <w:t>Diskrečné výdavkové</w:t>
      </w:r>
      <w:r w:rsidRPr="00731628">
        <w:rPr>
          <w:b/>
          <w:color w:val="2C9ADC" w:themeColor="accent1"/>
        </w:rPr>
        <w:t xml:space="preserve"> opatrenia</w:t>
      </w:r>
    </w:p>
    <w:p w14:paraId="759C855A" w14:textId="16090BE2" w:rsidR="00C45D5B" w:rsidRPr="00B64E6E" w:rsidRDefault="00C45D5B" w:rsidP="00C45D5B">
      <w:pPr>
        <w:pStyle w:val="Popis"/>
        <w:keepNext/>
        <w:spacing w:after="0"/>
        <w:rPr>
          <w:sz w:val="20"/>
          <w:szCs w:val="20"/>
        </w:rPr>
      </w:pPr>
      <w:bookmarkStart w:id="295" w:name="_Toc101880718"/>
      <w:r w:rsidRPr="00B64E6E">
        <w:rPr>
          <w:rFonts w:eastAsiaTheme="minorHAnsi"/>
          <w:color w:val="2C9ADC"/>
          <w:sz w:val="20"/>
          <w:szCs w:val="20"/>
          <w:lang w:eastAsia="en-US"/>
        </w:rPr>
        <w:t xml:space="preserve">TABUĽKA </w:t>
      </w:r>
      <w:r w:rsidRPr="00B64E6E">
        <w:rPr>
          <w:rFonts w:eastAsiaTheme="minorHAnsi"/>
          <w:color w:val="2C9ADC"/>
          <w:sz w:val="20"/>
          <w:szCs w:val="20"/>
          <w:lang w:eastAsia="en-US"/>
        </w:rPr>
        <w:fldChar w:fldCharType="begin"/>
      </w:r>
      <w:r w:rsidRPr="00B64E6E">
        <w:rPr>
          <w:rFonts w:eastAsiaTheme="minorHAnsi"/>
          <w:color w:val="2C9ADC"/>
          <w:sz w:val="20"/>
          <w:szCs w:val="20"/>
          <w:lang w:eastAsia="en-US"/>
        </w:rPr>
        <w:instrText xml:space="preserve"> SEQ TABUĽKA \* ARABIC </w:instrText>
      </w:r>
      <w:r w:rsidRPr="00B64E6E">
        <w:rPr>
          <w:rFonts w:eastAsiaTheme="minorHAnsi"/>
          <w:color w:val="2C9ADC"/>
          <w:sz w:val="20"/>
          <w:szCs w:val="20"/>
          <w:lang w:eastAsia="en-US"/>
        </w:rPr>
        <w:fldChar w:fldCharType="separate"/>
      </w:r>
      <w:r w:rsidR="005D3280">
        <w:rPr>
          <w:rFonts w:eastAsiaTheme="minorHAnsi"/>
          <w:noProof/>
          <w:color w:val="2C9ADC"/>
          <w:sz w:val="20"/>
          <w:szCs w:val="20"/>
          <w:lang w:eastAsia="en-US"/>
        </w:rPr>
        <w:t>39</w:t>
      </w:r>
      <w:r w:rsidRPr="00B64E6E">
        <w:rPr>
          <w:rFonts w:eastAsiaTheme="minorHAnsi"/>
          <w:color w:val="2C9ADC"/>
          <w:sz w:val="20"/>
          <w:szCs w:val="20"/>
          <w:lang w:eastAsia="en-US"/>
        </w:rPr>
        <w:fldChar w:fldCharType="end"/>
      </w:r>
      <w:r w:rsidRPr="00B64E6E">
        <w:rPr>
          <w:sz w:val="20"/>
          <w:szCs w:val="20"/>
        </w:rPr>
        <w:t xml:space="preserve"> </w:t>
      </w:r>
      <w:r w:rsidRPr="00B64E6E">
        <w:rPr>
          <w:rFonts w:eastAsiaTheme="minorHAnsi"/>
          <w:b w:val="0"/>
          <w:color w:val="2C9ADC"/>
          <w:sz w:val="20"/>
          <w:szCs w:val="20"/>
          <w:lang w:eastAsia="en-US"/>
        </w:rPr>
        <w:t>–</w:t>
      </w:r>
      <w:r w:rsidRPr="00B64E6E">
        <w:rPr>
          <w:sz w:val="20"/>
          <w:szCs w:val="20"/>
        </w:rPr>
        <w:t xml:space="preserve"> Diskrečné </w:t>
      </w:r>
      <w:r>
        <w:rPr>
          <w:sz w:val="20"/>
          <w:szCs w:val="20"/>
        </w:rPr>
        <w:t>výdavkové</w:t>
      </w:r>
      <w:r w:rsidRPr="00B64E6E">
        <w:rPr>
          <w:sz w:val="20"/>
          <w:szCs w:val="20"/>
        </w:rPr>
        <w:t xml:space="preserve"> opatrenia – medziročné vplyvy opatrení (mil. eur, ESA2010)</w:t>
      </w:r>
      <w:bookmarkEnd w:id="295"/>
    </w:p>
    <w:tbl>
      <w:tblPr>
        <w:tblW w:w="9303" w:type="dxa"/>
        <w:tblLayout w:type="fixed"/>
        <w:tblLook w:val="04A0" w:firstRow="1" w:lastRow="0" w:firstColumn="1" w:lastColumn="0" w:noHBand="0" w:noVBand="1"/>
      </w:tblPr>
      <w:tblGrid>
        <w:gridCol w:w="5523"/>
        <w:gridCol w:w="756"/>
        <w:gridCol w:w="756"/>
        <w:gridCol w:w="756"/>
        <w:gridCol w:w="756"/>
        <w:gridCol w:w="756"/>
      </w:tblGrid>
      <w:tr w:rsidR="00C45D5B" w:rsidRPr="00AB54ED" w14:paraId="0633147F" w14:textId="77777777" w:rsidTr="00CF774B">
        <w:trPr>
          <w:trHeight w:val="205"/>
        </w:trPr>
        <w:tc>
          <w:tcPr>
            <w:tcW w:w="5523" w:type="dxa"/>
            <w:tcBorders>
              <w:top w:val="single" w:sz="4" w:space="0" w:color="auto"/>
              <w:left w:val="nil"/>
              <w:bottom w:val="single" w:sz="8" w:space="0" w:color="auto"/>
              <w:right w:val="nil"/>
            </w:tcBorders>
            <w:shd w:val="clear" w:color="auto" w:fill="auto"/>
            <w:noWrap/>
            <w:vAlign w:val="center"/>
            <w:hideMark/>
          </w:tcPr>
          <w:p w14:paraId="10B4D146" w14:textId="77777777" w:rsidR="00C45D5B" w:rsidRPr="00B64E6E" w:rsidRDefault="00C45D5B" w:rsidP="00CF774B">
            <w:pPr>
              <w:rPr>
                <w:rFonts w:cs="Times New Roman"/>
                <w:b/>
                <w:bCs/>
                <w:color w:val="000000" w:themeColor="text1"/>
                <w:sz w:val="20"/>
                <w:szCs w:val="20"/>
                <w:lang w:eastAsia="en-GB"/>
              </w:rPr>
            </w:pPr>
            <w:r w:rsidRPr="00B64E6E">
              <w:rPr>
                <w:rFonts w:cs="Times New Roman"/>
                <w:b/>
                <w:bCs/>
                <w:color w:val="000000" w:themeColor="text1"/>
                <w:sz w:val="20"/>
                <w:szCs w:val="20"/>
                <w:lang w:eastAsia="en-GB"/>
              </w:rPr>
              <w:t>Popis opatrenia</w:t>
            </w:r>
          </w:p>
        </w:tc>
        <w:tc>
          <w:tcPr>
            <w:tcW w:w="756" w:type="dxa"/>
            <w:tcBorders>
              <w:top w:val="single" w:sz="4" w:space="0" w:color="auto"/>
              <w:left w:val="nil"/>
              <w:bottom w:val="single" w:sz="8" w:space="0" w:color="auto"/>
              <w:right w:val="nil"/>
            </w:tcBorders>
            <w:shd w:val="clear" w:color="auto" w:fill="auto"/>
            <w:noWrap/>
            <w:vAlign w:val="center"/>
            <w:hideMark/>
          </w:tcPr>
          <w:p w14:paraId="03CD1C69"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2021</w:t>
            </w:r>
          </w:p>
        </w:tc>
        <w:tc>
          <w:tcPr>
            <w:tcW w:w="756" w:type="dxa"/>
            <w:tcBorders>
              <w:top w:val="single" w:sz="4" w:space="0" w:color="auto"/>
              <w:left w:val="nil"/>
              <w:bottom w:val="single" w:sz="8" w:space="0" w:color="auto"/>
              <w:right w:val="nil"/>
            </w:tcBorders>
            <w:shd w:val="clear" w:color="auto" w:fill="auto"/>
            <w:noWrap/>
            <w:vAlign w:val="center"/>
            <w:hideMark/>
          </w:tcPr>
          <w:p w14:paraId="6EC7A189"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2022</w:t>
            </w:r>
          </w:p>
        </w:tc>
        <w:tc>
          <w:tcPr>
            <w:tcW w:w="756" w:type="dxa"/>
            <w:tcBorders>
              <w:top w:val="single" w:sz="4" w:space="0" w:color="auto"/>
              <w:left w:val="nil"/>
              <w:bottom w:val="single" w:sz="8" w:space="0" w:color="auto"/>
              <w:right w:val="nil"/>
            </w:tcBorders>
            <w:shd w:val="clear" w:color="auto" w:fill="auto"/>
            <w:noWrap/>
            <w:vAlign w:val="center"/>
            <w:hideMark/>
          </w:tcPr>
          <w:p w14:paraId="7B8D0A37"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2023</w:t>
            </w:r>
          </w:p>
        </w:tc>
        <w:tc>
          <w:tcPr>
            <w:tcW w:w="756" w:type="dxa"/>
            <w:tcBorders>
              <w:top w:val="single" w:sz="4" w:space="0" w:color="auto"/>
              <w:left w:val="nil"/>
              <w:bottom w:val="single" w:sz="8" w:space="0" w:color="auto"/>
              <w:right w:val="nil"/>
            </w:tcBorders>
            <w:shd w:val="clear" w:color="auto" w:fill="auto"/>
            <w:noWrap/>
            <w:vAlign w:val="center"/>
            <w:hideMark/>
          </w:tcPr>
          <w:p w14:paraId="6CCDCD26"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2024</w:t>
            </w:r>
          </w:p>
        </w:tc>
        <w:tc>
          <w:tcPr>
            <w:tcW w:w="756" w:type="dxa"/>
            <w:tcBorders>
              <w:top w:val="single" w:sz="4" w:space="0" w:color="auto"/>
              <w:left w:val="nil"/>
              <w:bottom w:val="single" w:sz="8" w:space="0" w:color="auto"/>
              <w:right w:val="nil"/>
            </w:tcBorders>
            <w:shd w:val="clear" w:color="auto" w:fill="auto"/>
            <w:noWrap/>
            <w:vAlign w:val="center"/>
            <w:hideMark/>
          </w:tcPr>
          <w:p w14:paraId="2E441DAC" w14:textId="77777777" w:rsidR="00C45D5B" w:rsidRPr="00B64E6E" w:rsidRDefault="00C45D5B" w:rsidP="00CF774B">
            <w:pPr>
              <w:jc w:val="center"/>
              <w:rPr>
                <w:rFonts w:cs="Times New Roman"/>
                <w:b/>
                <w:bCs/>
                <w:color w:val="000000" w:themeColor="text1"/>
                <w:sz w:val="20"/>
                <w:szCs w:val="20"/>
                <w:lang w:eastAsia="en-GB"/>
              </w:rPr>
            </w:pPr>
            <w:r w:rsidRPr="00B64E6E">
              <w:rPr>
                <w:rFonts w:cs="Times New Roman"/>
                <w:b/>
                <w:bCs/>
                <w:color w:val="000000" w:themeColor="text1"/>
                <w:sz w:val="20"/>
                <w:szCs w:val="20"/>
                <w:lang w:eastAsia="en-GB"/>
              </w:rPr>
              <w:t>2025</w:t>
            </w:r>
          </w:p>
        </w:tc>
      </w:tr>
      <w:tr w:rsidR="00C45D5B" w:rsidRPr="00AB54ED" w14:paraId="1DFE3CF7" w14:textId="77777777" w:rsidTr="00CF774B">
        <w:trPr>
          <w:trHeight w:val="205"/>
        </w:trPr>
        <w:tc>
          <w:tcPr>
            <w:tcW w:w="5523" w:type="dxa"/>
            <w:tcBorders>
              <w:top w:val="nil"/>
              <w:left w:val="nil"/>
              <w:bottom w:val="nil"/>
              <w:right w:val="nil"/>
            </w:tcBorders>
            <w:shd w:val="clear" w:color="auto" w:fill="auto"/>
          </w:tcPr>
          <w:p w14:paraId="70A60AC6" w14:textId="77777777" w:rsidR="00C45D5B" w:rsidRPr="000600DC" w:rsidRDefault="00C45D5B" w:rsidP="00CF774B">
            <w:pPr>
              <w:rPr>
                <w:rFonts w:cs="Times New Roman"/>
                <w:color w:val="000000"/>
                <w:sz w:val="18"/>
                <w:szCs w:val="17"/>
                <w:highlight w:val="yellow"/>
                <w:lang w:eastAsia="en-GB"/>
              </w:rPr>
            </w:pPr>
            <w:r w:rsidRPr="000600DC">
              <w:rPr>
                <w:sz w:val="18"/>
              </w:rPr>
              <w:t>Zdvojnásobenie daňového bonusu pre rodičov detí do 15 rokov</w:t>
            </w:r>
          </w:p>
        </w:tc>
        <w:tc>
          <w:tcPr>
            <w:tcW w:w="756" w:type="dxa"/>
            <w:tcBorders>
              <w:top w:val="nil"/>
              <w:left w:val="nil"/>
              <w:bottom w:val="nil"/>
              <w:right w:val="nil"/>
            </w:tcBorders>
            <w:shd w:val="clear" w:color="auto" w:fill="auto"/>
            <w:noWrap/>
            <w:vAlign w:val="center"/>
          </w:tcPr>
          <w:p w14:paraId="2CF84870" w14:textId="77777777" w:rsidR="00C45D5B" w:rsidRPr="000600DC" w:rsidRDefault="00C45D5B" w:rsidP="00CF774B">
            <w:pPr>
              <w:jc w:val="center"/>
              <w:rPr>
                <w:rFonts w:cs="Times New Roman"/>
                <w:color w:val="000000"/>
                <w:sz w:val="18"/>
                <w:szCs w:val="17"/>
                <w:highlight w:val="yellow"/>
                <w:lang w:eastAsia="en-GB"/>
              </w:rPr>
            </w:pPr>
            <w:r w:rsidRPr="000600DC">
              <w:rPr>
                <w:sz w:val="18"/>
              </w:rPr>
              <w:t>26</w:t>
            </w:r>
          </w:p>
        </w:tc>
        <w:tc>
          <w:tcPr>
            <w:tcW w:w="756" w:type="dxa"/>
            <w:tcBorders>
              <w:top w:val="nil"/>
              <w:left w:val="nil"/>
              <w:bottom w:val="nil"/>
              <w:right w:val="nil"/>
            </w:tcBorders>
            <w:shd w:val="clear" w:color="auto" w:fill="auto"/>
            <w:noWrap/>
            <w:vAlign w:val="center"/>
          </w:tcPr>
          <w:p w14:paraId="4BFFC9ED" w14:textId="77777777" w:rsidR="00C45D5B" w:rsidRPr="000600DC" w:rsidRDefault="00C45D5B" w:rsidP="00CF774B">
            <w:pPr>
              <w:jc w:val="center"/>
              <w:rPr>
                <w:rFonts w:cs="Times New Roman"/>
                <w:color w:val="000000"/>
                <w:sz w:val="18"/>
                <w:szCs w:val="17"/>
                <w:highlight w:val="yellow"/>
                <w:lang w:eastAsia="en-GB"/>
              </w:rPr>
            </w:pPr>
            <w:r w:rsidRPr="000600DC">
              <w:rPr>
                <w:sz w:val="18"/>
              </w:rPr>
              <w:t>73</w:t>
            </w:r>
          </w:p>
        </w:tc>
        <w:tc>
          <w:tcPr>
            <w:tcW w:w="756" w:type="dxa"/>
            <w:tcBorders>
              <w:top w:val="nil"/>
              <w:left w:val="nil"/>
              <w:bottom w:val="nil"/>
              <w:right w:val="nil"/>
            </w:tcBorders>
            <w:shd w:val="clear" w:color="auto" w:fill="auto"/>
            <w:noWrap/>
            <w:vAlign w:val="center"/>
          </w:tcPr>
          <w:p w14:paraId="2EF26FC0"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25B5ECBF"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4F48269D"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r>
      <w:tr w:rsidR="00C45D5B" w:rsidRPr="00AB54ED" w14:paraId="2FC42353" w14:textId="77777777" w:rsidTr="00CF774B">
        <w:trPr>
          <w:trHeight w:val="205"/>
        </w:trPr>
        <w:tc>
          <w:tcPr>
            <w:tcW w:w="5523" w:type="dxa"/>
            <w:tcBorders>
              <w:top w:val="nil"/>
              <w:left w:val="nil"/>
              <w:bottom w:val="nil"/>
              <w:right w:val="nil"/>
            </w:tcBorders>
            <w:shd w:val="clear" w:color="auto" w:fill="auto"/>
          </w:tcPr>
          <w:p w14:paraId="3D7580BC" w14:textId="77777777" w:rsidR="00C45D5B" w:rsidRPr="000600DC" w:rsidRDefault="00C45D5B" w:rsidP="00CF774B">
            <w:pPr>
              <w:rPr>
                <w:rFonts w:cs="Times New Roman"/>
                <w:color w:val="000000"/>
                <w:sz w:val="18"/>
                <w:szCs w:val="17"/>
                <w:highlight w:val="yellow"/>
                <w:lang w:eastAsia="en-GB"/>
              </w:rPr>
            </w:pPr>
            <w:r w:rsidRPr="000600DC">
              <w:rPr>
                <w:sz w:val="18"/>
              </w:rPr>
              <w:t>Novela zákona o kompenzácií ZŤP – navýšenie PP na kompenzáciu ZŤP a PP na opatrovanie od júla 2020</w:t>
            </w:r>
          </w:p>
        </w:tc>
        <w:tc>
          <w:tcPr>
            <w:tcW w:w="756" w:type="dxa"/>
            <w:tcBorders>
              <w:top w:val="nil"/>
              <w:left w:val="nil"/>
              <w:bottom w:val="nil"/>
              <w:right w:val="nil"/>
            </w:tcBorders>
            <w:shd w:val="clear" w:color="auto" w:fill="auto"/>
            <w:noWrap/>
            <w:vAlign w:val="center"/>
          </w:tcPr>
          <w:p w14:paraId="5FD87E31" w14:textId="77777777" w:rsidR="00C45D5B" w:rsidRPr="000600DC" w:rsidRDefault="00C45D5B" w:rsidP="00CF774B">
            <w:pPr>
              <w:jc w:val="center"/>
              <w:rPr>
                <w:rFonts w:cs="Times New Roman"/>
                <w:color w:val="000000"/>
                <w:sz w:val="18"/>
                <w:szCs w:val="17"/>
                <w:highlight w:val="yellow"/>
                <w:lang w:eastAsia="en-GB"/>
              </w:rPr>
            </w:pPr>
            <w:r w:rsidRPr="000600DC">
              <w:rPr>
                <w:sz w:val="18"/>
              </w:rPr>
              <w:t>26</w:t>
            </w:r>
          </w:p>
        </w:tc>
        <w:tc>
          <w:tcPr>
            <w:tcW w:w="756" w:type="dxa"/>
            <w:tcBorders>
              <w:top w:val="nil"/>
              <w:left w:val="nil"/>
              <w:bottom w:val="nil"/>
              <w:right w:val="nil"/>
            </w:tcBorders>
            <w:shd w:val="clear" w:color="auto" w:fill="auto"/>
            <w:noWrap/>
            <w:vAlign w:val="center"/>
          </w:tcPr>
          <w:p w14:paraId="0F6E0C19"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0BD2DCF3"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3372FCCB"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5D58B928"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r>
      <w:tr w:rsidR="00C45D5B" w:rsidRPr="00AB54ED" w14:paraId="149681AC" w14:textId="77777777" w:rsidTr="00CF774B">
        <w:trPr>
          <w:trHeight w:val="205"/>
        </w:trPr>
        <w:tc>
          <w:tcPr>
            <w:tcW w:w="5523" w:type="dxa"/>
            <w:tcBorders>
              <w:top w:val="nil"/>
              <w:left w:val="nil"/>
              <w:bottom w:val="nil"/>
              <w:right w:val="nil"/>
            </w:tcBorders>
            <w:shd w:val="clear" w:color="auto" w:fill="auto"/>
          </w:tcPr>
          <w:p w14:paraId="128C014B" w14:textId="77777777" w:rsidR="00C45D5B" w:rsidRPr="000600DC" w:rsidRDefault="00C45D5B" w:rsidP="00CF774B">
            <w:pPr>
              <w:rPr>
                <w:rFonts w:cs="Times New Roman"/>
                <w:color w:val="000000"/>
                <w:sz w:val="18"/>
                <w:szCs w:val="17"/>
                <w:highlight w:val="yellow"/>
                <w:lang w:eastAsia="en-GB"/>
              </w:rPr>
            </w:pPr>
            <w:r w:rsidRPr="000600DC">
              <w:rPr>
                <w:sz w:val="18"/>
              </w:rPr>
              <w:t>Novela zákona o sociálnom poistení – spomalenie rastu dôchodkového veku</w:t>
            </w:r>
          </w:p>
        </w:tc>
        <w:tc>
          <w:tcPr>
            <w:tcW w:w="756" w:type="dxa"/>
            <w:tcBorders>
              <w:top w:val="nil"/>
              <w:left w:val="nil"/>
              <w:bottom w:val="nil"/>
              <w:right w:val="nil"/>
            </w:tcBorders>
            <w:shd w:val="clear" w:color="auto" w:fill="auto"/>
            <w:noWrap/>
            <w:vAlign w:val="center"/>
          </w:tcPr>
          <w:p w14:paraId="201A616E" w14:textId="77777777" w:rsidR="00C45D5B" w:rsidRPr="000600DC" w:rsidRDefault="00C45D5B" w:rsidP="00CF774B">
            <w:pPr>
              <w:jc w:val="center"/>
              <w:rPr>
                <w:rFonts w:cs="Times New Roman"/>
                <w:color w:val="000000"/>
                <w:sz w:val="18"/>
                <w:szCs w:val="17"/>
                <w:highlight w:val="yellow"/>
                <w:lang w:eastAsia="en-GB"/>
              </w:rPr>
            </w:pPr>
            <w:r w:rsidRPr="000600DC">
              <w:rPr>
                <w:sz w:val="18"/>
              </w:rPr>
              <w:t>18</w:t>
            </w:r>
          </w:p>
        </w:tc>
        <w:tc>
          <w:tcPr>
            <w:tcW w:w="756" w:type="dxa"/>
            <w:tcBorders>
              <w:top w:val="nil"/>
              <w:left w:val="nil"/>
              <w:bottom w:val="nil"/>
              <w:right w:val="nil"/>
            </w:tcBorders>
            <w:shd w:val="clear" w:color="auto" w:fill="auto"/>
            <w:noWrap/>
            <w:vAlign w:val="center"/>
          </w:tcPr>
          <w:p w14:paraId="2F1881DE" w14:textId="77777777" w:rsidR="00C45D5B" w:rsidRPr="000600DC" w:rsidRDefault="00C45D5B" w:rsidP="00CF774B">
            <w:pPr>
              <w:jc w:val="center"/>
              <w:rPr>
                <w:rFonts w:cs="Times New Roman"/>
                <w:sz w:val="18"/>
                <w:szCs w:val="17"/>
                <w:highlight w:val="yellow"/>
                <w:lang w:eastAsia="en-GB"/>
              </w:rPr>
            </w:pPr>
            <w:r w:rsidRPr="000600DC">
              <w:rPr>
                <w:sz w:val="18"/>
              </w:rPr>
              <w:t>10</w:t>
            </w:r>
          </w:p>
        </w:tc>
        <w:tc>
          <w:tcPr>
            <w:tcW w:w="756" w:type="dxa"/>
            <w:tcBorders>
              <w:top w:val="nil"/>
              <w:left w:val="nil"/>
              <w:bottom w:val="nil"/>
              <w:right w:val="nil"/>
            </w:tcBorders>
            <w:shd w:val="clear" w:color="auto" w:fill="auto"/>
            <w:noWrap/>
            <w:vAlign w:val="center"/>
          </w:tcPr>
          <w:p w14:paraId="5A3AF15F"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224AAD8B"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25F073C8" w14:textId="77777777" w:rsidR="00C45D5B" w:rsidRPr="000600DC" w:rsidRDefault="00C45D5B" w:rsidP="00CF774B">
            <w:pPr>
              <w:jc w:val="center"/>
              <w:rPr>
                <w:rFonts w:cs="Times New Roman"/>
                <w:sz w:val="18"/>
                <w:szCs w:val="17"/>
                <w:highlight w:val="yellow"/>
                <w:lang w:eastAsia="en-GB"/>
              </w:rPr>
            </w:pPr>
            <w:r w:rsidRPr="000600DC">
              <w:rPr>
                <w:sz w:val="18"/>
              </w:rPr>
              <w:t>0</w:t>
            </w:r>
          </w:p>
        </w:tc>
      </w:tr>
      <w:tr w:rsidR="00C45D5B" w:rsidRPr="00AB54ED" w14:paraId="6350FFA5" w14:textId="77777777" w:rsidTr="00CF774B">
        <w:trPr>
          <w:trHeight w:val="205"/>
        </w:trPr>
        <w:tc>
          <w:tcPr>
            <w:tcW w:w="5523" w:type="dxa"/>
            <w:tcBorders>
              <w:top w:val="nil"/>
              <w:left w:val="nil"/>
              <w:bottom w:val="nil"/>
              <w:right w:val="nil"/>
            </w:tcBorders>
            <w:shd w:val="clear" w:color="auto" w:fill="auto"/>
          </w:tcPr>
          <w:p w14:paraId="6CF957EF" w14:textId="77777777" w:rsidR="00C45D5B" w:rsidRPr="000600DC" w:rsidRDefault="00C45D5B" w:rsidP="00CF774B">
            <w:pPr>
              <w:rPr>
                <w:rFonts w:cs="Times New Roman"/>
                <w:color w:val="000000"/>
                <w:sz w:val="18"/>
                <w:szCs w:val="17"/>
                <w:highlight w:val="yellow"/>
                <w:lang w:eastAsia="en-GB"/>
              </w:rPr>
            </w:pPr>
            <w:r w:rsidRPr="000600DC">
              <w:rPr>
                <w:sz w:val="18"/>
              </w:rPr>
              <w:t>Zmrazenie rastu výšky minimálnych dôchodkov</w:t>
            </w:r>
          </w:p>
        </w:tc>
        <w:tc>
          <w:tcPr>
            <w:tcW w:w="756" w:type="dxa"/>
            <w:tcBorders>
              <w:top w:val="nil"/>
              <w:left w:val="nil"/>
              <w:bottom w:val="nil"/>
              <w:right w:val="nil"/>
            </w:tcBorders>
            <w:shd w:val="clear" w:color="auto" w:fill="auto"/>
            <w:noWrap/>
            <w:vAlign w:val="center"/>
          </w:tcPr>
          <w:p w14:paraId="34AF4B5C" w14:textId="77777777" w:rsidR="00C45D5B" w:rsidRPr="000600DC" w:rsidRDefault="00C45D5B" w:rsidP="00CF774B">
            <w:pPr>
              <w:jc w:val="center"/>
              <w:rPr>
                <w:rFonts w:cs="Times New Roman"/>
                <w:color w:val="000000"/>
                <w:sz w:val="18"/>
                <w:szCs w:val="17"/>
                <w:highlight w:val="yellow"/>
                <w:lang w:eastAsia="en-GB"/>
              </w:rPr>
            </w:pPr>
            <w:r w:rsidRPr="000600DC">
              <w:rPr>
                <w:sz w:val="18"/>
              </w:rPr>
              <w:t>-59</w:t>
            </w:r>
          </w:p>
        </w:tc>
        <w:tc>
          <w:tcPr>
            <w:tcW w:w="756" w:type="dxa"/>
            <w:tcBorders>
              <w:top w:val="nil"/>
              <w:left w:val="nil"/>
              <w:bottom w:val="nil"/>
              <w:right w:val="nil"/>
            </w:tcBorders>
            <w:shd w:val="clear" w:color="auto" w:fill="auto"/>
            <w:noWrap/>
            <w:vAlign w:val="center"/>
          </w:tcPr>
          <w:p w14:paraId="43EAD2AD"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22A110EA"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1812A139"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1DBFD4BC" w14:textId="77777777" w:rsidR="00C45D5B" w:rsidRPr="000600DC" w:rsidRDefault="00C45D5B" w:rsidP="00CF774B">
            <w:pPr>
              <w:jc w:val="center"/>
              <w:rPr>
                <w:rFonts w:cs="Times New Roman"/>
                <w:sz w:val="18"/>
                <w:szCs w:val="17"/>
                <w:highlight w:val="yellow"/>
                <w:lang w:eastAsia="en-GB"/>
              </w:rPr>
            </w:pPr>
            <w:r w:rsidRPr="000600DC">
              <w:rPr>
                <w:sz w:val="18"/>
              </w:rPr>
              <w:t>0</w:t>
            </w:r>
          </w:p>
        </w:tc>
      </w:tr>
      <w:tr w:rsidR="00C45D5B" w:rsidRPr="00AB54ED" w14:paraId="21A43E0C" w14:textId="77777777" w:rsidTr="00CF774B">
        <w:trPr>
          <w:trHeight w:val="205"/>
        </w:trPr>
        <w:tc>
          <w:tcPr>
            <w:tcW w:w="5523" w:type="dxa"/>
            <w:tcBorders>
              <w:top w:val="nil"/>
              <w:left w:val="nil"/>
              <w:bottom w:val="nil"/>
              <w:right w:val="nil"/>
            </w:tcBorders>
            <w:shd w:val="clear" w:color="auto" w:fill="auto"/>
          </w:tcPr>
          <w:p w14:paraId="356C447E" w14:textId="77777777" w:rsidR="00C45D5B" w:rsidRPr="000600DC" w:rsidRDefault="00C45D5B" w:rsidP="00CF774B">
            <w:pPr>
              <w:rPr>
                <w:rFonts w:cs="Times New Roman"/>
                <w:color w:val="000000"/>
                <w:sz w:val="18"/>
                <w:szCs w:val="17"/>
                <w:highlight w:val="yellow"/>
                <w:lang w:eastAsia="en-GB"/>
              </w:rPr>
            </w:pPr>
            <w:r w:rsidRPr="000600DC">
              <w:rPr>
                <w:sz w:val="18"/>
              </w:rPr>
              <w:t>Povinné predprimárne vzdelávanie v materských školách - medzispotreba</w:t>
            </w:r>
          </w:p>
        </w:tc>
        <w:tc>
          <w:tcPr>
            <w:tcW w:w="756" w:type="dxa"/>
            <w:tcBorders>
              <w:top w:val="nil"/>
              <w:left w:val="nil"/>
              <w:bottom w:val="nil"/>
              <w:right w:val="nil"/>
            </w:tcBorders>
            <w:shd w:val="clear" w:color="auto" w:fill="auto"/>
            <w:noWrap/>
            <w:vAlign w:val="center"/>
          </w:tcPr>
          <w:p w14:paraId="158C70AA" w14:textId="77777777" w:rsidR="00C45D5B" w:rsidRPr="000600DC" w:rsidRDefault="00C45D5B" w:rsidP="00CF774B">
            <w:pPr>
              <w:jc w:val="center"/>
              <w:rPr>
                <w:rFonts w:cs="Times New Roman"/>
                <w:sz w:val="18"/>
                <w:szCs w:val="17"/>
                <w:highlight w:val="yellow"/>
                <w:lang w:eastAsia="en-GB"/>
              </w:rPr>
            </w:pPr>
            <w:r w:rsidRPr="000600DC">
              <w:rPr>
                <w:sz w:val="18"/>
              </w:rPr>
              <w:t>35</w:t>
            </w:r>
          </w:p>
        </w:tc>
        <w:tc>
          <w:tcPr>
            <w:tcW w:w="756" w:type="dxa"/>
            <w:tcBorders>
              <w:top w:val="nil"/>
              <w:left w:val="nil"/>
              <w:bottom w:val="nil"/>
              <w:right w:val="nil"/>
            </w:tcBorders>
            <w:shd w:val="clear" w:color="auto" w:fill="auto"/>
            <w:noWrap/>
            <w:vAlign w:val="center"/>
          </w:tcPr>
          <w:p w14:paraId="47CAE9E5"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4E7BE29D"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01B17482"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0FCF600B" w14:textId="77777777" w:rsidR="00C45D5B" w:rsidRPr="000600DC" w:rsidRDefault="00C45D5B" w:rsidP="00CF774B">
            <w:pPr>
              <w:jc w:val="center"/>
              <w:rPr>
                <w:rFonts w:cs="Times New Roman"/>
                <w:sz w:val="18"/>
                <w:szCs w:val="17"/>
                <w:highlight w:val="yellow"/>
                <w:lang w:eastAsia="en-GB"/>
              </w:rPr>
            </w:pPr>
            <w:r w:rsidRPr="000600DC">
              <w:rPr>
                <w:sz w:val="18"/>
              </w:rPr>
              <w:t>0</w:t>
            </w:r>
          </w:p>
        </w:tc>
      </w:tr>
      <w:tr w:rsidR="00C45D5B" w:rsidRPr="00AB54ED" w14:paraId="64499ECC" w14:textId="77777777" w:rsidTr="00CF774B">
        <w:trPr>
          <w:trHeight w:val="205"/>
        </w:trPr>
        <w:tc>
          <w:tcPr>
            <w:tcW w:w="5523" w:type="dxa"/>
            <w:tcBorders>
              <w:top w:val="nil"/>
              <w:left w:val="nil"/>
              <w:bottom w:val="nil"/>
              <w:right w:val="nil"/>
            </w:tcBorders>
            <w:shd w:val="clear" w:color="auto" w:fill="auto"/>
          </w:tcPr>
          <w:p w14:paraId="34ED17BE" w14:textId="77777777" w:rsidR="00C45D5B" w:rsidRPr="000600DC" w:rsidRDefault="00C45D5B" w:rsidP="00CF774B">
            <w:pPr>
              <w:rPr>
                <w:rFonts w:cs="Times New Roman"/>
                <w:color w:val="000000"/>
                <w:sz w:val="18"/>
                <w:szCs w:val="17"/>
                <w:highlight w:val="yellow"/>
                <w:lang w:eastAsia="en-GB"/>
              </w:rPr>
            </w:pPr>
            <w:r w:rsidRPr="000600DC">
              <w:rPr>
                <w:sz w:val="18"/>
              </w:rPr>
              <w:t>Príspevok na výchovu a vzdelávanie detí v materských školách</w:t>
            </w:r>
          </w:p>
        </w:tc>
        <w:tc>
          <w:tcPr>
            <w:tcW w:w="756" w:type="dxa"/>
            <w:tcBorders>
              <w:top w:val="nil"/>
              <w:left w:val="nil"/>
              <w:bottom w:val="nil"/>
              <w:right w:val="nil"/>
            </w:tcBorders>
            <w:shd w:val="clear" w:color="auto" w:fill="auto"/>
            <w:noWrap/>
            <w:vAlign w:val="center"/>
          </w:tcPr>
          <w:p w14:paraId="06B4B582" w14:textId="77777777" w:rsidR="00C45D5B" w:rsidRPr="000600DC" w:rsidRDefault="00C45D5B" w:rsidP="00CF774B">
            <w:pPr>
              <w:jc w:val="center"/>
              <w:rPr>
                <w:rFonts w:cs="Times New Roman"/>
                <w:color w:val="000000"/>
                <w:sz w:val="18"/>
                <w:szCs w:val="17"/>
                <w:highlight w:val="yellow"/>
                <w:lang w:eastAsia="en-GB"/>
              </w:rPr>
            </w:pPr>
            <w:r w:rsidRPr="000600DC">
              <w:rPr>
                <w:sz w:val="18"/>
              </w:rPr>
              <w:t>15</w:t>
            </w:r>
          </w:p>
        </w:tc>
        <w:tc>
          <w:tcPr>
            <w:tcW w:w="756" w:type="dxa"/>
            <w:tcBorders>
              <w:top w:val="nil"/>
              <w:left w:val="nil"/>
              <w:bottom w:val="nil"/>
              <w:right w:val="nil"/>
            </w:tcBorders>
            <w:shd w:val="clear" w:color="auto" w:fill="auto"/>
            <w:noWrap/>
            <w:vAlign w:val="center"/>
          </w:tcPr>
          <w:p w14:paraId="5DA3FBC4" w14:textId="77777777" w:rsidR="00C45D5B" w:rsidRPr="000600DC" w:rsidRDefault="00C45D5B" w:rsidP="00CF774B">
            <w:pPr>
              <w:jc w:val="center"/>
              <w:rPr>
                <w:rFonts w:cs="Times New Roman"/>
                <w:color w:val="000000"/>
                <w:sz w:val="18"/>
                <w:szCs w:val="17"/>
                <w:highlight w:val="yellow"/>
                <w:lang w:eastAsia="en-GB"/>
              </w:rPr>
            </w:pPr>
            <w:r w:rsidRPr="000600DC">
              <w:rPr>
                <w:sz w:val="18"/>
              </w:rPr>
              <w:t>11</w:t>
            </w:r>
          </w:p>
        </w:tc>
        <w:tc>
          <w:tcPr>
            <w:tcW w:w="756" w:type="dxa"/>
            <w:tcBorders>
              <w:top w:val="nil"/>
              <w:left w:val="nil"/>
              <w:bottom w:val="nil"/>
              <w:right w:val="nil"/>
            </w:tcBorders>
            <w:shd w:val="clear" w:color="auto" w:fill="auto"/>
            <w:noWrap/>
            <w:vAlign w:val="center"/>
          </w:tcPr>
          <w:p w14:paraId="76FE693D"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19183D9A"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51FFFAE9" w14:textId="77777777" w:rsidR="00C45D5B" w:rsidRPr="000600DC" w:rsidRDefault="00C45D5B" w:rsidP="00CF774B">
            <w:pPr>
              <w:jc w:val="center"/>
              <w:rPr>
                <w:rFonts w:cs="Times New Roman"/>
                <w:sz w:val="18"/>
                <w:szCs w:val="17"/>
                <w:highlight w:val="yellow"/>
                <w:lang w:eastAsia="en-GB"/>
              </w:rPr>
            </w:pPr>
            <w:r w:rsidRPr="000600DC">
              <w:rPr>
                <w:sz w:val="18"/>
              </w:rPr>
              <w:t>0</w:t>
            </w:r>
          </w:p>
        </w:tc>
      </w:tr>
      <w:tr w:rsidR="00C45D5B" w:rsidRPr="00AB54ED" w14:paraId="6F35C40A" w14:textId="77777777" w:rsidTr="00CF774B">
        <w:trPr>
          <w:trHeight w:val="205"/>
        </w:trPr>
        <w:tc>
          <w:tcPr>
            <w:tcW w:w="5523" w:type="dxa"/>
            <w:tcBorders>
              <w:top w:val="nil"/>
              <w:left w:val="nil"/>
              <w:bottom w:val="nil"/>
              <w:right w:val="nil"/>
            </w:tcBorders>
            <w:shd w:val="clear" w:color="auto" w:fill="auto"/>
          </w:tcPr>
          <w:p w14:paraId="775DF65C" w14:textId="77777777" w:rsidR="00C45D5B" w:rsidRPr="000600DC" w:rsidRDefault="00C45D5B" w:rsidP="00CF774B">
            <w:pPr>
              <w:rPr>
                <w:rFonts w:cs="Times New Roman"/>
                <w:color w:val="000000"/>
                <w:sz w:val="18"/>
                <w:szCs w:val="17"/>
                <w:highlight w:val="yellow"/>
                <w:lang w:eastAsia="en-GB"/>
              </w:rPr>
            </w:pPr>
            <w:r w:rsidRPr="000600DC">
              <w:rPr>
                <w:sz w:val="18"/>
              </w:rPr>
              <w:t>Platba za dostupnosť D4/R7</w:t>
            </w:r>
          </w:p>
        </w:tc>
        <w:tc>
          <w:tcPr>
            <w:tcW w:w="756" w:type="dxa"/>
            <w:tcBorders>
              <w:top w:val="nil"/>
              <w:left w:val="nil"/>
              <w:bottom w:val="nil"/>
              <w:right w:val="nil"/>
            </w:tcBorders>
            <w:shd w:val="clear" w:color="auto" w:fill="auto"/>
            <w:noWrap/>
            <w:vAlign w:val="center"/>
          </w:tcPr>
          <w:p w14:paraId="6AC12A18"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0F78D288" w14:textId="77777777" w:rsidR="00C45D5B" w:rsidRPr="000600DC" w:rsidRDefault="00C45D5B" w:rsidP="00CF774B">
            <w:pPr>
              <w:jc w:val="center"/>
              <w:rPr>
                <w:rFonts w:cs="Times New Roman"/>
                <w:color w:val="000000"/>
                <w:sz w:val="18"/>
                <w:szCs w:val="17"/>
                <w:highlight w:val="yellow"/>
                <w:lang w:eastAsia="en-GB"/>
              </w:rPr>
            </w:pPr>
            <w:r w:rsidRPr="000600DC">
              <w:rPr>
                <w:sz w:val="18"/>
              </w:rPr>
              <w:t>26</w:t>
            </w:r>
          </w:p>
        </w:tc>
        <w:tc>
          <w:tcPr>
            <w:tcW w:w="756" w:type="dxa"/>
            <w:tcBorders>
              <w:top w:val="nil"/>
              <w:left w:val="nil"/>
              <w:bottom w:val="nil"/>
              <w:right w:val="nil"/>
            </w:tcBorders>
            <w:shd w:val="clear" w:color="auto" w:fill="auto"/>
            <w:noWrap/>
            <w:vAlign w:val="center"/>
          </w:tcPr>
          <w:p w14:paraId="29316FE4" w14:textId="77777777" w:rsidR="00C45D5B" w:rsidRPr="000600DC" w:rsidRDefault="00C45D5B" w:rsidP="00CF774B">
            <w:pPr>
              <w:jc w:val="center"/>
              <w:rPr>
                <w:rFonts w:cs="Times New Roman"/>
                <w:sz w:val="18"/>
                <w:szCs w:val="17"/>
                <w:highlight w:val="yellow"/>
                <w:lang w:eastAsia="en-GB"/>
              </w:rPr>
            </w:pPr>
            <w:r w:rsidRPr="000600DC">
              <w:rPr>
                <w:sz w:val="18"/>
              </w:rPr>
              <w:t>27</w:t>
            </w:r>
          </w:p>
        </w:tc>
        <w:tc>
          <w:tcPr>
            <w:tcW w:w="756" w:type="dxa"/>
            <w:tcBorders>
              <w:top w:val="nil"/>
              <w:left w:val="nil"/>
              <w:bottom w:val="nil"/>
              <w:right w:val="nil"/>
            </w:tcBorders>
            <w:shd w:val="clear" w:color="auto" w:fill="auto"/>
            <w:noWrap/>
            <w:vAlign w:val="center"/>
          </w:tcPr>
          <w:p w14:paraId="689E586A" w14:textId="77777777" w:rsidR="00C45D5B" w:rsidRPr="000600DC" w:rsidRDefault="00C45D5B" w:rsidP="00CF774B">
            <w:pPr>
              <w:jc w:val="center"/>
              <w:rPr>
                <w:rFonts w:cs="Times New Roman"/>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1DB2CB81" w14:textId="77777777" w:rsidR="00C45D5B" w:rsidRPr="000600DC" w:rsidRDefault="00C45D5B" w:rsidP="00CF774B">
            <w:pPr>
              <w:jc w:val="center"/>
              <w:rPr>
                <w:rFonts w:cs="Times New Roman"/>
                <w:sz w:val="18"/>
                <w:szCs w:val="17"/>
                <w:highlight w:val="yellow"/>
                <w:lang w:eastAsia="en-GB"/>
              </w:rPr>
            </w:pPr>
            <w:r w:rsidRPr="000600DC">
              <w:rPr>
                <w:sz w:val="18"/>
              </w:rPr>
              <w:t>0</w:t>
            </w:r>
          </w:p>
        </w:tc>
      </w:tr>
      <w:tr w:rsidR="00C45D5B" w:rsidRPr="00AB54ED" w14:paraId="5D19051B" w14:textId="77777777" w:rsidTr="00CF774B">
        <w:trPr>
          <w:trHeight w:val="205"/>
        </w:trPr>
        <w:tc>
          <w:tcPr>
            <w:tcW w:w="5523" w:type="dxa"/>
            <w:tcBorders>
              <w:top w:val="nil"/>
              <w:left w:val="nil"/>
              <w:bottom w:val="nil"/>
              <w:right w:val="nil"/>
            </w:tcBorders>
            <w:shd w:val="clear" w:color="auto" w:fill="auto"/>
          </w:tcPr>
          <w:p w14:paraId="7CAEABF7" w14:textId="77777777" w:rsidR="00C45D5B" w:rsidRPr="000600DC" w:rsidRDefault="00C45D5B" w:rsidP="00CF774B">
            <w:pPr>
              <w:rPr>
                <w:rFonts w:cs="Times New Roman"/>
                <w:color w:val="000000"/>
                <w:sz w:val="18"/>
                <w:szCs w:val="17"/>
                <w:highlight w:val="yellow"/>
                <w:lang w:eastAsia="en-GB"/>
              </w:rPr>
            </w:pPr>
            <w:r w:rsidRPr="000600DC">
              <w:rPr>
                <w:sz w:val="18"/>
              </w:rPr>
              <w:t>Rezerva na riešenie v</w:t>
            </w:r>
            <w:r>
              <w:rPr>
                <w:sz w:val="18"/>
              </w:rPr>
              <w:t>plyvov legislatívnych zmien</w:t>
            </w:r>
          </w:p>
        </w:tc>
        <w:tc>
          <w:tcPr>
            <w:tcW w:w="756" w:type="dxa"/>
            <w:tcBorders>
              <w:top w:val="nil"/>
              <w:left w:val="nil"/>
              <w:bottom w:val="nil"/>
              <w:right w:val="nil"/>
            </w:tcBorders>
            <w:shd w:val="clear" w:color="auto" w:fill="auto"/>
            <w:noWrap/>
            <w:vAlign w:val="center"/>
          </w:tcPr>
          <w:p w14:paraId="54081824"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55930F31" w14:textId="77777777" w:rsidR="00C45D5B" w:rsidRPr="000600DC" w:rsidRDefault="00C45D5B" w:rsidP="00CF774B">
            <w:pPr>
              <w:jc w:val="center"/>
              <w:rPr>
                <w:rFonts w:cs="Times New Roman"/>
                <w:color w:val="000000"/>
                <w:sz w:val="18"/>
                <w:szCs w:val="17"/>
                <w:highlight w:val="yellow"/>
                <w:lang w:eastAsia="en-GB"/>
              </w:rPr>
            </w:pPr>
            <w:r w:rsidRPr="000600DC">
              <w:rPr>
                <w:sz w:val="18"/>
              </w:rPr>
              <w:t>128</w:t>
            </w:r>
          </w:p>
        </w:tc>
        <w:tc>
          <w:tcPr>
            <w:tcW w:w="756" w:type="dxa"/>
            <w:tcBorders>
              <w:top w:val="nil"/>
              <w:left w:val="nil"/>
              <w:bottom w:val="nil"/>
              <w:right w:val="nil"/>
            </w:tcBorders>
            <w:shd w:val="clear" w:color="auto" w:fill="auto"/>
            <w:noWrap/>
            <w:vAlign w:val="center"/>
          </w:tcPr>
          <w:p w14:paraId="05BABD25" w14:textId="77777777" w:rsidR="00C45D5B" w:rsidRPr="000600DC" w:rsidRDefault="00C45D5B" w:rsidP="00CF774B">
            <w:pPr>
              <w:jc w:val="center"/>
              <w:rPr>
                <w:rFonts w:cs="Times New Roman"/>
                <w:sz w:val="18"/>
                <w:szCs w:val="17"/>
                <w:highlight w:val="yellow"/>
                <w:lang w:eastAsia="en-GB"/>
              </w:rPr>
            </w:pPr>
            <w:r w:rsidRPr="000600DC">
              <w:rPr>
                <w:sz w:val="18"/>
              </w:rPr>
              <w:t>101</w:t>
            </w:r>
          </w:p>
        </w:tc>
        <w:tc>
          <w:tcPr>
            <w:tcW w:w="756" w:type="dxa"/>
            <w:tcBorders>
              <w:top w:val="nil"/>
              <w:left w:val="nil"/>
              <w:bottom w:val="nil"/>
              <w:right w:val="nil"/>
            </w:tcBorders>
            <w:shd w:val="clear" w:color="auto" w:fill="auto"/>
            <w:noWrap/>
            <w:vAlign w:val="center"/>
          </w:tcPr>
          <w:p w14:paraId="67F6EEF5" w14:textId="77777777" w:rsidR="00C45D5B" w:rsidRPr="000600DC" w:rsidRDefault="00C45D5B" w:rsidP="00CF774B">
            <w:pPr>
              <w:jc w:val="center"/>
              <w:rPr>
                <w:rFonts w:cs="Times New Roman"/>
                <w:sz w:val="18"/>
                <w:szCs w:val="17"/>
                <w:highlight w:val="yellow"/>
                <w:lang w:eastAsia="en-GB"/>
              </w:rPr>
            </w:pPr>
            <w:r w:rsidRPr="000600DC">
              <w:rPr>
                <w:sz w:val="18"/>
              </w:rPr>
              <w:t>-14</w:t>
            </w:r>
          </w:p>
        </w:tc>
        <w:tc>
          <w:tcPr>
            <w:tcW w:w="756" w:type="dxa"/>
            <w:tcBorders>
              <w:top w:val="nil"/>
              <w:left w:val="nil"/>
              <w:bottom w:val="nil"/>
              <w:right w:val="nil"/>
            </w:tcBorders>
            <w:shd w:val="clear" w:color="auto" w:fill="auto"/>
            <w:noWrap/>
            <w:vAlign w:val="center"/>
          </w:tcPr>
          <w:p w14:paraId="073A27E4" w14:textId="77777777" w:rsidR="00C45D5B" w:rsidRPr="000600DC" w:rsidRDefault="00C45D5B" w:rsidP="00CF774B">
            <w:pPr>
              <w:jc w:val="center"/>
              <w:rPr>
                <w:rFonts w:cs="Times New Roman"/>
                <w:sz w:val="18"/>
                <w:szCs w:val="17"/>
                <w:highlight w:val="yellow"/>
                <w:lang w:eastAsia="en-GB"/>
              </w:rPr>
            </w:pPr>
            <w:r w:rsidRPr="000600DC">
              <w:rPr>
                <w:sz w:val="18"/>
              </w:rPr>
              <w:t>-5</w:t>
            </w:r>
          </w:p>
        </w:tc>
      </w:tr>
      <w:tr w:rsidR="00C45D5B" w:rsidRPr="00AB54ED" w14:paraId="706F2F1C" w14:textId="77777777" w:rsidTr="00CF774B">
        <w:trPr>
          <w:trHeight w:val="205"/>
        </w:trPr>
        <w:tc>
          <w:tcPr>
            <w:tcW w:w="5523" w:type="dxa"/>
            <w:tcBorders>
              <w:top w:val="nil"/>
              <w:left w:val="nil"/>
              <w:bottom w:val="nil"/>
              <w:right w:val="nil"/>
            </w:tcBorders>
            <w:shd w:val="clear" w:color="auto" w:fill="auto"/>
          </w:tcPr>
          <w:p w14:paraId="23E5CE41" w14:textId="77777777" w:rsidR="00C45D5B" w:rsidRPr="000600DC" w:rsidRDefault="00C45D5B" w:rsidP="00CF774B">
            <w:pPr>
              <w:rPr>
                <w:rFonts w:cs="Times New Roman"/>
                <w:color w:val="000000"/>
                <w:sz w:val="18"/>
                <w:szCs w:val="17"/>
                <w:highlight w:val="yellow"/>
                <w:lang w:eastAsia="en-GB"/>
              </w:rPr>
            </w:pPr>
            <w:r w:rsidRPr="000600DC">
              <w:rPr>
                <w:sz w:val="18"/>
              </w:rPr>
              <w:t>Rezerva na o</w:t>
            </w:r>
            <w:r>
              <w:rPr>
                <w:sz w:val="18"/>
              </w:rPr>
              <w:t>patrenia kompenzujúce infláciu</w:t>
            </w:r>
          </w:p>
        </w:tc>
        <w:tc>
          <w:tcPr>
            <w:tcW w:w="756" w:type="dxa"/>
            <w:tcBorders>
              <w:top w:val="nil"/>
              <w:left w:val="nil"/>
              <w:bottom w:val="nil"/>
              <w:right w:val="nil"/>
            </w:tcBorders>
            <w:shd w:val="clear" w:color="auto" w:fill="auto"/>
            <w:noWrap/>
            <w:vAlign w:val="center"/>
          </w:tcPr>
          <w:p w14:paraId="4226473D"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5187CEC5" w14:textId="77777777" w:rsidR="00C45D5B" w:rsidRPr="000600DC" w:rsidRDefault="00C45D5B" w:rsidP="00CF774B">
            <w:pPr>
              <w:jc w:val="center"/>
              <w:rPr>
                <w:rFonts w:cs="Times New Roman"/>
                <w:color w:val="000000"/>
                <w:sz w:val="18"/>
                <w:szCs w:val="17"/>
                <w:highlight w:val="yellow"/>
                <w:lang w:eastAsia="en-GB"/>
              </w:rPr>
            </w:pPr>
            <w:r w:rsidRPr="000600DC">
              <w:rPr>
                <w:sz w:val="18"/>
              </w:rPr>
              <w:t>319</w:t>
            </w:r>
          </w:p>
        </w:tc>
        <w:tc>
          <w:tcPr>
            <w:tcW w:w="756" w:type="dxa"/>
            <w:tcBorders>
              <w:top w:val="nil"/>
              <w:left w:val="nil"/>
              <w:bottom w:val="nil"/>
              <w:right w:val="nil"/>
            </w:tcBorders>
            <w:shd w:val="clear" w:color="auto" w:fill="auto"/>
            <w:noWrap/>
            <w:vAlign w:val="center"/>
          </w:tcPr>
          <w:p w14:paraId="62142CB6"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3B043775"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bottom w:val="nil"/>
              <w:right w:val="nil"/>
            </w:tcBorders>
            <w:shd w:val="clear" w:color="auto" w:fill="auto"/>
            <w:noWrap/>
            <w:vAlign w:val="center"/>
          </w:tcPr>
          <w:p w14:paraId="2BD04837" w14:textId="77777777" w:rsidR="00C45D5B" w:rsidRPr="000600DC" w:rsidRDefault="00C45D5B" w:rsidP="00CF774B">
            <w:pPr>
              <w:jc w:val="center"/>
              <w:rPr>
                <w:rFonts w:cs="Times New Roman"/>
                <w:sz w:val="18"/>
                <w:szCs w:val="17"/>
                <w:highlight w:val="yellow"/>
                <w:lang w:eastAsia="en-GB"/>
              </w:rPr>
            </w:pPr>
            <w:r w:rsidRPr="000600DC">
              <w:rPr>
                <w:sz w:val="18"/>
              </w:rPr>
              <w:t>0</w:t>
            </w:r>
          </w:p>
        </w:tc>
      </w:tr>
      <w:tr w:rsidR="00C45D5B" w:rsidRPr="00AB54ED" w14:paraId="5F21B00E" w14:textId="77777777" w:rsidTr="00CF774B">
        <w:trPr>
          <w:trHeight w:val="205"/>
        </w:trPr>
        <w:tc>
          <w:tcPr>
            <w:tcW w:w="5523" w:type="dxa"/>
            <w:tcBorders>
              <w:top w:val="nil"/>
              <w:left w:val="nil"/>
              <w:right w:val="nil"/>
            </w:tcBorders>
            <w:shd w:val="clear" w:color="auto" w:fill="auto"/>
          </w:tcPr>
          <w:p w14:paraId="746F29CC" w14:textId="77777777" w:rsidR="00C45D5B" w:rsidRPr="000600DC" w:rsidRDefault="00C45D5B" w:rsidP="00CF774B">
            <w:pPr>
              <w:rPr>
                <w:rFonts w:cs="Times New Roman"/>
                <w:color w:val="000000"/>
                <w:sz w:val="18"/>
                <w:szCs w:val="17"/>
                <w:highlight w:val="yellow"/>
                <w:lang w:eastAsia="en-GB"/>
              </w:rPr>
            </w:pPr>
            <w:r w:rsidRPr="000600DC">
              <w:rPr>
                <w:sz w:val="18"/>
              </w:rPr>
              <w:t>Zlepšenie ohodnotenia zamestnancov ÚVZ SR a RÚVZ</w:t>
            </w:r>
          </w:p>
        </w:tc>
        <w:tc>
          <w:tcPr>
            <w:tcW w:w="756" w:type="dxa"/>
            <w:tcBorders>
              <w:top w:val="nil"/>
              <w:left w:val="nil"/>
              <w:right w:val="nil"/>
            </w:tcBorders>
            <w:shd w:val="clear" w:color="auto" w:fill="auto"/>
            <w:noWrap/>
            <w:vAlign w:val="center"/>
          </w:tcPr>
          <w:p w14:paraId="67A37536" w14:textId="77777777" w:rsidR="00C45D5B" w:rsidRPr="000600DC" w:rsidRDefault="00C45D5B" w:rsidP="00CF774B">
            <w:pPr>
              <w:jc w:val="center"/>
              <w:rPr>
                <w:rFonts w:cs="Times New Roman"/>
                <w:color w:val="000000"/>
                <w:sz w:val="18"/>
                <w:szCs w:val="17"/>
                <w:highlight w:val="yellow"/>
                <w:lang w:eastAsia="en-GB"/>
              </w:rPr>
            </w:pPr>
            <w:r w:rsidRPr="000600DC">
              <w:rPr>
                <w:sz w:val="18"/>
              </w:rPr>
              <w:t>24</w:t>
            </w:r>
          </w:p>
        </w:tc>
        <w:tc>
          <w:tcPr>
            <w:tcW w:w="756" w:type="dxa"/>
            <w:tcBorders>
              <w:top w:val="nil"/>
              <w:left w:val="nil"/>
              <w:right w:val="nil"/>
            </w:tcBorders>
            <w:shd w:val="clear" w:color="auto" w:fill="auto"/>
            <w:noWrap/>
            <w:vAlign w:val="center"/>
          </w:tcPr>
          <w:p w14:paraId="04D48D6F"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right w:val="nil"/>
            </w:tcBorders>
            <w:shd w:val="clear" w:color="auto" w:fill="auto"/>
            <w:noWrap/>
            <w:vAlign w:val="center"/>
          </w:tcPr>
          <w:p w14:paraId="6942959E"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right w:val="nil"/>
            </w:tcBorders>
            <w:shd w:val="clear" w:color="auto" w:fill="auto"/>
            <w:noWrap/>
            <w:vAlign w:val="center"/>
          </w:tcPr>
          <w:p w14:paraId="3A72B460"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c>
          <w:tcPr>
            <w:tcW w:w="756" w:type="dxa"/>
            <w:tcBorders>
              <w:top w:val="nil"/>
              <w:left w:val="nil"/>
              <w:right w:val="nil"/>
            </w:tcBorders>
            <w:shd w:val="clear" w:color="auto" w:fill="auto"/>
            <w:noWrap/>
            <w:vAlign w:val="center"/>
          </w:tcPr>
          <w:p w14:paraId="5D7EA8E1" w14:textId="77777777" w:rsidR="00C45D5B" w:rsidRPr="000600DC" w:rsidRDefault="00C45D5B" w:rsidP="00CF774B">
            <w:pPr>
              <w:jc w:val="center"/>
              <w:rPr>
                <w:rFonts w:cs="Times New Roman"/>
                <w:color w:val="000000"/>
                <w:sz w:val="18"/>
                <w:szCs w:val="17"/>
                <w:highlight w:val="yellow"/>
                <w:lang w:eastAsia="en-GB"/>
              </w:rPr>
            </w:pPr>
            <w:r w:rsidRPr="000600DC">
              <w:rPr>
                <w:sz w:val="18"/>
              </w:rPr>
              <w:t>0</w:t>
            </w:r>
          </w:p>
        </w:tc>
      </w:tr>
      <w:tr w:rsidR="00C45D5B" w:rsidRPr="00AB54ED" w14:paraId="7A7AD737" w14:textId="77777777" w:rsidTr="00CF774B">
        <w:trPr>
          <w:trHeight w:val="205"/>
        </w:trPr>
        <w:tc>
          <w:tcPr>
            <w:tcW w:w="5523" w:type="dxa"/>
            <w:tcBorders>
              <w:top w:val="nil"/>
              <w:left w:val="nil"/>
              <w:right w:val="nil"/>
            </w:tcBorders>
            <w:shd w:val="clear" w:color="auto" w:fill="auto"/>
          </w:tcPr>
          <w:p w14:paraId="2A6BEDA4" w14:textId="77777777" w:rsidR="00C45D5B" w:rsidRPr="000600DC" w:rsidRDefault="00C45D5B" w:rsidP="00CF774B">
            <w:pPr>
              <w:rPr>
                <w:rFonts w:cs="Times New Roman"/>
                <w:color w:val="000000"/>
                <w:sz w:val="18"/>
                <w:szCs w:val="17"/>
                <w:highlight w:val="yellow"/>
              </w:rPr>
            </w:pPr>
            <w:r w:rsidRPr="000600DC">
              <w:rPr>
                <w:sz w:val="18"/>
              </w:rPr>
              <w:t>Zvýšenie prostriedkov na údržbu a opravy ciest 1. triedy v správe Slovenskej správy ciest</w:t>
            </w:r>
          </w:p>
        </w:tc>
        <w:tc>
          <w:tcPr>
            <w:tcW w:w="756" w:type="dxa"/>
            <w:tcBorders>
              <w:top w:val="nil"/>
              <w:left w:val="nil"/>
              <w:right w:val="nil"/>
            </w:tcBorders>
            <w:shd w:val="clear" w:color="auto" w:fill="auto"/>
            <w:noWrap/>
            <w:vAlign w:val="center"/>
          </w:tcPr>
          <w:p w14:paraId="09887D48" w14:textId="77777777" w:rsidR="00C45D5B" w:rsidRPr="000600DC" w:rsidRDefault="00C45D5B" w:rsidP="00CF774B">
            <w:pPr>
              <w:jc w:val="center"/>
              <w:rPr>
                <w:sz w:val="18"/>
                <w:szCs w:val="17"/>
                <w:highlight w:val="yellow"/>
              </w:rPr>
            </w:pPr>
            <w:r w:rsidRPr="000600DC">
              <w:rPr>
                <w:sz w:val="18"/>
              </w:rPr>
              <w:t>60</w:t>
            </w:r>
          </w:p>
        </w:tc>
        <w:tc>
          <w:tcPr>
            <w:tcW w:w="756" w:type="dxa"/>
            <w:tcBorders>
              <w:top w:val="nil"/>
              <w:left w:val="nil"/>
              <w:right w:val="nil"/>
            </w:tcBorders>
            <w:shd w:val="clear" w:color="auto" w:fill="auto"/>
            <w:noWrap/>
            <w:vAlign w:val="center"/>
          </w:tcPr>
          <w:p w14:paraId="543AD852" w14:textId="77777777" w:rsidR="00C45D5B" w:rsidRPr="000600DC" w:rsidRDefault="00C45D5B" w:rsidP="00CF774B">
            <w:pPr>
              <w:jc w:val="center"/>
              <w:rPr>
                <w:sz w:val="18"/>
                <w:szCs w:val="17"/>
                <w:highlight w:val="yellow"/>
              </w:rPr>
            </w:pPr>
            <w:r w:rsidRPr="000600DC">
              <w:rPr>
                <w:sz w:val="18"/>
              </w:rPr>
              <w:t>-10</w:t>
            </w:r>
          </w:p>
        </w:tc>
        <w:tc>
          <w:tcPr>
            <w:tcW w:w="756" w:type="dxa"/>
            <w:tcBorders>
              <w:top w:val="nil"/>
              <w:left w:val="nil"/>
              <w:right w:val="nil"/>
            </w:tcBorders>
            <w:shd w:val="clear" w:color="auto" w:fill="auto"/>
            <w:noWrap/>
            <w:vAlign w:val="center"/>
          </w:tcPr>
          <w:p w14:paraId="70899F39"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6AAE3AF3" w14:textId="77777777" w:rsidR="00C45D5B" w:rsidRPr="000600DC" w:rsidRDefault="00C45D5B" w:rsidP="00CF774B">
            <w:pPr>
              <w:jc w:val="center"/>
              <w:rPr>
                <w:sz w:val="18"/>
                <w:szCs w:val="17"/>
                <w:highlight w:val="yellow"/>
              </w:rPr>
            </w:pPr>
            <w:r w:rsidRPr="000600DC">
              <w:rPr>
                <w:sz w:val="18"/>
              </w:rPr>
              <w:t>-10</w:t>
            </w:r>
          </w:p>
        </w:tc>
        <w:tc>
          <w:tcPr>
            <w:tcW w:w="756" w:type="dxa"/>
            <w:tcBorders>
              <w:top w:val="nil"/>
              <w:left w:val="nil"/>
              <w:right w:val="nil"/>
            </w:tcBorders>
            <w:shd w:val="clear" w:color="auto" w:fill="auto"/>
            <w:noWrap/>
            <w:vAlign w:val="center"/>
          </w:tcPr>
          <w:p w14:paraId="39187630" w14:textId="77777777" w:rsidR="00C45D5B" w:rsidRPr="000600DC" w:rsidRDefault="00C45D5B" w:rsidP="00CF774B">
            <w:pPr>
              <w:jc w:val="center"/>
              <w:rPr>
                <w:sz w:val="18"/>
                <w:szCs w:val="17"/>
                <w:highlight w:val="yellow"/>
              </w:rPr>
            </w:pPr>
            <w:r w:rsidRPr="000600DC">
              <w:rPr>
                <w:sz w:val="18"/>
              </w:rPr>
              <w:t>0</w:t>
            </w:r>
          </w:p>
        </w:tc>
      </w:tr>
      <w:tr w:rsidR="00C45D5B" w:rsidRPr="00AB54ED" w14:paraId="7526B1BE" w14:textId="77777777" w:rsidTr="00CF774B">
        <w:trPr>
          <w:trHeight w:val="205"/>
        </w:trPr>
        <w:tc>
          <w:tcPr>
            <w:tcW w:w="5523" w:type="dxa"/>
            <w:tcBorders>
              <w:top w:val="nil"/>
              <w:left w:val="nil"/>
              <w:right w:val="nil"/>
            </w:tcBorders>
            <w:shd w:val="clear" w:color="auto" w:fill="auto"/>
          </w:tcPr>
          <w:p w14:paraId="559F59A2" w14:textId="77777777" w:rsidR="00C45D5B" w:rsidRPr="000600DC" w:rsidRDefault="00C45D5B" w:rsidP="00CF774B">
            <w:pPr>
              <w:rPr>
                <w:rFonts w:cs="Times New Roman"/>
                <w:color w:val="000000"/>
                <w:sz w:val="18"/>
                <w:szCs w:val="17"/>
                <w:highlight w:val="yellow"/>
              </w:rPr>
            </w:pPr>
            <w:r w:rsidRPr="000600DC">
              <w:rPr>
                <w:sz w:val="18"/>
              </w:rPr>
              <w:t>Skorší odchod do dôchodku pre osoby, ktoré vychovali deti (ročníky 57 a 58)</w:t>
            </w:r>
          </w:p>
        </w:tc>
        <w:tc>
          <w:tcPr>
            <w:tcW w:w="756" w:type="dxa"/>
            <w:tcBorders>
              <w:top w:val="nil"/>
              <w:left w:val="nil"/>
              <w:right w:val="nil"/>
            </w:tcBorders>
            <w:shd w:val="clear" w:color="auto" w:fill="auto"/>
            <w:noWrap/>
            <w:vAlign w:val="center"/>
          </w:tcPr>
          <w:p w14:paraId="5D3E710B" w14:textId="77777777" w:rsidR="00C45D5B" w:rsidRPr="000600DC" w:rsidRDefault="00C45D5B" w:rsidP="00CF774B">
            <w:pPr>
              <w:jc w:val="center"/>
              <w:rPr>
                <w:sz w:val="18"/>
                <w:szCs w:val="17"/>
                <w:highlight w:val="yellow"/>
              </w:rPr>
            </w:pPr>
            <w:r w:rsidRPr="000600DC">
              <w:rPr>
                <w:sz w:val="18"/>
              </w:rPr>
              <w:t>105</w:t>
            </w:r>
          </w:p>
        </w:tc>
        <w:tc>
          <w:tcPr>
            <w:tcW w:w="756" w:type="dxa"/>
            <w:tcBorders>
              <w:top w:val="nil"/>
              <w:left w:val="nil"/>
              <w:right w:val="nil"/>
            </w:tcBorders>
            <w:shd w:val="clear" w:color="auto" w:fill="auto"/>
            <w:noWrap/>
            <w:vAlign w:val="center"/>
          </w:tcPr>
          <w:p w14:paraId="3F83A0FE" w14:textId="77777777" w:rsidR="00C45D5B" w:rsidRPr="000600DC" w:rsidRDefault="00C45D5B" w:rsidP="00CF774B">
            <w:pPr>
              <w:jc w:val="center"/>
              <w:rPr>
                <w:sz w:val="18"/>
                <w:szCs w:val="17"/>
                <w:highlight w:val="yellow"/>
              </w:rPr>
            </w:pPr>
            <w:r w:rsidRPr="000600DC">
              <w:rPr>
                <w:sz w:val="18"/>
              </w:rPr>
              <w:t>31</w:t>
            </w:r>
          </w:p>
        </w:tc>
        <w:tc>
          <w:tcPr>
            <w:tcW w:w="756" w:type="dxa"/>
            <w:tcBorders>
              <w:top w:val="nil"/>
              <w:left w:val="nil"/>
              <w:right w:val="nil"/>
            </w:tcBorders>
            <w:shd w:val="clear" w:color="auto" w:fill="auto"/>
            <w:noWrap/>
            <w:vAlign w:val="center"/>
          </w:tcPr>
          <w:p w14:paraId="37C3FCA0" w14:textId="77777777" w:rsidR="00C45D5B" w:rsidRPr="000600DC" w:rsidRDefault="00C45D5B" w:rsidP="00CF774B">
            <w:pPr>
              <w:jc w:val="center"/>
              <w:rPr>
                <w:sz w:val="18"/>
                <w:szCs w:val="17"/>
                <w:highlight w:val="yellow"/>
              </w:rPr>
            </w:pPr>
            <w:r w:rsidRPr="000600DC">
              <w:rPr>
                <w:sz w:val="18"/>
              </w:rPr>
              <w:t>-47</w:t>
            </w:r>
          </w:p>
        </w:tc>
        <w:tc>
          <w:tcPr>
            <w:tcW w:w="756" w:type="dxa"/>
            <w:tcBorders>
              <w:top w:val="nil"/>
              <w:left w:val="nil"/>
              <w:right w:val="nil"/>
            </w:tcBorders>
            <w:shd w:val="clear" w:color="auto" w:fill="auto"/>
            <w:noWrap/>
            <w:vAlign w:val="center"/>
          </w:tcPr>
          <w:p w14:paraId="74BF637C" w14:textId="77777777" w:rsidR="00C45D5B" w:rsidRPr="000600DC" w:rsidRDefault="00C45D5B" w:rsidP="00CF774B">
            <w:pPr>
              <w:jc w:val="center"/>
              <w:rPr>
                <w:sz w:val="18"/>
                <w:szCs w:val="17"/>
                <w:highlight w:val="yellow"/>
              </w:rPr>
            </w:pPr>
            <w:r w:rsidRPr="000600DC">
              <w:rPr>
                <w:sz w:val="18"/>
              </w:rPr>
              <w:t>-7</w:t>
            </w:r>
          </w:p>
        </w:tc>
        <w:tc>
          <w:tcPr>
            <w:tcW w:w="756" w:type="dxa"/>
            <w:tcBorders>
              <w:top w:val="nil"/>
              <w:left w:val="nil"/>
              <w:right w:val="nil"/>
            </w:tcBorders>
            <w:shd w:val="clear" w:color="auto" w:fill="auto"/>
            <w:noWrap/>
            <w:vAlign w:val="center"/>
          </w:tcPr>
          <w:p w14:paraId="6D587252" w14:textId="77777777" w:rsidR="00C45D5B" w:rsidRPr="000600DC" w:rsidRDefault="00C45D5B" w:rsidP="00CF774B">
            <w:pPr>
              <w:jc w:val="center"/>
              <w:rPr>
                <w:sz w:val="18"/>
                <w:szCs w:val="17"/>
                <w:highlight w:val="yellow"/>
              </w:rPr>
            </w:pPr>
            <w:r w:rsidRPr="000600DC">
              <w:rPr>
                <w:sz w:val="18"/>
              </w:rPr>
              <w:t>-14</w:t>
            </w:r>
          </w:p>
        </w:tc>
      </w:tr>
      <w:tr w:rsidR="00C45D5B" w:rsidRPr="00AB54ED" w14:paraId="0C4D129D" w14:textId="77777777" w:rsidTr="00CF774B">
        <w:trPr>
          <w:trHeight w:val="205"/>
        </w:trPr>
        <w:tc>
          <w:tcPr>
            <w:tcW w:w="5523" w:type="dxa"/>
            <w:tcBorders>
              <w:top w:val="nil"/>
              <w:left w:val="nil"/>
              <w:right w:val="nil"/>
            </w:tcBorders>
            <w:shd w:val="clear" w:color="auto" w:fill="auto"/>
          </w:tcPr>
          <w:p w14:paraId="687DACE6" w14:textId="77777777" w:rsidR="00C45D5B" w:rsidRPr="000600DC" w:rsidRDefault="00C45D5B" w:rsidP="00CF774B">
            <w:pPr>
              <w:rPr>
                <w:rFonts w:cs="Times New Roman"/>
                <w:color w:val="000000"/>
                <w:sz w:val="18"/>
                <w:szCs w:val="17"/>
                <w:highlight w:val="yellow"/>
              </w:rPr>
            </w:pPr>
            <w:r w:rsidRPr="000600DC">
              <w:rPr>
                <w:sz w:val="18"/>
              </w:rPr>
              <w:t xml:space="preserve">Zavedenie novej tehotenskej dávky </w:t>
            </w:r>
          </w:p>
        </w:tc>
        <w:tc>
          <w:tcPr>
            <w:tcW w:w="756" w:type="dxa"/>
            <w:tcBorders>
              <w:top w:val="nil"/>
              <w:left w:val="nil"/>
              <w:right w:val="nil"/>
            </w:tcBorders>
            <w:shd w:val="clear" w:color="auto" w:fill="auto"/>
            <w:noWrap/>
            <w:vAlign w:val="center"/>
          </w:tcPr>
          <w:p w14:paraId="385EDC88" w14:textId="77777777" w:rsidR="00C45D5B" w:rsidRPr="000600DC" w:rsidRDefault="00C45D5B" w:rsidP="00CF774B">
            <w:pPr>
              <w:jc w:val="center"/>
              <w:rPr>
                <w:sz w:val="18"/>
                <w:szCs w:val="17"/>
                <w:highlight w:val="yellow"/>
              </w:rPr>
            </w:pPr>
            <w:r w:rsidRPr="000600DC">
              <w:rPr>
                <w:sz w:val="18"/>
              </w:rPr>
              <w:t>32</w:t>
            </w:r>
          </w:p>
        </w:tc>
        <w:tc>
          <w:tcPr>
            <w:tcW w:w="756" w:type="dxa"/>
            <w:tcBorders>
              <w:top w:val="nil"/>
              <w:left w:val="nil"/>
              <w:right w:val="nil"/>
            </w:tcBorders>
            <w:shd w:val="clear" w:color="auto" w:fill="auto"/>
            <w:noWrap/>
            <w:vAlign w:val="center"/>
          </w:tcPr>
          <w:p w14:paraId="2A3F133E" w14:textId="77777777" w:rsidR="00C45D5B" w:rsidRPr="000600DC" w:rsidRDefault="00C45D5B" w:rsidP="00CF774B">
            <w:pPr>
              <w:jc w:val="center"/>
              <w:rPr>
                <w:sz w:val="18"/>
                <w:szCs w:val="17"/>
                <w:highlight w:val="yellow"/>
              </w:rPr>
            </w:pPr>
            <w:r w:rsidRPr="000600DC">
              <w:rPr>
                <w:sz w:val="18"/>
              </w:rPr>
              <w:t>20</w:t>
            </w:r>
          </w:p>
        </w:tc>
        <w:tc>
          <w:tcPr>
            <w:tcW w:w="756" w:type="dxa"/>
            <w:tcBorders>
              <w:top w:val="nil"/>
              <w:left w:val="nil"/>
              <w:right w:val="nil"/>
            </w:tcBorders>
            <w:shd w:val="clear" w:color="auto" w:fill="auto"/>
            <w:noWrap/>
            <w:vAlign w:val="center"/>
          </w:tcPr>
          <w:p w14:paraId="50D1F016"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20F46F89"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5C6791B1" w14:textId="77777777" w:rsidR="00C45D5B" w:rsidRPr="000600DC" w:rsidRDefault="00C45D5B" w:rsidP="00CF774B">
            <w:pPr>
              <w:jc w:val="center"/>
              <w:rPr>
                <w:sz w:val="18"/>
                <w:szCs w:val="17"/>
                <w:highlight w:val="yellow"/>
              </w:rPr>
            </w:pPr>
            <w:r w:rsidRPr="000600DC">
              <w:rPr>
                <w:sz w:val="18"/>
              </w:rPr>
              <w:t>0</w:t>
            </w:r>
          </w:p>
        </w:tc>
      </w:tr>
      <w:tr w:rsidR="00C45D5B" w:rsidRPr="00AB54ED" w14:paraId="60C8ACBE" w14:textId="77777777" w:rsidTr="00CF774B">
        <w:trPr>
          <w:trHeight w:val="205"/>
        </w:trPr>
        <w:tc>
          <w:tcPr>
            <w:tcW w:w="5523" w:type="dxa"/>
            <w:tcBorders>
              <w:top w:val="nil"/>
              <w:left w:val="nil"/>
              <w:right w:val="nil"/>
            </w:tcBorders>
            <w:shd w:val="clear" w:color="auto" w:fill="auto"/>
          </w:tcPr>
          <w:p w14:paraId="03CFC650" w14:textId="77777777" w:rsidR="00C45D5B" w:rsidRPr="000600DC" w:rsidRDefault="00C45D5B" w:rsidP="00CF774B">
            <w:pPr>
              <w:rPr>
                <w:rFonts w:cs="Times New Roman"/>
                <w:color w:val="000000"/>
                <w:sz w:val="18"/>
                <w:szCs w:val="17"/>
                <w:highlight w:val="yellow"/>
              </w:rPr>
            </w:pPr>
            <w:r w:rsidRPr="000600DC">
              <w:rPr>
                <w:sz w:val="18"/>
              </w:rPr>
              <w:t>Zvýšenie finančného príspevku v zariadeniach sociálnych služieb - od januára 2021</w:t>
            </w:r>
          </w:p>
        </w:tc>
        <w:tc>
          <w:tcPr>
            <w:tcW w:w="756" w:type="dxa"/>
            <w:tcBorders>
              <w:top w:val="nil"/>
              <w:left w:val="nil"/>
              <w:right w:val="nil"/>
            </w:tcBorders>
            <w:shd w:val="clear" w:color="auto" w:fill="auto"/>
            <w:noWrap/>
            <w:vAlign w:val="center"/>
          </w:tcPr>
          <w:p w14:paraId="54F7A428" w14:textId="77777777" w:rsidR="00C45D5B" w:rsidRPr="000600DC" w:rsidRDefault="00C45D5B" w:rsidP="00CF774B">
            <w:pPr>
              <w:jc w:val="center"/>
              <w:rPr>
                <w:sz w:val="18"/>
                <w:szCs w:val="17"/>
                <w:highlight w:val="yellow"/>
              </w:rPr>
            </w:pPr>
            <w:r w:rsidRPr="000600DC">
              <w:rPr>
                <w:sz w:val="18"/>
              </w:rPr>
              <w:t>21</w:t>
            </w:r>
          </w:p>
        </w:tc>
        <w:tc>
          <w:tcPr>
            <w:tcW w:w="756" w:type="dxa"/>
            <w:tcBorders>
              <w:top w:val="nil"/>
              <w:left w:val="nil"/>
              <w:right w:val="nil"/>
            </w:tcBorders>
            <w:shd w:val="clear" w:color="auto" w:fill="auto"/>
            <w:noWrap/>
            <w:vAlign w:val="center"/>
          </w:tcPr>
          <w:p w14:paraId="3B617C1B"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25E2EF07"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0DF8A382"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6A55C0A" w14:textId="77777777" w:rsidR="00C45D5B" w:rsidRPr="000600DC" w:rsidRDefault="00C45D5B" w:rsidP="00CF774B">
            <w:pPr>
              <w:jc w:val="center"/>
              <w:rPr>
                <w:sz w:val="18"/>
                <w:szCs w:val="17"/>
                <w:highlight w:val="yellow"/>
              </w:rPr>
            </w:pPr>
            <w:r w:rsidRPr="000600DC">
              <w:rPr>
                <w:sz w:val="18"/>
              </w:rPr>
              <w:t>0</w:t>
            </w:r>
          </w:p>
        </w:tc>
      </w:tr>
      <w:tr w:rsidR="00C45D5B" w:rsidRPr="00AB54ED" w14:paraId="1AA3CEB6" w14:textId="77777777" w:rsidTr="00CF774B">
        <w:trPr>
          <w:trHeight w:val="205"/>
        </w:trPr>
        <w:tc>
          <w:tcPr>
            <w:tcW w:w="5523" w:type="dxa"/>
            <w:tcBorders>
              <w:top w:val="nil"/>
              <w:left w:val="nil"/>
              <w:right w:val="nil"/>
            </w:tcBorders>
            <w:shd w:val="clear" w:color="auto" w:fill="auto"/>
          </w:tcPr>
          <w:p w14:paraId="0D97EF4F" w14:textId="77777777" w:rsidR="00C45D5B" w:rsidRPr="000600DC" w:rsidRDefault="00C45D5B" w:rsidP="00CF774B">
            <w:pPr>
              <w:rPr>
                <w:color w:val="000000"/>
                <w:sz w:val="18"/>
                <w:szCs w:val="17"/>
                <w:highlight w:val="yellow"/>
              </w:rPr>
            </w:pPr>
            <w:r w:rsidRPr="000600DC">
              <w:rPr>
                <w:sz w:val="18"/>
              </w:rPr>
              <w:t>Zrušenie doplatkov za lieky pre deti, dôchodcov a ZŤP z roku 2020</w:t>
            </w:r>
          </w:p>
        </w:tc>
        <w:tc>
          <w:tcPr>
            <w:tcW w:w="756" w:type="dxa"/>
            <w:tcBorders>
              <w:top w:val="nil"/>
              <w:left w:val="nil"/>
              <w:right w:val="nil"/>
            </w:tcBorders>
            <w:shd w:val="clear" w:color="auto" w:fill="auto"/>
            <w:noWrap/>
            <w:vAlign w:val="center"/>
          </w:tcPr>
          <w:p w14:paraId="18C46DF6" w14:textId="77777777" w:rsidR="00C45D5B" w:rsidRPr="000600DC" w:rsidRDefault="00C45D5B" w:rsidP="00CF774B">
            <w:pPr>
              <w:jc w:val="center"/>
              <w:rPr>
                <w:sz w:val="18"/>
                <w:szCs w:val="17"/>
                <w:highlight w:val="yellow"/>
              </w:rPr>
            </w:pPr>
            <w:r w:rsidRPr="000600DC">
              <w:rPr>
                <w:sz w:val="18"/>
              </w:rPr>
              <w:t>37</w:t>
            </w:r>
          </w:p>
        </w:tc>
        <w:tc>
          <w:tcPr>
            <w:tcW w:w="756" w:type="dxa"/>
            <w:tcBorders>
              <w:top w:val="nil"/>
              <w:left w:val="nil"/>
              <w:right w:val="nil"/>
            </w:tcBorders>
            <w:shd w:val="clear" w:color="auto" w:fill="auto"/>
            <w:noWrap/>
            <w:vAlign w:val="center"/>
          </w:tcPr>
          <w:p w14:paraId="42BB3C0D"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23FB95B7"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05AB62E7"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AFDEE18" w14:textId="77777777" w:rsidR="00C45D5B" w:rsidRPr="000600DC" w:rsidRDefault="00C45D5B" w:rsidP="00CF774B">
            <w:pPr>
              <w:jc w:val="center"/>
              <w:rPr>
                <w:sz w:val="18"/>
                <w:szCs w:val="17"/>
                <w:highlight w:val="yellow"/>
              </w:rPr>
            </w:pPr>
            <w:r w:rsidRPr="000600DC">
              <w:rPr>
                <w:sz w:val="18"/>
              </w:rPr>
              <w:t>0</w:t>
            </w:r>
          </w:p>
        </w:tc>
      </w:tr>
      <w:tr w:rsidR="00C45D5B" w:rsidRPr="00AB54ED" w14:paraId="27D2A7DF" w14:textId="77777777" w:rsidTr="00CF774B">
        <w:trPr>
          <w:trHeight w:val="205"/>
        </w:trPr>
        <w:tc>
          <w:tcPr>
            <w:tcW w:w="5523" w:type="dxa"/>
            <w:tcBorders>
              <w:top w:val="nil"/>
              <w:left w:val="nil"/>
              <w:right w:val="nil"/>
            </w:tcBorders>
            <w:shd w:val="clear" w:color="auto" w:fill="auto"/>
          </w:tcPr>
          <w:p w14:paraId="193DD43E" w14:textId="77777777" w:rsidR="00C45D5B" w:rsidRPr="000600DC" w:rsidRDefault="00C45D5B" w:rsidP="00CF774B">
            <w:pPr>
              <w:rPr>
                <w:color w:val="000000"/>
                <w:sz w:val="18"/>
                <w:szCs w:val="17"/>
                <w:highlight w:val="yellow"/>
              </w:rPr>
            </w:pPr>
            <w:r w:rsidRPr="000600DC">
              <w:rPr>
                <w:sz w:val="18"/>
              </w:rPr>
              <w:t>Opatrenia počas pandémie (iba výdavkové opatrenia, očistené o EÚ fondy)</w:t>
            </w:r>
          </w:p>
        </w:tc>
        <w:tc>
          <w:tcPr>
            <w:tcW w:w="756" w:type="dxa"/>
            <w:tcBorders>
              <w:top w:val="nil"/>
              <w:left w:val="nil"/>
              <w:right w:val="nil"/>
            </w:tcBorders>
            <w:shd w:val="clear" w:color="auto" w:fill="auto"/>
            <w:noWrap/>
            <w:vAlign w:val="center"/>
          </w:tcPr>
          <w:p w14:paraId="740403DF" w14:textId="77777777" w:rsidR="00C45D5B" w:rsidRPr="000600DC" w:rsidRDefault="00C45D5B" w:rsidP="00CF774B">
            <w:pPr>
              <w:jc w:val="center"/>
              <w:rPr>
                <w:sz w:val="18"/>
                <w:szCs w:val="17"/>
                <w:highlight w:val="yellow"/>
              </w:rPr>
            </w:pPr>
            <w:r w:rsidRPr="005D42E6">
              <w:rPr>
                <w:sz w:val="18"/>
              </w:rPr>
              <w:t>1323</w:t>
            </w:r>
          </w:p>
        </w:tc>
        <w:tc>
          <w:tcPr>
            <w:tcW w:w="756" w:type="dxa"/>
            <w:tcBorders>
              <w:top w:val="nil"/>
              <w:left w:val="nil"/>
              <w:right w:val="nil"/>
            </w:tcBorders>
            <w:shd w:val="clear" w:color="auto" w:fill="auto"/>
            <w:noWrap/>
            <w:vAlign w:val="center"/>
          </w:tcPr>
          <w:p w14:paraId="59156870" w14:textId="77777777" w:rsidR="00C45D5B" w:rsidRPr="000600DC" w:rsidRDefault="00C45D5B" w:rsidP="00CF774B">
            <w:pPr>
              <w:jc w:val="center"/>
              <w:rPr>
                <w:sz w:val="18"/>
                <w:szCs w:val="17"/>
                <w:highlight w:val="yellow"/>
              </w:rPr>
            </w:pPr>
            <w:r w:rsidRPr="000600DC">
              <w:rPr>
                <w:sz w:val="18"/>
              </w:rPr>
              <w:t>-1559</w:t>
            </w:r>
          </w:p>
        </w:tc>
        <w:tc>
          <w:tcPr>
            <w:tcW w:w="756" w:type="dxa"/>
            <w:tcBorders>
              <w:top w:val="nil"/>
              <w:left w:val="nil"/>
              <w:right w:val="nil"/>
            </w:tcBorders>
            <w:shd w:val="clear" w:color="auto" w:fill="auto"/>
            <w:noWrap/>
            <w:vAlign w:val="center"/>
          </w:tcPr>
          <w:p w14:paraId="25547638" w14:textId="77777777" w:rsidR="00C45D5B" w:rsidRPr="000600DC" w:rsidRDefault="00C45D5B" w:rsidP="00CF774B">
            <w:pPr>
              <w:jc w:val="center"/>
              <w:rPr>
                <w:sz w:val="18"/>
                <w:szCs w:val="17"/>
                <w:highlight w:val="yellow"/>
              </w:rPr>
            </w:pPr>
            <w:r w:rsidRPr="000600DC">
              <w:rPr>
                <w:sz w:val="18"/>
              </w:rPr>
              <w:t>-1032</w:t>
            </w:r>
          </w:p>
        </w:tc>
        <w:tc>
          <w:tcPr>
            <w:tcW w:w="756" w:type="dxa"/>
            <w:tcBorders>
              <w:top w:val="nil"/>
              <w:left w:val="nil"/>
              <w:right w:val="nil"/>
            </w:tcBorders>
            <w:shd w:val="clear" w:color="auto" w:fill="auto"/>
            <w:noWrap/>
            <w:vAlign w:val="center"/>
          </w:tcPr>
          <w:p w14:paraId="3447FA8A"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486362D0" w14:textId="77777777" w:rsidR="00C45D5B" w:rsidRPr="000600DC" w:rsidRDefault="00C45D5B" w:rsidP="00CF774B">
            <w:pPr>
              <w:jc w:val="center"/>
              <w:rPr>
                <w:sz w:val="18"/>
                <w:szCs w:val="17"/>
                <w:highlight w:val="yellow"/>
              </w:rPr>
            </w:pPr>
            <w:r w:rsidRPr="000600DC">
              <w:rPr>
                <w:sz w:val="18"/>
              </w:rPr>
              <w:t>0</w:t>
            </w:r>
          </w:p>
        </w:tc>
      </w:tr>
      <w:tr w:rsidR="00C45D5B" w:rsidRPr="00AB54ED" w14:paraId="71D35E2A" w14:textId="77777777" w:rsidTr="00CF774B">
        <w:trPr>
          <w:trHeight w:val="205"/>
        </w:trPr>
        <w:tc>
          <w:tcPr>
            <w:tcW w:w="5523" w:type="dxa"/>
            <w:tcBorders>
              <w:top w:val="nil"/>
              <w:left w:val="nil"/>
              <w:right w:val="nil"/>
            </w:tcBorders>
            <w:shd w:val="clear" w:color="auto" w:fill="auto"/>
          </w:tcPr>
          <w:p w14:paraId="577ED57A" w14:textId="77777777" w:rsidR="00C45D5B" w:rsidRPr="000600DC" w:rsidRDefault="00C45D5B" w:rsidP="00CF774B">
            <w:pPr>
              <w:rPr>
                <w:color w:val="000000"/>
                <w:sz w:val="18"/>
                <w:szCs w:val="17"/>
                <w:highlight w:val="yellow"/>
              </w:rPr>
            </w:pPr>
            <w:r w:rsidRPr="000600DC">
              <w:rPr>
                <w:sz w:val="18"/>
              </w:rPr>
              <w:t>Zavedenie podpory v čase skrátenej práce</w:t>
            </w:r>
          </w:p>
        </w:tc>
        <w:tc>
          <w:tcPr>
            <w:tcW w:w="756" w:type="dxa"/>
            <w:tcBorders>
              <w:top w:val="nil"/>
              <w:left w:val="nil"/>
              <w:right w:val="nil"/>
            </w:tcBorders>
            <w:shd w:val="clear" w:color="auto" w:fill="auto"/>
            <w:noWrap/>
            <w:vAlign w:val="center"/>
          </w:tcPr>
          <w:p w14:paraId="37D07D64"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54673786" w14:textId="77777777" w:rsidR="00C45D5B" w:rsidRPr="000600DC" w:rsidRDefault="00C45D5B" w:rsidP="00CF774B">
            <w:pPr>
              <w:jc w:val="center"/>
              <w:rPr>
                <w:sz w:val="18"/>
                <w:szCs w:val="17"/>
                <w:highlight w:val="yellow"/>
              </w:rPr>
            </w:pPr>
            <w:r w:rsidRPr="000600DC">
              <w:rPr>
                <w:sz w:val="18"/>
              </w:rPr>
              <w:t>17</w:t>
            </w:r>
          </w:p>
        </w:tc>
        <w:tc>
          <w:tcPr>
            <w:tcW w:w="756" w:type="dxa"/>
            <w:tcBorders>
              <w:top w:val="nil"/>
              <w:left w:val="nil"/>
              <w:right w:val="nil"/>
            </w:tcBorders>
            <w:shd w:val="clear" w:color="auto" w:fill="auto"/>
            <w:noWrap/>
            <w:vAlign w:val="center"/>
          </w:tcPr>
          <w:p w14:paraId="16C9F37D"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5C8EB3C9"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69941AC1" w14:textId="77777777" w:rsidR="00C45D5B" w:rsidRPr="000600DC" w:rsidRDefault="00C45D5B" w:rsidP="00CF774B">
            <w:pPr>
              <w:jc w:val="center"/>
              <w:rPr>
                <w:sz w:val="18"/>
                <w:szCs w:val="17"/>
                <w:highlight w:val="yellow"/>
              </w:rPr>
            </w:pPr>
            <w:r w:rsidRPr="000600DC">
              <w:rPr>
                <w:sz w:val="18"/>
              </w:rPr>
              <w:t>0</w:t>
            </w:r>
          </w:p>
        </w:tc>
      </w:tr>
      <w:tr w:rsidR="00C45D5B" w:rsidRPr="00AB54ED" w14:paraId="75C28F34" w14:textId="77777777" w:rsidTr="00CF774B">
        <w:trPr>
          <w:trHeight w:val="205"/>
        </w:trPr>
        <w:tc>
          <w:tcPr>
            <w:tcW w:w="5523" w:type="dxa"/>
            <w:tcBorders>
              <w:top w:val="nil"/>
              <w:left w:val="nil"/>
              <w:right w:val="nil"/>
            </w:tcBorders>
            <w:shd w:val="clear" w:color="auto" w:fill="auto"/>
          </w:tcPr>
          <w:p w14:paraId="54D05B5B" w14:textId="77777777" w:rsidR="00C45D5B" w:rsidRPr="000600DC" w:rsidRDefault="00C45D5B" w:rsidP="00CF774B">
            <w:pPr>
              <w:rPr>
                <w:color w:val="000000"/>
                <w:sz w:val="18"/>
                <w:szCs w:val="17"/>
                <w:highlight w:val="yellow"/>
              </w:rPr>
            </w:pPr>
            <w:r w:rsidRPr="000600DC">
              <w:rPr>
                <w:sz w:val="18"/>
              </w:rPr>
              <w:t>Podpora rozvoja bývania</w:t>
            </w:r>
          </w:p>
        </w:tc>
        <w:tc>
          <w:tcPr>
            <w:tcW w:w="756" w:type="dxa"/>
            <w:tcBorders>
              <w:top w:val="nil"/>
              <w:left w:val="nil"/>
              <w:right w:val="nil"/>
            </w:tcBorders>
            <w:shd w:val="clear" w:color="auto" w:fill="auto"/>
            <w:noWrap/>
            <w:vAlign w:val="center"/>
          </w:tcPr>
          <w:p w14:paraId="584D93B0" w14:textId="77777777" w:rsidR="00C45D5B" w:rsidRPr="000600DC" w:rsidRDefault="00C45D5B" w:rsidP="00CF774B">
            <w:pPr>
              <w:jc w:val="center"/>
              <w:rPr>
                <w:sz w:val="18"/>
                <w:szCs w:val="17"/>
                <w:highlight w:val="yellow"/>
              </w:rPr>
            </w:pPr>
            <w:r w:rsidRPr="000600DC">
              <w:rPr>
                <w:sz w:val="18"/>
              </w:rPr>
              <w:t>20</w:t>
            </w:r>
          </w:p>
        </w:tc>
        <w:tc>
          <w:tcPr>
            <w:tcW w:w="756" w:type="dxa"/>
            <w:tcBorders>
              <w:top w:val="nil"/>
              <w:left w:val="nil"/>
              <w:right w:val="nil"/>
            </w:tcBorders>
            <w:shd w:val="clear" w:color="auto" w:fill="auto"/>
            <w:noWrap/>
            <w:vAlign w:val="center"/>
          </w:tcPr>
          <w:p w14:paraId="3327BAC7"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6353717"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28F3C2F"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C048DD9" w14:textId="77777777" w:rsidR="00C45D5B" w:rsidRPr="000600DC" w:rsidRDefault="00C45D5B" w:rsidP="00CF774B">
            <w:pPr>
              <w:jc w:val="center"/>
              <w:rPr>
                <w:sz w:val="18"/>
                <w:szCs w:val="17"/>
                <w:highlight w:val="yellow"/>
              </w:rPr>
            </w:pPr>
            <w:r w:rsidRPr="000600DC">
              <w:rPr>
                <w:sz w:val="18"/>
              </w:rPr>
              <w:t>0</w:t>
            </w:r>
          </w:p>
        </w:tc>
      </w:tr>
      <w:tr w:rsidR="00C45D5B" w:rsidRPr="00AB54ED" w14:paraId="183560DB" w14:textId="77777777" w:rsidTr="00CF774B">
        <w:trPr>
          <w:trHeight w:val="205"/>
        </w:trPr>
        <w:tc>
          <w:tcPr>
            <w:tcW w:w="5523" w:type="dxa"/>
            <w:tcBorders>
              <w:top w:val="nil"/>
              <w:left w:val="nil"/>
              <w:right w:val="nil"/>
            </w:tcBorders>
            <w:shd w:val="clear" w:color="auto" w:fill="auto"/>
          </w:tcPr>
          <w:p w14:paraId="43FCA1C5" w14:textId="77777777" w:rsidR="00C45D5B" w:rsidRPr="000600DC" w:rsidRDefault="00C45D5B" w:rsidP="00CF774B">
            <w:pPr>
              <w:rPr>
                <w:color w:val="000000"/>
                <w:sz w:val="18"/>
                <w:szCs w:val="17"/>
                <w:highlight w:val="yellow"/>
              </w:rPr>
            </w:pPr>
            <w:r w:rsidRPr="000600DC">
              <w:rPr>
                <w:sz w:val="18"/>
              </w:rPr>
              <w:t>Dotácie na podporu plnenia funkcií rodiny a na podporu dobrovoľníckej činnosti</w:t>
            </w:r>
          </w:p>
        </w:tc>
        <w:tc>
          <w:tcPr>
            <w:tcW w:w="756" w:type="dxa"/>
            <w:tcBorders>
              <w:top w:val="nil"/>
              <w:left w:val="nil"/>
              <w:right w:val="nil"/>
            </w:tcBorders>
            <w:shd w:val="clear" w:color="auto" w:fill="auto"/>
            <w:noWrap/>
            <w:vAlign w:val="center"/>
          </w:tcPr>
          <w:p w14:paraId="4DD6E15A" w14:textId="77777777" w:rsidR="00C45D5B" w:rsidRPr="000600DC" w:rsidRDefault="00C45D5B" w:rsidP="00CF774B">
            <w:pPr>
              <w:jc w:val="center"/>
              <w:rPr>
                <w:sz w:val="18"/>
                <w:szCs w:val="17"/>
                <w:highlight w:val="yellow"/>
              </w:rPr>
            </w:pPr>
            <w:r w:rsidRPr="000600DC">
              <w:rPr>
                <w:sz w:val="18"/>
              </w:rPr>
              <w:t>50</w:t>
            </w:r>
          </w:p>
        </w:tc>
        <w:tc>
          <w:tcPr>
            <w:tcW w:w="756" w:type="dxa"/>
            <w:tcBorders>
              <w:top w:val="nil"/>
              <w:left w:val="nil"/>
              <w:right w:val="nil"/>
            </w:tcBorders>
            <w:shd w:val="clear" w:color="auto" w:fill="auto"/>
            <w:noWrap/>
            <w:vAlign w:val="center"/>
          </w:tcPr>
          <w:p w14:paraId="47900AEB"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7BFFAF4F"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AF57704"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55E39E1B" w14:textId="77777777" w:rsidR="00C45D5B" w:rsidRPr="000600DC" w:rsidRDefault="00C45D5B" w:rsidP="00CF774B">
            <w:pPr>
              <w:jc w:val="center"/>
              <w:rPr>
                <w:sz w:val="18"/>
                <w:szCs w:val="17"/>
                <w:highlight w:val="yellow"/>
              </w:rPr>
            </w:pPr>
            <w:r w:rsidRPr="000600DC">
              <w:rPr>
                <w:sz w:val="18"/>
              </w:rPr>
              <w:t>0</w:t>
            </w:r>
          </w:p>
        </w:tc>
      </w:tr>
      <w:tr w:rsidR="00C45D5B" w:rsidRPr="00AB54ED" w14:paraId="2BFBD0C2" w14:textId="77777777" w:rsidTr="00CF774B">
        <w:trPr>
          <w:trHeight w:val="205"/>
        </w:trPr>
        <w:tc>
          <w:tcPr>
            <w:tcW w:w="5523" w:type="dxa"/>
            <w:tcBorders>
              <w:top w:val="nil"/>
              <w:left w:val="nil"/>
              <w:right w:val="nil"/>
            </w:tcBorders>
            <w:shd w:val="clear" w:color="auto" w:fill="auto"/>
          </w:tcPr>
          <w:p w14:paraId="52D16C60" w14:textId="77777777" w:rsidR="00C45D5B" w:rsidRPr="000600DC" w:rsidRDefault="00C45D5B" w:rsidP="00CF774B">
            <w:pPr>
              <w:rPr>
                <w:color w:val="000000"/>
                <w:sz w:val="18"/>
                <w:szCs w:val="17"/>
                <w:highlight w:val="yellow"/>
              </w:rPr>
            </w:pPr>
            <w:r w:rsidRPr="000600DC">
              <w:rPr>
                <w:sz w:val="18"/>
              </w:rPr>
              <w:t>Zvýšenie finančného príspevku v zariadeniach sociálnych služieb od januára 2022</w:t>
            </w:r>
          </w:p>
        </w:tc>
        <w:tc>
          <w:tcPr>
            <w:tcW w:w="756" w:type="dxa"/>
            <w:tcBorders>
              <w:top w:val="nil"/>
              <w:left w:val="nil"/>
              <w:right w:val="nil"/>
            </w:tcBorders>
            <w:shd w:val="clear" w:color="auto" w:fill="auto"/>
            <w:noWrap/>
            <w:vAlign w:val="center"/>
          </w:tcPr>
          <w:p w14:paraId="47378F44"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39800F3A" w14:textId="77777777" w:rsidR="00C45D5B" w:rsidRPr="000600DC" w:rsidRDefault="00C45D5B" w:rsidP="00CF774B">
            <w:pPr>
              <w:jc w:val="center"/>
              <w:rPr>
                <w:sz w:val="18"/>
                <w:szCs w:val="17"/>
                <w:highlight w:val="yellow"/>
              </w:rPr>
            </w:pPr>
            <w:r w:rsidRPr="000600DC">
              <w:rPr>
                <w:sz w:val="18"/>
              </w:rPr>
              <w:t>16</w:t>
            </w:r>
          </w:p>
        </w:tc>
        <w:tc>
          <w:tcPr>
            <w:tcW w:w="756" w:type="dxa"/>
            <w:tcBorders>
              <w:top w:val="nil"/>
              <w:left w:val="nil"/>
              <w:right w:val="nil"/>
            </w:tcBorders>
            <w:shd w:val="clear" w:color="auto" w:fill="auto"/>
            <w:noWrap/>
            <w:vAlign w:val="center"/>
          </w:tcPr>
          <w:p w14:paraId="00D4F0A7"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0420DC36"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7BACB72A" w14:textId="77777777" w:rsidR="00C45D5B" w:rsidRPr="000600DC" w:rsidRDefault="00C45D5B" w:rsidP="00CF774B">
            <w:pPr>
              <w:jc w:val="center"/>
              <w:rPr>
                <w:sz w:val="18"/>
                <w:szCs w:val="17"/>
                <w:highlight w:val="yellow"/>
              </w:rPr>
            </w:pPr>
            <w:r w:rsidRPr="000600DC">
              <w:rPr>
                <w:sz w:val="18"/>
              </w:rPr>
              <w:t>0</w:t>
            </w:r>
          </w:p>
        </w:tc>
      </w:tr>
      <w:tr w:rsidR="00C45D5B" w:rsidRPr="00AB54ED" w14:paraId="5E9B8168" w14:textId="77777777" w:rsidTr="00CF774B">
        <w:trPr>
          <w:trHeight w:val="205"/>
        </w:trPr>
        <w:tc>
          <w:tcPr>
            <w:tcW w:w="5523" w:type="dxa"/>
            <w:tcBorders>
              <w:top w:val="nil"/>
              <w:left w:val="nil"/>
              <w:right w:val="nil"/>
            </w:tcBorders>
            <w:shd w:val="clear" w:color="auto" w:fill="auto"/>
          </w:tcPr>
          <w:p w14:paraId="76847EDC" w14:textId="77777777" w:rsidR="00C45D5B" w:rsidRPr="000600DC" w:rsidRDefault="00C45D5B" w:rsidP="00CF774B">
            <w:pPr>
              <w:rPr>
                <w:color w:val="000000"/>
                <w:sz w:val="18"/>
                <w:szCs w:val="17"/>
                <w:highlight w:val="yellow"/>
              </w:rPr>
            </w:pPr>
            <w:r w:rsidRPr="000600DC">
              <w:rPr>
                <w:sz w:val="18"/>
              </w:rPr>
              <w:t>Navýšenie peňažných príspevkov na opatrovanie ZŤP - od júla 2021</w:t>
            </w:r>
          </w:p>
        </w:tc>
        <w:tc>
          <w:tcPr>
            <w:tcW w:w="756" w:type="dxa"/>
            <w:tcBorders>
              <w:top w:val="nil"/>
              <w:left w:val="nil"/>
              <w:right w:val="nil"/>
            </w:tcBorders>
            <w:shd w:val="clear" w:color="auto" w:fill="auto"/>
            <w:noWrap/>
            <w:vAlign w:val="center"/>
          </w:tcPr>
          <w:p w14:paraId="5403BCB3" w14:textId="77777777" w:rsidR="00C45D5B" w:rsidRPr="000600DC" w:rsidRDefault="00C45D5B" w:rsidP="00CF774B">
            <w:pPr>
              <w:jc w:val="center"/>
              <w:rPr>
                <w:sz w:val="18"/>
                <w:szCs w:val="17"/>
                <w:highlight w:val="yellow"/>
              </w:rPr>
            </w:pPr>
            <w:r w:rsidRPr="000600DC">
              <w:rPr>
                <w:sz w:val="18"/>
              </w:rPr>
              <w:t>12</w:t>
            </w:r>
          </w:p>
        </w:tc>
        <w:tc>
          <w:tcPr>
            <w:tcW w:w="756" w:type="dxa"/>
            <w:tcBorders>
              <w:top w:val="nil"/>
              <w:left w:val="nil"/>
              <w:right w:val="nil"/>
            </w:tcBorders>
            <w:shd w:val="clear" w:color="auto" w:fill="auto"/>
            <w:noWrap/>
            <w:vAlign w:val="center"/>
          </w:tcPr>
          <w:p w14:paraId="2E6B05C1" w14:textId="77777777" w:rsidR="00C45D5B" w:rsidRPr="000600DC" w:rsidRDefault="00C45D5B" w:rsidP="00CF774B">
            <w:pPr>
              <w:jc w:val="center"/>
              <w:rPr>
                <w:sz w:val="18"/>
                <w:szCs w:val="17"/>
                <w:highlight w:val="yellow"/>
              </w:rPr>
            </w:pPr>
            <w:r w:rsidRPr="000600DC">
              <w:rPr>
                <w:sz w:val="18"/>
              </w:rPr>
              <w:t>17</w:t>
            </w:r>
          </w:p>
        </w:tc>
        <w:tc>
          <w:tcPr>
            <w:tcW w:w="756" w:type="dxa"/>
            <w:tcBorders>
              <w:top w:val="nil"/>
              <w:left w:val="nil"/>
              <w:right w:val="nil"/>
            </w:tcBorders>
            <w:shd w:val="clear" w:color="auto" w:fill="auto"/>
            <w:noWrap/>
            <w:vAlign w:val="center"/>
          </w:tcPr>
          <w:p w14:paraId="5AC89813"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5C7EFE5F"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0EF16AD1" w14:textId="77777777" w:rsidR="00C45D5B" w:rsidRPr="000600DC" w:rsidRDefault="00C45D5B" w:rsidP="00CF774B">
            <w:pPr>
              <w:jc w:val="center"/>
              <w:rPr>
                <w:sz w:val="18"/>
                <w:szCs w:val="17"/>
                <w:highlight w:val="yellow"/>
              </w:rPr>
            </w:pPr>
            <w:r w:rsidRPr="000600DC">
              <w:rPr>
                <w:sz w:val="18"/>
              </w:rPr>
              <w:t>0</w:t>
            </w:r>
          </w:p>
        </w:tc>
      </w:tr>
      <w:tr w:rsidR="00C45D5B" w:rsidRPr="00AB54ED" w14:paraId="59150801" w14:textId="77777777" w:rsidTr="00CF774B">
        <w:trPr>
          <w:trHeight w:val="205"/>
        </w:trPr>
        <w:tc>
          <w:tcPr>
            <w:tcW w:w="5523" w:type="dxa"/>
            <w:tcBorders>
              <w:top w:val="nil"/>
              <w:left w:val="nil"/>
              <w:right w:val="nil"/>
            </w:tcBorders>
            <w:shd w:val="clear" w:color="auto" w:fill="auto"/>
          </w:tcPr>
          <w:p w14:paraId="0EC05670" w14:textId="77777777" w:rsidR="00C45D5B" w:rsidRPr="000600DC" w:rsidRDefault="00C45D5B" w:rsidP="00CF774B">
            <w:pPr>
              <w:rPr>
                <w:color w:val="000000"/>
                <w:sz w:val="18"/>
                <w:szCs w:val="17"/>
                <w:highlight w:val="yellow"/>
              </w:rPr>
            </w:pPr>
            <w:r w:rsidRPr="000600DC">
              <w:rPr>
                <w:sz w:val="18"/>
              </w:rPr>
              <w:t>Zriadenie SLOVAKIA TRAVEL (od 1.4.2021)</w:t>
            </w:r>
          </w:p>
        </w:tc>
        <w:tc>
          <w:tcPr>
            <w:tcW w:w="756" w:type="dxa"/>
            <w:tcBorders>
              <w:top w:val="nil"/>
              <w:left w:val="nil"/>
              <w:right w:val="nil"/>
            </w:tcBorders>
            <w:shd w:val="clear" w:color="auto" w:fill="auto"/>
            <w:noWrap/>
            <w:vAlign w:val="center"/>
          </w:tcPr>
          <w:p w14:paraId="03C0D07F"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70B4865" w14:textId="77777777" w:rsidR="00C45D5B" w:rsidRPr="000600DC" w:rsidRDefault="00C45D5B" w:rsidP="00CF774B">
            <w:pPr>
              <w:jc w:val="center"/>
              <w:rPr>
                <w:sz w:val="18"/>
                <w:szCs w:val="17"/>
                <w:highlight w:val="yellow"/>
              </w:rPr>
            </w:pPr>
            <w:r w:rsidRPr="000600DC">
              <w:rPr>
                <w:sz w:val="18"/>
              </w:rPr>
              <w:t>22</w:t>
            </w:r>
          </w:p>
        </w:tc>
        <w:tc>
          <w:tcPr>
            <w:tcW w:w="756" w:type="dxa"/>
            <w:tcBorders>
              <w:top w:val="nil"/>
              <w:left w:val="nil"/>
              <w:right w:val="nil"/>
            </w:tcBorders>
            <w:shd w:val="clear" w:color="auto" w:fill="auto"/>
            <w:noWrap/>
            <w:vAlign w:val="center"/>
          </w:tcPr>
          <w:p w14:paraId="26E4FD45"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39D50AD8"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3D0DE4F3" w14:textId="77777777" w:rsidR="00C45D5B" w:rsidRPr="000600DC" w:rsidRDefault="00C45D5B" w:rsidP="00CF774B">
            <w:pPr>
              <w:jc w:val="center"/>
              <w:rPr>
                <w:sz w:val="18"/>
                <w:szCs w:val="17"/>
                <w:highlight w:val="yellow"/>
              </w:rPr>
            </w:pPr>
            <w:r w:rsidRPr="000600DC">
              <w:rPr>
                <w:sz w:val="18"/>
              </w:rPr>
              <w:t>0</w:t>
            </w:r>
          </w:p>
        </w:tc>
      </w:tr>
      <w:tr w:rsidR="00C45D5B" w:rsidRPr="00AB54ED" w14:paraId="7DF22F65" w14:textId="77777777" w:rsidTr="00CF774B">
        <w:trPr>
          <w:trHeight w:val="205"/>
        </w:trPr>
        <w:tc>
          <w:tcPr>
            <w:tcW w:w="5523" w:type="dxa"/>
            <w:tcBorders>
              <w:top w:val="nil"/>
              <w:left w:val="nil"/>
              <w:right w:val="nil"/>
            </w:tcBorders>
            <w:shd w:val="clear" w:color="auto" w:fill="auto"/>
          </w:tcPr>
          <w:p w14:paraId="16E10461" w14:textId="77777777" w:rsidR="00C45D5B" w:rsidRPr="000600DC" w:rsidRDefault="00C45D5B" w:rsidP="00CF774B">
            <w:pPr>
              <w:rPr>
                <w:color w:val="000000"/>
                <w:sz w:val="18"/>
                <w:szCs w:val="17"/>
                <w:highlight w:val="yellow"/>
              </w:rPr>
            </w:pPr>
            <w:r w:rsidRPr="000600DC">
              <w:rPr>
                <w:sz w:val="18"/>
              </w:rPr>
              <w:t>Dofinancovanie MS SR (najmä ZVJS)</w:t>
            </w:r>
          </w:p>
        </w:tc>
        <w:tc>
          <w:tcPr>
            <w:tcW w:w="756" w:type="dxa"/>
            <w:tcBorders>
              <w:top w:val="nil"/>
              <w:left w:val="nil"/>
              <w:right w:val="nil"/>
            </w:tcBorders>
            <w:shd w:val="clear" w:color="auto" w:fill="auto"/>
            <w:noWrap/>
            <w:vAlign w:val="center"/>
          </w:tcPr>
          <w:p w14:paraId="5171B3EF" w14:textId="77777777" w:rsidR="00C45D5B" w:rsidRPr="000600DC" w:rsidRDefault="00C45D5B" w:rsidP="00CF774B">
            <w:pPr>
              <w:jc w:val="center"/>
              <w:rPr>
                <w:sz w:val="18"/>
                <w:szCs w:val="17"/>
                <w:highlight w:val="yellow"/>
              </w:rPr>
            </w:pPr>
            <w:r w:rsidRPr="000600DC">
              <w:rPr>
                <w:sz w:val="18"/>
              </w:rPr>
              <w:t>18</w:t>
            </w:r>
          </w:p>
        </w:tc>
        <w:tc>
          <w:tcPr>
            <w:tcW w:w="756" w:type="dxa"/>
            <w:tcBorders>
              <w:top w:val="nil"/>
              <w:left w:val="nil"/>
              <w:right w:val="nil"/>
            </w:tcBorders>
            <w:shd w:val="clear" w:color="auto" w:fill="auto"/>
            <w:noWrap/>
            <w:vAlign w:val="center"/>
          </w:tcPr>
          <w:p w14:paraId="1210C898"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28EC30DC"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081B1FE6"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3A361F8" w14:textId="77777777" w:rsidR="00C45D5B" w:rsidRPr="000600DC" w:rsidRDefault="00C45D5B" w:rsidP="00CF774B">
            <w:pPr>
              <w:jc w:val="center"/>
              <w:rPr>
                <w:sz w:val="18"/>
                <w:szCs w:val="17"/>
                <w:highlight w:val="yellow"/>
              </w:rPr>
            </w:pPr>
            <w:r w:rsidRPr="000600DC">
              <w:rPr>
                <w:sz w:val="18"/>
              </w:rPr>
              <w:t>0</w:t>
            </w:r>
          </w:p>
        </w:tc>
      </w:tr>
      <w:tr w:rsidR="00C45D5B" w:rsidRPr="00AB54ED" w14:paraId="13053203" w14:textId="77777777" w:rsidTr="00CF774B">
        <w:trPr>
          <w:trHeight w:val="205"/>
        </w:trPr>
        <w:tc>
          <w:tcPr>
            <w:tcW w:w="5523" w:type="dxa"/>
            <w:tcBorders>
              <w:top w:val="nil"/>
              <w:left w:val="nil"/>
              <w:right w:val="nil"/>
            </w:tcBorders>
            <w:shd w:val="clear" w:color="auto" w:fill="auto"/>
          </w:tcPr>
          <w:p w14:paraId="4F1140C2" w14:textId="77777777" w:rsidR="00C45D5B" w:rsidRPr="000600DC" w:rsidRDefault="00C45D5B" w:rsidP="00CF774B">
            <w:pPr>
              <w:rPr>
                <w:color w:val="000000"/>
                <w:sz w:val="18"/>
                <w:szCs w:val="17"/>
                <w:highlight w:val="yellow"/>
              </w:rPr>
            </w:pPr>
            <w:r w:rsidRPr="000600DC">
              <w:rPr>
                <w:sz w:val="18"/>
              </w:rPr>
              <w:t>Vplyv nulovej valorizácie na ŠR</w:t>
            </w:r>
          </w:p>
        </w:tc>
        <w:tc>
          <w:tcPr>
            <w:tcW w:w="756" w:type="dxa"/>
            <w:tcBorders>
              <w:top w:val="nil"/>
              <w:left w:val="nil"/>
              <w:right w:val="nil"/>
            </w:tcBorders>
            <w:shd w:val="clear" w:color="auto" w:fill="auto"/>
            <w:noWrap/>
            <w:vAlign w:val="center"/>
          </w:tcPr>
          <w:p w14:paraId="63EE311C"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43DEE8D2"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59969E79" w14:textId="77777777" w:rsidR="00C45D5B" w:rsidRPr="000600DC" w:rsidRDefault="00C45D5B" w:rsidP="00CF774B">
            <w:pPr>
              <w:jc w:val="center"/>
              <w:rPr>
                <w:sz w:val="18"/>
                <w:szCs w:val="17"/>
                <w:highlight w:val="yellow"/>
              </w:rPr>
            </w:pPr>
            <w:r w:rsidRPr="000600DC">
              <w:rPr>
                <w:sz w:val="18"/>
              </w:rPr>
              <w:t>-201</w:t>
            </w:r>
          </w:p>
        </w:tc>
        <w:tc>
          <w:tcPr>
            <w:tcW w:w="756" w:type="dxa"/>
            <w:tcBorders>
              <w:top w:val="nil"/>
              <w:left w:val="nil"/>
              <w:right w:val="nil"/>
            </w:tcBorders>
            <w:shd w:val="clear" w:color="auto" w:fill="auto"/>
            <w:noWrap/>
            <w:vAlign w:val="center"/>
          </w:tcPr>
          <w:p w14:paraId="024A6E2A" w14:textId="77777777" w:rsidR="00C45D5B" w:rsidRPr="000600DC" w:rsidRDefault="00C45D5B" w:rsidP="00CF774B">
            <w:pPr>
              <w:jc w:val="center"/>
              <w:rPr>
                <w:sz w:val="18"/>
                <w:szCs w:val="17"/>
                <w:highlight w:val="yellow"/>
              </w:rPr>
            </w:pPr>
            <w:r w:rsidRPr="000600DC">
              <w:rPr>
                <w:sz w:val="18"/>
              </w:rPr>
              <w:t>-173</w:t>
            </w:r>
          </w:p>
        </w:tc>
        <w:tc>
          <w:tcPr>
            <w:tcW w:w="756" w:type="dxa"/>
            <w:tcBorders>
              <w:top w:val="nil"/>
              <w:left w:val="nil"/>
              <w:right w:val="nil"/>
            </w:tcBorders>
            <w:shd w:val="clear" w:color="auto" w:fill="auto"/>
            <w:noWrap/>
            <w:vAlign w:val="center"/>
          </w:tcPr>
          <w:p w14:paraId="7C70EB70" w14:textId="77777777" w:rsidR="00C45D5B" w:rsidRPr="000600DC" w:rsidRDefault="00C45D5B" w:rsidP="00CF774B">
            <w:pPr>
              <w:jc w:val="center"/>
              <w:rPr>
                <w:sz w:val="18"/>
                <w:szCs w:val="17"/>
                <w:highlight w:val="yellow"/>
              </w:rPr>
            </w:pPr>
            <w:r w:rsidRPr="000600DC">
              <w:rPr>
                <w:sz w:val="18"/>
              </w:rPr>
              <w:t>-209</w:t>
            </w:r>
          </w:p>
        </w:tc>
      </w:tr>
      <w:tr w:rsidR="00C45D5B" w:rsidRPr="00AB54ED" w14:paraId="24393F52" w14:textId="77777777" w:rsidTr="00CF774B">
        <w:trPr>
          <w:trHeight w:val="205"/>
        </w:trPr>
        <w:tc>
          <w:tcPr>
            <w:tcW w:w="5523" w:type="dxa"/>
            <w:tcBorders>
              <w:top w:val="nil"/>
              <w:left w:val="nil"/>
              <w:right w:val="nil"/>
            </w:tcBorders>
            <w:shd w:val="clear" w:color="auto" w:fill="auto"/>
          </w:tcPr>
          <w:p w14:paraId="495C4D1E" w14:textId="77777777" w:rsidR="00C45D5B" w:rsidRPr="000600DC" w:rsidRDefault="00C45D5B" w:rsidP="00CF774B">
            <w:pPr>
              <w:rPr>
                <w:color w:val="000000"/>
                <w:sz w:val="18"/>
                <w:szCs w:val="17"/>
                <w:highlight w:val="yellow"/>
              </w:rPr>
            </w:pPr>
            <w:r w:rsidRPr="000600DC">
              <w:rPr>
                <w:sz w:val="18"/>
              </w:rPr>
              <w:t>Predaj nadbytočného majetku ŽSR</w:t>
            </w:r>
          </w:p>
        </w:tc>
        <w:tc>
          <w:tcPr>
            <w:tcW w:w="756" w:type="dxa"/>
            <w:tcBorders>
              <w:top w:val="nil"/>
              <w:left w:val="nil"/>
              <w:right w:val="nil"/>
            </w:tcBorders>
            <w:shd w:val="clear" w:color="auto" w:fill="auto"/>
            <w:noWrap/>
            <w:vAlign w:val="center"/>
          </w:tcPr>
          <w:p w14:paraId="7507624B"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3752D4C0"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7FB8AD2D" w14:textId="77777777" w:rsidR="00C45D5B" w:rsidRPr="000600DC" w:rsidRDefault="00C45D5B" w:rsidP="00CF774B">
            <w:pPr>
              <w:jc w:val="center"/>
              <w:rPr>
                <w:sz w:val="18"/>
                <w:szCs w:val="17"/>
                <w:highlight w:val="yellow"/>
              </w:rPr>
            </w:pPr>
            <w:r w:rsidRPr="000600DC">
              <w:rPr>
                <w:sz w:val="18"/>
              </w:rPr>
              <w:t>-35</w:t>
            </w:r>
          </w:p>
        </w:tc>
        <w:tc>
          <w:tcPr>
            <w:tcW w:w="756" w:type="dxa"/>
            <w:tcBorders>
              <w:top w:val="nil"/>
              <w:left w:val="nil"/>
              <w:right w:val="nil"/>
            </w:tcBorders>
            <w:shd w:val="clear" w:color="auto" w:fill="auto"/>
            <w:noWrap/>
            <w:vAlign w:val="center"/>
          </w:tcPr>
          <w:p w14:paraId="6AD898F9" w14:textId="77777777" w:rsidR="00C45D5B" w:rsidRPr="000600DC" w:rsidRDefault="00C45D5B" w:rsidP="00CF774B">
            <w:pPr>
              <w:jc w:val="center"/>
              <w:rPr>
                <w:sz w:val="18"/>
                <w:szCs w:val="17"/>
                <w:highlight w:val="yellow"/>
              </w:rPr>
            </w:pPr>
            <w:r w:rsidRPr="000600DC">
              <w:rPr>
                <w:sz w:val="18"/>
              </w:rPr>
              <w:t>35</w:t>
            </w:r>
          </w:p>
        </w:tc>
        <w:tc>
          <w:tcPr>
            <w:tcW w:w="756" w:type="dxa"/>
            <w:tcBorders>
              <w:top w:val="nil"/>
              <w:left w:val="nil"/>
              <w:right w:val="nil"/>
            </w:tcBorders>
            <w:shd w:val="clear" w:color="auto" w:fill="auto"/>
            <w:noWrap/>
            <w:vAlign w:val="center"/>
          </w:tcPr>
          <w:p w14:paraId="12716B97" w14:textId="77777777" w:rsidR="00C45D5B" w:rsidRPr="000600DC" w:rsidRDefault="00C45D5B" w:rsidP="00CF774B">
            <w:pPr>
              <w:jc w:val="center"/>
              <w:rPr>
                <w:sz w:val="18"/>
                <w:szCs w:val="17"/>
                <w:highlight w:val="yellow"/>
              </w:rPr>
            </w:pPr>
            <w:r w:rsidRPr="000600DC">
              <w:rPr>
                <w:sz w:val="18"/>
              </w:rPr>
              <w:t>0</w:t>
            </w:r>
          </w:p>
        </w:tc>
      </w:tr>
      <w:tr w:rsidR="00C45D5B" w:rsidRPr="00AB54ED" w14:paraId="2AC4B214" w14:textId="77777777" w:rsidTr="00CF774B">
        <w:trPr>
          <w:trHeight w:val="205"/>
        </w:trPr>
        <w:tc>
          <w:tcPr>
            <w:tcW w:w="5523" w:type="dxa"/>
            <w:tcBorders>
              <w:top w:val="nil"/>
              <w:left w:val="nil"/>
              <w:right w:val="nil"/>
            </w:tcBorders>
            <w:shd w:val="clear" w:color="auto" w:fill="auto"/>
          </w:tcPr>
          <w:p w14:paraId="433F00DC" w14:textId="77777777" w:rsidR="00C45D5B" w:rsidRPr="000600DC" w:rsidRDefault="00C45D5B" w:rsidP="00CF774B">
            <w:pPr>
              <w:rPr>
                <w:color w:val="000000"/>
                <w:sz w:val="18"/>
                <w:szCs w:val="17"/>
                <w:highlight w:val="yellow"/>
              </w:rPr>
            </w:pPr>
            <w:r w:rsidRPr="000600DC">
              <w:rPr>
                <w:sz w:val="18"/>
              </w:rPr>
              <w:t>Príplatok zamestnancom vo VS 350 eur (kolektívne vyjednávanie)</w:t>
            </w:r>
          </w:p>
        </w:tc>
        <w:tc>
          <w:tcPr>
            <w:tcW w:w="756" w:type="dxa"/>
            <w:tcBorders>
              <w:top w:val="nil"/>
              <w:left w:val="nil"/>
              <w:right w:val="nil"/>
            </w:tcBorders>
            <w:shd w:val="clear" w:color="auto" w:fill="auto"/>
            <w:noWrap/>
            <w:vAlign w:val="center"/>
          </w:tcPr>
          <w:p w14:paraId="6310CA1E" w14:textId="77777777" w:rsidR="00C45D5B" w:rsidRPr="000600DC" w:rsidRDefault="00C45D5B" w:rsidP="00CF774B">
            <w:pPr>
              <w:jc w:val="center"/>
              <w:rPr>
                <w:sz w:val="18"/>
                <w:szCs w:val="17"/>
                <w:highlight w:val="yellow"/>
              </w:rPr>
            </w:pPr>
            <w:r w:rsidRPr="000600DC">
              <w:rPr>
                <w:sz w:val="18"/>
              </w:rPr>
              <w:t>169</w:t>
            </w:r>
          </w:p>
        </w:tc>
        <w:tc>
          <w:tcPr>
            <w:tcW w:w="756" w:type="dxa"/>
            <w:tcBorders>
              <w:top w:val="nil"/>
              <w:left w:val="nil"/>
              <w:right w:val="nil"/>
            </w:tcBorders>
            <w:shd w:val="clear" w:color="auto" w:fill="auto"/>
            <w:noWrap/>
            <w:vAlign w:val="center"/>
          </w:tcPr>
          <w:p w14:paraId="1626C4B5" w14:textId="77777777" w:rsidR="00C45D5B" w:rsidRPr="000600DC" w:rsidRDefault="00C45D5B" w:rsidP="00CF774B">
            <w:pPr>
              <w:jc w:val="center"/>
              <w:rPr>
                <w:sz w:val="18"/>
                <w:szCs w:val="17"/>
                <w:highlight w:val="yellow"/>
              </w:rPr>
            </w:pPr>
            <w:r w:rsidRPr="000600DC">
              <w:rPr>
                <w:sz w:val="18"/>
              </w:rPr>
              <w:t>-169</w:t>
            </w:r>
          </w:p>
        </w:tc>
        <w:tc>
          <w:tcPr>
            <w:tcW w:w="756" w:type="dxa"/>
            <w:tcBorders>
              <w:top w:val="nil"/>
              <w:left w:val="nil"/>
              <w:right w:val="nil"/>
            </w:tcBorders>
            <w:shd w:val="clear" w:color="auto" w:fill="auto"/>
            <w:noWrap/>
            <w:vAlign w:val="center"/>
          </w:tcPr>
          <w:p w14:paraId="68550521"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20B2B7BB"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033F3443" w14:textId="77777777" w:rsidR="00C45D5B" w:rsidRPr="000600DC" w:rsidRDefault="00C45D5B" w:rsidP="00CF774B">
            <w:pPr>
              <w:jc w:val="center"/>
              <w:rPr>
                <w:sz w:val="18"/>
                <w:szCs w:val="17"/>
                <w:highlight w:val="yellow"/>
              </w:rPr>
            </w:pPr>
            <w:r w:rsidRPr="000600DC">
              <w:rPr>
                <w:sz w:val="18"/>
              </w:rPr>
              <w:t>0</w:t>
            </w:r>
          </w:p>
        </w:tc>
      </w:tr>
      <w:tr w:rsidR="00C45D5B" w:rsidRPr="00AB54ED" w14:paraId="5E6CC324" w14:textId="77777777" w:rsidTr="00CF774B">
        <w:trPr>
          <w:trHeight w:val="205"/>
        </w:trPr>
        <w:tc>
          <w:tcPr>
            <w:tcW w:w="5523" w:type="dxa"/>
            <w:tcBorders>
              <w:top w:val="nil"/>
              <w:left w:val="nil"/>
              <w:right w:val="nil"/>
            </w:tcBorders>
            <w:shd w:val="clear" w:color="auto" w:fill="auto"/>
          </w:tcPr>
          <w:p w14:paraId="56F06489" w14:textId="77777777" w:rsidR="00C45D5B" w:rsidRPr="000600DC" w:rsidRDefault="00C45D5B" w:rsidP="00CF774B">
            <w:pPr>
              <w:rPr>
                <w:color w:val="000000"/>
                <w:sz w:val="18"/>
                <w:szCs w:val="17"/>
                <w:highlight w:val="yellow"/>
              </w:rPr>
            </w:pPr>
            <w:r w:rsidRPr="000600DC">
              <w:rPr>
                <w:sz w:val="18"/>
              </w:rPr>
              <w:t>Navýšenie peňažných príspevkov na opatrovanie ZŤP - od júla 2022</w:t>
            </w:r>
          </w:p>
        </w:tc>
        <w:tc>
          <w:tcPr>
            <w:tcW w:w="756" w:type="dxa"/>
            <w:tcBorders>
              <w:top w:val="nil"/>
              <w:left w:val="nil"/>
              <w:right w:val="nil"/>
            </w:tcBorders>
            <w:shd w:val="clear" w:color="auto" w:fill="auto"/>
            <w:noWrap/>
            <w:vAlign w:val="center"/>
          </w:tcPr>
          <w:p w14:paraId="5F4DC03F"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44D520FB" w14:textId="77777777" w:rsidR="00C45D5B" w:rsidRPr="000600DC" w:rsidRDefault="00C45D5B" w:rsidP="00CF774B">
            <w:pPr>
              <w:jc w:val="center"/>
              <w:rPr>
                <w:sz w:val="18"/>
                <w:szCs w:val="17"/>
                <w:highlight w:val="yellow"/>
              </w:rPr>
            </w:pPr>
            <w:r w:rsidRPr="000600DC">
              <w:rPr>
                <w:sz w:val="18"/>
              </w:rPr>
              <w:t>8</w:t>
            </w:r>
          </w:p>
        </w:tc>
        <w:tc>
          <w:tcPr>
            <w:tcW w:w="756" w:type="dxa"/>
            <w:tcBorders>
              <w:top w:val="nil"/>
              <w:left w:val="nil"/>
              <w:right w:val="nil"/>
            </w:tcBorders>
            <w:shd w:val="clear" w:color="auto" w:fill="auto"/>
            <w:noWrap/>
            <w:vAlign w:val="center"/>
          </w:tcPr>
          <w:p w14:paraId="3F5F0CD5" w14:textId="77777777" w:rsidR="00C45D5B" w:rsidRPr="000600DC" w:rsidRDefault="00C45D5B" w:rsidP="00CF774B">
            <w:pPr>
              <w:jc w:val="center"/>
              <w:rPr>
                <w:sz w:val="18"/>
                <w:szCs w:val="17"/>
                <w:highlight w:val="yellow"/>
              </w:rPr>
            </w:pPr>
            <w:r w:rsidRPr="000600DC">
              <w:rPr>
                <w:sz w:val="18"/>
              </w:rPr>
              <w:t>11</w:t>
            </w:r>
          </w:p>
        </w:tc>
        <w:tc>
          <w:tcPr>
            <w:tcW w:w="756" w:type="dxa"/>
            <w:tcBorders>
              <w:top w:val="nil"/>
              <w:left w:val="nil"/>
              <w:right w:val="nil"/>
            </w:tcBorders>
            <w:shd w:val="clear" w:color="auto" w:fill="auto"/>
            <w:noWrap/>
            <w:vAlign w:val="center"/>
          </w:tcPr>
          <w:p w14:paraId="3C7C2471"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018ECD75" w14:textId="77777777" w:rsidR="00C45D5B" w:rsidRPr="000600DC" w:rsidRDefault="00C45D5B" w:rsidP="00CF774B">
            <w:pPr>
              <w:jc w:val="center"/>
              <w:rPr>
                <w:sz w:val="18"/>
                <w:szCs w:val="17"/>
                <w:highlight w:val="yellow"/>
              </w:rPr>
            </w:pPr>
            <w:r w:rsidRPr="000600DC">
              <w:rPr>
                <w:sz w:val="18"/>
              </w:rPr>
              <w:t>0</w:t>
            </w:r>
          </w:p>
        </w:tc>
      </w:tr>
      <w:tr w:rsidR="00C45D5B" w:rsidRPr="00AB54ED" w14:paraId="732B8C09" w14:textId="77777777" w:rsidTr="00CF774B">
        <w:trPr>
          <w:trHeight w:val="205"/>
        </w:trPr>
        <w:tc>
          <w:tcPr>
            <w:tcW w:w="5523" w:type="dxa"/>
            <w:tcBorders>
              <w:top w:val="nil"/>
              <w:left w:val="nil"/>
              <w:right w:val="nil"/>
            </w:tcBorders>
            <w:shd w:val="clear" w:color="auto" w:fill="auto"/>
          </w:tcPr>
          <w:p w14:paraId="0D871A6B" w14:textId="77777777" w:rsidR="00C45D5B" w:rsidRPr="000600DC" w:rsidRDefault="00C45D5B" w:rsidP="00CF774B">
            <w:pPr>
              <w:rPr>
                <w:color w:val="000000"/>
                <w:sz w:val="18"/>
                <w:szCs w:val="17"/>
                <w:highlight w:val="yellow"/>
              </w:rPr>
            </w:pPr>
            <w:r w:rsidRPr="000600DC">
              <w:rPr>
                <w:sz w:val="18"/>
              </w:rPr>
              <w:t>Zvýšenie úhrad ZP za ošetrovateľ</w:t>
            </w:r>
            <w:r>
              <w:rPr>
                <w:sz w:val="18"/>
              </w:rPr>
              <w:t>s</w:t>
            </w:r>
            <w:r w:rsidRPr="000600DC">
              <w:rPr>
                <w:sz w:val="18"/>
              </w:rPr>
              <w:t>kú starostlivosť v zariadeniach soc. starostlivosti</w:t>
            </w:r>
          </w:p>
        </w:tc>
        <w:tc>
          <w:tcPr>
            <w:tcW w:w="756" w:type="dxa"/>
            <w:tcBorders>
              <w:top w:val="nil"/>
              <w:left w:val="nil"/>
              <w:right w:val="nil"/>
            </w:tcBorders>
            <w:shd w:val="clear" w:color="auto" w:fill="auto"/>
            <w:noWrap/>
            <w:vAlign w:val="center"/>
          </w:tcPr>
          <w:p w14:paraId="130D2DC0"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7BA0DF09" w14:textId="77777777" w:rsidR="00C45D5B" w:rsidRPr="000600DC" w:rsidRDefault="00C45D5B" w:rsidP="00CF774B">
            <w:pPr>
              <w:jc w:val="center"/>
              <w:rPr>
                <w:sz w:val="18"/>
                <w:szCs w:val="17"/>
                <w:highlight w:val="yellow"/>
              </w:rPr>
            </w:pPr>
            <w:r w:rsidRPr="000600DC">
              <w:rPr>
                <w:sz w:val="18"/>
              </w:rPr>
              <w:t>11</w:t>
            </w:r>
          </w:p>
        </w:tc>
        <w:tc>
          <w:tcPr>
            <w:tcW w:w="756" w:type="dxa"/>
            <w:tcBorders>
              <w:top w:val="nil"/>
              <w:left w:val="nil"/>
              <w:right w:val="nil"/>
            </w:tcBorders>
            <w:shd w:val="clear" w:color="auto" w:fill="auto"/>
            <w:noWrap/>
            <w:vAlign w:val="center"/>
          </w:tcPr>
          <w:p w14:paraId="659956A0" w14:textId="77777777" w:rsidR="00C45D5B" w:rsidRPr="000600DC" w:rsidRDefault="00C45D5B" w:rsidP="00CF774B">
            <w:pPr>
              <w:jc w:val="center"/>
              <w:rPr>
                <w:sz w:val="18"/>
                <w:szCs w:val="17"/>
                <w:highlight w:val="yellow"/>
              </w:rPr>
            </w:pPr>
            <w:r w:rsidRPr="000600DC">
              <w:rPr>
                <w:sz w:val="18"/>
              </w:rPr>
              <w:t>11</w:t>
            </w:r>
          </w:p>
        </w:tc>
        <w:tc>
          <w:tcPr>
            <w:tcW w:w="756" w:type="dxa"/>
            <w:tcBorders>
              <w:top w:val="nil"/>
              <w:left w:val="nil"/>
              <w:right w:val="nil"/>
            </w:tcBorders>
            <w:shd w:val="clear" w:color="auto" w:fill="auto"/>
            <w:noWrap/>
            <w:vAlign w:val="center"/>
          </w:tcPr>
          <w:p w14:paraId="469D29CB" w14:textId="77777777" w:rsidR="00C45D5B" w:rsidRPr="000600DC" w:rsidRDefault="00C45D5B" w:rsidP="00CF774B">
            <w:pPr>
              <w:jc w:val="center"/>
              <w:rPr>
                <w:sz w:val="18"/>
                <w:szCs w:val="17"/>
                <w:highlight w:val="yellow"/>
              </w:rPr>
            </w:pPr>
            <w:r w:rsidRPr="000600DC">
              <w:rPr>
                <w:sz w:val="18"/>
              </w:rPr>
              <w:t>0</w:t>
            </w:r>
          </w:p>
        </w:tc>
        <w:tc>
          <w:tcPr>
            <w:tcW w:w="756" w:type="dxa"/>
            <w:tcBorders>
              <w:top w:val="nil"/>
              <w:left w:val="nil"/>
              <w:right w:val="nil"/>
            </w:tcBorders>
            <w:shd w:val="clear" w:color="auto" w:fill="auto"/>
            <w:noWrap/>
            <w:vAlign w:val="center"/>
          </w:tcPr>
          <w:p w14:paraId="16591948" w14:textId="77777777" w:rsidR="00C45D5B" w:rsidRPr="000600DC" w:rsidRDefault="00C45D5B" w:rsidP="00CF774B">
            <w:pPr>
              <w:jc w:val="center"/>
              <w:rPr>
                <w:sz w:val="18"/>
                <w:szCs w:val="17"/>
                <w:highlight w:val="yellow"/>
              </w:rPr>
            </w:pPr>
            <w:r w:rsidRPr="000600DC">
              <w:rPr>
                <w:sz w:val="18"/>
              </w:rPr>
              <w:t>0</w:t>
            </w:r>
          </w:p>
        </w:tc>
      </w:tr>
      <w:tr w:rsidR="00C45D5B" w:rsidRPr="00AB54ED" w14:paraId="3372B12B" w14:textId="77777777" w:rsidTr="00CF774B">
        <w:trPr>
          <w:trHeight w:val="205"/>
        </w:trPr>
        <w:tc>
          <w:tcPr>
            <w:tcW w:w="5523" w:type="dxa"/>
            <w:tcBorders>
              <w:top w:val="single" w:sz="4" w:space="0" w:color="auto"/>
              <w:left w:val="nil"/>
              <w:bottom w:val="nil"/>
              <w:right w:val="nil"/>
            </w:tcBorders>
            <w:shd w:val="clear" w:color="auto" w:fill="auto"/>
          </w:tcPr>
          <w:p w14:paraId="68A82DE7" w14:textId="77777777" w:rsidR="00C45D5B" w:rsidRPr="000600DC" w:rsidRDefault="00C45D5B" w:rsidP="00CF774B">
            <w:pPr>
              <w:rPr>
                <w:b/>
                <w:color w:val="000000" w:themeColor="text1"/>
                <w:sz w:val="18"/>
                <w:szCs w:val="18"/>
              </w:rPr>
            </w:pPr>
            <w:r w:rsidRPr="000600DC">
              <w:rPr>
                <w:rFonts w:cs="Calibri"/>
                <w:b/>
                <w:bCs/>
                <w:color w:val="000000"/>
                <w:sz w:val="18"/>
                <w:szCs w:val="18"/>
              </w:rPr>
              <w:t>Spolu</w:t>
            </w:r>
          </w:p>
        </w:tc>
        <w:tc>
          <w:tcPr>
            <w:tcW w:w="756" w:type="dxa"/>
            <w:tcBorders>
              <w:top w:val="single" w:sz="4" w:space="0" w:color="auto"/>
              <w:left w:val="nil"/>
              <w:bottom w:val="nil"/>
              <w:right w:val="nil"/>
            </w:tcBorders>
            <w:shd w:val="clear" w:color="auto" w:fill="auto"/>
            <w:noWrap/>
            <w:vAlign w:val="bottom"/>
          </w:tcPr>
          <w:p w14:paraId="16F5E1D8" w14:textId="77777777" w:rsidR="00C45D5B" w:rsidRPr="005D42E6" w:rsidRDefault="00C45D5B" w:rsidP="00CF774B">
            <w:pPr>
              <w:jc w:val="center"/>
              <w:rPr>
                <w:b/>
                <w:color w:val="000000" w:themeColor="text1"/>
                <w:sz w:val="18"/>
                <w:szCs w:val="18"/>
              </w:rPr>
            </w:pPr>
            <w:r w:rsidRPr="005D42E6">
              <w:rPr>
                <w:rFonts w:cs="Calibri"/>
                <w:b/>
                <w:bCs/>
                <w:color w:val="000000"/>
                <w:sz w:val="18"/>
              </w:rPr>
              <w:t>1931</w:t>
            </w:r>
          </w:p>
        </w:tc>
        <w:tc>
          <w:tcPr>
            <w:tcW w:w="756" w:type="dxa"/>
            <w:tcBorders>
              <w:top w:val="single" w:sz="4" w:space="0" w:color="auto"/>
              <w:left w:val="nil"/>
              <w:bottom w:val="nil"/>
              <w:right w:val="nil"/>
            </w:tcBorders>
            <w:shd w:val="clear" w:color="auto" w:fill="auto"/>
            <w:noWrap/>
            <w:vAlign w:val="bottom"/>
          </w:tcPr>
          <w:p w14:paraId="71E5D6A9" w14:textId="77777777" w:rsidR="00C45D5B" w:rsidRPr="005D42E6" w:rsidRDefault="00C45D5B" w:rsidP="00CF774B">
            <w:pPr>
              <w:jc w:val="center"/>
              <w:rPr>
                <w:b/>
                <w:color w:val="000000" w:themeColor="text1"/>
                <w:sz w:val="18"/>
                <w:szCs w:val="18"/>
              </w:rPr>
            </w:pPr>
            <w:r w:rsidRPr="005D42E6">
              <w:rPr>
                <w:rFonts w:cs="Calibri"/>
                <w:b/>
                <w:bCs/>
                <w:color w:val="000000"/>
                <w:sz w:val="18"/>
              </w:rPr>
              <w:t>-1029</w:t>
            </w:r>
          </w:p>
        </w:tc>
        <w:tc>
          <w:tcPr>
            <w:tcW w:w="756" w:type="dxa"/>
            <w:tcBorders>
              <w:top w:val="single" w:sz="4" w:space="0" w:color="auto"/>
              <w:left w:val="nil"/>
              <w:bottom w:val="nil"/>
              <w:right w:val="nil"/>
            </w:tcBorders>
            <w:shd w:val="clear" w:color="auto" w:fill="auto"/>
            <w:noWrap/>
            <w:vAlign w:val="bottom"/>
          </w:tcPr>
          <w:p w14:paraId="1968FE45" w14:textId="77777777" w:rsidR="00C45D5B" w:rsidRPr="005D42E6" w:rsidRDefault="00C45D5B" w:rsidP="00CF774B">
            <w:pPr>
              <w:jc w:val="center"/>
              <w:rPr>
                <w:b/>
                <w:color w:val="000000" w:themeColor="text1"/>
                <w:sz w:val="18"/>
                <w:szCs w:val="18"/>
              </w:rPr>
            </w:pPr>
            <w:r w:rsidRPr="005D42E6">
              <w:rPr>
                <w:rFonts w:cs="Calibri"/>
                <w:b/>
                <w:bCs/>
                <w:color w:val="000000"/>
                <w:sz w:val="18"/>
              </w:rPr>
              <w:t>-1165</w:t>
            </w:r>
          </w:p>
        </w:tc>
        <w:tc>
          <w:tcPr>
            <w:tcW w:w="756" w:type="dxa"/>
            <w:tcBorders>
              <w:top w:val="single" w:sz="4" w:space="0" w:color="auto"/>
              <w:left w:val="nil"/>
              <w:bottom w:val="nil"/>
              <w:right w:val="nil"/>
            </w:tcBorders>
            <w:shd w:val="clear" w:color="auto" w:fill="auto"/>
            <w:noWrap/>
            <w:vAlign w:val="bottom"/>
          </w:tcPr>
          <w:p w14:paraId="6BEF4DB1" w14:textId="77777777" w:rsidR="00C45D5B" w:rsidRPr="005D42E6" w:rsidRDefault="00C45D5B" w:rsidP="00CF774B">
            <w:pPr>
              <w:jc w:val="center"/>
              <w:rPr>
                <w:b/>
                <w:color w:val="000000" w:themeColor="text1"/>
                <w:sz w:val="18"/>
                <w:szCs w:val="18"/>
              </w:rPr>
            </w:pPr>
            <w:r w:rsidRPr="005D42E6">
              <w:rPr>
                <w:rFonts w:cs="Calibri"/>
                <w:b/>
                <w:bCs/>
                <w:color w:val="000000"/>
                <w:sz w:val="18"/>
              </w:rPr>
              <w:t>-170</w:t>
            </w:r>
          </w:p>
        </w:tc>
        <w:tc>
          <w:tcPr>
            <w:tcW w:w="756" w:type="dxa"/>
            <w:tcBorders>
              <w:top w:val="single" w:sz="4" w:space="0" w:color="auto"/>
              <w:left w:val="nil"/>
              <w:bottom w:val="nil"/>
              <w:right w:val="nil"/>
            </w:tcBorders>
            <w:shd w:val="clear" w:color="auto" w:fill="auto"/>
            <w:noWrap/>
            <w:vAlign w:val="bottom"/>
          </w:tcPr>
          <w:p w14:paraId="56847B15" w14:textId="77777777" w:rsidR="00C45D5B" w:rsidRPr="005D42E6" w:rsidRDefault="00C45D5B" w:rsidP="00CF774B">
            <w:pPr>
              <w:jc w:val="center"/>
              <w:rPr>
                <w:b/>
                <w:color w:val="000000" w:themeColor="text1"/>
                <w:sz w:val="18"/>
                <w:szCs w:val="18"/>
              </w:rPr>
            </w:pPr>
            <w:r w:rsidRPr="005D42E6">
              <w:rPr>
                <w:rFonts w:cs="Calibri"/>
                <w:b/>
                <w:bCs/>
                <w:color w:val="000000"/>
                <w:sz w:val="18"/>
              </w:rPr>
              <w:t>-228</w:t>
            </w:r>
          </w:p>
        </w:tc>
      </w:tr>
    </w:tbl>
    <w:p w14:paraId="52037E9C" w14:textId="77777777" w:rsidR="00C45D5B" w:rsidRPr="002877E1" w:rsidRDefault="00C45D5B" w:rsidP="0004507F">
      <w:pPr>
        <w:jc w:val="right"/>
        <w:rPr>
          <w:b/>
          <w:i/>
          <w:color w:val="000000" w:themeColor="text1"/>
          <w:sz w:val="16"/>
          <w:szCs w:val="24"/>
        </w:rPr>
      </w:pPr>
      <w:r w:rsidRPr="0004507F">
        <w:rPr>
          <w:i/>
          <w:color w:val="000000" w:themeColor="text1"/>
          <w:sz w:val="16"/>
          <w:szCs w:val="20"/>
        </w:rPr>
        <w:t>Zdroj: MF SR</w:t>
      </w:r>
    </w:p>
    <w:p w14:paraId="6B1D0527" w14:textId="77777777" w:rsidR="00C45D5B" w:rsidRPr="00AB54ED" w:rsidRDefault="00C45D5B" w:rsidP="00C45D5B">
      <w:pPr>
        <w:rPr>
          <w:rFonts w:cs="Arial"/>
          <w:b/>
          <w:bCs/>
          <w:color w:val="2C9ADC" w:themeColor="accent1"/>
          <w:sz w:val="24"/>
          <w:szCs w:val="24"/>
          <w:highlight w:val="yellow"/>
        </w:rPr>
      </w:pPr>
      <w:r w:rsidRPr="00AB54ED">
        <w:rPr>
          <w:color w:val="2C9ADC" w:themeColor="accent1"/>
          <w:sz w:val="24"/>
          <w:szCs w:val="24"/>
          <w:highlight w:val="yellow"/>
        </w:rPr>
        <w:br w:type="page"/>
      </w:r>
    </w:p>
    <w:p w14:paraId="535BAB3E" w14:textId="62CEF4DF" w:rsidR="00C45D5B" w:rsidRPr="002E3C66" w:rsidRDefault="00C45D5B" w:rsidP="00C45D5B">
      <w:pPr>
        <w:pStyle w:val="Nadpis3"/>
        <w:spacing w:after="120"/>
        <w:rPr>
          <w:color w:val="2C9ADC" w:themeColor="accent1"/>
          <w:sz w:val="24"/>
          <w:szCs w:val="24"/>
        </w:rPr>
      </w:pPr>
      <w:r>
        <w:rPr>
          <w:color w:val="2C9ADC" w:themeColor="accent1"/>
          <w:sz w:val="24"/>
          <w:szCs w:val="24"/>
        </w:rPr>
        <w:t>Príloha 4</w:t>
      </w:r>
      <w:r w:rsidRPr="002E3C66">
        <w:rPr>
          <w:color w:val="2C9ADC" w:themeColor="accent1"/>
          <w:sz w:val="24"/>
          <w:szCs w:val="24"/>
        </w:rPr>
        <w:t xml:space="preserve"> – Prognóza hrubého dlhu verejnej správy podľa hotovostných tokov</w:t>
      </w:r>
    </w:p>
    <w:p w14:paraId="7EC54FF2" w14:textId="77777777" w:rsidR="00C45D5B" w:rsidRPr="00AB54ED" w:rsidRDefault="00C45D5B" w:rsidP="00C45D5B">
      <w:pPr>
        <w:pStyle w:val="Tabuka"/>
        <w:pBdr>
          <w:bottom w:val="single" w:sz="4" w:space="1" w:color="auto"/>
        </w:pBdr>
        <w:spacing w:after="0"/>
        <w:jc w:val="both"/>
        <w:rPr>
          <w:b w:val="0"/>
          <w:color w:val="auto"/>
          <w:sz w:val="22"/>
          <w:szCs w:val="22"/>
          <w:highlight w:val="yellow"/>
        </w:rPr>
      </w:pPr>
      <w:bookmarkStart w:id="296" w:name="_Toc526783488"/>
      <w:r w:rsidRPr="003F2259">
        <w:rPr>
          <w:color w:val="auto"/>
          <w:sz w:val="22"/>
          <w:szCs w:val="22"/>
        </w:rPr>
        <w:t xml:space="preserve">Z pohľadu hotovostného vývoja bude hrubý dlh ovplyvňovať najmä potreba financovať </w:t>
      </w:r>
      <w:r>
        <w:rPr>
          <w:color w:val="auto"/>
          <w:sz w:val="22"/>
          <w:szCs w:val="22"/>
        </w:rPr>
        <w:t xml:space="preserve">pretrvávajúce </w:t>
      </w:r>
      <w:r w:rsidRPr="003F2259">
        <w:rPr>
          <w:color w:val="auto"/>
          <w:sz w:val="22"/>
          <w:szCs w:val="22"/>
        </w:rPr>
        <w:t>vysoké hotovostné deficity</w:t>
      </w:r>
      <w:r>
        <w:rPr>
          <w:color w:val="auto"/>
          <w:sz w:val="22"/>
          <w:szCs w:val="22"/>
        </w:rPr>
        <w:t xml:space="preserve"> plánované v rozpočte na roky 2023 až 2025. </w:t>
      </w:r>
      <w:r>
        <w:rPr>
          <w:b w:val="0"/>
          <w:color w:val="auto"/>
          <w:sz w:val="22"/>
          <w:szCs w:val="22"/>
        </w:rPr>
        <w:t>Hlavným faktorom rastu nominálneho zadlženia v nasledujúcich rokoch budú stále prítomné hotovostné deficity. Tie pomôže kryť postupné rozpúšťanie hotovostnej rezervy na horizonte prognózy, ktoré prispeje k stabilizácii hrubého dlhu pod 60 % HDP. Pozitívne na dlh v pomere k HDP bude prispievať najmä výrazne vyšší nominálny rast ekonomiky.</w:t>
      </w:r>
      <w:r w:rsidRPr="003F2259">
        <w:rPr>
          <w:b w:val="0"/>
          <w:color w:val="auto"/>
          <w:sz w:val="22"/>
          <w:szCs w:val="22"/>
        </w:rPr>
        <w:t xml:space="preserve"> </w:t>
      </w:r>
      <w:r w:rsidRPr="005F752F">
        <w:rPr>
          <w:b w:val="0"/>
          <w:color w:val="auto"/>
          <w:sz w:val="22"/>
          <w:szCs w:val="22"/>
        </w:rPr>
        <w:t xml:space="preserve">Zadlženie ostatných subjektov prispeje </w:t>
      </w:r>
      <w:r>
        <w:rPr>
          <w:b w:val="0"/>
          <w:color w:val="auto"/>
          <w:sz w:val="22"/>
          <w:szCs w:val="22"/>
        </w:rPr>
        <w:t xml:space="preserve">na horizonte prognózy </w:t>
      </w:r>
      <w:r w:rsidRPr="005F752F">
        <w:rPr>
          <w:b w:val="0"/>
          <w:color w:val="auto"/>
          <w:sz w:val="22"/>
          <w:szCs w:val="22"/>
        </w:rPr>
        <w:t xml:space="preserve">k rastu dlhu mierne </w:t>
      </w:r>
      <w:r>
        <w:rPr>
          <w:b w:val="0"/>
          <w:color w:val="auto"/>
          <w:sz w:val="22"/>
          <w:szCs w:val="22"/>
        </w:rPr>
        <w:t>pozitívne</w:t>
      </w:r>
      <w:r w:rsidRPr="005F752F">
        <w:rPr>
          <w:b w:val="0"/>
          <w:color w:val="auto"/>
          <w:sz w:val="22"/>
          <w:szCs w:val="22"/>
        </w:rPr>
        <w:t xml:space="preserve"> najmä </w:t>
      </w:r>
      <w:r>
        <w:rPr>
          <w:b w:val="0"/>
          <w:color w:val="auto"/>
          <w:sz w:val="22"/>
          <w:szCs w:val="22"/>
        </w:rPr>
        <w:t>vďaka dopravným podnikom</w:t>
      </w:r>
      <w:r w:rsidRPr="005F752F">
        <w:rPr>
          <w:b w:val="0"/>
          <w:color w:val="auto"/>
          <w:sz w:val="22"/>
          <w:szCs w:val="22"/>
        </w:rPr>
        <w:t xml:space="preserve"> </w:t>
      </w:r>
      <w:r>
        <w:rPr>
          <w:b w:val="0"/>
          <w:color w:val="auto"/>
          <w:sz w:val="22"/>
          <w:szCs w:val="22"/>
        </w:rPr>
        <w:t>a samosprávam</w:t>
      </w:r>
      <w:r w:rsidRPr="005F752F">
        <w:rPr>
          <w:b w:val="0"/>
          <w:color w:val="auto"/>
          <w:sz w:val="22"/>
          <w:szCs w:val="22"/>
        </w:rPr>
        <w:t xml:space="preserve">. Hodnotu dlhu na </w:t>
      </w:r>
      <w:r w:rsidRPr="006A36B7">
        <w:rPr>
          <w:b w:val="0"/>
          <w:color w:val="auto"/>
          <w:sz w:val="22"/>
          <w:szCs w:val="22"/>
        </w:rPr>
        <w:t>horizonte rozpočtu ovplyvnia aj metodické úpravy ako sú diskont p</w:t>
      </w:r>
      <w:r>
        <w:rPr>
          <w:b w:val="0"/>
          <w:color w:val="auto"/>
          <w:sz w:val="22"/>
          <w:szCs w:val="22"/>
        </w:rPr>
        <w:t>ri emisii a splatení dlhopisov.</w:t>
      </w:r>
      <w:r w:rsidRPr="006A36B7">
        <w:rPr>
          <w:b w:val="0"/>
          <w:color w:val="auto"/>
          <w:sz w:val="22"/>
          <w:szCs w:val="22"/>
        </w:rPr>
        <w:cr/>
      </w:r>
    </w:p>
    <w:p w14:paraId="729902BA" w14:textId="7F6432AF" w:rsidR="00C45D5B" w:rsidRPr="00197E76" w:rsidRDefault="00C45D5B" w:rsidP="00C45D5B">
      <w:pPr>
        <w:pStyle w:val="Tabuka"/>
        <w:pBdr>
          <w:bottom w:val="single" w:sz="4" w:space="1" w:color="auto"/>
        </w:pBdr>
        <w:spacing w:line="276" w:lineRule="auto"/>
        <w:jc w:val="both"/>
      </w:pPr>
      <w:bookmarkStart w:id="297" w:name="_Toc40186695"/>
      <w:bookmarkStart w:id="298" w:name="_Toc71622478"/>
      <w:bookmarkStart w:id="299" w:name="_Toc101880719"/>
      <w:r w:rsidRPr="00197E76">
        <w:rPr>
          <w:rFonts w:eastAsiaTheme="minorHAnsi"/>
          <w:color w:val="2C9ADC"/>
          <w:lang w:eastAsia="en-US"/>
        </w:rPr>
        <w:t xml:space="preserve">TABUĽKA </w:t>
      </w:r>
      <w:r w:rsidRPr="00197E76">
        <w:rPr>
          <w:rFonts w:eastAsiaTheme="minorHAnsi"/>
          <w:color w:val="2C9ADC"/>
          <w:lang w:eastAsia="en-US"/>
        </w:rPr>
        <w:fldChar w:fldCharType="begin"/>
      </w:r>
      <w:r w:rsidRPr="00197E76">
        <w:rPr>
          <w:rFonts w:eastAsiaTheme="minorHAnsi"/>
          <w:color w:val="2C9ADC"/>
          <w:lang w:eastAsia="en-US"/>
        </w:rPr>
        <w:instrText xml:space="preserve"> SEQ TABUĽKA \* ARABIC </w:instrText>
      </w:r>
      <w:r w:rsidRPr="00197E76">
        <w:rPr>
          <w:rFonts w:eastAsiaTheme="minorHAnsi"/>
          <w:color w:val="2C9ADC"/>
          <w:lang w:eastAsia="en-US"/>
        </w:rPr>
        <w:fldChar w:fldCharType="separate"/>
      </w:r>
      <w:r w:rsidR="005D3280">
        <w:rPr>
          <w:rFonts w:eastAsiaTheme="minorHAnsi"/>
          <w:noProof/>
          <w:color w:val="2C9ADC"/>
          <w:lang w:eastAsia="en-US"/>
        </w:rPr>
        <w:t>40</w:t>
      </w:r>
      <w:r w:rsidRPr="00197E76">
        <w:rPr>
          <w:rFonts w:eastAsiaTheme="minorHAnsi"/>
          <w:color w:val="2C9ADC"/>
          <w:lang w:eastAsia="en-US"/>
        </w:rPr>
        <w:fldChar w:fldCharType="end"/>
      </w:r>
      <w:r w:rsidRPr="00197E76">
        <w:t xml:space="preserve"> </w:t>
      </w:r>
      <w:r w:rsidRPr="00197E76">
        <w:rPr>
          <w:rFonts w:eastAsiaTheme="minorHAnsi"/>
          <w:b w:val="0"/>
          <w:color w:val="2C9ADC"/>
          <w:lang w:eastAsia="en-US"/>
        </w:rPr>
        <w:t>–</w:t>
      </w:r>
      <w:r w:rsidRPr="00197E76">
        <w:t xml:space="preserve"> Hotovostné vplyvy na zmenu nominálneho hrubého dlhu verejnej správy (v mil. eur)</w:t>
      </w:r>
      <w:bookmarkEnd w:id="296"/>
      <w:bookmarkEnd w:id="297"/>
      <w:bookmarkEnd w:id="298"/>
      <w:bookmarkEnd w:id="299"/>
    </w:p>
    <w:tbl>
      <w:tblPr>
        <w:tblW w:w="5008" w:type="pct"/>
        <w:tblCellMar>
          <w:left w:w="70" w:type="dxa"/>
          <w:right w:w="70" w:type="dxa"/>
        </w:tblCellMar>
        <w:tblLook w:val="0400" w:firstRow="0" w:lastRow="0" w:firstColumn="0" w:lastColumn="0" w:noHBand="0" w:noVBand="1"/>
      </w:tblPr>
      <w:tblGrid>
        <w:gridCol w:w="3978"/>
        <w:gridCol w:w="852"/>
        <w:gridCol w:w="852"/>
        <w:gridCol w:w="852"/>
        <w:gridCol w:w="852"/>
        <w:gridCol w:w="563"/>
        <w:gridCol w:w="287"/>
        <w:gridCol w:w="849"/>
      </w:tblGrid>
      <w:tr w:rsidR="00C45D5B" w:rsidRPr="00197E76" w14:paraId="1934A92A" w14:textId="77777777" w:rsidTr="00CF774B">
        <w:trPr>
          <w:trHeight w:val="92"/>
        </w:trPr>
        <w:tc>
          <w:tcPr>
            <w:tcW w:w="2189" w:type="pct"/>
            <w:tcBorders>
              <w:left w:val="nil"/>
              <w:bottom w:val="single" w:sz="4" w:space="0" w:color="auto"/>
            </w:tcBorders>
            <w:shd w:val="clear" w:color="auto" w:fill="auto"/>
          </w:tcPr>
          <w:p w14:paraId="730A97AC" w14:textId="77777777" w:rsidR="00C45D5B" w:rsidRPr="00197E76" w:rsidRDefault="00C45D5B" w:rsidP="00CF774B">
            <w:pPr>
              <w:rPr>
                <w:color w:val="000000" w:themeColor="text1"/>
                <w:sz w:val="20"/>
                <w:szCs w:val="20"/>
              </w:rPr>
            </w:pPr>
          </w:p>
        </w:tc>
        <w:tc>
          <w:tcPr>
            <w:tcW w:w="469" w:type="pct"/>
            <w:tcBorders>
              <w:bottom w:val="single" w:sz="4" w:space="0" w:color="auto"/>
            </w:tcBorders>
            <w:shd w:val="clear" w:color="auto" w:fill="auto"/>
            <w:vAlign w:val="center"/>
          </w:tcPr>
          <w:p w14:paraId="7869964B" w14:textId="77777777" w:rsidR="00C45D5B" w:rsidRPr="00197E76" w:rsidRDefault="00C45D5B" w:rsidP="00CF774B">
            <w:pPr>
              <w:jc w:val="right"/>
              <w:rPr>
                <w:rFonts w:cs="Arial"/>
                <w:b/>
                <w:bCs/>
                <w:color w:val="000000" w:themeColor="text1"/>
                <w:sz w:val="20"/>
                <w:szCs w:val="20"/>
              </w:rPr>
            </w:pPr>
            <w:r w:rsidRPr="00197E76">
              <w:rPr>
                <w:rFonts w:cs="Arial"/>
                <w:b/>
                <w:bCs/>
                <w:sz w:val="20"/>
                <w:szCs w:val="20"/>
              </w:rPr>
              <w:t>2020</w:t>
            </w:r>
          </w:p>
        </w:tc>
        <w:tc>
          <w:tcPr>
            <w:tcW w:w="469" w:type="pct"/>
            <w:tcBorders>
              <w:bottom w:val="single" w:sz="4" w:space="0" w:color="auto"/>
            </w:tcBorders>
            <w:shd w:val="clear" w:color="auto" w:fill="auto"/>
            <w:vAlign w:val="center"/>
          </w:tcPr>
          <w:p w14:paraId="05B7C258" w14:textId="77777777" w:rsidR="00C45D5B" w:rsidRPr="00197E76" w:rsidRDefault="00C45D5B" w:rsidP="00CF774B">
            <w:pPr>
              <w:jc w:val="right"/>
              <w:rPr>
                <w:rFonts w:cs="Arial"/>
                <w:b/>
                <w:bCs/>
                <w:color w:val="000000" w:themeColor="text1"/>
                <w:sz w:val="20"/>
                <w:szCs w:val="20"/>
              </w:rPr>
            </w:pPr>
            <w:r w:rsidRPr="00197E76">
              <w:rPr>
                <w:rFonts w:cs="Arial"/>
                <w:b/>
                <w:bCs/>
                <w:sz w:val="20"/>
                <w:szCs w:val="20"/>
              </w:rPr>
              <w:t>2021</w:t>
            </w:r>
          </w:p>
        </w:tc>
        <w:tc>
          <w:tcPr>
            <w:tcW w:w="469" w:type="pct"/>
            <w:tcBorders>
              <w:bottom w:val="single" w:sz="4" w:space="0" w:color="auto"/>
            </w:tcBorders>
            <w:shd w:val="clear" w:color="auto" w:fill="auto"/>
            <w:vAlign w:val="center"/>
          </w:tcPr>
          <w:p w14:paraId="75A770A0" w14:textId="77777777" w:rsidR="00C45D5B" w:rsidRPr="00197E76" w:rsidRDefault="00C45D5B" w:rsidP="00CF774B">
            <w:pPr>
              <w:jc w:val="right"/>
              <w:rPr>
                <w:rFonts w:cs="Arial"/>
                <w:b/>
                <w:bCs/>
                <w:color w:val="000000" w:themeColor="text1"/>
                <w:sz w:val="20"/>
                <w:szCs w:val="20"/>
              </w:rPr>
            </w:pPr>
            <w:r w:rsidRPr="00197E76">
              <w:rPr>
                <w:rFonts w:cs="Arial"/>
                <w:b/>
                <w:bCs/>
                <w:sz w:val="20"/>
                <w:szCs w:val="20"/>
              </w:rPr>
              <w:t>2022</w:t>
            </w:r>
          </w:p>
        </w:tc>
        <w:tc>
          <w:tcPr>
            <w:tcW w:w="469" w:type="pct"/>
            <w:tcBorders>
              <w:bottom w:val="single" w:sz="4" w:space="0" w:color="auto"/>
            </w:tcBorders>
            <w:shd w:val="clear" w:color="auto" w:fill="auto"/>
            <w:vAlign w:val="center"/>
          </w:tcPr>
          <w:p w14:paraId="33988EFB" w14:textId="77777777" w:rsidR="00C45D5B" w:rsidRPr="00197E76" w:rsidRDefault="00C45D5B" w:rsidP="00CF774B">
            <w:pPr>
              <w:jc w:val="right"/>
              <w:rPr>
                <w:rFonts w:cs="Arial"/>
                <w:b/>
                <w:bCs/>
                <w:color w:val="000000" w:themeColor="text1"/>
                <w:sz w:val="20"/>
                <w:szCs w:val="20"/>
              </w:rPr>
            </w:pPr>
            <w:r w:rsidRPr="00197E76">
              <w:rPr>
                <w:rFonts w:cs="Arial"/>
                <w:b/>
                <w:bCs/>
                <w:sz w:val="20"/>
                <w:szCs w:val="20"/>
              </w:rPr>
              <w:t>2023</w:t>
            </w:r>
          </w:p>
        </w:tc>
        <w:tc>
          <w:tcPr>
            <w:tcW w:w="468" w:type="pct"/>
            <w:gridSpan w:val="2"/>
            <w:tcBorders>
              <w:bottom w:val="single" w:sz="4" w:space="0" w:color="auto"/>
            </w:tcBorders>
            <w:shd w:val="clear" w:color="auto" w:fill="auto"/>
            <w:vAlign w:val="center"/>
          </w:tcPr>
          <w:p w14:paraId="7EB1F98A" w14:textId="77777777" w:rsidR="00C45D5B" w:rsidRPr="00197E76" w:rsidRDefault="00C45D5B" w:rsidP="00CF774B">
            <w:pPr>
              <w:jc w:val="right"/>
              <w:rPr>
                <w:rFonts w:cs="Arial"/>
                <w:b/>
                <w:bCs/>
                <w:color w:val="000000" w:themeColor="text1"/>
                <w:sz w:val="20"/>
                <w:szCs w:val="20"/>
              </w:rPr>
            </w:pPr>
            <w:r w:rsidRPr="00197E76">
              <w:rPr>
                <w:rFonts w:cs="Arial"/>
                <w:b/>
                <w:bCs/>
                <w:sz w:val="20"/>
                <w:szCs w:val="20"/>
              </w:rPr>
              <w:t>2024</w:t>
            </w:r>
          </w:p>
        </w:tc>
        <w:tc>
          <w:tcPr>
            <w:tcW w:w="467" w:type="pct"/>
            <w:tcBorders>
              <w:bottom w:val="single" w:sz="4" w:space="0" w:color="auto"/>
            </w:tcBorders>
            <w:shd w:val="clear" w:color="auto" w:fill="auto"/>
            <w:vAlign w:val="center"/>
          </w:tcPr>
          <w:p w14:paraId="0CBF127B" w14:textId="77777777" w:rsidR="00C45D5B" w:rsidRPr="00197E76" w:rsidRDefault="00C45D5B" w:rsidP="00CF774B">
            <w:pPr>
              <w:jc w:val="right"/>
              <w:rPr>
                <w:rFonts w:cs="Arial"/>
                <w:b/>
                <w:bCs/>
                <w:color w:val="000000" w:themeColor="text1"/>
                <w:sz w:val="20"/>
                <w:szCs w:val="20"/>
              </w:rPr>
            </w:pPr>
            <w:r w:rsidRPr="00197E76">
              <w:rPr>
                <w:rFonts w:cs="Arial"/>
                <w:b/>
                <w:bCs/>
                <w:sz w:val="20"/>
                <w:szCs w:val="20"/>
              </w:rPr>
              <w:t>2025</w:t>
            </w:r>
          </w:p>
        </w:tc>
      </w:tr>
      <w:tr w:rsidR="00C45D5B" w:rsidRPr="00197E76" w14:paraId="3C2D9A2B" w14:textId="77777777" w:rsidTr="00CF774B">
        <w:trPr>
          <w:trHeight w:val="268"/>
        </w:trPr>
        <w:tc>
          <w:tcPr>
            <w:tcW w:w="2189" w:type="pct"/>
            <w:tcBorders>
              <w:top w:val="single" w:sz="4" w:space="0" w:color="auto"/>
              <w:left w:val="nil"/>
              <w:bottom w:val="single" w:sz="4" w:space="0" w:color="auto"/>
            </w:tcBorders>
            <w:shd w:val="clear" w:color="auto" w:fill="auto"/>
            <w:vAlign w:val="center"/>
          </w:tcPr>
          <w:p w14:paraId="144A77BE" w14:textId="77777777" w:rsidR="00C45D5B" w:rsidRPr="00197E76" w:rsidRDefault="00C45D5B" w:rsidP="00CF774B">
            <w:pPr>
              <w:rPr>
                <w:b/>
                <w:color w:val="000000" w:themeColor="text1"/>
                <w:sz w:val="20"/>
                <w:szCs w:val="20"/>
              </w:rPr>
            </w:pPr>
            <w:r w:rsidRPr="00197E76">
              <w:rPr>
                <w:b/>
                <w:color w:val="000000" w:themeColor="text1"/>
                <w:sz w:val="20"/>
                <w:szCs w:val="20"/>
              </w:rPr>
              <w:t>A. Hrubý dlh verejnej správy (k 1.1.)</w:t>
            </w:r>
          </w:p>
        </w:tc>
        <w:tc>
          <w:tcPr>
            <w:tcW w:w="469" w:type="pct"/>
            <w:tcBorders>
              <w:top w:val="single" w:sz="4" w:space="0" w:color="auto"/>
              <w:bottom w:val="single" w:sz="4" w:space="0" w:color="auto"/>
            </w:tcBorders>
            <w:shd w:val="clear" w:color="auto" w:fill="auto"/>
            <w:vAlign w:val="bottom"/>
          </w:tcPr>
          <w:p w14:paraId="07E07271" w14:textId="77777777" w:rsidR="00C45D5B" w:rsidRPr="006B2558" w:rsidRDefault="00C45D5B" w:rsidP="00CF774B">
            <w:pPr>
              <w:jc w:val="right"/>
              <w:rPr>
                <w:sz w:val="20"/>
                <w:szCs w:val="20"/>
              </w:rPr>
            </w:pPr>
            <w:r w:rsidRPr="006B2558">
              <w:rPr>
                <w:rFonts w:cs="Arial"/>
                <w:bCs/>
                <w:sz w:val="20"/>
                <w:szCs w:val="20"/>
              </w:rPr>
              <w:t>45 277</w:t>
            </w:r>
          </w:p>
        </w:tc>
        <w:tc>
          <w:tcPr>
            <w:tcW w:w="469" w:type="pct"/>
            <w:tcBorders>
              <w:top w:val="single" w:sz="4" w:space="0" w:color="auto"/>
              <w:bottom w:val="single" w:sz="4" w:space="0" w:color="auto"/>
            </w:tcBorders>
            <w:shd w:val="clear" w:color="auto" w:fill="auto"/>
            <w:vAlign w:val="bottom"/>
          </w:tcPr>
          <w:p w14:paraId="4893184A" w14:textId="77777777" w:rsidR="00C45D5B" w:rsidRPr="006B2558" w:rsidRDefault="00C45D5B" w:rsidP="00CF774B">
            <w:pPr>
              <w:jc w:val="right"/>
              <w:rPr>
                <w:sz w:val="20"/>
                <w:szCs w:val="20"/>
              </w:rPr>
            </w:pPr>
            <w:r w:rsidRPr="006B2558">
              <w:rPr>
                <w:rFonts w:cs="Arial"/>
                <w:bCs/>
                <w:sz w:val="20"/>
                <w:szCs w:val="20"/>
              </w:rPr>
              <w:t>55 012</w:t>
            </w:r>
          </w:p>
        </w:tc>
        <w:tc>
          <w:tcPr>
            <w:tcW w:w="469" w:type="pct"/>
            <w:tcBorders>
              <w:top w:val="single" w:sz="4" w:space="0" w:color="auto"/>
              <w:bottom w:val="single" w:sz="4" w:space="0" w:color="auto"/>
            </w:tcBorders>
            <w:shd w:val="clear" w:color="auto" w:fill="auto"/>
            <w:vAlign w:val="bottom"/>
          </w:tcPr>
          <w:p w14:paraId="4E17B469" w14:textId="77777777" w:rsidR="00C45D5B" w:rsidRPr="006B2558" w:rsidRDefault="00C45D5B" w:rsidP="00CF774B">
            <w:pPr>
              <w:jc w:val="right"/>
              <w:rPr>
                <w:sz w:val="20"/>
                <w:szCs w:val="20"/>
              </w:rPr>
            </w:pPr>
            <w:r w:rsidRPr="006B2558">
              <w:rPr>
                <w:rFonts w:cs="Arial"/>
                <w:bCs/>
                <w:sz w:val="20"/>
                <w:szCs w:val="20"/>
              </w:rPr>
              <w:t>61 259</w:t>
            </w:r>
          </w:p>
        </w:tc>
        <w:tc>
          <w:tcPr>
            <w:tcW w:w="469" w:type="pct"/>
            <w:tcBorders>
              <w:top w:val="single" w:sz="4" w:space="0" w:color="auto"/>
              <w:bottom w:val="single" w:sz="4" w:space="0" w:color="auto"/>
            </w:tcBorders>
            <w:shd w:val="clear" w:color="auto" w:fill="auto"/>
            <w:vAlign w:val="bottom"/>
          </w:tcPr>
          <w:p w14:paraId="7E70FEB3" w14:textId="77777777" w:rsidR="00C45D5B" w:rsidRPr="006B2558" w:rsidRDefault="00C45D5B" w:rsidP="00CF774B">
            <w:pPr>
              <w:jc w:val="right"/>
              <w:rPr>
                <w:sz w:val="20"/>
                <w:szCs w:val="20"/>
              </w:rPr>
            </w:pPr>
            <w:r w:rsidRPr="006B2558">
              <w:rPr>
                <w:rFonts w:cs="Arial"/>
                <w:bCs/>
                <w:sz w:val="20"/>
                <w:szCs w:val="20"/>
              </w:rPr>
              <w:t>65 595</w:t>
            </w:r>
          </w:p>
        </w:tc>
        <w:tc>
          <w:tcPr>
            <w:tcW w:w="468" w:type="pct"/>
            <w:gridSpan w:val="2"/>
            <w:tcBorders>
              <w:top w:val="single" w:sz="4" w:space="0" w:color="auto"/>
              <w:bottom w:val="single" w:sz="4" w:space="0" w:color="auto"/>
            </w:tcBorders>
            <w:shd w:val="clear" w:color="auto" w:fill="auto"/>
            <w:vAlign w:val="bottom"/>
          </w:tcPr>
          <w:p w14:paraId="4FE82212" w14:textId="77777777" w:rsidR="00C45D5B" w:rsidRPr="006B2558" w:rsidRDefault="00C45D5B" w:rsidP="00CF774B">
            <w:pPr>
              <w:jc w:val="right"/>
              <w:rPr>
                <w:sz w:val="20"/>
                <w:szCs w:val="20"/>
              </w:rPr>
            </w:pPr>
            <w:r w:rsidRPr="006B2558">
              <w:rPr>
                <w:rFonts w:cs="Arial"/>
                <w:bCs/>
                <w:sz w:val="20"/>
                <w:szCs w:val="20"/>
              </w:rPr>
              <w:t>68 393</w:t>
            </w:r>
          </w:p>
        </w:tc>
        <w:tc>
          <w:tcPr>
            <w:tcW w:w="467" w:type="pct"/>
            <w:tcBorders>
              <w:top w:val="single" w:sz="4" w:space="0" w:color="auto"/>
              <w:bottom w:val="single" w:sz="4" w:space="0" w:color="auto"/>
            </w:tcBorders>
            <w:shd w:val="clear" w:color="auto" w:fill="auto"/>
            <w:vAlign w:val="bottom"/>
          </w:tcPr>
          <w:p w14:paraId="176FEEEC" w14:textId="77777777" w:rsidR="00C45D5B" w:rsidRPr="006B2558" w:rsidRDefault="00C45D5B" w:rsidP="00CF774B">
            <w:pPr>
              <w:jc w:val="right"/>
              <w:rPr>
                <w:sz w:val="20"/>
                <w:szCs w:val="20"/>
              </w:rPr>
            </w:pPr>
            <w:r w:rsidRPr="006B2558">
              <w:rPr>
                <w:rFonts w:cs="Arial"/>
                <w:bCs/>
                <w:sz w:val="20"/>
                <w:szCs w:val="20"/>
              </w:rPr>
              <w:t>71 453</w:t>
            </w:r>
          </w:p>
        </w:tc>
      </w:tr>
      <w:tr w:rsidR="00C45D5B" w:rsidRPr="00197E76" w14:paraId="5057784F" w14:textId="77777777" w:rsidTr="00CF774B">
        <w:trPr>
          <w:trHeight w:val="268"/>
        </w:trPr>
        <w:tc>
          <w:tcPr>
            <w:tcW w:w="2189" w:type="pct"/>
            <w:tcBorders>
              <w:top w:val="single" w:sz="4" w:space="0" w:color="auto"/>
              <w:left w:val="nil"/>
            </w:tcBorders>
            <w:shd w:val="clear" w:color="auto" w:fill="auto"/>
            <w:vAlign w:val="center"/>
          </w:tcPr>
          <w:p w14:paraId="3C803392" w14:textId="77777777" w:rsidR="00C45D5B" w:rsidRPr="00197E76" w:rsidRDefault="00C45D5B" w:rsidP="00CF774B">
            <w:pPr>
              <w:rPr>
                <w:b/>
                <w:color w:val="000000" w:themeColor="text1"/>
                <w:sz w:val="20"/>
                <w:szCs w:val="20"/>
              </w:rPr>
            </w:pPr>
            <w:r w:rsidRPr="00197E76">
              <w:rPr>
                <w:b/>
                <w:color w:val="000000" w:themeColor="text1"/>
                <w:sz w:val="20"/>
                <w:szCs w:val="20"/>
              </w:rPr>
              <w:t>B. Celková medziročná zmena hrubého dlhu VS</w:t>
            </w:r>
          </w:p>
        </w:tc>
        <w:tc>
          <w:tcPr>
            <w:tcW w:w="469" w:type="pct"/>
            <w:tcBorders>
              <w:top w:val="single" w:sz="4" w:space="0" w:color="auto"/>
            </w:tcBorders>
            <w:shd w:val="clear" w:color="auto" w:fill="auto"/>
            <w:vAlign w:val="bottom"/>
          </w:tcPr>
          <w:p w14:paraId="1D473A9D" w14:textId="77777777" w:rsidR="00C45D5B" w:rsidRPr="006B2558" w:rsidRDefault="00C45D5B" w:rsidP="00CF774B">
            <w:pPr>
              <w:jc w:val="right"/>
              <w:rPr>
                <w:sz w:val="20"/>
                <w:szCs w:val="20"/>
              </w:rPr>
            </w:pPr>
            <w:r w:rsidRPr="006B2558">
              <w:rPr>
                <w:rFonts w:cs="Arial"/>
                <w:bCs/>
                <w:color w:val="000000"/>
                <w:sz w:val="20"/>
                <w:szCs w:val="20"/>
              </w:rPr>
              <w:t>9 735</w:t>
            </w:r>
          </w:p>
        </w:tc>
        <w:tc>
          <w:tcPr>
            <w:tcW w:w="469" w:type="pct"/>
            <w:tcBorders>
              <w:top w:val="single" w:sz="4" w:space="0" w:color="auto"/>
            </w:tcBorders>
            <w:shd w:val="clear" w:color="auto" w:fill="auto"/>
            <w:vAlign w:val="bottom"/>
          </w:tcPr>
          <w:p w14:paraId="50A052F4" w14:textId="77777777" w:rsidR="00C45D5B" w:rsidRPr="006B2558" w:rsidRDefault="00C45D5B" w:rsidP="00CF774B">
            <w:pPr>
              <w:jc w:val="right"/>
              <w:rPr>
                <w:sz w:val="20"/>
                <w:szCs w:val="20"/>
              </w:rPr>
            </w:pPr>
            <w:r w:rsidRPr="006B2558">
              <w:rPr>
                <w:rFonts w:cs="Arial"/>
                <w:bCs/>
                <w:color w:val="000000"/>
                <w:sz w:val="20"/>
                <w:szCs w:val="20"/>
              </w:rPr>
              <w:t>6 247</w:t>
            </w:r>
          </w:p>
        </w:tc>
        <w:tc>
          <w:tcPr>
            <w:tcW w:w="469" w:type="pct"/>
            <w:tcBorders>
              <w:top w:val="single" w:sz="4" w:space="0" w:color="auto"/>
            </w:tcBorders>
            <w:shd w:val="clear" w:color="auto" w:fill="auto"/>
            <w:vAlign w:val="bottom"/>
          </w:tcPr>
          <w:p w14:paraId="319B4424" w14:textId="77777777" w:rsidR="00C45D5B" w:rsidRPr="006B2558" w:rsidRDefault="00C45D5B" w:rsidP="00CF774B">
            <w:pPr>
              <w:jc w:val="right"/>
              <w:rPr>
                <w:sz w:val="20"/>
                <w:szCs w:val="20"/>
              </w:rPr>
            </w:pPr>
            <w:r w:rsidRPr="006B2558">
              <w:rPr>
                <w:rFonts w:cs="Arial"/>
                <w:bCs/>
                <w:color w:val="000000"/>
                <w:sz w:val="20"/>
                <w:szCs w:val="20"/>
              </w:rPr>
              <w:t>4 336</w:t>
            </w:r>
          </w:p>
        </w:tc>
        <w:tc>
          <w:tcPr>
            <w:tcW w:w="469" w:type="pct"/>
            <w:tcBorders>
              <w:top w:val="single" w:sz="4" w:space="0" w:color="auto"/>
            </w:tcBorders>
            <w:shd w:val="clear" w:color="auto" w:fill="auto"/>
            <w:vAlign w:val="bottom"/>
          </w:tcPr>
          <w:p w14:paraId="2C91E954" w14:textId="77777777" w:rsidR="00C45D5B" w:rsidRPr="006B2558" w:rsidRDefault="00C45D5B" w:rsidP="00CF774B">
            <w:pPr>
              <w:jc w:val="right"/>
              <w:rPr>
                <w:sz w:val="20"/>
                <w:szCs w:val="20"/>
              </w:rPr>
            </w:pPr>
            <w:r w:rsidRPr="006B2558">
              <w:rPr>
                <w:rFonts w:cs="Arial"/>
                <w:bCs/>
                <w:color w:val="000000"/>
                <w:sz w:val="20"/>
                <w:szCs w:val="20"/>
              </w:rPr>
              <w:t>2 798</w:t>
            </w:r>
          </w:p>
        </w:tc>
        <w:tc>
          <w:tcPr>
            <w:tcW w:w="468" w:type="pct"/>
            <w:gridSpan w:val="2"/>
            <w:tcBorders>
              <w:top w:val="single" w:sz="4" w:space="0" w:color="auto"/>
            </w:tcBorders>
            <w:shd w:val="clear" w:color="auto" w:fill="auto"/>
            <w:vAlign w:val="bottom"/>
          </w:tcPr>
          <w:p w14:paraId="74B10398" w14:textId="77777777" w:rsidR="00C45D5B" w:rsidRPr="006B2558" w:rsidRDefault="00C45D5B" w:rsidP="00CF774B">
            <w:pPr>
              <w:jc w:val="right"/>
              <w:rPr>
                <w:sz w:val="20"/>
                <w:szCs w:val="20"/>
              </w:rPr>
            </w:pPr>
            <w:r w:rsidRPr="006B2558">
              <w:rPr>
                <w:rFonts w:cs="Arial"/>
                <w:bCs/>
                <w:color w:val="000000"/>
                <w:sz w:val="20"/>
                <w:szCs w:val="20"/>
              </w:rPr>
              <w:t>3 060</w:t>
            </w:r>
          </w:p>
        </w:tc>
        <w:tc>
          <w:tcPr>
            <w:tcW w:w="467" w:type="pct"/>
            <w:tcBorders>
              <w:top w:val="single" w:sz="4" w:space="0" w:color="auto"/>
            </w:tcBorders>
            <w:shd w:val="clear" w:color="auto" w:fill="auto"/>
            <w:vAlign w:val="bottom"/>
          </w:tcPr>
          <w:p w14:paraId="45E3D461" w14:textId="77777777" w:rsidR="00C45D5B" w:rsidRPr="006B2558" w:rsidRDefault="00C45D5B" w:rsidP="00CF774B">
            <w:pPr>
              <w:jc w:val="right"/>
              <w:rPr>
                <w:sz w:val="20"/>
                <w:szCs w:val="20"/>
              </w:rPr>
            </w:pPr>
            <w:r w:rsidRPr="006B2558">
              <w:rPr>
                <w:rFonts w:cs="Arial"/>
                <w:bCs/>
                <w:color w:val="000000"/>
                <w:sz w:val="20"/>
                <w:szCs w:val="20"/>
              </w:rPr>
              <w:t>1 676</w:t>
            </w:r>
          </w:p>
        </w:tc>
      </w:tr>
      <w:tr w:rsidR="00C45D5B" w:rsidRPr="00197E76" w14:paraId="5965ED80" w14:textId="77777777" w:rsidTr="00CF774B">
        <w:trPr>
          <w:trHeight w:val="268"/>
        </w:trPr>
        <w:tc>
          <w:tcPr>
            <w:tcW w:w="2189" w:type="pct"/>
            <w:tcBorders>
              <w:top w:val="nil"/>
              <w:left w:val="nil"/>
            </w:tcBorders>
            <w:shd w:val="clear" w:color="auto" w:fill="auto"/>
            <w:vAlign w:val="center"/>
          </w:tcPr>
          <w:p w14:paraId="46AF5E31" w14:textId="77777777" w:rsidR="00C45D5B" w:rsidRPr="00197E76" w:rsidRDefault="00C45D5B" w:rsidP="00CF774B">
            <w:pPr>
              <w:rPr>
                <w:color w:val="000000" w:themeColor="text1"/>
                <w:sz w:val="20"/>
                <w:szCs w:val="20"/>
              </w:rPr>
            </w:pPr>
            <w:r w:rsidRPr="00197E76">
              <w:rPr>
                <w:color w:val="000000" w:themeColor="text1"/>
                <w:sz w:val="20"/>
                <w:szCs w:val="20"/>
              </w:rPr>
              <w:t>- hotovostný deficit ŠR</w:t>
            </w:r>
          </w:p>
        </w:tc>
        <w:tc>
          <w:tcPr>
            <w:tcW w:w="469" w:type="pct"/>
            <w:tcBorders>
              <w:top w:val="nil"/>
            </w:tcBorders>
            <w:shd w:val="clear" w:color="auto" w:fill="auto"/>
            <w:vAlign w:val="bottom"/>
          </w:tcPr>
          <w:p w14:paraId="50BD626E" w14:textId="77777777" w:rsidR="00C45D5B" w:rsidRPr="006B2558" w:rsidRDefault="00C45D5B" w:rsidP="00CF774B">
            <w:pPr>
              <w:jc w:val="right"/>
              <w:rPr>
                <w:sz w:val="20"/>
                <w:szCs w:val="20"/>
              </w:rPr>
            </w:pPr>
            <w:r w:rsidRPr="006B2558">
              <w:rPr>
                <w:rFonts w:cs="Arial"/>
                <w:sz w:val="20"/>
                <w:szCs w:val="20"/>
              </w:rPr>
              <w:t>7 758</w:t>
            </w:r>
          </w:p>
        </w:tc>
        <w:tc>
          <w:tcPr>
            <w:tcW w:w="469" w:type="pct"/>
            <w:tcBorders>
              <w:top w:val="nil"/>
            </w:tcBorders>
            <w:shd w:val="clear" w:color="auto" w:fill="auto"/>
            <w:vAlign w:val="bottom"/>
          </w:tcPr>
          <w:p w14:paraId="0C75EDA1" w14:textId="77777777" w:rsidR="00C45D5B" w:rsidRPr="006B2558" w:rsidRDefault="00C45D5B" w:rsidP="00CF774B">
            <w:pPr>
              <w:jc w:val="right"/>
              <w:rPr>
                <w:sz w:val="20"/>
                <w:szCs w:val="20"/>
              </w:rPr>
            </w:pPr>
            <w:r w:rsidRPr="006B2558">
              <w:rPr>
                <w:rFonts w:cs="Arial"/>
                <w:sz w:val="20"/>
                <w:szCs w:val="20"/>
              </w:rPr>
              <w:t>7 014</w:t>
            </w:r>
          </w:p>
        </w:tc>
        <w:tc>
          <w:tcPr>
            <w:tcW w:w="469" w:type="pct"/>
            <w:tcBorders>
              <w:top w:val="nil"/>
            </w:tcBorders>
            <w:shd w:val="clear" w:color="auto" w:fill="auto"/>
            <w:vAlign w:val="bottom"/>
          </w:tcPr>
          <w:p w14:paraId="232A00E6" w14:textId="77777777" w:rsidR="00C45D5B" w:rsidRPr="006B2558" w:rsidRDefault="00C45D5B" w:rsidP="00CF774B">
            <w:pPr>
              <w:jc w:val="right"/>
              <w:rPr>
                <w:sz w:val="20"/>
                <w:szCs w:val="20"/>
              </w:rPr>
            </w:pPr>
            <w:r w:rsidRPr="006B2558">
              <w:rPr>
                <w:rFonts w:cs="Arial"/>
                <w:sz w:val="20"/>
                <w:szCs w:val="20"/>
              </w:rPr>
              <w:t>5 960</w:t>
            </w:r>
          </w:p>
        </w:tc>
        <w:tc>
          <w:tcPr>
            <w:tcW w:w="469" w:type="pct"/>
            <w:tcBorders>
              <w:top w:val="nil"/>
            </w:tcBorders>
            <w:shd w:val="clear" w:color="auto" w:fill="auto"/>
            <w:vAlign w:val="bottom"/>
          </w:tcPr>
          <w:p w14:paraId="1D712F01" w14:textId="77777777" w:rsidR="00C45D5B" w:rsidRPr="006B2558" w:rsidRDefault="00C45D5B" w:rsidP="00CF774B">
            <w:pPr>
              <w:jc w:val="right"/>
              <w:rPr>
                <w:sz w:val="20"/>
                <w:szCs w:val="20"/>
              </w:rPr>
            </w:pPr>
            <w:r w:rsidRPr="006B2558">
              <w:rPr>
                <w:rFonts w:cs="Arial"/>
                <w:sz w:val="20"/>
                <w:szCs w:val="20"/>
              </w:rPr>
              <w:t>4 269</w:t>
            </w:r>
          </w:p>
        </w:tc>
        <w:tc>
          <w:tcPr>
            <w:tcW w:w="468" w:type="pct"/>
            <w:gridSpan w:val="2"/>
            <w:tcBorders>
              <w:top w:val="nil"/>
            </w:tcBorders>
            <w:shd w:val="clear" w:color="auto" w:fill="auto"/>
            <w:vAlign w:val="bottom"/>
          </w:tcPr>
          <w:p w14:paraId="1A24FCBA" w14:textId="77777777" w:rsidR="00C45D5B" w:rsidRPr="006B2558" w:rsidRDefault="00C45D5B" w:rsidP="00CF774B">
            <w:pPr>
              <w:jc w:val="right"/>
              <w:rPr>
                <w:sz w:val="20"/>
                <w:szCs w:val="20"/>
              </w:rPr>
            </w:pPr>
            <w:r w:rsidRPr="006B2558">
              <w:rPr>
                <w:rFonts w:cs="Arial"/>
                <w:sz w:val="20"/>
                <w:szCs w:val="20"/>
              </w:rPr>
              <w:t>3 693</w:t>
            </w:r>
          </w:p>
        </w:tc>
        <w:tc>
          <w:tcPr>
            <w:tcW w:w="467" w:type="pct"/>
            <w:tcBorders>
              <w:top w:val="nil"/>
            </w:tcBorders>
            <w:shd w:val="clear" w:color="auto" w:fill="auto"/>
            <w:vAlign w:val="bottom"/>
          </w:tcPr>
          <w:p w14:paraId="18002A5D" w14:textId="77777777" w:rsidR="00C45D5B" w:rsidRPr="006B2558" w:rsidRDefault="00C45D5B" w:rsidP="00CF774B">
            <w:pPr>
              <w:jc w:val="right"/>
              <w:rPr>
                <w:sz w:val="20"/>
                <w:szCs w:val="20"/>
              </w:rPr>
            </w:pPr>
            <w:r w:rsidRPr="006B2558">
              <w:rPr>
                <w:rFonts w:cs="Arial"/>
                <w:sz w:val="20"/>
                <w:szCs w:val="20"/>
              </w:rPr>
              <w:t>3 886</w:t>
            </w:r>
          </w:p>
        </w:tc>
      </w:tr>
      <w:tr w:rsidR="00C45D5B" w:rsidRPr="00197E76" w14:paraId="7707E80F" w14:textId="77777777" w:rsidTr="00CF774B">
        <w:trPr>
          <w:trHeight w:val="268"/>
        </w:trPr>
        <w:tc>
          <w:tcPr>
            <w:tcW w:w="2189" w:type="pct"/>
            <w:tcBorders>
              <w:top w:val="nil"/>
              <w:left w:val="nil"/>
            </w:tcBorders>
            <w:shd w:val="clear" w:color="auto" w:fill="auto"/>
            <w:vAlign w:val="center"/>
          </w:tcPr>
          <w:p w14:paraId="36553EC9" w14:textId="77777777" w:rsidR="00C45D5B" w:rsidRPr="00197E76" w:rsidRDefault="00C45D5B" w:rsidP="00CF774B">
            <w:pPr>
              <w:ind w:left="356"/>
              <w:rPr>
                <w:color w:val="000000" w:themeColor="text1"/>
                <w:sz w:val="20"/>
                <w:szCs w:val="20"/>
              </w:rPr>
            </w:pPr>
            <w:r w:rsidRPr="00197E76">
              <w:rPr>
                <w:color w:val="000000" w:themeColor="text1"/>
                <w:sz w:val="20"/>
                <w:szCs w:val="20"/>
              </w:rPr>
              <w:t>z toho: príspevok SR do ESM</w:t>
            </w:r>
          </w:p>
        </w:tc>
        <w:tc>
          <w:tcPr>
            <w:tcW w:w="469" w:type="pct"/>
            <w:tcBorders>
              <w:top w:val="nil"/>
            </w:tcBorders>
            <w:shd w:val="clear" w:color="auto" w:fill="auto"/>
            <w:vAlign w:val="bottom"/>
          </w:tcPr>
          <w:p w14:paraId="7F568573" w14:textId="77777777" w:rsidR="00C45D5B" w:rsidRPr="006B2558" w:rsidRDefault="00C45D5B" w:rsidP="00CF774B">
            <w:pPr>
              <w:jc w:val="right"/>
              <w:rPr>
                <w:sz w:val="20"/>
                <w:szCs w:val="20"/>
              </w:rPr>
            </w:pPr>
            <w:r w:rsidRPr="006B2558">
              <w:rPr>
                <w:rFonts w:cs="Arial"/>
                <w:sz w:val="20"/>
                <w:szCs w:val="20"/>
              </w:rPr>
              <w:t>134</w:t>
            </w:r>
          </w:p>
        </w:tc>
        <w:tc>
          <w:tcPr>
            <w:tcW w:w="469" w:type="pct"/>
            <w:tcBorders>
              <w:top w:val="nil"/>
            </w:tcBorders>
            <w:shd w:val="clear" w:color="auto" w:fill="auto"/>
            <w:vAlign w:val="bottom"/>
          </w:tcPr>
          <w:p w14:paraId="354A8437" w14:textId="77777777" w:rsidR="00C45D5B" w:rsidRPr="006B2558" w:rsidRDefault="00C45D5B" w:rsidP="00CF774B">
            <w:pPr>
              <w:jc w:val="right"/>
              <w:rPr>
                <w:sz w:val="20"/>
                <w:szCs w:val="20"/>
              </w:rPr>
            </w:pPr>
            <w:r w:rsidRPr="006B2558">
              <w:rPr>
                <w:rFonts w:cs="Arial"/>
                <w:sz w:val="20"/>
                <w:szCs w:val="20"/>
              </w:rPr>
              <w:t>0</w:t>
            </w:r>
          </w:p>
        </w:tc>
        <w:tc>
          <w:tcPr>
            <w:tcW w:w="469" w:type="pct"/>
            <w:tcBorders>
              <w:top w:val="nil"/>
            </w:tcBorders>
            <w:shd w:val="clear" w:color="auto" w:fill="auto"/>
            <w:vAlign w:val="bottom"/>
          </w:tcPr>
          <w:p w14:paraId="06BEFA24" w14:textId="77777777" w:rsidR="00C45D5B" w:rsidRPr="006B2558" w:rsidRDefault="00C45D5B" w:rsidP="00CF774B">
            <w:pPr>
              <w:jc w:val="right"/>
              <w:rPr>
                <w:sz w:val="20"/>
                <w:szCs w:val="20"/>
              </w:rPr>
            </w:pPr>
            <w:r w:rsidRPr="006B2558">
              <w:rPr>
                <w:rFonts w:cs="Arial"/>
                <w:sz w:val="20"/>
                <w:szCs w:val="20"/>
              </w:rPr>
              <w:t>0</w:t>
            </w:r>
          </w:p>
        </w:tc>
        <w:tc>
          <w:tcPr>
            <w:tcW w:w="469" w:type="pct"/>
            <w:tcBorders>
              <w:top w:val="nil"/>
            </w:tcBorders>
            <w:shd w:val="clear" w:color="auto" w:fill="auto"/>
            <w:vAlign w:val="bottom"/>
          </w:tcPr>
          <w:p w14:paraId="678EE77B" w14:textId="77777777" w:rsidR="00C45D5B" w:rsidRPr="006B2558" w:rsidRDefault="00C45D5B" w:rsidP="00CF774B">
            <w:pPr>
              <w:jc w:val="right"/>
              <w:rPr>
                <w:sz w:val="20"/>
                <w:szCs w:val="20"/>
              </w:rPr>
            </w:pPr>
            <w:r w:rsidRPr="006B2558">
              <w:rPr>
                <w:rFonts w:cs="Arial"/>
                <w:sz w:val="20"/>
                <w:szCs w:val="20"/>
              </w:rPr>
              <w:t>0</w:t>
            </w:r>
          </w:p>
        </w:tc>
        <w:tc>
          <w:tcPr>
            <w:tcW w:w="468" w:type="pct"/>
            <w:gridSpan w:val="2"/>
            <w:tcBorders>
              <w:top w:val="nil"/>
            </w:tcBorders>
            <w:shd w:val="clear" w:color="auto" w:fill="auto"/>
            <w:vAlign w:val="bottom"/>
          </w:tcPr>
          <w:p w14:paraId="7053408F" w14:textId="77777777" w:rsidR="00C45D5B" w:rsidRPr="006B2558" w:rsidRDefault="00C45D5B" w:rsidP="00CF774B">
            <w:pPr>
              <w:jc w:val="right"/>
              <w:rPr>
                <w:sz w:val="20"/>
                <w:szCs w:val="20"/>
              </w:rPr>
            </w:pPr>
            <w:r w:rsidRPr="006B2558">
              <w:rPr>
                <w:rFonts w:cs="Arial"/>
                <w:sz w:val="20"/>
                <w:szCs w:val="20"/>
              </w:rPr>
              <w:t>0</w:t>
            </w:r>
          </w:p>
        </w:tc>
        <w:tc>
          <w:tcPr>
            <w:tcW w:w="467" w:type="pct"/>
            <w:tcBorders>
              <w:top w:val="nil"/>
            </w:tcBorders>
            <w:shd w:val="clear" w:color="auto" w:fill="auto"/>
            <w:vAlign w:val="bottom"/>
          </w:tcPr>
          <w:p w14:paraId="44E096D9" w14:textId="77777777" w:rsidR="00C45D5B" w:rsidRPr="006B2558" w:rsidRDefault="00C45D5B" w:rsidP="00CF774B">
            <w:pPr>
              <w:jc w:val="right"/>
              <w:rPr>
                <w:sz w:val="20"/>
                <w:szCs w:val="20"/>
              </w:rPr>
            </w:pPr>
            <w:r w:rsidRPr="006B2558">
              <w:rPr>
                <w:rFonts w:cs="Arial"/>
                <w:sz w:val="20"/>
                <w:szCs w:val="20"/>
              </w:rPr>
              <w:t>0</w:t>
            </w:r>
          </w:p>
        </w:tc>
      </w:tr>
      <w:tr w:rsidR="00C45D5B" w:rsidRPr="00197E76" w14:paraId="654BB52B" w14:textId="77777777" w:rsidTr="00CF774B">
        <w:trPr>
          <w:trHeight w:val="268"/>
        </w:trPr>
        <w:tc>
          <w:tcPr>
            <w:tcW w:w="2189" w:type="pct"/>
            <w:tcBorders>
              <w:top w:val="nil"/>
              <w:left w:val="nil"/>
            </w:tcBorders>
            <w:shd w:val="clear" w:color="auto" w:fill="auto"/>
            <w:vAlign w:val="center"/>
          </w:tcPr>
          <w:p w14:paraId="055E7081" w14:textId="77777777" w:rsidR="00C45D5B" w:rsidRPr="00197E76" w:rsidRDefault="00C45D5B" w:rsidP="00CF774B">
            <w:pPr>
              <w:rPr>
                <w:color w:val="000000" w:themeColor="text1"/>
                <w:sz w:val="20"/>
                <w:szCs w:val="20"/>
              </w:rPr>
            </w:pPr>
            <w:r w:rsidRPr="00197E76">
              <w:rPr>
                <w:color w:val="000000" w:themeColor="text1"/>
                <w:sz w:val="20"/>
                <w:szCs w:val="20"/>
              </w:rPr>
              <w:t>- prostriedky ŠP využité na financovanie hotovostného deficitu ŠR</w:t>
            </w:r>
          </w:p>
        </w:tc>
        <w:tc>
          <w:tcPr>
            <w:tcW w:w="469" w:type="pct"/>
            <w:tcBorders>
              <w:top w:val="nil"/>
            </w:tcBorders>
            <w:shd w:val="clear" w:color="auto" w:fill="auto"/>
            <w:vAlign w:val="bottom"/>
          </w:tcPr>
          <w:p w14:paraId="130EAB74" w14:textId="77777777" w:rsidR="00C45D5B" w:rsidRPr="006B2558" w:rsidRDefault="00C45D5B" w:rsidP="00CF774B">
            <w:pPr>
              <w:jc w:val="right"/>
              <w:rPr>
                <w:sz w:val="20"/>
                <w:szCs w:val="20"/>
              </w:rPr>
            </w:pPr>
            <w:r>
              <w:rPr>
                <w:rFonts w:cs="Arial"/>
                <w:sz w:val="20"/>
                <w:szCs w:val="20"/>
              </w:rPr>
              <w:t>1 767</w:t>
            </w:r>
          </w:p>
        </w:tc>
        <w:tc>
          <w:tcPr>
            <w:tcW w:w="469" w:type="pct"/>
            <w:tcBorders>
              <w:top w:val="nil"/>
            </w:tcBorders>
            <w:shd w:val="clear" w:color="auto" w:fill="auto"/>
            <w:vAlign w:val="bottom"/>
          </w:tcPr>
          <w:p w14:paraId="34D44986" w14:textId="77777777" w:rsidR="00C45D5B" w:rsidRPr="006B2558" w:rsidRDefault="00C45D5B" w:rsidP="00CF774B">
            <w:pPr>
              <w:jc w:val="right"/>
              <w:rPr>
                <w:sz w:val="20"/>
                <w:szCs w:val="20"/>
              </w:rPr>
            </w:pPr>
            <w:r>
              <w:rPr>
                <w:rFonts w:cs="Arial"/>
                <w:sz w:val="20"/>
                <w:szCs w:val="20"/>
              </w:rPr>
              <w:t>-2 365</w:t>
            </w:r>
          </w:p>
        </w:tc>
        <w:tc>
          <w:tcPr>
            <w:tcW w:w="469" w:type="pct"/>
            <w:tcBorders>
              <w:top w:val="nil"/>
            </w:tcBorders>
            <w:shd w:val="clear" w:color="auto" w:fill="auto"/>
            <w:vAlign w:val="bottom"/>
          </w:tcPr>
          <w:p w14:paraId="4F155EFD" w14:textId="77777777" w:rsidR="00C45D5B" w:rsidRPr="006B2558" w:rsidRDefault="00C45D5B" w:rsidP="00CF774B">
            <w:pPr>
              <w:jc w:val="right"/>
              <w:rPr>
                <w:sz w:val="20"/>
                <w:szCs w:val="20"/>
              </w:rPr>
            </w:pPr>
            <w:r>
              <w:rPr>
                <w:rFonts w:cs="Arial"/>
                <w:sz w:val="20"/>
                <w:szCs w:val="20"/>
              </w:rPr>
              <w:t>-1 273</w:t>
            </w:r>
          </w:p>
        </w:tc>
        <w:tc>
          <w:tcPr>
            <w:tcW w:w="469" w:type="pct"/>
            <w:tcBorders>
              <w:top w:val="nil"/>
            </w:tcBorders>
            <w:shd w:val="clear" w:color="auto" w:fill="auto"/>
            <w:vAlign w:val="bottom"/>
          </w:tcPr>
          <w:p w14:paraId="01E9EA6D" w14:textId="77777777" w:rsidR="00C45D5B" w:rsidRPr="006B2558" w:rsidRDefault="00C45D5B" w:rsidP="00CF774B">
            <w:pPr>
              <w:jc w:val="right"/>
              <w:rPr>
                <w:sz w:val="20"/>
                <w:szCs w:val="20"/>
              </w:rPr>
            </w:pPr>
            <w:r>
              <w:rPr>
                <w:rFonts w:cs="Arial"/>
                <w:sz w:val="20"/>
                <w:szCs w:val="20"/>
              </w:rPr>
              <w:t>-1 735</w:t>
            </w:r>
          </w:p>
        </w:tc>
        <w:tc>
          <w:tcPr>
            <w:tcW w:w="468" w:type="pct"/>
            <w:gridSpan w:val="2"/>
            <w:tcBorders>
              <w:top w:val="nil"/>
            </w:tcBorders>
            <w:shd w:val="clear" w:color="auto" w:fill="auto"/>
            <w:vAlign w:val="bottom"/>
          </w:tcPr>
          <w:p w14:paraId="05D31B43" w14:textId="77777777" w:rsidR="00C45D5B" w:rsidRPr="006B2558" w:rsidRDefault="00C45D5B" w:rsidP="00CF774B">
            <w:pPr>
              <w:jc w:val="right"/>
              <w:rPr>
                <w:sz w:val="20"/>
                <w:szCs w:val="20"/>
              </w:rPr>
            </w:pPr>
            <w:r>
              <w:rPr>
                <w:rFonts w:cs="Arial"/>
                <w:sz w:val="20"/>
                <w:szCs w:val="20"/>
              </w:rPr>
              <w:t>-1 001</w:t>
            </w:r>
          </w:p>
        </w:tc>
        <w:tc>
          <w:tcPr>
            <w:tcW w:w="467" w:type="pct"/>
            <w:tcBorders>
              <w:top w:val="nil"/>
            </w:tcBorders>
            <w:shd w:val="clear" w:color="auto" w:fill="auto"/>
            <w:vAlign w:val="bottom"/>
          </w:tcPr>
          <w:p w14:paraId="0EC98DA5" w14:textId="77777777" w:rsidR="00C45D5B" w:rsidRPr="006B2558" w:rsidRDefault="00C45D5B" w:rsidP="00CF774B">
            <w:pPr>
              <w:jc w:val="right"/>
              <w:rPr>
                <w:sz w:val="20"/>
                <w:szCs w:val="20"/>
              </w:rPr>
            </w:pPr>
            <w:r>
              <w:rPr>
                <w:rFonts w:cs="Arial"/>
                <w:sz w:val="20"/>
                <w:szCs w:val="20"/>
              </w:rPr>
              <w:t>-2 639</w:t>
            </w:r>
          </w:p>
        </w:tc>
      </w:tr>
      <w:tr w:rsidR="00C45D5B" w:rsidRPr="00197E76" w14:paraId="1F8484B5" w14:textId="77777777" w:rsidTr="00CF774B">
        <w:trPr>
          <w:trHeight w:val="268"/>
        </w:trPr>
        <w:tc>
          <w:tcPr>
            <w:tcW w:w="2189" w:type="pct"/>
            <w:tcBorders>
              <w:top w:val="nil"/>
              <w:left w:val="nil"/>
            </w:tcBorders>
            <w:shd w:val="clear" w:color="auto" w:fill="auto"/>
            <w:vAlign w:val="center"/>
          </w:tcPr>
          <w:p w14:paraId="24721318" w14:textId="77777777" w:rsidR="00C45D5B" w:rsidRPr="00197E76" w:rsidRDefault="00C45D5B" w:rsidP="00CF774B">
            <w:pPr>
              <w:rPr>
                <w:color w:val="000000" w:themeColor="text1"/>
                <w:sz w:val="20"/>
                <w:szCs w:val="20"/>
              </w:rPr>
            </w:pPr>
            <w:r w:rsidRPr="00197E76">
              <w:rPr>
                <w:color w:val="000000" w:themeColor="text1"/>
                <w:sz w:val="20"/>
                <w:szCs w:val="20"/>
              </w:rPr>
              <w:t>- zadlženie ostatných subjektov VS</w:t>
            </w:r>
          </w:p>
        </w:tc>
        <w:tc>
          <w:tcPr>
            <w:tcW w:w="469" w:type="pct"/>
            <w:tcBorders>
              <w:top w:val="nil"/>
            </w:tcBorders>
            <w:shd w:val="clear" w:color="auto" w:fill="auto"/>
            <w:vAlign w:val="bottom"/>
          </w:tcPr>
          <w:p w14:paraId="4753410E" w14:textId="77777777" w:rsidR="00C45D5B" w:rsidRPr="006B2558" w:rsidRDefault="00C45D5B" w:rsidP="00CF774B">
            <w:pPr>
              <w:jc w:val="right"/>
              <w:rPr>
                <w:sz w:val="20"/>
                <w:szCs w:val="20"/>
              </w:rPr>
            </w:pPr>
            <w:r w:rsidRPr="006B2558">
              <w:rPr>
                <w:rFonts w:cs="Arial"/>
                <w:b/>
                <w:bCs/>
                <w:sz w:val="20"/>
                <w:szCs w:val="20"/>
              </w:rPr>
              <w:t>97</w:t>
            </w:r>
          </w:p>
        </w:tc>
        <w:tc>
          <w:tcPr>
            <w:tcW w:w="469" w:type="pct"/>
            <w:tcBorders>
              <w:top w:val="nil"/>
            </w:tcBorders>
            <w:shd w:val="clear" w:color="auto" w:fill="auto"/>
            <w:vAlign w:val="bottom"/>
          </w:tcPr>
          <w:p w14:paraId="5FF39EE9" w14:textId="77777777" w:rsidR="00C45D5B" w:rsidRPr="006B2558" w:rsidRDefault="00C45D5B" w:rsidP="00CF774B">
            <w:pPr>
              <w:jc w:val="right"/>
              <w:rPr>
                <w:sz w:val="20"/>
                <w:szCs w:val="20"/>
              </w:rPr>
            </w:pPr>
            <w:r w:rsidRPr="006B2558">
              <w:rPr>
                <w:rFonts w:cs="Arial"/>
                <w:b/>
                <w:bCs/>
                <w:sz w:val="20"/>
                <w:szCs w:val="20"/>
              </w:rPr>
              <w:t>-150</w:t>
            </w:r>
          </w:p>
        </w:tc>
        <w:tc>
          <w:tcPr>
            <w:tcW w:w="469" w:type="pct"/>
            <w:tcBorders>
              <w:top w:val="nil"/>
            </w:tcBorders>
            <w:shd w:val="clear" w:color="auto" w:fill="auto"/>
            <w:vAlign w:val="bottom"/>
          </w:tcPr>
          <w:p w14:paraId="20242EE8" w14:textId="77777777" w:rsidR="00C45D5B" w:rsidRPr="006B2558" w:rsidRDefault="00C45D5B" w:rsidP="00CF774B">
            <w:pPr>
              <w:jc w:val="right"/>
              <w:rPr>
                <w:sz w:val="20"/>
                <w:szCs w:val="20"/>
              </w:rPr>
            </w:pPr>
            <w:r w:rsidRPr="006B2558">
              <w:rPr>
                <w:rFonts w:cs="Arial"/>
                <w:b/>
                <w:bCs/>
                <w:sz w:val="20"/>
                <w:szCs w:val="20"/>
              </w:rPr>
              <w:t>83</w:t>
            </w:r>
          </w:p>
        </w:tc>
        <w:tc>
          <w:tcPr>
            <w:tcW w:w="469" w:type="pct"/>
            <w:tcBorders>
              <w:top w:val="nil"/>
            </w:tcBorders>
            <w:shd w:val="clear" w:color="auto" w:fill="auto"/>
            <w:vAlign w:val="bottom"/>
          </w:tcPr>
          <w:p w14:paraId="27284117" w14:textId="77777777" w:rsidR="00C45D5B" w:rsidRPr="006B2558" w:rsidRDefault="00C45D5B" w:rsidP="00CF774B">
            <w:pPr>
              <w:jc w:val="right"/>
              <w:rPr>
                <w:sz w:val="20"/>
                <w:szCs w:val="20"/>
              </w:rPr>
            </w:pPr>
            <w:r w:rsidRPr="006B2558">
              <w:rPr>
                <w:rFonts w:cs="Arial"/>
                <w:b/>
                <w:bCs/>
                <w:sz w:val="20"/>
                <w:szCs w:val="20"/>
              </w:rPr>
              <w:t>57</w:t>
            </w:r>
          </w:p>
        </w:tc>
        <w:tc>
          <w:tcPr>
            <w:tcW w:w="468" w:type="pct"/>
            <w:gridSpan w:val="2"/>
            <w:tcBorders>
              <w:top w:val="nil"/>
            </w:tcBorders>
            <w:shd w:val="clear" w:color="auto" w:fill="auto"/>
            <w:vAlign w:val="bottom"/>
          </w:tcPr>
          <w:p w14:paraId="4E55DBC8" w14:textId="77777777" w:rsidR="00C45D5B" w:rsidRPr="006B2558" w:rsidRDefault="00C45D5B" w:rsidP="00CF774B">
            <w:pPr>
              <w:jc w:val="right"/>
              <w:rPr>
                <w:sz w:val="20"/>
                <w:szCs w:val="20"/>
              </w:rPr>
            </w:pPr>
            <w:r w:rsidRPr="006B2558">
              <w:rPr>
                <w:rFonts w:cs="Arial"/>
                <w:b/>
                <w:bCs/>
                <w:sz w:val="20"/>
                <w:szCs w:val="20"/>
              </w:rPr>
              <w:t>37</w:t>
            </w:r>
          </w:p>
        </w:tc>
        <w:tc>
          <w:tcPr>
            <w:tcW w:w="467" w:type="pct"/>
            <w:tcBorders>
              <w:top w:val="nil"/>
            </w:tcBorders>
            <w:shd w:val="clear" w:color="auto" w:fill="auto"/>
            <w:vAlign w:val="bottom"/>
          </w:tcPr>
          <w:p w14:paraId="4EDD6BFC" w14:textId="77777777" w:rsidR="00C45D5B" w:rsidRPr="006B2558" w:rsidRDefault="00C45D5B" w:rsidP="00CF774B">
            <w:pPr>
              <w:jc w:val="right"/>
              <w:rPr>
                <w:sz w:val="20"/>
                <w:szCs w:val="20"/>
              </w:rPr>
            </w:pPr>
            <w:r w:rsidRPr="006B2558">
              <w:rPr>
                <w:rFonts w:cs="Arial"/>
                <w:b/>
                <w:bCs/>
                <w:sz w:val="20"/>
                <w:szCs w:val="20"/>
              </w:rPr>
              <w:t>30</w:t>
            </w:r>
          </w:p>
        </w:tc>
      </w:tr>
      <w:tr w:rsidR="00C45D5B" w:rsidRPr="00197E76" w14:paraId="5BA4019D" w14:textId="77777777" w:rsidTr="00CF774B">
        <w:trPr>
          <w:trHeight w:val="268"/>
        </w:trPr>
        <w:tc>
          <w:tcPr>
            <w:tcW w:w="2189" w:type="pct"/>
            <w:tcBorders>
              <w:top w:val="nil"/>
              <w:left w:val="nil"/>
            </w:tcBorders>
            <w:shd w:val="clear" w:color="auto" w:fill="auto"/>
            <w:vAlign w:val="center"/>
          </w:tcPr>
          <w:p w14:paraId="39E3C548" w14:textId="77777777" w:rsidR="00C45D5B" w:rsidRPr="00197E76" w:rsidRDefault="00C45D5B" w:rsidP="00CF774B">
            <w:pPr>
              <w:ind w:left="356"/>
              <w:rPr>
                <w:color w:val="000000" w:themeColor="text1"/>
                <w:sz w:val="20"/>
                <w:szCs w:val="20"/>
              </w:rPr>
            </w:pPr>
            <w:r w:rsidRPr="00197E76">
              <w:rPr>
                <w:color w:val="000000" w:themeColor="text1"/>
                <w:sz w:val="20"/>
                <w:szCs w:val="20"/>
              </w:rPr>
              <w:t>z toho: Samospráva (obce a VÚC)</w:t>
            </w:r>
          </w:p>
        </w:tc>
        <w:tc>
          <w:tcPr>
            <w:tcW w:w="469" w:type="pct"/>
            <w:tcBorders>
              <w:top w:val="nil"/>
            </w:tcBorders>
            <w:shd w:val="clear" w:color="auto" w:fill="auto"/>
            <w:vAlign w:val="bottom"/>
          </w:tcPr>
          <w:p w14:paraId="72143777" w14:textId="77777777" w:rsidR="00C45D5B" w:rsidRPr="006B2558" w:rsidRDefault="00C45D5B" w:rsidP="00CF774B">
            <w:pPr>
              <w:jc w:val="right"/>
              <w:rPr>
                <w:sz w:val="20"/>
                <w:szCs w:val="20"/>
              </w:rPr>
            </w:pPr>
            <w:r w:rsidRPr="006B2558">
              <w:rPr>
                <w:rFonts w:cs="Arial"/>
                <w:sz w:val="20"/>
                <w:szCs w:val="20"/>
              </w:rPr>
              <w:t>-3</w:t>
            </w:r>
          </w:p>
        </w:tc>
        <w:tc>
          <w:tcPr>
            <w:tcW w:w="469" w:type="pct"/>
            <w:tcBorders>
              <w:top w:val="nil"/>
            </w:tcBorders>
            <w:shd w:val="clear" w:color="auto" w:fill="auto"/>
            <w:vAlign w:val="bottom"/>
          </w:tcPr>
          <w:p w14:paraId="0CA0C80B" w14:textId="77777777" w:rsidR="00C45D5B" w:rsidRPr="006B2558" w:rsidRDefault="00C45D5B" w:rsidP="00CF774B">
            <w:pPr>
              <w:jc w:val="right"/>
              <w:rPr>
                <w:sz w:val="20"/>
                <w:szCs w:val="20"/>
              </w:rPr>
            </w:pPr>
            <w:r w:rsidRPr="006B2558">
              <w:rPr>
                <w:rFonts w:cs="Arial"/>
                <w:sz w:val="20"/>
                <w:szCs w:val="20"/>
              </w:rPr>
              <w:t>18</w:t>
            </w:r>
          </w:p>
        </w:tc>
        <w:tc>
          <w:tcPr>
            <w:tcW w:w="469" w:type="pct"/>
            <w:tcBorders>
              <w:top w:val="nil"/>
            </w:tcBorders>
            <w:shd w:val="clear" w:color="auto" w:fill="auto"/>
            <w:vAlign w:val="bottom"/>
          </w:tcPr>
          <w:p w14:paraId="0F27128F" w14:textId="77777777" w:rsidR="00C45D5B" w:rsidRPr="006B2558" w:rsidRDefault="00C45D5B" w:rsidP="00CF774B">
            <w:pPr>
              <w:jc w:val="right"/>
              <w:rPr>
                <w:sz w:val="20"/>
                <w:szCs w:val="20"/>
              </w:rPr>
            </w:pPr>
            <w:r w:rsidRPr="006B2558">
              <w:rPr>
                <w:rFonts w:cs="Arial"/>
                <w:sz w:val="20"/>
                <w:szCs w:val="20"/>
              </w:rPr>
              <w:t>52</w:t>
            </w:r>
          </w:p>
        </w:tc>
        <w:tc>
          <w:tcPr>
            <w:tcW w:w="469" w:type="pct"/>
            <w:tcBorders>
              <w:top w:val="nil"/>
            </w:tcBorders>
            <w:shd w:val="clear" w:color="auto" w:fill="auto"/>
            <w:vAlign w:val="bottom"/>
          </w:tcPr>
          <w:p w14:paraId="68FFB324" w14:textId="77777777" w:rsidR="00C45D5B" w:rsidRPr="006B2558" w:rsidRDefault="00C45D5B" w:rsidP="00CF774B">
            <w:pPr>
              <w:jc w:val="right"/>
              <w:rPr>
                <w:sz w:val="20"/>
                <w:szCs w:val="20"/>
              </w:rPr>
            </w:pPr>
            <w:r w:rsidRPr="006B2558">
              <w:rPr>
                <w:rFonts w:cs="Arial"/>
                <w:sz w:val="20"/>
                <w:szCs w:val="20"/>
              </w:rPr>
              <w:t>33</w:t>
            </w:r>
          </w:p>
        </w:tc>
        <w:tc>
          <w:tcPr>
            <w:tcW w:w="468" w:type="pct"/>
            <w:gridSpan w:val="2"/>
            <w:tcBorders>
              <w:top w:val="nil"/>
            </w:tcBorders>
            <w:shd w:val="clear" w:color="auto" w:fill="auto"/>
            <w:vAlign w:val="bottom"/>
          </w:tcPr>
          <w:p w14:paraId="348858F3" w14:textId="77777777" w:rsidR="00C45D5B" w:rsidRPr="006B2558" w:rsidRDefault="00C45D5B" w:rsidP="00CF774B">
            <w:pPr>
              <w:jc w:val="right"/>
              <w:rPr>
                <w:sz w:val="20"/>
                <w:szCs w:val="20"/>
              </w:rPr>
            </w:pPr>
            <w:r w:rsidRPr="006B2558">
              <w:rPr>
                <w:rFonts w:cs="Arial"/>
                <w:sz w:val="20"/>
                <w:szCs w:val="20"/>
              </w:rPr>
              <w:t>24</w:t>
            </w:r>
          </w:p>
        </w:tc>
        <w:tc>
          <w:tcPr>
            <w:tcW w:w="467" w:type="pct"/>
            <w:tcBorders>
              <w:top w:val="nil"/>
            </w:tcBorders>
            <w:shd w:val="clear" w:color="auto" w:fill="auto"/>
            <w:vAlign w:val="bottom"/>
          </w:tcPr>
          <w:p w14:paraId="6DC93931" w14:textId="77777777" w:rsidR="00C45D5B" w:rsidRPr="006B2558" w:rsidRDefault="00C45D5B" w:rsidP="00CF774B">
            <w:pPr>
              <w:jc w:val="right"/>
              <w:rPr>
                <w:sz w:val="20"/>
                <w:szCs w:val="20"/>
              </w:rPr>
            </w:pPr>
            <w:r w:rsidRPr="006B2558">
              <w:rPr>
                <w:rFonts w:cs="Arial"/>
                <w:sz w:val="20"/>
                <w:szCs w:val="20"/>
              </w:rPr>
              <w:t>15</w:t>
            </w:r>
          </w:p>
        </w:tc>
      </w:tr>
      <w:tr w:rsidR="00C45D5B" w:rsidRPr="00197E76" w14:paraId="737005B4" w14:textId="77777777" w:rsidTr="00CF774B">
        <w:trPr>
          <w:trHeight w:val="268"/>
        </w:trPr>
        <w:tc>
          <w:tcPr>
            <w:tcW w:w="2189" w:type="pct"/>
            <w:tcBorders>
              <w:top w:val="nil"/>
              <w:left w:val="nil"/>
            </w:tcBorders>
            <w:shd w:val="clear" w:color="auto" w:fill="auto"/>
            <w:vAlign w:val="center"/>
          </w:tcPr>
          <w:p w14:paraId="3DDEC4C5" w14:textId="77777777" w:rsidR="00C45D5B" w:rsidRPr="00197E76" w:rsidRDefault="00C45D5B" w:rsidP="00CF774B">
            <w:pPr>
              <w:ind w:left="356"/>
              <w:rPr>
                <w:color w:val="000000" w:themeColor="text1"/>
                <w:sz w:val="20"/>
                <w:szCs w:val="20"/>
              </w:rPr>
            </w:pPr>
            <w:r w:rsidRPr="00197E76">
              <w:rPr>
                <w:color w:val="000000" w:themeColor="text1"/>
                <w:sz w:val="20"/>
                <w:szCs w:val="20"/>
              </w:rPr>
              <w:t>z toho: NDS</w:t>
            </w:r>
          </w:p>
        </w:tc>
        <w:tc>
          <w:tcPr>
            <w:tcW w:w="469" w:type="pct"/>
            <w:tcBorders>
              <w:top w:val="nil"/>
            </w:tcBorders>
            <w:shd w:val="clear" w:color="auto" w:fill="auto"/>
            <w:vAlign w:val="bottom"/>
          </w:tcPr>
          <w:p w14:paraId="262F8027" w14:textId="77777777" w:rsidR="00C45D5B" w:rsidRPr="006B2558" w:rsidRDefault="00C45D5B" w:rsidP="00CF774B">
            <w:pPr>
              <w:jc w:val="right"/>
              <w:rPr>
                <w:sz w:val="20"/>
                <w:szCs w:val="20"/>
              </w:rPr>
            </w:pPr>
            <w:r w:rsidRPr="006B2558">
              <w:rPr>
                <w:rFonts w:cs="Arial"/>
                <w:sz w:val="20"/>
                <w:szCs w:val="20"/>
              </w:rPr>
              <w:t>-30</w:t>
            </w:r>
          </w:p>
        </w:tc>
        <w:tc>
          <w:tcPr>
            <w:tcW w:w="469" w:type="pct"/>
            <w:tcBorders>
              <w:top w:val="nil"/>
            </w:tcBorders>
            <w:shd w:val="clear" w:color="auto" w:fill="auto"/>
            <w:vAlign w:val="bottom"/>
          </w:tcPr>
          <w:p w14:paraId="07540FB2" w14:textId="77777777" w:rsidR="00C45D5B" w:rsidRPr="006B2558" w:rsidRDefault="00C45D5B" w:rsidP="00CF774B">
            <w:pPr>
              <w:jc w:val="right"/>
              <w:rPr>
                <w:sz w:val="20"/>
                <w:szCs w:val="20"/>
              </w:rPr>
            </w:pPr>
            <w:r w:rsidRPr="006B2558">
              <w:rPr>
                <w:rFonts w:cs="Arial"/>
                <w:sz w:val="20"/>
                <w:szCs w:val="20"/>
              </w:rPr>
              <w:t>-43</w:t>
            </w:r>
          </w:p>
        </w:tc>
        <w:tc>
          <w:tcPr>
            <w:tcW w:w="469" w:type="pct"/>
            <w:tcBorders>
              <w:top w:val="nil"/>
            </w:tcBorders>
            <w:shd w:val="clear" w:color="auto" w:fill="auto"/>
            <w:vAlign w:val="bottom"/>
          </w:tcPr>
          <w:p w14:paraId="3EEAC3A1" w14:textId="77777777" w:rsidR="00C45D5B" w:rsidRPr="006B2558" w:rsidRDefault="00C45D5B" w:rsidP="00CF774B">
            <w:pPr>
              <w:jc w:val="right"/>
              <w:rPr>
                <w:sz w:val="20"/>
                <w:szCs w:val="20"/>
              </w:rPr>
            </w:pPr>
            <w:r w:rsidRPr="006B2558">
              <w:rPr>
                <w:rFonts w:cs="Arial"/>
                <w:sz w:val="20"/>
                <w:szCs w:val="20"/>
              </w:rPr>
              <w:t>-37</w:t>
            </w:r>
          </w:p>
        </w:tc>
        <w:tc>
          <w:tcPr>
            <w:tcW w:w="469" w:type="pct"/>
            <w:tcBorders>
              <w:top w:val="nil"/>
            </w:tcBorders>
            <w:shd w:val="clear" w:color="auto" w:fill="auto"/>
            <w:vAlign w:val="bottom"/>
          </w:tcPr>
          <w:p w14:paraId="4F5FD885" w14:textId="77777777" w:rsidR="00C45D5B" w:rsidRPr="006B2558" w:rsidRDefault="00C45D5B" w:rsidP="00CF774B">
            <w:pPr>
              <w:jc w:val="right"/>
              <w:rPr>
                <w:sz w:val="20"/>
                <w:szCs w:val="20"/>
              </w:rPr>
            </w:pPr>
            <w:r w:rsidRPr="006B2558">
              <w:rPr>
                <w:rFonts w:cs="Arial"/>
                <w:sz w:val="20"/>
                <w:szCs w:val="20"/>
              </w:rPr>
              <w:t>0</w:t>
            </w:r>
          </w:p>
        </w:tc>
        <w:tc>
          <w:tcPr>
            <w:tcW w:w="468" w:type="pct"/>
            <w:gridSpan w:val="2"/>
            <w:tcBorders>
              <w:top w:val="nil"/>
            </w:tcBorders>
            <w:shd w:val="clear" w:color="auto" w:fill="auto"/>
            <w:vAlign w:val="bottom"/>
          </w:tcPr>
          <w:p w14:paraId="2B0248C6" w14:textId="77777777" w:rsidR="00C45D5B" w:rsidRPr="006B2558" w:rsidRDefault="00C45D5B" w:rsidP="00CF774B">
            <w:pPr>
              <w:jc w:val="right"/>
              <w:rPr>
                <w:sz w:val="20"/>
                <w:szCs w:val="20"/>
              </w:rPr>
            </w:pPr>
            <w:r w:rsidRPr="006B2558">
              <w:rPr>
                <w:rFonts w:cs="Arial"/>
                <w:sz w:val="20"/>
                <w:szCs w:val="20"/>
              </w:rPr>
              <w:t>0</w:t>
            </w:r>
          </w:p>
        </w:tc>
        <w:tc>
          <w:tcPr>
            <w:tcW w:w="467" w:type="pct"/>
            <w:tcBorders>
              <w:top w:val="nil"/>
            </w:tcBorders>
            <w:shd w:val="clear" w:color="auto" w:fill="auto"/>
            <w:vAlign w:val="bottom"/>
          </w:tcPr>
          <w:p w14:paraId="11AEA155" w14:textId="77777777" w:rsidR="00C45D5B" w:rsidRPr="006B2558" w:rsidRDefault="00C45D5B" w:rsidP="00CF774B">
            <w:pPr>
              <w:jc w:val="right"/>
              <w:rPr>
                <w:sz w:val="20"/>
                <w:szCs w:val="20"/>
              </w:rPr>
            </w:pPr>
            <w:r w:rsidRPr="006B2558">
              <w:rPr>
                <w:rFonts w:cs="Arial"/>
                <w:sz w:val="20"/>
                <w:szCs w:val="20"/>
              </w:rPr>
              <w:t>0</w:t>
            </w:r>
          </w:p>
        </w:tc>
      </w:tr>
      <w:tr w:rsidR="00C45D5B" w:rsidRPr="00197E76" w14:paraId="779CFDD7" w14:textId="77777777" w:rsidTr="00CF774B">
        <w:trPr>
          <w:trHeight w:val="268"/>
        </w:trPr>
        <w:tc>
          <w:tcPr>
            <w:tcW w:w="2189" w:type="pct"/>
            <w:tcBorders>
              <w:top w:val="nil"/>
              <w:left w:val="nil"/>
            </w:tcBorders>
            <w:shd w:val="clear" w:color="auto" w:fill="auto"/>
            <w:vAlign w:val="center"/>
          </w:tcPr>
          <w:p w14:paraId="2B97C3B3" w14:textId="77777777" w:rsidR="00C45D5B" w:rsidRPr="00197E76" w:rsidRDefault="00C45D5B" w:rsidP="00CF774B">
            <w:pPr>
              <w:ind w:left="356"/>
              <w:rPr>
                <w:color w:val="000000" w:themeColor="text1"/>
                <w:sz w:val="20"/>
                <w:szCs w:val="20"/>
              </w:rPr>
            </w:pPr>
            <w:r w:rsidRPr="00197E76">
              <w:rPr>
                <w:color w:val="000000" w:themeColor="text1"/>
                <w:sz w:val="20"/>
                <w:szCs w:val="20"/>
              </w:rPr>
              <w:t>z toho: ŽSR + ŽSSK</w:t>
            </w:r>
          </w:p>
        </w:tc>
        <w:tc>
          <w:tcPr>
            <w:tcW w:w="469" w:type="pct"/>
            <w:tcBorders>
              <w:top w:val="nil"/>
            </w:tcBorders>
            <w:shd w:val="clear" w:color="auto" w:fill="auto"/>
            <w:vAlign w:val="bottom"/>
          </w:tcPr>
          <w:p w14:paraId="783B86DC" w14:textId="77777777" w:rsidR="00C45D5B" w:rsidRPr="006B2558" w:rsidRDefault="00C45D5B" w:rsidP="00CF774B">
            <w:pPr>
              <w:jc w:val="right"/>
              <w:rPr>
                <w:sz w:val="20"/>
                <w:szCs w:val="20"/>
              </w:rPr>
            </w:pPr>
            <w:r w:rsidRPr="006B2558">
              <w:rPr>
                <w:rFonts w:cs="Arial"/>
                <w:sz w:val="20"/>
                <w:szCs w:val="20"/>
              </w:rPr>
              <w:t>56</w:t>
            </w:r>
          </w:p>
        </w:tc>
        <w:tc>
          <w:tcPr>
            <w:tcW w:w="469" w:type="pct"/>
            <w:tcBorders>
              <w:top w:val="nil"/>
            </w:tcBorders>
            <w:shd w:val="clear" w:color="auto" w:fill="auto"/>
            <w:vAlign w:val="bottom"/>
          </w:tcPr>
          <w:p w14:paraId="1EB1A826" w14:textId="77777777" w:rsidR="00C45D5B" w:rsidRPr="006B2558" w:rsidRDefault="00C45D5B" w:rsidP="00CF774B">
            <w:pPr>
              <w:jc w:val="right"/>
              <w:rPr>
                <w:sz w:val="20"/>
                <w:szCs w:val="20"/>
              </w:rPr>
            </w:pPr>
            <w:r w:rsidRPr="006B2558">
              <w:rPr>
                <w:rFonts w:cs="Arial"/>
                <w:sz w:val="20"/>
                <w:szCs w:val="20"/>
              </w:rPr>
              <w:t>-140</w:t>
            </w:r>
          </w:p>
        </w:tc>
        <w:tc>
          <w:tcPr>
            <w:tcW w:w="469" w:type="pct"/>
            <w:tcBorders>
              <w:top w:val="nil"/>
            </w:tcBorders>
            <w:shd w:val="clear" w:color="auto" w:fill="auto"/>
            <w:vAlign w:val="bottom"/>
          </w:tcPr>
          <w:p w14:paraId="208C87F5" w14:textId="77777777" w:rsidR="00C45D5B" w:rsidRPr="006B2558" w:rsidRDefault="00C45D5B" w:rsidP="00CF774B">
            <w:pPr>
              <w:jc w:val="right"/>
              <w:rPr>
                <w:sz w:val="20"/>
                <w:szCs w:val="20"/>
              </w:rPr>
            </w:pPr>
            <w:r w:rsidRPr="006B2558">
              <w:rPr>
                <w:rFonts w:cs="Arial"/>
                <w:sz w:val="20"/>
                <w:szCs w:val="20"/>
              </w:rPr>
              <w:t>-2</w:t>
            </w:r>
          </w:p>
        </w:tc>
        <w:tc>
          <w:tcPr>
            <w:tcW w:w="469" w:type="pct"/>
            <w:tcBorders>
              <w:top w:val="nil"/>
            </w:tcBorders>
            <w:shd w:val="clear" w:color="auto" w:fill="auto"/>
            <w:vAlign w:val="bottom"/>
          </w:tcPr>
          <w:p w14:paraId="4A4886CA" w14:textId="77777777" w:rsidR="00C45D5B" w:rsidRPr="006B2558" w:rsidRDefault="00C45D5B" w:rsidP="00CF774B">
            <w:pPr>
              <w:jc w:val="right"/>
              <w:rPr>
                <w:sz w:val="20"/>
                <w:szCs w:val="20"/>
              </w:rPr>
            </w:pPr>
            <w:r w:rsidRPr="006B2558">
              <w:rPr>
                <w:rFonts w:cs="Arial"/>
                <w:sz w:val="20"/>
                <w:szCs w:val="20"/>
              </w:rPr>
              <w:t>-8</w:t>
            </w:r>
          </w:p>
        </w:tc>
        <w:tc>
          <w:tcPr>
            <w:tcW w:w="468" w:type="pct"/>
            <w:gridSpan w:val="2"/>
            <w:tcBorders>
              <w:top w:val="nil"/>
            </w:tcBorders>
            <w:shd w:val="clear" w:color="auto" w:fill="auto"/>
            <w:vAlign w:val="bottom"/>
          </w:tcPr>
          <w:p w14:paraId="5B67C37B" w14:textId="77777777" w:rsidR="00C45D5B" w:rsidRPr="006B2558" w:rsidRDefault="00C45D5B" w:rsidP="00CF774B">
            <w:pPr>
              <w:jc w:val="right"/>
              <w:rPr>
                <w:sz w:val="20"/>
                <w:szCs w:val="20"/>
              </w:rPr>
            </w:pPr>
            <w:r w:rsidRPr="006B2558">
              <w:rPr>
                <w:rFonts w:cs="Arial"/>
                <w:sz w:val="20"/>
                <w:szCs w:val="20"/>
              </w:rPr>
              <w:t>-12</w:t>
            </w:r>
          </w:p>
        </w:tc>
        <w:tc>
          <w:tcPr>
            <w:tcW w:w="467" w:type="pct"/>
            <w:tcBorders>
              <w:top w:val="nil"/>
            </w:tcBorders>
            <w:shd w:val="clear" w:color="auto" w:fill="auto"/>
            <w:vAlign w:val="bottom"/>
          </w:tcPr>
          <w:p w14:paraId="36C32631" w14:textId="77777777" w:rsidR="00C45D5B" w:rsidRPr="006B2558" w:rsidRDefault="00C45D5B" w:rsidP="00CF774B">
            <w:pPr>
              <w:jc w:val="right"/>
              <w:rPr>
                <w:sz w:val="20"/>
                <w:szCs w:val="20"/>
              </w:rPr>
            </w:pPr>
            <w:r w:rsidRPr="006B2558">
              <w:rPr>
                <w:rFonts w:cs="Arial"/>
                <w:sz w:val="20"/>
                <w:szCs w:val="20"/>
              </w:rPr>
              <w:t>-12</w:t>
            </w:r>
          </w:p>
        </w:tc>
      </w:tr>
      <w:tr w:rsidR="00C45D5B" w:rsidRPr="00197E76" w14:paraId="08F1DFE1" w14:textId="77777777" w:rsidTr="00CF774B">
        <w:trPr>
          <w:trHeight w:val="268"/>
        </w:trPr>
        <w:tc>
          <w:tcPr>
            <w:tcW w:w="2189" w:type="pct"/>
            <w:tcBorders>
              <w:top w:val="nil"/>
              <w:left w:val="nil"/>
            </w:tcBorders>
            <w:shd w:val="clear" w:color="auto" w:fill="auto"/>
            <w:vAlign w:val="center"/>
          </w:tcPr>
          <w:p w14:paraId="5CC30B5A" w14:textId="77777777" w:rsidR="00C45D5B" w:rsidRPr="00197E76" w:rsidRDefault="00C45D5B" w:rsidP="00CF774B">
            <w:pPr>
              <w:ind w:left="356"/>
              <w:rPr>
                <w:color w:val="000000" w:themeColor="text1"/>
                <w:sz w:val="20"/>
                <w:szCs w:val="20"/>
              </w:rPr>
            </w:pPr>
            <w:r w:rsidRPr="00197E76">
              <w:rPr>
                <w:color w:val="000000" w:themeColor="text1"/>
                <w:sz w:val="20"/>
                <w:szCs w:val="20"/>
              </w:rPr>
              <w:t>z toho: Dopravné podniky obcí</w:t>
            </w:r>
          </w:p>
        </w:tc>
        <w:tc>
          <w:tcPr>
            <w:tcW w:w="469" w:type="pct"/>
            <w:tcBorders>
              <w:top w:val="nil"/>
            </w:tcBorders>
            <w:shd w:val="clear" w:color="auto" w:fill="auto"/>
            <w:vAlign w:val="bottom"/>
          </w:tcPr>
          <w:p w14:paraId="41976B6A" w14:textId="77777777" w:rsidR="00C45D5B" w:rsidRPr="006B2558" w:rsidRDefault="00C45D5B" w:rsidP="00CF774B">
            <w:pPr>
              <w:jc w:val="right"/>
              <w:rPr>
                <w:sz w:val="20"/>
                <w:szCs w:val="20"/>
              </w:rPr>
            </w:pPr>
            <w:r w:rsidRPr="006B2558">
              <w:rPr>
                <w:rFonts w:cs="Arial"/>
                <w:sz w:val="20"/>
                <w:szCs w:val="20"/>
              </w:rPr>
              <w:t>10</w:t>
            </w:r>
          </w:p>
        </w:tc>
        <w:tc>
          <w:tcPr>
            <w:tcW w:w="469" w:type="pct"/>
            <w:tcBorders>
              <w:top w:val="nil"/>
            </w:tcBorders>
            <w:shd w:val="clear" w:color="auto" w:fill="auto"/>
            <w:vAlign w:val="bottom"/>
          </w:tcPr>
          <w:p w14:paraId="690094AD" w14:textId="77777777" w:rsidR="00C45D5B" w:rsidRPr="006B2558" w:rsidRDefault="00C45D5B" w:rsidP="00CF774B">
            <w:pPr>
              <w:jc w:val="right"/>
              <w:rPr>
                <w:sz w:val="20"/>
                <w:szCs w:val="20"/>
              </w:rPr>
            </w:pPr>
            <w:r w:rsidRPr="006B2558">
              <w:rPr>
                <w:rFonts w:cs="Arial"/>
                <w:sz w:val="20"/>
                <w:szCs w:val="20"/>
              </w:rPr>
              <w:t>-6</w:t>
            </w:r>
          </w:p>
        </w:tc>
        <w:tc>
          <w:tcPr>
            <w:tcW w:w="469" w:type="pct"/>
            <w:tcBorders>
              <w:top w:val="nil"/>
            </w:tcBorders>
            <w:shd w:val="clear" w:color="auto" w:fill="auto"/>
            <w:vAlign w:val="bottom"/>
          </w:tcPr>
          <w:p w14:paraId="5654A283" w14:textId="77777777" w:rsidR="00C45D5B" w:rsidRPr="006B2558" w:rsidRDefault="00C45D5B" w:rsidP="00CF774B">
            <w:pPr>
              <w:jc w:val="right"/>
              <w:rPr>
                <w:sz w:val="20"/>
                <w:szCs w:val="20"/>
              </w:rPr>
            </w:pPr>
            <w:r w:rsidRPr="006B2558">
              <w:rPr>
                <w:rFonts w:cs="Arial"/>
                <w:sz w:val="20"/>
                <w:szCs w:val="20"/>
              </w:rPr>
              <w:t>39</w:t>
            </w:r>
          </w:p>
        </w:tc>
        <w:tc>
          <w:tcPr>
            <w:tcW w:w="469" w:type="pct"/>
            <w:tcBorders>
              <w:top w:val="nil"/>
            </w:tcBorders>
            <w:shd w:val="clear" w:color="auto" w:fill="auto"/>
            <w:vAlign w:val="bottom"/>
          </w:tcPr>
          <w:p w14:paraId="07EB6A7D" w14:textId="77777777" w:rsidR="00C45D5B" w:rsidRPr="006B2558" w:rsidRDefault="00C45D5B" w:rsidP="00CF774B">
            <w:pPr>
              <w:jc w:val="right"/>
              <w:rPr>
                <w:sz w:val="20"/>
                <w:szCs w:val="20"/>
              </w:rPr>
            </w:pPr>
            <w:r w:rsidRPr="006B2558">
              <w:rPr>
                <w:rFonts w:cs="Arial"/>
                <w:sz w:val="20"/>
                <w:szCs w:val="20"/>
              </w:rPr>
              <w:t>35</w:t>
            </w:r>
          </w:p>
        </w:tc>
        <w:tc>
          <w:tcPr>
            <w:tcW w:w="468" w:type="pct"/>
            <w:gridSpan w:val="2"/>
            <w:tcBorders>
              <w:top w:val="nil"/>
            </w:tcBorders>
            <w:shd w:val="clear" w:color="auto" w:fill="auto"/>
            <w:vAlign w:val="bottom"/>
          </w:tcPr>
          <w:p w14:paraId="6D60EA4A" w14:textId="77777777" w:rsidR="00C45D5B" w:rsidRPr="006B2558" w:rsidRDefault="00C45D5B" w:rsidP="00CF774B">
            <w:pPr>
              <w:jc w:val="right"/>
              <w:rPr>
                <w:sz w:val="20"/>
                <w:szCs w:val="20"/>
              </w:rPr>
            </w:pPr>
            <w:r w:rsidRPr="006B2558">
              <w:rPr>
                <w:rFonts w:cs="Arial"/>
                <w:sz w:val="20"/>
                <w:szCs w:val="20"/>
              </w:rPr>
              <w:t>28</w:t>
            </w:r>
          </w:p>
        </w:tc>
        <w:tc>
          <w:tcPr>
            <w:tcW w:w="467" w:type="pct"/>
            <w:tcBorders>
              <w:top w:val="nil"/>
            </w:tcBorders>
            <w:shd w:val="clear" w:color="auto" w:fill="auto"/>
            <w:vAlign w:val="bottom"/>
          </w:tcPr>
          <w:p w14:paraId="3A091185" w14:textId="77777777" w:rsidR="00C45D5B" w:rsidRPr="006B2558" w:rsidRDefault="00C45D5B" w:rsidP="00CF774B">
            <w:pPr>
              <w:jc w:val="right"/>
              <w:rPr>
                <w:sz w:val="20"/>
                <w:szCs w:val="20"/>
              </w:rPr>
            </w:pPr>
            <w:r w:rsidRPr="006B2558">
              <w:rPr>
                <w:rFonts w:cs="Arial"/>
                <w:sz w:val="20"/>
                <w:szCs w:val="20"/>
              </w:rPr>
              <w:t>24</w:t>
            </w:r>
          </w:p>
        </w:tc>
      </w:tr>
      <w:tr w:rsidR="00C45D5B" w:rsidRPr="00197E76" w14:paraId="40E8C3FF" w14:textId="77777777" w:rsidTr="00CF774B">
        <w:trPr>
          <w:trHeight w:val="268"/>
        </w:trPr>
        <w:tc>
          <w:tcPr>
            <w:tcW w:w="2189" w:type="pct"/>
            <w:tcBorders>
              <w:top w:val="nil"/>
              <w:left w:val="nil"/>
            </w:tcBorders>
            <w:shd w:val="clear" w:color="auto" w:fill="auto"/>
            <w:vAlign w:val="center"/>
          </w:tcPr>
          <w:p w14:paraId="422675EF" w14:textId="77777777" w:rsidR="00C45D5B" w:rsidRPr="00197E76" w:rsidRDefault="00C45D5B" w:rsidP="00CF774B">
            <w:pPr>
              <w:rPr>
                <w:color w:val="000000" w:themeColor="text1"/>
                <w:sz w:val="20"/>
                <w:szCs w:val="20"/>
              </w:rPr>
            </w:pPr>
            <w:r w:rsidRPr="00197E76">
              <w:rPr>
                <w:color w:val="000000" w:themeColor="text1"/>
                <w:sz w:val="20"/>
                <w:szCs w:val="20"/>
              </w:rPr>
              <w:t>- zmena záruk SR v EFSF</w:t>
            </w:r>
          </w:p>
        </w:tc>
        <w:tc>
          <w:tcPr>
            <w:tcW w:w="469" w:type="pct"/>
            <w:tcBorders>
              <w:top w:val="nil"/>
            </w:tcBorders>
            <w:shd w:val="clear" w:color="auto" w:fill="auto"/>
            <w:vAlign w:val="center"/>
          </w:tcPr>
          <w:p w14:paraId="58871855" w14:textId="77777777" w:rsidR="00C45D5B" w:rsidRPr="006B2558" w:rsidRDefault="00C45D5B" w:rsidP="00CF774B">
            <w:pPr>
              <w:jc w:val="right"/>
              <w:rPr>
                <w:sz w:val="20"/>
                <w:szCs w:val="20"/>
              </w:rPr>
            </w:pPr>
            <w:r w:rsidRPr="006B2558">
              <w:rPr>
                <w:sz w:val="20"/>
                <w:szCs w:val="20"/>
              </w:rPr>
              <w:t>0</w:t>
            </w:r>
          </w:p>
        </w:tc>
        <w:tc>
          <w:tcPr>
            <w:tcW w:w="469" w:type="pct"/>
            <w:tcBorders>
              <w:top w:val="nil"/>
            </w:tcBorders>
            <w:shd w:val="clear" w:color="auto" w:fill="auto"/>
            <w:vAlign w:val="center"/>
          </w:tcPr>
          <w:p w14:paraId="51BD4BCC" w14:textId="77777777" w:rsidR="00C45D5B" w:rsidRPr="006B2558" w:rsidRDefault="00C45D5B" w:rsidP="00CF774B">
            <w:pPr>
              <w:jc w:val="right"/>
              <w:rPr>
                <w:sz w:val="20"/>
                <w:szCs w:val="20"/>
              </w:rPr>
            </w:pPr>
            <w:r w:rsidRPr="006B2558">
              <w:rPr>
                <w:sz w:val="20"/>
                <w:szCs w:val="20"/>
              </w:rPr>
              <w:t>0</w:t>
            </w:r>
          </w:p>
        </w:tc>
        <w:tc>
          <w:tcPr>
            <w:tcW w:w="469" w:type="pct"/>
            <w:tcBorders>
              <w:top w:val="nil"/>
            </w:tcBorders>
            <w:shd w:val="clear" w:color="auto" w:fill="auto"/>
            <w:vAlign w:val="center"/>
          </w:tcPr>
          <w:p w14:paraId="66119F8F" w14:textId="77777777" w:rsidR="00C45D5B" w:rsidRPr="006B2558" w:rsidRDefault="00C45D5B" w:rsidP="00CF774B">
            <w:pPr>
              <w:jc w:val="right"/>
              <w:rPr>
                <w:sz w:val="20"/>
                <w:szCs w:val="20"/>
              </w:rPr>
            </w:pPr>
            <w:r w:rsidRPr="006B2558">
              <w:rPr>
                <w:sz w:val="20"/>
                <w:szCs w:val="20"/>
              </w:rPr>
              <w:t>0</w:t>
            </w:r>
          </w:p>
        </w:tc>
        <w:tc>
          <w:tcPr>
            <w:tcW w:w="469" w:type="pct"/>
            <w:tcBorders>
              <w:top w:val="nil"/>
            </w:tcBorders>
            <w:shd w:val="clear" w:color="auto" w:fill="auto"/>
            <w:vAlign w:val="center"/>
          </w:tcPr>
          <w:p w14:paraId="4D23119B" w14:textId="77777777" w:rsidR="00C45D5B" w:rsidRPr="006B2558" w:rsidRDefault="00C45D5B" w:rsidP="00CF774B">
            <w:pPr>
              <w:jc w:val="right"/>
              <w:rPr>
                <w:sz w:val="20"/>
                <w:szCs w:val="20"/>
              </w:rPr>
            </w:pPr>
            <w:r w:rsidRPr="006B2558">
              <w:rPr>
                <w:sz w:val="20"/>
                <w:szCs w:val="20"/>
              </w:rPr>
              <w:t>0</w:t>
            </w:r>
          </w:p>
        </w:tc>
        <w:tc>
          <w:tcPr>
            <w:tcW w:w="468" w:type="pct"/>
            <w:gridSpan w:val="2"/>
            <w:tcBorders>
              <w:top w:val="nil"/>
            </w:tcBorders>
            <w:shd w:val="clear" w:color="auto" w:fill="auto"/>
            <w:vAlign w:val="center"/>
          </w:tcPr>
          <w:p w14:paraId="55674D49" w14:textId="77777777" w:rsidR="00C45D5B" w:rsidRPr="006B2558" w:rsidRDefault="00C45D5B" w:rsidP="00CF774B">
            <w:pPr>
              <w:jc w:val="right"/>
              <w:rPr>
                <w:sz w:val="20"/>
                <w:szCs w:val="20"/>
              </w:rPr>
            </w:pPr>
            <w:r w:rsidRPr="006B2558">
              <w:rPr>
                <w:sz w:val="20"/>
                <w:szCs w:val="20"/>
              </w:rPr>
              <w:t>0</w:t>
            </w:r>
          </w:p>
        </w:tc>
        <w:tc>
          <w:tcPr>
            <w:tcW w:w="467" w:type="pct"/>
            <w:tcBorders>
              <w:top w:val="nil"/>
            </w:tcBorders>
            <w:shd w:val="clear" w:color="auto" w:fill="auto"/>
            <w:vAlign w:val="center"/>
          </w:tcPr>
          <w:p w14:paraId="770CCB86" w14:textId="77777777" w:rsidR="00C45D5B" w:rsidRPr="006B2558" w:rsidRDefault="00C45D5B" w:rsidP="00CF774B">
            <w:pPr>
              <w:jc w:val="right"/>
              <w:rPr>
                <w:sz w:val="20"/>
                <w:szCs w:val="20"/>
              </w:rPr>
            </w:pPr>
            <w:r w:rsidRPr="006B2558">
              <w:rPr>
                <w:sz w:val="20"/>
                <w:szCs w:val="20"/>
              </w:rPr>
              <w:t>0</w:t>
            </w:r>
          </w:p>
        </w:tc>
      </w:tr>
      <w:tr w:rsidR="00C45D5B" w:rsidRPr="00197E76" w14:paraId="47387F3B" w14:textId="77777777" w:rsidTr="00CF774B">
        <w:trPr>
          <w:trHeight w:val="268"/>
        </w:trPr>
        <w:tc>
          <w:tcPr>
            <w:tcW w:w="2189" w:type="pct"/>
            <w:tcBorders>
              <w:top w:val="nil"/>
              <w:left w:val="nil"/>
            </w:tcBorders>
            <w:shd w:val="clear" w:color="auto" w:fill="auto"/>
            <w:vAlign w:val="center"/>
          </w:tcPr>
          <w:p w14:paraId="3CB3F244" w14:textId="77777777" w:rsidR="00C45D5B" w:rsidRPr="00197E76" w:rsidRDefault="00C45D5B" w:rsidP="00CF774B">
            <w:pPr>
              <w:rPr>
                <w:color w:val="000000" w:themeColor="text1"/>
                <w:sz w:val="20"/>
                <w:szCs w:val="20"/>
              </w:rPr>
            </w:pPr>
            <w:r w:rsidRPr="00197E76">
              <w:rPr>
                <w:color w:val="000000" w:themeColor="text1"/>
                <w:sz w:val="20"/>
                <w:szCs w:val="20"/>
              </w:rPr>
              <w:t>- emisný diskont</w:t>
            </w:r>
          </w:p>
        </w:tc>
        <w:tc>
          <w:tcPr>
            <w:tcW w:w="469" w:type="pct"/>
            <w:tcBorders>
              <w:top w:val="nil"/>
            </w:tcBorders>
            <w:shd w:val="clear" w:color="auto" w:fill="auto"/>
            <w:vAlign w:val="bottom"/>
          </w:tcPr>
          <w:p w14:paraId="5E61F25E" w14:textId="77777777" w:rsidR="00C45D5B" w:rsidRPr="006B2558" w:rsidRDefault="00C45D5B" w:rsidP="00CF774B">
            <w:pPr>
              <w:jc w:val="right"/>
              <w:rPr>
                <w:sz w:val="20"/>
                <w:szCs w:val="20"/>
              </w:rPr>
            </w:pPr>
            <w:r>
              <w:rPr>
                <w:rFonts w:cs="Arial"/>
                <w:sz w:val="20"/>
                <w:szCs w:val="20"/>
              </w:rPr>
              <w:t>28</w:t>
            </w:r>
          </w:p>
        </w:tc>
        <w:tc>
          <w:tcPr>
            <w:tcW w:w="469" w:type="pct"/>
            <w:tcBorders>
              <w:top w:val="nil"/>
            </w:tcBorders>
            <w:shd w:val="clear" w:color="auto" w:fill="auto"/>
            <w:vAlign w:val="bottom"/>
          </w:tcPr>
          <w:p w14:paraId="6E9BEDEA" w14:textId="77777777" w:rsidR="00C45D5B" w:rsidRPr="006B2558" w:rsidRDefault="00C45D5B" w:rsidP="00CF774B">
            <w:pPr>
              <w:jc w:val="right"/>
              <w:rPr>
                <w:sz w:val="20"/>
                <w:szCs w:val="20"/>
              </w:rPr>
            </w:pPr>
            <w:r>
              <w:rPr>
                <w:rFonts w:cs="Arial"/>
                <w:sz w:val="20"/>
                <w:szCs w:val="20"/>
              </w:rPr>
              <w:t>18</w:t>
            </w:r>
          </w:p>
        </w:tc>
        <w:tc>
          <w:tcPr>
            <w:tcW w:w="469" w:type="pct"/>
            <w:tcBorders>
              <w:top w:val="nil"/>
            </w:tcBorders>
            <w:shd w:val="clear" w:color="auto" w:fill="auto"/>
            <w:vAlign w:val="bottom"/>
          </w:tcPr>
          <w:p w14:paraId="6F032E2E" w14:textId="77777777" w:rsidR="00C45D5B" w:rsidRPr="006B2558" w:rsidRDefault="00C45D5B" w:rsidP="00CF774B">
            <w:pPr>
              <w:jc w:val="right"/>
              <w:rPr>
                <w:sz w:val="20"/>
                <w:szCs w:val="20"/>
              </w:rPr>
            </w:pPr>
            <w:r>
              <w:rPr>
                <w:rFonts w:cs="Arial"/>
                <w:sz w:val="20"/>
                <w:szCs w:val="20"/>
              </w:rPr>
              <w:t>153</w:t>
            </w:r>
          </w:p>
        </w:tc>
        <w:tc>
          <w:tcPr>
            <w:tcW w:w="469" w:type="pct"/>
            <w:tcBorders>
              <w:top w:val="nil"/>
            </w:tcBorders>
            <w:shd w:val="clear" w:color="auto" w:fill="auto"/>
            <w:vAlign w:val="bottom"/>
          </w:tcPr>
          <w:p w14:paraId="680F846F" w14:textId="77777777" w:rsidR="00C45D5B" w:rsidRPr="006B2558" w:rsidRDefault="00C45D5B" w:rsidP="00CF774B">
            <w:pPr>
              <w:jc w:val="right"/>
              <w:rPr>
                <w:sz w:val="20"/>
                <w:szCs w:val="20"/>
              </w:rPr>
            </w:pPr>
            <w:r>
              <w:rPr>
                <w:rFonts w:cs="Arial"/>
                <w:sz w:val="20"/>
                <w:szCs w:val="20"/>
              </w:rPr>
              <w:t>258</w:t>
            </w:r>
          </w:p>
        </w:tc>
        <w:tc>
          <w:tcPr>
            <w:tcW w:w="468" w:type="pct"/>
            <w:gridSpan w:val="2"/>
            <w:tcBorders>
              <w:top w:val="nil"/>
            </w:tcBorders>
            <w:shd w:val="clear" w:color="auto" w:fill="auto"/>
            <w:vAlign w:val="bottom"/>
          </w:tcPr>
          <w:p w14:paraId="36587B8E" w14:textId="77777777" w:rsidR="00C45D5B" w:rsidRPr="006B2558" w:rsidRDefault="00C45D5B" w:rsidP="00CF774B">
            <w:pPr>
              <w:jc w:val="right"/>
              <w:rPr>
                <w:sz w:val="20"/>
                <w:szCs w:val="20"/>
              </w:rPr>
            </w:pPr>
            <w:r>
              <w:rPr>
                <w:rFonts w:cs="Arial"/>
                <w:sz w:val="20"/>
                <w:szCs w:val="20"/>
              </w:rPr>
              <w:t>337</w:t>
            </w:r>
          </w:p>
        </w:tc>
        <w:tc>
          <w:tcPr>
            <w:tcW w:w="467" w:type="pct"/>
            <w:tcBorders>
              <w:top w:val="nil"/>
            </w:tcBorders>
            <w:shd w:val="clear" w:color="auto" w:fill="auto"/>
            <w:vAlign w:val="bottom"/>
          </w:tcPr>
          <w:p w14:paraId="7B88B945" w14:textId="77777777" w:rsidR="00C45D5B" w:rsidRPr="006B2558" w:rsidRDefault="00C45D5B" w:rsidP="00CF774B">
            <w:pPr>
              <w:jc w:val="right"/>
              <w:rPr>
                <w:sz w:val="20"/>
                <w:szCs w:val="20"/>
              </w:rPr>
            </w:pPr>
            <w:r>
              <w:rPr>
                <w:rFonts w:cs="Arial"/>
                <w:sz w:val="20"/>
                <w:szCs w:val="20"/>
              </w:rPr>
              <w:t>399</w:t>
            </w:r>
          </w:p>
        </w:tc>
      </w:tr>
      <w:tr w:rsidR="00C45D5B" w:rsidRPr="00197E76" w14:paraId="50765BD3" w14:textId="77777777" w:rsidTr="00CF774B">
        <w:trPr>
          <w:trHeight w:val="268"/>
        </w:trPr>
        <w:tc>
          <w:tcPr>
            <w:tcW w:w="2189" w:type="pct"/>
            <w:tcBorders>
              <w:top w:val="nil"/>
              <w:left w:val="nil"/>
            </w:tcBorders>
            <w:shd w:val="clear" w:color="auto" w:fill="auto"/>
            <w:vAlign w:val="center"/>
          </w:tcPr>
          <w:p w14:paraId="5D75DB50" w14:textId="77777777" w:rsidR="00C45D5B" w:rsidRPr="00197E76" w:rsidRDefault="00C45D5B" w:rsidP="00CF774B">
            <w:pPr>
              <w:rPr>
                <w:color w:val="000000" w:themeColor="text1"/>
                <w:sz w:val="20"/>
                <w:szCs w:val="20"/>
              </w:rPr>
            </w:pPr>
            <w:r w:rsidRPr="00197E76">
              <w:rPr>
                <w:color w:val="000000" w:themeColor="text1"/>
                <w:sz w:val="20"/>
                <w:szCs w:val="20"/>
              </w:rPr>
              <w:t>- diskont pri splatnosti</w:t>
            </w:r>
          </w:p>
        </w:tc>
        <w:tc>
          <w:tcPr>
            <w:tcW w:w="469" w:type="pct"/>
            <w:tcBorders>
              <w:top w:val="nil"/>
            </w:tcBorders>
            <w:shd w:val="clear" w:color="auto" w:fill="auto"/>
            <w:vAlign w:val="bottom"/>
          </w:tcPr>
          <w:p w14:paraId="0D6B86F3" w14:textId="77777777" w:rsidR="00C45D5B" w:rsidRPr="006B2558" w:rsidRDefault="00C45D5B" w:rsidP="00CF774B">
            <w:pPr>
              <w:jc w:val="right"/>
              <w:rPr>
                <w:sz w:val="20"/>
                <w:szCs w:val="20"/>
              </w:rPr>
            </w:pPr>
            <w:r>
              <w:rPr>
                <w:rFonts w:cs="Arial"/>
                <w:sz w:val="20"/>
                <w:szCs w:val="20"/>
              </w:rPr>
              <w:t>-16</w:t>
            </w:r>
          </w:p>
        </w:tc>
        <w:tc>
          <w:tcPr>
            <w:tcW w:w="469" w:type="pct"/>
            <w:tcBorders>
              <w:top w:val="nil"/>
            </w:tcBorders>
            <w:shd w:val="clear" w:color="auto" w:fill="auto"/>
            <w:vAlign w:val="bottom"/>
          </w:tcPr>
          <w:p w14:paraId="7124C78E" w14:textId="77777777" w:rsidR="00C45D5B" w:rsidRPr="006B2558" w:rsidRDefault="00C45D5B" w:rsidP="00CF774B">
            <w:pPr>
              <w:jc w:val="right"/>
              <w:rPr>
                <w:sz w:val="20"/>
                <w:szCs w:val="20"/>
              </w:rPr>
            </w:pPr>
            <w:r>
              <w:rPr>
                <w:rFonts w:cs="Arial"/>
                <w:sz w:val="20"/>
                <w:szCs w:val="20"/>
              </w:rPr>
              <w:t>-2</w:t>
            </w:r>
          </w:p>
        </w:tc>
        <w:tc>
          <w:tcPr>
            <w:tcW w:w="469" w:type="pct"/>
            <w:tcBorders>
              <w:top w:val="nil"/>
            </w:tcBorders>
            <w:shd w:val="clear" w:color="auto" w:fill="auto"/>
            <w:vAlign w:val="bottom"/>
          </w:tcPr>
          <w:p w14:paraId="2B088407" w14:textId="77777777" w:rsidR="00C45D5B" w:rsidRPr="006B2558" w:rsidRDefault="00C45D5B" w:rsidP="00CF774B">
            <w:pPr>
              <w:jc w:val="right"/>
              <w:rPr>
                <w:sz w:val="20"/>
                <w:szCs w:val="20"/>
              </w:rPr>
            </w:pPr>
            <w:r>
              <w:rPr>
                <w:rFonts w:cs="Arial"/>
                <w:sz w:val="20"/>
                <w:szCs w:val="20"/>
              </w:rPr>
              <w:t>-11</w:t>
            </w:r>
          </w:p>
        </w:tc>
        <w:tc>
          <w:tcPr>
            <w:tcW w:w="469" w:type="pct"/>
            <w:tcBorders>
              <w:top w:val="nil"/>
            </w:tcBorders>
            <w:shd w:val="clear" w:color="auto" w:fill="auto"/>
            <w:vAlign w:val="bottom"/>
          </w:tcPr>
          <w:p w14:paraId="00BDDAB0" w14:textId="77777777" w:rsidR="00C45D5B" w:rsidRPr="006B2558" w:rsidRDefault="00C45D5B" w:rsidP="00CF774B">
            <w:pPr>
              <w:jc w:val="right"/>
              <w:rPr>
                <w:sz w:val="20"/>
                <w:szCs w:val="20"/>
              </w:rPr>
            </w:pPr>
            <w:r>
              <w:rPr>
                <w:rFonts w:cs="Arial"/>
                <w:sz w:val="20"/>
                <w:szCs w:val="20"/>
              </w:rPr>
              <w:t>-49</w:t>
            </w:r>
          </w:p>
        </w:tc>
        <w:tc>
          <w:tcPr>
            <w:tcW w:w="468" w:type="pct"/>
            <w:gridSpan w:val="2"/>
            <w:tcBorders>
              <w:top w:val="nil"/>
            </w:tcBorders>
            <w:shd w:val="clear" w:color="auto" w:fill="auto"/>
            <w:vAlign w:val="bottom"/>
          </w:tcPr>
          <w:p w14:paraId="0E7B32C2" w14:textId="77777777" w:rsidR="00C45D5B" w:rsidRPr="006B2558" w:rsidRDefault="00C45D5B" w:rsidP="00CF774B">
            <w:pPr>
              <w:jc w:val="right"/>
              <w:rPr>
                <w:sz w:val="20"/>
                <w:szCs w:val="20"/>
              </w:rPr>
            </w:pPr>
            <w:r>
              <w:rPr>
                <w:rFonts w:cs="Arial"/>
                <w:sz w:val="20"/>
                <w:szCs w:val="20"/>
              </w:rPr>
              <w:t>-6</w:t>
            </w:r>
          </w:p>
        </w:tc>
        <w:tc>
          <w:tcPr>
            <w:tcW w:w="467" w:type="pct"/>
            <w:tcBorders>
              <w:top w:val="nil"/>
            </w:tcBorders>
            <w:shd w:val="clear" w:color="auto" w:fill="auto"/>
            <w:vAlign w:val="bottom"/>
          </w:tcPr>
          <w:p w14:paraId="27570563" w14:textId="77777777" w:rsidR="00C45D5B" w:rsidRPr="006B2558" w:rsidRDefault="00C45D5B" w:rsidP="00CF774B">
            <w:pPr>
              <w:jc w:val="right"/>
              <w:rPr>
                <w:sz w:val="20"/>
                <w:szCs w:val="20"/>
              </w:rPr>
            </w:pPr>
            <w:r>
              <w:rPr>
                <w:rFonts w:cs="Arial"/>
                <w:sz w:val="20"/>
                <w:szCs w:val="20"/>
              </w:rPr>
              <w:t>0</w:t>
            </w:r>
          </w:p>
        </w:tc>
      </w:tr>
      <w:tr w:rsidR="00C45D5B" w:rsidRPr="00197E76" w14:paraId="0552F8D5" w14:textId="77777777" w:rsidTr="00CF774B">
        <w:trPr>
          <w:trHeight w:val="268"/>
        </w:trPr>
        <w:tc>
          <w:tcPr>
            <w:tcW w:w="2189" w:type="pct"/>
            <w:tcBorders>
              <w:top w:val="nil"/>
              <w:left w:val="nil"/>
              <w:bottom w:val="single" w:sz="4" w:space="0" w:color="auto"/>
            </w:tcBorders>
            <w:shd w:val="clear" w:color="auto" w:fill="auto"/>
            <w:vAlign w:val="center"/>
          </w:tcPr>
          <w:p w14:paraId="67ADA054" w14:textId="77777777" w:rsidR="00C45D5B" w:rsidRPr="00197E76" w:rsidRDefault="00C45D5B" w:rsidP="00CF774B">
            <w:pPr>
              <w:rPr>
                <w:color w:val="000000" w:themeColor="text1"/>
                <w:sz w:val="20"/>
                <w:szCs w:val="20"/>
              </w:rPr>
            </w:pPr>
            <w:r w:rsidRPr="00197E76">
              <w:rPr>
                <w:color w:val="000000" w:themeColor="text1"/>
                <w:sz w:val="20"/>
                <w:szCs w:val="20"/>
              </w:rPr>
              <w:t>- ostatné</w:t>
            </w:r>
            <w:r>
              <w:rPr>
                <w:color w:val="000000" w:themeColor="text1"/>
                <w:sz w:val="20"/>
                <w:szCs w:val="20"/>
              </w:rPr>
              <w:t>*</w:t>
            </w:r>
          </w:p>
        </w:tc>
        <w:tc>
          <w:tcPr>
            <w:tcW w:w="469" w:type="pct"/>
            <w:tcBorders>
              <w:top w:val="nil"/>
              <w:bottom w:val="single" w:sz="4" w:space="0" w:color="auto"/>
            </w:tcBorders>
            <w:shd w:val="clear" w:color="auto" w:fill="auto"/>
            <w:vAlign w:val="bottom"/>
          </w:tcPr>
          <w:p w14:paraId="0AECA39D" w14:textId="77777777" w:rsidR="00C45D5B" w:rsidRPr="006B2558" w:rsidRDefault="00C45D5B" w:rsidP="00CF774B">
            <w:pPr>
              <w:jc w:val="right"/>
              <w:rPr>
                <w:sz w:val="20"/>
                <w:szCs w:val="20"/>
              </w:rPr>
            </w:pPr>
            <w:r w:rsidRPr="006B2558">
              <w:rPr>
                <w:rFonts w:cs="Arial"/>
                <w:b/>
                <w:bCs/>
                <w:sz w:val="20"/>
                <w:szCs w:val="20"/>
              </w:rPr>
              <w:t>113</w:t>
            </w:r>
          </w:p>
        </w:tc>
        <w:tc>
          <w:tcPr>
            <w:tcW w:w="469" w:type="pct"/>
            <w:tcBorders>
              <w:top w:val="nil"/>
              <w:bottom w:val="single" w:sz="4" w:space="0" w:color="auto"/>
            </w:tcBorders>
            <w:shd w:val="clear" w:color="auto" w:fill="auto"/>
            <w:vAlign w:val="bottom"/>
          </w:tcPr>
          <w:p w14:paraId="334D837F" w14:textId="77777777" w:rsidR="00C45D5B" w:rsidRPr="006B2558" w:rsidRDefault="00C45D5B" w:rsidP="00CF774B">
            <w:pPr>
              <w:jc w:val="right"/>
              <w:rPr>
                <w:sz w:val="20"/>
                <w:szCs w:val="20"/>
              </w:rPr>
            </w:pPr>
            <w:r w:rsidRPr="006B2558">
              <w:rPr>
                <w:rFonts w:cs="Arial"/>
                <w:b/>
                <w:bCs/>
                <w:sz w:val="20"/>
                <w:szCs w:val="20"/>
              </w:rPr>
              <w:t>120</w:t>
            </w:r>
          </w:p>
        </w:tc>
        <w:tc>
          <w:tcPr>
            <w:tcW w:w="469" w:type="pct"/>
            <w:tcBorders>
              <w:top w:val="nil"/>
              <w:bottom w:val="single" w:sz="4" w:space="0" w:color="auto"/>
            </w:tcBorders>
            <w:shd w:val="clear" w:color="auto" w:fill="auto"/>
            <w:vAlign w:val="bottom"/>
          </w:tcPr>
          <w:p w14:paraId="3FBA6139" w14:textId="77777777" w:rsidR="00C45D5B" w:rsidRPr="006B2558" w:rsidRDefault="00C45D5B" w:rsidP="00CF774B">
            <w:pPr>
              <w:jc w:val="right"/>
              <w:rPr>
                <w:sz w:val="20"/>
                <w:szCs w:val="20"/>
              </w:rPr>
            </w:pPr>
            <w:r w:rsidRPr="006B2558">
              <w:rPr>
                <w:rFonts w:cs="Arial"/>
                <w:b/>
                <w:bCs/>
                <w:sz w:val="20"/>
                <w:szCs w:val="20"/>
              </w:rPr>
              <w:t>-2</w:t>
            </w:r>
          </w:p>
        </w:tc>
        <w:tc>
          <w:tcPr>
            <w:tcW w:w="469" w:type="pct"/>
            <w:tcBorders>
              <w:top w:val="nil"/>
              <w:bottom w:val="single" w:sz="4" w:space="0" w:color="auto"/>
            </w:tcBorders>
            <w:shd w:val="clear" w:color="auto" w:fill="auto"/>
            <w:vAlign w:val="bottom"/>
          </w:tcPr>
          <w:p w14:paraId="6C30A97C" w14:textId="77777777" w:rsidR="00C45D5B" w:rsidRPr="006B2558" w:rsidRDefault="00C45D5B" w:rsidP="00CF774B">
            <w:pPr>
              <w:jc w:val="right"/>
              <w:rPr>
                <w:sz w:val="20"/>
                <w:szCs w:val="20"/>
              </w:rPr>
            </w:pPr>
            <w:r w:rsidRPr="006B2558">
              <w:rPr>
                <w:rFonts w:cs="Arial"/>
                <w:b/>
                <w:bCs/>
                <w:sz w:val="20"/>
                <w:szCs w:val="20"/>
              </w:rPr>
              <w:t>-2</w:t>
            </w:r>
          </w:p>
        </w:tc>
        <w:tc>
          <w:tcPr>
            <w:tcW w:w="468" w:type="pct"/>
            <w:gridSpan w:val="2"/>
            <w:tcBorders>
              <w:top w:val="nil"/>
              <w:bottom w:val="single" w:sz="4" w:space="0" w:color="auto"/>
            </w:tcBorders>
            <w:shd w:val="clear" w:color="auto" w:fill="auto"/>
            <w:vAlign w:val="bottom"/>
          </w:tcPr>
          <w:p w14:paraId="21E2FBD3" w14:textId="77777777" w:rsidR="00C45D5B" w:rsidRPr="006B2558" w:rsidRDefault="00C45D5B" w:rsidP="00CF774B">
            <w:pPr>
              <w:jc w:val="right"/>
              <w:rPr>
                <w:sz w:val="20"/>
                <w:szCs w:val="20"/>
              </w:rPr>
            </w:pPr>
            <w:r w:rsidRPr="006B2558">
              <w:rPr>
                <w:rFonts w:cs="Arial"/>
                <w:b/>
                <w:bCs/>
                <w:sz w:val="20"/>
                <w:szCs w:val="20"/>
              </w:rPr>
              <w:t>0</w:t>
            </w:r>
          </w:p>
        </w:tc>
        <w:tc>
          <w:tcPr>
            <w:tcW w:w="467" w:type="pct"/>
            <w:tcBorders>
              <w:top w:val="nil"/>
              <w:bottom w:val="single" w:sz="4" w:space="0" w:color="auto"/>
            </w:tcBorders>
            <w:shd w:val="clear" w:color="auto" w:fill="auto"/>
            <w:vAlign w:val="bottom"/>
          </w:tcPr>
          <w:p w14:paraId="1BE39835" w14:textId="77777777" w:rsidR="00C45D5B" w:rsidRPr="006B2558" w:rsidRDefault="00C45D5B" w:rsidP="00CF774B">
            <w:pPr>
              <w:jc w:val="right"/>
              <w:rPr>
                <w:sz w:val="20"/>
                <w:szCs w:val="20"/>
              </w:rPr>
            </w:pPr>
            <w:r w:rsidRPr="006B2558">
              <w:rPr>
                <w:rFonts w:cs="Arial"/>
                <w:b/>
                <w:bCs/>
                <w:sz w:val="20"/>
                <w:szCs w:val="20"/>
              </w:rPr>
              <w:t>0</w:t>
            </w:r>
          </w:p>
        </w:tc>
      </w:tr>
      <w:tr w:rsidR="00C45D5B" w:rsidRPr="00197E76" w14:paraId="46EF7483" w14:textId="77777777" w:rsidTr="00CF774B">
        <w:trPr>
          <w:trHeight w:val="268"/>
        </w:trPr>
        <w:tc>
          <w:tcPr>
            <w:tcW w:w="2189" w:type="pct"/>
            <w:tcBorders>
              <w:top w:val="single" w:sz="4" w:space="0" w:color="auto"/>
              <w:left w:val="nil"/>
            </w:tcBorders>
            <w:shd w:val="clear" w:color="auto" w:fill="auto"/>
            <w:vAlign w:val="center"/>
          </w:tcPr>
          <w:p w14:paraId="5B20B31B" w14:textId="77777777" w:rsidR="00C45D5B" w:rsidRPr="00197E76" w:rsidRDefault="00C45D5B" w:rsidP="00CF774B">
            <w:pPr>
              <w:rPr>
                <w:b/>
                <w:color w:val="000000" w:themeColor="text1"/>
                <w:sz w:val="20"/>
                <w:szCs w:val="20"/>
              </w:rPr>
            </w:pPr>
            <w:r w:rsidRPr="00197E76">
              <w:rPr>
                <w:b/>
                <w:color w:val="000000" w:themeColor="text1"/>
                <w:sz w:val="20"/>
                <w:szCs w:val="20"/>
              </w:rPr>
              <w:t>C. Hrubý dlh verejnej správy (k 31.12.)</w:t>
            </w:r>
          </w:p>
        </w:tc>
        <w:tc>
          <w:tcPr>
            <w:tcW w:w="469" w:type="pct"/>
            <w:tcBorders>
              <w:top w:val="single" w:sz="4" w:space="0" w:color="auto"/>
            </w:tcBorders>
            <w:shd w:val="clear" w:color="auto" w:fill="auto"/>
            <w:vAlign w:val="bottom"/>
          </w:tcPr>
          <w:p w14:paraId="108407B3" w14:textId="77777777" w:rsidR="00C45D5B" w:rsidRPr="006B2558" w:rsidRDefault="00C45D5B" w:rsidP="00CF774B">
            <w:pPr>
              <w:jc w:val="right"/>
              <w:rPr>
                <w:b/>
                <w:sz w:val="20"/>
                <w:szCs w:val="20"/>
              </w:rPr>
            </w:pPr>
            <w:r w:rsidRPr="006B2558">
              <w:rPr>
                <w:rFonts w:cs="Arial"/>
                <w:b/>
                <w:bCs/>
                <w:sz w:val="20"/>
                <w:szCs w:val="20"/>
              </w:rPr>
              <w:t>55 012</w:t>
            </w:r>
          </w:p>
        </w:tc>
        <w:tc>
          <w:tcPr>
            <w:tcW w:w="469" w:type="pct"/>
            <w:tcBorders>
              <w:top w:val="single" w:sz="4" w:space="0" w:color="auto"/>
            </w:tcBorders>
            <w:shd w:val="clear" w:color="auto" w:fill="auto"/>
            <w:vAlign w:val="bottom"/>
          </w:tcPr>
          <w:p w14:paraId="34281F4A" w14:textId="77777777" w:rsidR="00C45D5B" w:rsidRPr="006B2558" w:rsidRDefault="00C45D5B" w:rsidP="00CF774B">
            <w:pPr>
              <w:jc w:val="right"/>
              <w:rPr>
                <w:b/>
                <w:sz w:val="20"/>
                <w:szCs w:val="20"/>
              </w:rPr>
            </w:pPr>
            <w:r w:rsidRPr="006B2558">
              <w:rPr>
                <w:rFonts w:cs="Arial"/>
                <w:b/>
                <w:bCs/>
                <w:sz w:val="20"/>
                <w:szCs w:val="20"/>
              </w:rPr>
              <w:t>61 259</w:t>
            </w:r>
          </w:p>
        </w:tc>
        <w:tc>
          <w:tcPr>
            <w:tcW w:w="469" w:type="pct"/>
            <w:tcBorders>
              <w:top w:val="single" w:sz="4" w:space="0" w:color="auto"/>
            </w:tcBorders>
            <w:shd w:val="clear" w:color="auto" w:fill="auto"/>
            <w:vAlign w:val="bottom"/>
          </w:tcPr>
          <w:p w14:paraId="02453BBE" w14:textId="77777777" w:rsidR="00C45D5B" w:rsidRPr="006B2558" w:rsidRDefault="00C45D5B" w:rsidP="00CF774B">
            <w:pPr>
              <w:jc w:val="right"/>
              <w:rPr>
                <w:b/>
                <w:sz w:val="20"/>
                <w:szCs w:val="20"/>
              </w:rPr>
            </w:pPr>
            <w:r w:rsidRPr="006B2558">
              <w:rPr>
                <w:rFonts w:cs="Arial"/>
                <w:b/>
                <w:bCs/>
                <w:sz w:val="20"/>
                <w:szCs w:val="20"/>
              </w:rPr>
              <w:t>65 595</w:t>
            </w:r>
          </w:p>
        </w:tc>
        <w:tc>
          <w:tcPr>
            <w:tcW w:w="469" w:type="pct"/>
            <w:tcBorders>
              <w:top w:val="single" w:sz="4" w:space="0" w:color="auto"/>
            </w:tcBorders>
            <w:shd w:val="clear" w:color="auto" w:fill="auto"/>
            <w:vAlign w:val="bottom"/>
          </w:tcPr>
          <w:p w14:paraId="3511A40B" w14:textId="77777777" w:rsidR="00C45D5B" w:rsidRPr="006B2558" w:rsidRDefault="00C45D5B" w:rsidP="00CF774B">
            <w:pPr>
              <w:jc w:val="right"/>
              <w:rPr>
                <w:b/>
                <w:sz w:val="20"/>
                <w:szCs w:val="20"/>
              </w:rPr>
            </w:pPr>
            <w:r w:rsidRPr="006B2558">
              <w:rPr>
                <w:rFonts w:cs="Arial"/>
                <w:b/>
                <w:bCs/>
                <w:sz w:val="20"/>
                <w:szCs w:val="20"/>
              </w:rPr>
              <w:t>68 393</w:t>
            </w:r>
          </w:p>
        </w:tc>
        <w:tc>
          <w:tcPr>
            <w:tcW w:w="468" w:type="pct"/>
            <w:gridSpan w:val="2"/>
            <w:tcBorders>
              <w:top w:val="single" w:sz="4" w:space="0" w:color="auto"/>
            </w:tcBorders>
            <w:shd w:val="clear" w:color="auto" w:fill="auto"/>
            <w:vAlign w:val="bottom"/>
          </w:tcPr>
          <w:p w14:paraId="00CF006F" w14:textId="77777777" w:rsidR="00C45D5B" w:rsidRPr="006B2558" w:rsidRDefault="00C45D5B" w:rsidP="00CF774B">
            <w:pPr>
              <w:jc w:val="right"/>
              <w:rPr>
                <w:b/>
                <w:sz w:val="20"/>
                <w:szCs w:val="20"/>
              </w:rPr>
            </w:pPr>
            <w:r w:rsidRPr="006B2558">
              <w:rPr>
                <w:rFonts w:cs="Arial"/>
                <w:b/>
                <w:bCs/>
                <w:sz w:val="20"/>
                <w:szCs w:val="20"/>
              </w:rPr>
              <w:t>71 453</w:t>
            </w:r>
          </w:p>
        </w:tc>
        <w:tc>
          <w:tcPr>
            <w:tcW w:w="467" w:type="pct"/>
            <w:tcBorders>
              <w:top w:val="single" w:sz="4" w:space="0" w:color="auto"/>
            </w:tcBorders>
            <w:shd w:val="clear" w:color="auto" w:fill="auto"/>
            <w:vAlign w:val="bottom"/>
          </w:tcPr>
          <w:p w14:paraId="205062EA" w14:textId="77777777" w:rsidR="00C45D5B" w:rsidRPr="006B2558" w:rsidRDefault="00C45D5B" w:rsidP="00CF774B">
            <w:pPr>
              <w:jc w:val="right"/>
              <w:rPr>
                <w:b/>
                <w:sz w:val="20"/>
                <w:szCs w:val="20"/>
              </w:rPr>
            </w:pPr>
            <w:r w:rsidRPr="006B2558">
              <w:rPr>
                <w:rFonts w:cs="Arial"/>
                <w:b/>
                <w:bCs/>
                <w:sz w:val="20"/>
                <w:szCs w:val="20"/>
              </w:rPr>
              <w:t>73 128</w:t>
            </w:r>
          </w:p>
        </w:tc>
      </w:tr>
      <w:tr w:rsidR="00C45D5B" w:rsidRPr="00197E76" w14:paraId="6F420E66" w14:textId="77777777" w:rsidTr="00CF774B">
        <w:trPr>
          <w:trHeight w:val="268"/>
        </w:trPr>
        <w:tc>
          <w:tcPr>
            <w:tcW w:w="2189" w:type="pct"/>
            <w:tcBorders>
              <w:top w:val="nil"/>
              <w:left w:val="nil"/>
              <w:bottom w:val="single" w:sz="4" w:space="0" w:color="auto"/>
            </w:tcBorders>
            <w:shd w:val="clear" w:color="auto" w:fill="auto"/>
            <w:vAlign w:val="center"/>
          </w:tcPr>
          <w:p w14:paraId="6B55B232" w14:textId="77777777" w:rsidR="00C45D5B" w:rsidRPr="00197E76" w:rsidRDefault="00C45D5B" w:rsidP="00CF774B">
            <w:pPr>
              <w:ind w:left="214"/>
              <w:rPr>
                <w:b/>
                <w:color w:val="000000" w:themeColor="text1"/>
                <w:sz w:val="20"/>
                <w:szCs w:val="20"/>
              </w:rPr>
            </w:pPr>
            <w:r w:rsidRPr="00197E76">
              <w:rPr>
                <w:b/>
                <w:color w:val="000000" w:themeColor="text1"/>
                <w:sz w:val="20"/>
                <w:szCs w:val="20"/>
              </w:rPr>
              <w:t>v % HDP</w:t>
            </w:r>
          </w:p>
        </w:tc>
        <w:tc>
          <w:tcPr>
            <w:tcW w:w="469" w:type="pct"/>
            <w:tcBorders>
              <w:top w:val="nil"/>
              <w:bottom w:val="single" w:sz="4" w:space="0" w:color="auto"/>
            </w:tcBorders>
            <w:shd w:val="clear" w:color="auto" w:fill="auto"/>
            <w:vAlign w:val="bottom"/>
          </w:tcPr>
          <w:p w14:paraId="51A22033" w14:textId="77777777" w:rsidR="00C45D5B" w:rsidRPr="006B2558" w:rsidRDefault="00C45D5B" w:rsidP="00CF774B">
            <w:pPr>
              <w:jc w:val="right"/>
              <w:rPr>
                <w:b/>
                <w:sz w:val="20"/>
                <w:szCs w:val="20"/>
              </w:rPr>
            </w:pPr>
            <w:r w:rsidRPr="006B2558">
              <w:rPr>
                <w:rFonts w:cs="Arial"/>
                <w:b/>
                <w:bCs/>
                <w:sz w:val="20"/>
                <w:szCs w:val="20"/>
              </w:rPr>
              <w:t>59,7</w:t>
            </w:r>
          </w:p>
        </w:tc>
        <w:tc>
          <w:tcPr>
            <w:tcW w:w="469" w:type="pct"/>
            <w:tcBorders>
              <w:top w:val="nil"/>
              <w:bottom w:val="single" w:sz="4" w:space="0" w:color="auto"/>
            </w:tcBorders>
            <w:shd w:val="clear" w:color="auto" w:fill="auto"/>
            <w:vAlign w:val="bottom"/>
          </w:tcPr>
          <w:p w14:paraId="53BA1E11" w14:textId="77777777" w:rsidR="00C45D5B" w:rsidRPr="006B2558" w:rsidRDefault="00C45D5B" w:rsidP="00CF774B">
            <w:pPr>
              <w:jc w:val="right"/>
              <w:rPr>
                <w:b/>
                <w:sz w:val="20"/>
                <w:szCs w:val="20"/>
              </w:rPr>
            </w:pPr>
            <w:r w:rsidRPr="006B2558">
              <w:rPr>
                <w:rFonts w:cs="Arial"/>
                <w:b/>
                <w:bCs/>
                <w:sz w:val="20"/>
                <w:szCs w:val="20"/>
              </w:rPr>
              <w:t>63,1</w:t>
            </w:r>
          </w:p>
        </w:tc>
        <w:tc>
          <w:tcPr>
            <w:tcW w:w="469" w:type="pct"/>
            <w:tcBorders>
              <w:top w:val="nil"/>
              <w:bottom w:val="single" w:sz="4" w:space="0" w:color="auto"/>
            </w:tcBorders>
            <w:shd w:val="clear" w:color="auto" w:fill="auto"/>
            <w:vAlign w:val="bottom"/>
          </w:tcPr>
          <w:p w14:paraId="26204E57" w14:textId="77777777" w:rsidR="00C45D5B" w:rsidRPr="006B2558" w:rsidRDefault="00C45D5B" w:rsidP="00CF774B">
            <w:pPr>
              <w:jc w:val="right"/>
              <w:rPr>
                <w:b/>
                <w:sz w:val="20"/>
                <w:szCs w:val="20"/>
              </w:rPr>
            </w:pPr>
            <w:r w:rsidRPr="006B2558">
              <w:rPr>
                <w:rFonts w:cs="Arial"/>
                <w:b/>
                <w:bCs/>
                <w:sz w:val="20"/>
                <w:szCs w:val="20"/>
              </w:rPr>
              <w:t>61,6</w:t>
            </w:r>
          </w:p>
        </w:tc>
        <w:tc>
          <w:tcPr>
            <w:tcW w:w="469" w:type="pct"/>
            <w:tcBorders>
              <w:top w:val="nil"/>
              <w:bottom w:val="single" w:sz="4" w:space="0" w:color="auto"/>
            </w:tcBorders>
            <w:shd w:val="clear" w:color="auto" w:fill="auto"/>
            <w:vAlign w:val="bottom"/>
          </w:tcPr>
          <w:p w14:paraId="406A231E" w14:textId="77777777" w:rsidR="00C45D5B" w:rsidRPr="006B2558" w:rsidRDefault="00C45D5B" w:rsidP="00CF774B">
            <w:pPr>
              <w:jc w:val="right"/>
              <w:rPr>
                <w:b/>
                <w:sz w:val="20"/>
                <w:szCs w:val="20"/>
              </w:rPr>
            </w:pPr>
            <w:r w:rsidRPr="006B2558">
              <w:rPr>
                <w:rFonts w:cs="Arial"/>
                <w:b/>
                <w:bCs/>
                <w:sz w:val="20"/>
                <w:szCs w:val="20"/>
              </w:rPr>
              <w:t>58,0</w:t>
            </w:r>
          </w:p>
        </w:tc>
        <w:tc>
          <w:tcPr>
            <w:tcW w:w="468" w:type="pct"/>
            <w:gridSpan w:val="2"/>
            <w:tcBorders>
              <w:top w:val="nil"/>
              <w:bottom w:val="single" w:sz="4" w:space="0" w:color="auto"/>
            </w:tcBorders>
            <w:shd w:val="clear" w:color="auto" w:fill="auto"/>
            <w:vAlign w:val="bottom"/>
          </w:tcPr>
          <w:p w14:paraId="42D202A0" w14:textId="77777777" w:rsidR="00C45D5B" w:rsidRPr="006B2558" w:rsidRDefault="00C45D5B" w:rsidP="00CF774B">
            <w:pPr>
              <w:jc w:val="right"/>
              <w:rPr>
                <w:b/>
                <w:sz w:val="20"/>
                <w:szCs w:val="20"/>
              </w:rPr>
            </w:pPr>
            <w:r w:rsidRPr="006B2558">
              <w:rPr>
                <w:rFonts w:cs="Arial"/>
                <w:b/>
                <w:bCs/>
                <w:sz w:val="20"/>
                <w:szCs w:val="20"/>
              </w:rPr>
              <w:t>58,2</w:t>
            </w:r>
          </w:p>
        </w:tc>
        <w:tc>
          <w:tcPr>
            <w:tcW w:w="467" w:type="pct"/>
            <w:tcBorders>
              <w:top w:val="nil"/>
              <w:bottom w:val="single" w:sz="4" w:space="0" w:color="auto"/>
            </w:tcBorders>
            <w:shd w:val="clear" w:color="auto" w:fill="auto"/>
            <w:vAlign w:val="bottom"/>
          </w:tcPr>
          <w:p w14:paraId="0DBB8DF8" w14:textId="77777777" w:rsidR="00C45D5B" w:rsidRPr="006B2558" w:rsidRDefault="00C45D5B" w:rsidP="00CF774B">
            <w:pPr>
              <w:jc w:val="right"/>
              <w:rPr>
                <w:b/>
                <w:sz w:val="20"/>
                <w:szCs w:val="20"/>
              </w:rPr>
            </w:pPr>
            <w:r w:rsidRPr="006B2558">
              <w:rPr>
                <w:rFonts w:cs="Arial"/>
                <w:b/>
                <w:bCs/>
                <w:sz w:val="20"/>
                <w:szCs w:val="20"/>
              </w:rPr>
              <w:t>57,3</w:t>
            </w:r>
          </w:p>
        </w:tc>
      </w:tr>
      <w:tr w:rsidR="00C45D5B" w:rsidRPr="00197E76" w14:paraId="2EF47639" w14:textId="77777777" w:rsidTr="00CF774B">
        <w:trPr>
          <w:trHeight w:val="265"/>
        </w:trPr>
        <w:tc>
          <w:tcPr>
            <w:tcW w:w="4375" w:type="pct"/>
            <w:gridSpan w:val="6"/>
            <w:tcBorders>
              <w:left w:val="nil"/>
              <w:right w:val="nil"/>
            </w:tcBorders>
            <w:shd w:val="clear" w:color="auto" w:fill="auto"/>
            <w:vAlign w:val="center"/>
          </w:tcPr>
          <w:p w14:paraId="542F5ECE" w14:textId="77777777" w:rsidR="00C45D5B" w:rsidRPr="00197E76" w:rsidRDefault="00C45D5B" w:rsidP="00CF774B">
            <w:pPr>
              <w:rPr>
                <w:color w:val="000000" w:themeColor="text1"/>
                <w:sz w:val="16"/>
                <w:szCs w:val="20"/>
              </w:rPr>
            </w:pPr>
            <w:r w:rsidRPr="00197E76">
              <w:rPr>
                <w:i/>
                <w:color w:val="000000" w:themeColor="text1"/>
                <w:sz w:val="16"/>
                <w:szCs w:val="20"/>
              </w:rPr>
              <w:t>Pozn.: Plusové položky zvyšujú dlh verejnej správy k 31.12. príslušného roku, mínusové položky dlh znižujú.</w:t>
            </w:r>
          </w:p>
        </w:tc>
        <w:tc>
          <w:tcPr>
            <w:tcW w:w="625" w:type="pct"/>
            <w:gridSpan w:val="2"/>
            <w:tcBorders>
              <w:left w:val="nil"/>
              <w:right w:val="nil"/>
            </w:tcBorders>
            <w:shd w:val="clear" w:color="auto" w:fill="auto"/>
            <w:vAlign w:val="center"/>
          </w:tcPr>
          <w:p w14:paraId="3854F980" w14:textId="77777777" w:rsidR="00C45D5B" w:rsidRPr="00197E76" w:rsidRDefault="00C45D5B" w:rsidP="00CF774B">
            <w:pPr>
              <w:jc w:val="right"/>
              <w:rPr>
                <w:i/>
                <w:color w:val="000000" w:themeColor="text1"/>
                <w:sz w:val="16"/>
                <w:szCs w:val="20"/>
              </w:rPr>
            </w:pPr>
            <w:r w:rsidRPr="00197E76">
              <w:rPr>
                <w:i/>
                <w:color w:val="000000" w:themeColor="text1"/>
                <w:sz w:val="16"/>
                <w:szCs w:val="20"/>
              </w:rPr>
              <w:t>Zdroj: MF SR</w:t>
            </w:r>
          </w:p>
        </w:tc>
      </w:tr>
    </w:tbl>
    <w:p w14:paraId="7368308F" w14:textId="77777777" w:rsidR="00C45D5B" w:rsidRPr="00197E76" w:rsidRDefault="00C45D5B" w:rsidP="00C45D5B">
      <w:pPr>
        <w:jc w:val="both"/>
        <w:rPr>
          <w:i/>
          <w:sz w:val="16"/>
        </w:rPr>
      </w:pPr>
      <w:r w:rsidRPr="00197E76">
        <w:rPr>
          <w:i/>
          <w:sz w:val="16"/>
        </w:rPr>
        <w:t>* tvoria najmä rozdiely analytickej prognózy a notifikovaného maastrichtského dlhu v metodike ESA2010.</w:t>
      </w:r>
    </w:p>
    <w:p w14:paraId="7F1BE591" w14:textId="77777777" w:rsidR="00C45D5B" w:rsidRPr="00AB54ED" w:rsidRDefault="00C45D5B" w:rsidP="00C45D5B">
      <w:pPr>
        <w:rPr>
          <w:highlight w:val="yellow"/>
        </w:rPr>
      </w:pPr>
      <w:r w:rsidRPr="00AB54ED">
        <w:rPr>
          <w:highlight w:val="yellow"/>
        </w:rPr>
        <w:br w:type="page"/>
      </w:r>
    </w:p>
    <w:p w14:paraId="6C42E32F" w14:textId="3D30D7BE" w:rsidR="00C45D5B" w:rsidRPr="002E3C66" w:rsidRDefault="00C45D5B" w:rsidP="00C45D5B">
      <w:pPr>
        <w:pStyle w:val="Nadpis3"/>
        <w:spacing w:after="120"/>
        <w:rPr>
          <w:color w:val="2C9ADC" w:themeColor="accent1"/>
          <w:sz w:val="24"/>
          <w:szCs w:val="24"/>
        </w:rPr>
      </w:pPr>
      <w:bookmarkStart w:id="300" w:name="_Ref6313784"/>
      <w:r>
        <w:rPr>
          <w:color w:val="2C9ADC" w:themeColor="accent1"/>
          <w:sz w:val="24"/>
          <w:szCs w:val="24"/>
        </w:rPr>
        <w:t>Príloha 5</w:t>
      </w:r>
      <w:r w:rsidRPr="002E3C66">
        <w:rPr>
          <w:color w:val="2C9ADC" w:themeColor="accent1"/>
          <w:sz w:val="24"/>
          <w:szCs w:val="24"/>
        </w:rPr>
        <w:t xml:space="preserve"> – Predpoklady pre výpočet indikátorov udržateľnosti</w:t>
      </w:r>
      <w:bookmarkEnd w:id="300"/>
    </w:p>
    <w:p w14:paraId="5D12777C" w14:textId="77777777" w:rsidR="00C45D5B" w:rsidRPr="001C6D2F" w:rsidRDefault="00C45D5B" w:rsidP="00C45D5B">
      <w:pPr>
        <w:spacing w:after="240"/>
        <w:jc w:val="both"/>
      </w:pPr>
      <w:r w:rsidRPr="001C6D2F">
        <w:t xml:space="preserve">MF SR pri analyzovaní strednodobej a dlhodobej udržateľnosti pracovalo s aktuálnymi údajmi z očakávanej skutočnosti v Programe stability na roky 2022 až 2025 (pre odhad salda VS a dlhu VS vo východiskovom roku 2022) a s poslednou aktualizáciou projekcií výdavkov citlivých na starnutie pre rok 2021. MF SR zahŕňa do projekcií </w:t>
      </w:r>
      <w:r w:rsidRPr="001C6D2F" w:rsidDel="00AC4D56">
        <w:t>vplyv II. piliera nielen na výdavkovej, ale aj príjmovej strane.</w:t>
      </w:r>
      <w:r w:rsidRPr="001C6D2F">
        <w:rPr>
          <w:rStyle w:val="Odkaznapoznmkupodiarou"/>
          <w:lang w:val="sk-SK"/>
        </w:rPr>
        <w:footnoteReference w:id="88"/>
      </w:r>
      <w:r w:rsidRPr="001C6D2F">
        <w:t xml:space="preserve"> </w:t>
      </w:r>
      <w:r w:rsidRPr="001C6D2F">
        <w:rPr>
          <w:iCs/>
        </w:rPr>
        <w:t>Predpoklady výpočtu a analytický rozbor príspevkov jednotlivých faktorov k výsledným hodnotám S1 a S2 sú uvedené v tabuľkách nižšie.</w:t>
      </w:r>
    </w:p>
    <w:tbl>
      <w:tblPr>
        <w:tblW w:w="8994" w:type="dxa"/>
        <w:tblLayout w:type="fixed"/>
        <w:tblCellMar>
          <w:left w:w="70" w:type="dxa"/>
          <w:right w:w="70" w:type="dxa"/>
        </w:tblCellMar>
        <w:tblLook w:val="04A0" w:firstRow="1" w:lastRow="0" w:firstColumn="1" w:lastColumn="0" w:noHBand="0" w:noVBand="1"/>
      </w:tblPr>
      <w:tblGrid>
        <w:gridCol w:w="1371"/>
        <w:gridCol w:w="747"/>
        <w:gridCol w:w="748"/>
        <w:gridCol w:w="498"/>
        <w:gridCol w:w="1461"/>
        <w:gridCol w:w="780"/>
        <w:gridCol w:w="428"/>
        <w:gridCol w:w="991"/>
        <w:gridCol w:w="985"/>
        <w:gridCol w:w="985"/>
      </w:tblGrid>
      <w:tr w:rsidR="00C45D5B" w:rsidRPr="00003A3F" w14:paraId="6C0E66BA" w14:textId="77777777" w:rsidTr="00CF774B">
        <w:trPr>
          <w:trHeight w:val="105"/>
        </w:trPr>
        <w:tc>
          <w:tcPr>
            <w:tcW w:w="7024" w:type="dxa"/>
            <w:gridSpan w:val="8"/>
            <w:tcBorders>
              <w:top w:val="nil"/>
              <w:left w:val="nil"/>
              <w:bottom w:val="single" w:sz="8" w:space="0" w:color="auto"/>
              <w:right w:val="nil"/>
            </w:tcBorders>
            <w:shd w:val="clear" w:color="auto" w:fill="auto"/>
            <w:noWrap/>
            <w:vAlign w:val="center"/>
            <w:hideMark/>
          </w:tcPr>
          <w:p w14:paraId="287EC22A" w14:textId="37B1C329" w:rsidR="00C45D5B" w:rsidRPr="00003A3F" w:rsidRDefault="00C45D5B" w:rsidP="00CF774B">
            <w:pPr>
              <w:pStyle w:val="Popis"/>
              <w:keepNext/>
              <w:spacing w:after="0"/>
              <w:rPr>
                <w:sz w:val="20"/>
                <w:szCs w:val="20"/>
              </w:rPr>
            </w:pPr>
            <w:bookmarkStart w:id="301" w:name="_Toc449430180"/>
            <w:bookmarkStart w:id="302" w:name="_Toc40186696"/>
            <w:bookmarkStart w:id="303" w:name="_Toc71622479"/>
            <w:bookmarkStart w:id="304" w:name="_Toc101880720"/>
            <w:r w:rsidRPr="00003A3F">
              <w:rPr>
                <w:rFonts w:eastAsiaTheme="minorHAnsi"/>
                <w:color w:val="2C9ADC"/>
                <w:sz w:val="20"/>
                <w:szCs w:val="20"/>
                <w:lang w:eastAsia="en-US"/>
              </w:rPr>
              <w:t xml:space="preserve">TABUĽKA </w:t>
            </w:r>
            <w:r w:rsidRPr="00003A3F">
              <w:rPr>
                <w:rFonts w:eastAsiaTheme="minorHAnsi"/>
                <w:color w:val="2C9ADC"/>
                <w:sz w:val="20"/>
                <w:szCs w:val="20"/>
                <w:lang w:eastAsia="en-US"/>
              </w:rPr>
              <w:fldChar w:fldCharType="begin"/>
            </w:r>
            <w:r w:rsidRPr="00003A3F">
              <w:rPr>
                <w:rFonts w:eastAsiaTheme="minorHAnsi"/>
                <w:color w:val="2C9ADC"/>
                <w:sz w:val="20"/>
                <w:szCs w:val="20"/>
                <w:lang w:eastAsia="en-US"/>
              </w:rPr>
              <w:instrText xml:space="preserve"> SEQ TABUĽKA \* ARABIC </w:instrText>
            </w:r>
            <w:r w:rsidRPr="00003A3F">
              <w:rPr>
                <w:rFonts w:eastAsiaTheme="minorHAnsi"/>
                <w:color w:val="2C9ADC"/>
                <w:sz w:val="20"/>
                <w:szCs w:val="20"/>
                <w:lang w:eastAsia="en-US"/>
              </w:rPr>
              <w:fldChar w:fldCharType="separate"/>
            </w:r>
            <w:r w:rsidR="005D3280">
              <w:rPr>
                <w:rFonts w:eastAsiaTheme="minorHAnsi"/>
                <w:noProof/>
                <w:color w:val="2C9ADC"/>
                <w:sz w:val="20"/>
                <w:szCs w:val="20"/>
                <w:lang w:eastAsia="en-US"/>
              </w:rPr>
              <w:t>41</w:t>
            </w:r>
            <w:r w:rsidRPr="00003A3F">
              <w:rPr>
                <w:rFonts w:eastAsiaTheme="minorHAnsi"/>
                <w:color w:val="2C9ADC"/>
                <w:sz w:val="20"/>
                <w:szCs w:val="20"/>
                <w:lang w:eastAsia="en-US"/>
              </w:rPr>
              <w:fldChar w:fldCharType="end"/>
            </w:r>
            <w:r w:rsidRPr="00003A3F">
              <w:rPr>
                <w:sz w:val="20"/>
                <w:szCs w:val="20"/>
              </w:rPr>
              <w:t xml:space="preserve"> </w:t>
            </w:r>
            <w:r w:rsidRPr="00003A3F">
              <w:rPr>
                <w:rFonts w:eastAsiaTheme="minorHAnsi"/>
                <w:b w:val="0"/>
                <w:color w:val="2C9ADC"/>
                <w:sz w:val="20"/>
                <w:szCs w:val="20"/>
                <w:lang w:eastAsia="en-US"/>
              </w:rPr>
              <w:t>–</w:t>
            </w:r>
            <w:r w:rsidRPr="00003A3F">
              <w:rPr>
                <w:sz w:val="20"/>
                <w:szCs w:val="20"/>
              </w:rPr>
              <w:t xml:space="preserve"> Predpoklady MF SR pre výpočet indikátora udržateľnosti S</w:t>
            </w:r>
            <w:bookmarkEnd w:id="301"/>
            <w:r w:rsidRPr="00003A3F">
              <w:rPr>
                <w:sz w:val="20"/>
                <w:szCs w:val="20"/>
              </w:rPr>
              <w:t>1</w:t>
            </w:r>
            <w:bookmarkEnd w:id="302"/>
            <w:bookmarkEnd w:id="303"/>
            <w:bookmarkEnd w:id="304"/>
          </w:p>
        </w:tc>
        <w:tc>
          <w:tcPr>
            <w:tcW w:w="985" w:type="dxa"/>
            <w:tcBorders>
              <w:top w:val="nil"/>
              <w:left w:val="nil"/>
              <w:bottom w:val="single" w:sz="8" w:space="0" w:color="auto"/>
              <w:right w:val="nil"/>
            </w:tcBorders>
          </w:tcPr>
          <w:p w14:paraId="21EB913D" w14:textId="77777777" w:rsidR="00C45D5B" w:rsidRPr="00003A3F" w:rsidRDefault="00C45D5B" w:rsidP="00CF774B">
            <w:pPr>
              <w:pStyle w:val="Popis"/>
              <w:keepNext/>
              <w:spacing w:after="0"/>
              <w:rPr>
                <w:sz w:val="20"/>
                <w:szCs w:val="20"/>
              </w:rPr>
            </w:pPr>
          </w:p>
        </w:tc>
        <w:tc>
          <w:tcPr>
            <w:tcW w:w="985" w:type="dxa"/>
            <w:tcBorders>
              <w:top w:val="nil"/>
              <w:left w:val="nil"/>
              <w:bottom w:val="single" w:sz="8" w:space="0" w:color="auto"/>
              <w:right w:val="nil"/>
            </w:tcBorders>
          </w:tcPr>
          <w:p w14:paraId="652F8BAD" w14:textId="77777777" w:rsidR="00C45D5B" w:rsidRPr="00003A3F" w:rsidRDefault="00C45D5B" w:rsidP="00CF774B">
            <w:pPr>
              <w:pStyle w:val="Popis"/>
              <w:keepNext/>
              <w:spacing w:after="0"/>
              <w:rPr>
                <w:sz w:val="20"/>
                <w:szCs w:val="20"/>
              </w:rPr>
            </w:pPr>
          </w:p>
        </w:tc>
      </w:tr>
      <w:tr w:rsidR="00C45D5B" w:rsidRPr="00003A3F" w14:paraId="5133C044" w14:textId="77777777" w:rsidTr="00CF774B">
        <w:trPr>
          <w:trHeight w:val="100"/>
        </w:trPr>
        <w:tc>
          <w:tcPr>
            <w:tcW w:w="1371" w:type="dxa"/>
            <w:tcBorders>
              <w:top w:val="nil"/>
              <w:left w:val="nil"/>
              <w:bottom w:val="single" w:sz="8" w:space="0" w:color="auto"/>
              <w:right w:val="nil"/>
            </w:tcBorders>
            <w:shd w:val="clear" w:color="auto" w:fill="auto"/>
            <w:noWrap/>
            <w:vAlign w:val="center"/>
            <w:hideMark/>
          </w:tcPr>
          <w:p w14:paraId="7F87E993" w14:textId="77777777" w:rsidR="00C45D5B" w:rsidRPr="00003A3F" w:rsidRDefault="00C45D5B" w:rsidP="00CF774B">
            <w:pPr>
              <w:jc w:val="center"/>
              <w:rPr>
                <w:rFonts w:cs="Times New Roman"/>
                <w:b/>
                <w:bCs/>
                <w:color w:val="000000"/>
                <w:sz w:val="18"/>
                <w:szCs w:val="18"/>
              </w:rPr>
            </w:pPr>
            <w:r w:rsidRPr="00003A3F">
              <w:rPr>
                <w:rFonts w:cs="Times New Roman"/>
                <w:b/>
                <w:bCs/>
                <w:color w:val="000000"/>
                <w:sz w:val="18"/>
                <w:szCs w:val="18"/>
              </w:rPr>
              <w:t> </w:t>
            </w:r>
          </w:p>
        </w:tc>
        <w:tc>
          <w:tcPr>
            <w:tcW w:w="747" w:type="dxa"/>
            <w:tcBorders>
              <w:top w:val="nil"/>
              <w:left w:val="nil"/>
              <w:bottom w:val="single" w:sz="8" w:space="0" w:color="auto"/>
              <w:right w:val="nil"/>
            </w:tcBorders>
            <w:shd w:val="clear" w:color="auto" w:fill="auto"/>
            <w:noWrap/>
            <w:vAlign w:val="center"/>
            <w:hideMark/>
          </w:tcPr>
          <w:p w14:paraId="1C189DEC"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Východiskový rok (t</w:t>
            </w:r>
            <w:r w:rsidRPr="00003A3F">
              <w:rPr>
                <w:rFonts w:cs="Times New Roman"/>
                <w:b/>
                <w:bCs/>
                <w:color w:val="000000"/>
                <w:sz w:val="16"/>
                <w:szCs w:val="16"/>
                <w:vertAlign w:val="subscript"/>
              </w:rPr>
              <w:t>0</w:t>
            </w:r>
            <w:r w:rsidRPr="00003A3F">
              <w:rPr>
                <w:rFonts w:cs="Times New Roman"/>
                <w:b/>
                <w:bCs/>
                <w:color w:val="000000"/>
                <w:sz w:val="16"/>
                <w:szCs w:val="16"/>
              </w:rPr>
              <w:t>)</w:t>
            </w:r>
          </w:p>
        </w:tc>
        <w:tc>
          <w:tcPr>
            <w:tcW w:w="748" w:type="dxa"/>
            <w:tcBorders>
              <w:top w:val="nil"/>
              <w:left w:val="nil"/>
              <w:bottom w:val="single" w:sz="8" w:space="0" w:color="auto"/>
              <w:right w:val="nil"/>
            </w:tcBorders>
            <w:shd w:val="clear" w:color="auto" w:fill="auto"/>
            <w:noWrap/>
            <w:vAlign w:val="center"/>
            <w:hideMark/>
          </w:tcPr>
          <w:p w14:paraId="776F2166"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Štrukturálne primárne saldo</w:t>
            </w:r>
          </w:p>
        </w:tc>
        <w:tc>
          <w:tcPr>
            <w:tcW w:w="498" w:type="dxa"/>
            <w:tcBorders>
              <w:top w:val="nil"/>
              <w:left w:val="nil"/>
              <w:bottom w:val="single" w:sz="8" w:space="0" w:color="auto"/>
              <w:right w:val="nil"/>
            </w:tcBorders>
            <w:shd w:val="clear" w:color="auto" w:fill="auto"/>
            <w:noWrap/>
            <w:vAlign w:val="center"/>
            <w:hideMark/>
          </w:tcPr>
          <w:p w14:paraId="7D614EDF"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DLH (t</w:t>
            </w:r>
            <w:r w:rsidRPr="00003A3F">
              <w:rPr>
                <w:rFonts w:cs="Times New Roman"/>
                <w:b/>
                <w:bCs/>
                <w:color w:val="000000"/>
                <w:sz w:val="16"/>
                <w:szCs w:val="16"/>
                <w:vertAlign w:val="subscript"/>
              </w:rPr>
              <w:t>0</w:t>
            </w:r>
            <w:r w:rsidRPr="00003A3F">
              <w:rPr>
                <w:rFonts w:cs="Times New Roman"/>
                <w:b/>
                <w:bCs/>
                <w:color w:val="000000"/>
                <w:sz w:val="16"/>
                <w:szCs w:val="16"/>
              </w:rPr>
              <w:t>)</w:t>
            </w:r>
          </w:p>
        </w:tc>
        <w:tc>
          <w:tcPr>
            <w:tcW w:w="1461" w:type="dxa"/>
            <w:tcBorders>
              <w:top w:val="nil"/>
              <w:left w:val="nil"/>
              <w:bottom w:val="single" w:sz="8" w:space="0" w:color="auto"/>
              <w:right w:val="nil"/>
            </w:tcBorders>
            <w:shd w:val="clear" w:color="auto" w:fill="auto"/>
            <w:noWrap/>
            <w:vAlign w:val="center"/>
            <w:hideMark/>
          </w:tcPr>
          <w:p w14:paraId="191BB4EE"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Postupná konsolidácia*</w:t>
            </w:r>
          </w:p>
        </w:tc>
        <w:tc>
          <w:tcPr>
            <w:tcW w:w="780" w:type="dxa"/>
            <w:tcBorders>
              <w:top w:val="nil"/>
              <w:left w:val="nil"/>
              <w:bottom w:val="single" w:sz="8" w:space="0" w:color="auto"/>
              <w:right w:val="nil"/>
            </w:tcBorders>
            <w:shd w:val="clear" w:color="auto" w:fill="auto"/>
            <w:noWrap/>
            <w:vAlign w:val="center"/>
            <w:hideMark/>
          </w:tcPr>
          <w:p w14:paraId="56F8C1F0"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Koncový rok (t</w:t>
            </w:r>
            <w:r w:rsidRPr="00003A3F">
              <w:rPr>
                <w:rFonts w:cs="Times New Roman"/>
                <w:b/>
                <w:bCs/>
                <w:color w:val="000000"/>
                <w:sz w:val="16"/>
                <w:szCs w:val="16"/>
                <w:vertAlign w:val="subscript"/>
              </w:rPr>
              <w:t>1</w:t>
            </w:r>
            <w:r w:rsidRPr="00003A3F">
              <w:rPr>
                <w:rFonts w:cs="Times New Roman"/>
                <w:b/>
                <w:bCs/>
                <w:color w:val="000000"/>
                <w:sz w:val="16"/>
                <w:szCs w:val="16"/>
              </w:rPr>
              <w:t>)</w:t>
            </w:r>
          </w:p>
        </w:tc>
        <w:tc>
          <w:tcPr>
            <w:tcW w:w="428" w:type="dxa"/>
            <w:tcBorders>
              <w:top w:val="nil"/>
              <w:left w:val="nil"/>
              <w:bottom w:val="single" w:sz="8" w:space="0" w:color="auto"/>
              <w:right w:val="nil"/>
            </w:tcBorders>
            <w:shd w:val="clear" w:color="auto" w:fill="auto"/>
            <w:noWrap/>
            <w:vAlign w:val="center"/>
            <w:hideMark/>
          </w:tcPr>
          <w:p w14:paraId="2034E5DD"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DLH (t</w:t>
            </w:r>
            <w:r w:rsidRPr="00003A3F">
              <w:rPr>
                <w:rFonts w:cs="Times New Roman"/>
                <w:b/>
                <w:bCs/>
                <w:color w:val="000000"/>
                <w:sz w:val="16"/>
                <w:szCs w:val="16"/>
                <w:vertAlign w:val="subscript"/>
              </w:rPr>
              <w:t>1</w:t>
            </w:r>
            <w:r w:rsidRPr="00003A3F">
              <w:rPr>
                <w:rFonts w:cs="Times New Roman"/>
                <w:b/>
                <w:bCs/>
                <w:color w:val="000000"/>
                <w:sz w:val="16"/>
                <w:szCs w:val="16"/>
              </w:rPr>
              <w:t>)</w:t>
            </w:r>
          </w:p>
        </w:tc>
        <w:tc>
          <w:tcPr>
            <w:tcW w:w="991" w:type="dxa"/>
            <w:tcBorders>
              <w:top w:val="nil"/>
              <w:left w:val="nil"/>
              <w:bottom w:val="single" w:sz="8" w:space="0" w:color="auto"/>
              <w:right w:val="single" w:sz="4" w:space="0" w:color="auto"/>
            </w:tcBorders>
            <w:shd w:val="clear" w:color="auto" w:fill="auto"/>
            <w:vAlign w:val="center"/>
          </w:tcPr>
          <w:p w14:paraId="28630250"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Vplyv II. piliera na P a V strane</w:t>
            </w:r>
          </w:p>
        </w:tc>
        <w:tc>
          <w:tcPr>
            <w:tcW w:w="985" w:type="dxa"/>
            <w:tcBorders>
              <w:top w:val="nil"/>
              <w:left w:val="single" w:sz="4" w:space="0" w:color="auto"/>
              <w:bottom w:val="single" w:sz="8" w:space="0" w:color="auto"/>
              <w:right w:val="nil"/>
            </w:tcBorders>
            <w:vAlign w:val="center"/>
          </w:tcPr>
          <w:p w14:paraId="795C8549"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Výsledná Hodnota S1</w:t>
            </w:r>
          </w:p>
        </w:tc>
        <w:tc>
          <w:tcPr>
            <w:tcW w:w="985" w:type="dxa"/>
            <w:tcBorders>
              <w:top w:val="nil"/>
              <w:left w:val="nil"/>
              <w:bottom w:val="single" w:sz="8" w:space="0" w:color="auto"/>
              <w:right w:val="nil"/>
            </w:tcBorders>
            <w:vAlign w:val="center"/>
          </w:tcPr>
          <w:p w14:paraId="6D7233A2" w14:textId="77777777" w:rsidR="00C45D5B" w:rsidRPr="00003A3F" w:rsidRDefault="00C45D5B" w:rsidP="00CF774B">
            <w:pPr>
              <w:jc w:val="center"/>
              <w:rPr>
                <w:rFonts w:cs="Times New Roman"/>
                <w:b/>
                <w:bCs/>
                <w:color w:val="000000"/>
                <w:sz w:val="16"/>
                <w:szCs w:val="16"/>
              </w:rPr>
            </w:pPr>
            <w:r w:rsidRPr="00003A3F">
              <w:rPr>
                <w:rFonts w:cs="Times New Roman"/>
                <w:b/>
                <w:bCs/>
                <w:color w:val="000000"/>
                <w:sz w:val="16"/>
                <w:szCs w:val="16"/>
              </w:rPr>
              <w:t>Riziko udržateľnosti</w:t>
            </w:r>
          </w:p>
        </w:tc>
      </w:tr>
      <w:tr w:rsidR="00C45D5B" w:rsidRPr="00003A3F" w14:paraId="1910AC28" w14:textId="77777777" w:rsidTr="00CF774B">
        <w:trPr>
          <w:trHeight w:val="114"/>
        </w:trPr>
        <w:tc>
          <w:tcPr>
            <w:tcW w:w="1371" w:type="dxa"/>
            <w:tcBorders>
              <w:top w:val="nil"/>
              <w:left w:val="nil"/>
              <w:right w:val="nil"/>
            </w:tcBorders>
            <w:shd w:val="clear" w:color="auto" w:fill="auto"/>
            <w:noWrap/>
            <w:vAlign w:val="center"/>
            <w:hideMark/>
          </w:tcPr>
          <w:p w14:paraId="4963D8A1" w14:textId="77777777" w:rsidR="00C45D5B" w:rsidRPr="00003A3F" w:rsidRDefault="00C45D5B" w:rsidP="00CF774B">
            <w:pPr>
              <w:rPr>
                <w:rFonts w:cs="Times New Roman"/>
                <w:b/>
                <w:sz w:val="18"/>
                <w:szCs w:val="18"/>
              </w:rPr>
            </w:pPr>
            <w:r w:rsidRPr="00003A3F">
              <w:rPr>
                <w:rFonts w:cs="Times New Roman"/>
                <w:b/>
                <w:sz w:val="18"/>
                <w:szCs w:val="18"/>
              </w:rPr>
              <w:t>OS 2022</w:t>
            </w:r>
          </w:p>
        </w:tc>
        <w:tc>
          <w:tcPr>
            <w:tcW w:w="747" w:type="dxa"/>
            <w:tcBorders>
              <w:top w:val="nil"/>
              <w:left w:val="nil"/>
              <w:right w:val="nil"/>
            </w:tcBorders>
            <w:shd w:val="clear" w:color="auto" w:fill="auto"/>
            <w:noWrap/>
            <w:vAlign w:val="center"/>
            <w:hideMark/>
          </w:tcPr>
          <w:p w14:paraId="167A6FDC" w14:textId="77777777" w:rsidR="00C45D5B" w:rsidRPr="00003A3F" w:rsidRDefault="00C45D5B" w:rsidP="00CF774B">
            <w:pPr>
              <w:jc w:val="center"/>
              <w:rPr>
                <w:rFonts w:cs="Times New Roman"/>
                <w:sz w:val="18"/>
                <w:szCs w:val="18"/>
              </w:rPr>
            </w:pPr>
            <w:r w:rsidRPr="00003A3F">
              <w:rPr>
                <w:rFonts w:cs="Times New Roman"/>
                <w:sz w:val="18"/>
                <w:szCs w:val="18"/>
              </w:rPr>
              <w:t>2022</w:t>
            </w:r>
          </w:p>
        </w:tc>
        <w:tc>
          <w:tcPr>
            <w:tcW w:w="748" w:type="dxa"/>
            <w:tcBorders>
              <w:top w:val="nil"/>
              <w:left w:val="nil"/>
              <w:right w:val="nil"/>
            </w:tcBorders>
            <w:shd w:val="clear" w:color="auto" w:fill="auto"/>
            <w:noWrap/>
            <w:vAlign w:val="center"/>
            <w:hideMark/>
          </w:tcPr>
          <w:p w14:paraId="7221F674" w14:textId="77777777" w:rsidR="00C45D5B" w:rsidRPr="00003A3F" w:rsidRDefault="00C45D5B" w:rsidP="00CF774B">
            <w:pPr>
              <w:jc w:val="center"/>
              <w:rPr>
                <w:rFonts w:cs="Times New Roman"/>
                <w:sz w:val="18"/>
                <w:szCs w:val="18"/>
              </w:rPr>
            </w:pPr>
            <w:r w:rsidRPr="00003A3F">
              <w:rPr>
                <w:rFonts w:cs="Times New Roman"/>
                <w:sz w:val="18"/>
                <w:szCs w:val="18"/>
              </w:rPr>
              <w:t>-2,9</w:t>
            </w:r>
          </w:p>
        </w:tc>
        <w:tc>
          <w:tcPr>
            <w:tcW w:w="498" w:type="dxa"/>
            <w:tcBorders>
              <w:top w:val="nil"/>
              <w:left w:val="nil"/>
              <w:right w:val="nil"/>
            </w:tcBorders>
            <w:shd w:val="clear" w:color="auto" w:fill="auto"/>
            <w:noWrap/>
            <w:vAlign w:val="center"/>
            <w:hideMark/>
          </w:tcPr>
          <w:p w14:paraId="1BF8AE70" w14:textId="77777777" w:rsidR="00C45D5B" w:rsidRPr="00003A3F" w:rsidRDefault="00C45D5B" w:rsidP="00CF774B">
            <w:pPr>
              <w:jc w:val="center"/>
              <w:rPr>
                <w:rFonts w:cs="Times New Roman"/>
                <w:sz w:val="18"/>
                <w:szCs w:val="18"/>
              </w:rPr>
            </w:pPr>
            <w:r w:rsidRPr="00003A3F">
              <w:rPr>
                <w:rFonts w:cs="Times New Roman"/>
                <w:sz w:val="18"/>
                <w:szCs w:val="18"/>
              </w:rPr>
              <w:t>61,6</w:t>
            </w:r>
          </w:p>
        </w:tc>
        <w:tc>
          <w:tcPr>
            <w:tcW w:w="1461" w:type="dxa"/>
            <w:tcBorders>
              <w:top w:val="nil"/>
              <w:left w:val="nil"/>
              <w:right w:val="nil"/>
            </w:tcBorders>
            <w:shd w:val="clear" w:color="auto" w:fill="auto"/>
            <w:noWrap/>
            <w:vAlign w:val="center"/>
            <w:hideMark/>
          </w:tcPr>
          <w:p w14:paraId="2E48C08D" w14:textId="77777777" w:rsidR="00C45D5B" w:rsidRPr="00003A3F" w:rsidRDefault="00C45D5B" w:rsidP="00CF774B">
            <w:pPr>
              <w:jc w:val="center"/>
              <w:rPr>
                <w:rFonts w:cs="Times New Roman"/>
                <w:sz w:val="18"/>
                <w:szCs w:val="18"/>
              </w:rPr>
            </w:pPr>
            <w:r w:rsidRPr="00003A3F">
              <w:rPr>
                <w:rFonts w:cs="Times New Roman"/>
                <w:sz w:val="18"/>
                <w:szCs w:val="18"/>
              </w:rPr>
              <w:t>2023 až 2027</w:t>
            </w:r>
          </w:p>
        </w:tc>
        <w:tc>
          <w:tcPr>
            <w:tcW w:w="780" w:type="dxa"/>
            <w:tcBorders>
              <w:top w:val="nil"/>
              <w:left w:val="nil"/>
              <w:right w:val="nil"/>
            </w:tcBorders>
            <w:shd w:val="clear" w:color="auto" w:fill="auto"/>
            <w:noWrap/>
            <w:vAlign w:val="center"/>
            <w:hideMark/>
          </w:tcPr>
          <w:p w14:paraId="380FAE1A" w14:textId="77777777" w:rsidR="00C45D5B" w:rsidRPr="00003A3F" w:rsidRDefault="00C45D5B" w:rsidP="00CF774B">
            <w:pPr>
              <w:jc w:val="center"/>
              <w:rPr>
                <w:rFonts w:cs="Times New Roman"/>
                <w:sz w:val="18"/>
                <w:szCs w:val="18"/>
              </w:rPr>
            </w:pPr>
            <w:r w:rsidRPr="00003A3F">
              <w:rPr>
                <w:rFonts w:cs="Times New Roman"/>
                <w:sz w:val="18"/>
                <w:szCs w:val="18"/>
              </w:rPr>
              <w:t>2035</w:t>
            </w:r>
          </w:p>
        </w:tc>
        <w:tc>
          <w:tcPr>
            <w:tcW w:w="428" w:type="dxa"/>
            <w:tcBorders>
              <w:top w:val="nil"/>
              <w:left w:val="nil"/>
              <w:right w:val="nil"/>
            </w:tcBorders>
            <w:shd w:val="clear" w:color="auto" w:fill="auto"/>
            <w:noWrap/>
            <w:vAlign w:val="center"/>
            <w:hideMark/>
          </w:tcPr>
          <w:p w14:paraId="4C96DCDB" w14:textId="77777777" w:rsidR="00C45D5B" w:rsidRPr="00003A3F" w:rsidRDefault="00C45D5B" w:rsidP="00CF774B">
            <w:pPr>
              <w:jc w:val="center"/>
              <w:rPr>
                <w:rFonts w:cs="Times New Roman"/>
                <w:sz w:val="18"/>
                <w:szCs w:val="18"/>
              </w:rPr>
            </w:pPr>
            <w:r w:rsidRPr="00003A3F">
              <w:rPr>
                <w:rFonts w:cs="Times New Roman"/>
                <w:sz w:val="18"/>
                <w:szCs w:val="18"/>
              </w:rPr>
              <w:t>60</w:t>
            </w:r>
          </w:p>
        </w:tc>
        <w:tc>
          <w:tcPr>
            <w:tcW w:w="991" w:type="dxa"/>
            <w:tcBorders>
              <w:top w:val="nil"/>
              <w:left w:val="nil"/>
              <w:right w:val="single" w:sz="4" w:space="0" w:color="auto"/>
            </w:tcBorders>
            <w:shd w:val="clear" w:color="auto" w:fill="auto"/>
            <w:vAlign w:val="center"/>
          </w:tcPr>
          <w:p w14:paraId="52A3AD5A" w14:textId="77777777" w:rsidR="00C45D5B" w:rsidRPr="00003A3F" w:rsidRDefault="00C45D5B" w:rsidP="00CF774B">
            <w:pPr>
              <w:jc w:val="center"/>
              <w:rPr>
                <w:rFonts w:cs="Times New Roman"/>
                <w:b/>
                <w:sz w:val="18"/>
                <w:szCs w:val="18"/>
              </w:rPr>
            </w:pPr>
            <w:r w:rsidRPr="00003A3F">
              <w:rPr>
                <w:rFonts w:cs="Times New Roman"/>
                <w:b/>
                <w:sz w:val="18"/>
                <w:szCs w:val="18"/>
              </w:rPr>
              <w:t>áno</w:t>
            </w:r>
          </w:p>
        </w:tc>
        <w:tc>
          <w:tcPr>
            <w:tcW w:w="985" w:type="dxa"/>
            <w:tcBorders>
              <w:top w:val="nil"/>
              <w:left w:val="single" w:sz="4" w:space="0" w:color="auto"/>
              <w:right w:val="nil"/>
            </w:tcBorders>
            <w:shd w:val="clear" w:color="auto" w:fill="F9C9BA" w:themeFill="accent6"/>
            <w:vAlign w:val="center"/>
          </w:tcPr>
          <w:p w14:paraId="6C3E2FD5" w14:textId="77777777" w:rsidR="00C45D5B" w:rsidRPr="00003A3F" w:rsidRDefault="00C45D5B" w:rsidP="00CF774B">
            <w:pPr>
              <w:jc w:val="center"/>
              <w:rPr>
                <w:rFonts w:cs="Times New Roman"/>
                <w:b/>
                <w:sz w:val="18"/>
                <w:szCs w:val="18"/>
              </w:rPr>
            </w:pPr>
            <w:r w:rsidRPr="00003A3F">
              <w:rPr>
                <w:rFonts w:cs="Times New Roman"/>
                <w:b/>
                <w:sz w:val="18"/>
                <w:szCs w:val="18"/>
              </w:rPr>
              <w:t>3,4</w:t>
            </w:r>
          </w:p>
        </w:tc>
        <w:tc>
          <w:tcPr>
            <w:tcW w:w="985" w:type="dxa"/>
            <w:tcBorders>
              <w:top w:val="nil"/>
              <w:left w:val="nil"/>
              <w:right w:val="nil"/>
            </w:tcBorders>
            <w:shd w:val="clear" w:color="auto" w:fill="F9C9BA" w:themeFill="accent6"/>
            <w:vAlign w:val="center"/>
          </w:tcPr>
          <w:p w14:paraId="28BDEBED" w14:textId="77777777" w:rsidR="00C45D5B" w:rsidRPr="00003A3F" w:rsidRDefault="00C45D5B" w:rsidP="00CF774B">
            <w:pPr>
              <w:jc w:val="center"/>
              <w:rPr>
                <w:rFonts w:cs="Times New Roman"/>
                <w:b/>
                <w:sz w:val="18"/>
                <w:szCs w:val="18"/>
              </w:rPr>
            </w:pPr>
            <w:r w:rsidRPr="00003A3F">
              <w:rPr>
                <w:rFonts w:cs="Times New Roman"/>
                <w:b/>
                <w:sz w:val="18"/>
                <w:szCs w:val="18"/>
              </w:rPr>
              <w:t>vysoké</w:t>
            </w:r>
          </w:p>
        </w:tc>
      </w:tr>
      <w:tr w:rsidR="00C45D5B" w:rsidRPr="00003A3F" w14:paraId="0C7EDB55" w14:textId="77777777" w:rsidTr="00CF774B">
        <w:trPr>
          <w:trHeight w:val="295"/>
        </w:trPr>
        <w:tc>
          <w:tcPr>
            <w:tcW w:w="1371" w:type="dxa"/>
            <w:tcBorders>
              <w:top w:val="nil"/>
              <w:left w:val="nil"/>
              <w:bottom w:val="single" w:sz="4" w:space="0" w:color="auto"/>
              <w:right w:val="nil"/>
            </w:tcBorders>
            <w:shd w:val="clear" w:color="auto" w:fill="auto"/>
            <w:noWrap/>
            <w:vAlign w:val="center"/>
          </w:tcPr>
          <w:p w14:paraId="2FA931D4" w14:textId="77777777" w:rsidR="00C45D5B" w:rsidRPr="00003A3F" w:rsidRDefault="00C45D5B" w:rsidP="00CF774B">
            <w:pPr>
              <w:rPr>
                <w:rFonts w:cs="Times New Roman"/>
                <w:b/>
                <w:sz w:val="18"/>
                <w:szCs w:val="18"/>
              </w:rPr>
            </w:pPr>
            <w:r w:rsidRPr="00003A3F">
              <w:rPr>
                <w:rFonts w:cs="Times New Roman"/>
                <w:b/>
                <w:sz w:val="18"/>
                <w:szCs w:val="18"/>
              </w:rPr>
              <w:t>R 2023</w:t>
            </w:r>
            <w:r>
              <w:rPr>
                <w:rFonts w:cs="Times New Roman"/>
                <w:b/>
                <w:sz w:val="18"/>
                <w:szCs w:val="18"/>
              </w:rPr>
              <w:t>-25</w:t>
            </w:r>
          </w:p>
        </w:tc>
        <w:tc>
          <w:tcPr>
            <w:tcW w:w="747" w:type="dxa"/>
            <w:tcBorders>
              <w:top w:val="nil"/>
              <w:left w:val="nil"/>
              <w:bottom w:val="single" w:sz="4" w:space="0" w:color="auto"/>
              <w:right w:val="nil"/>
            </w:tcBorders>
            <w:shd w:val="clear" w:color="auto" w:fill="auto"/>
            <w:noWrap/>
            <w:vAlign w:val="center"/>
          </w:tcPr>
          <w:p w14:paraId="08E96DCE" w14:textId="77777777" w:rsidR="00C45D5B" w:rsidRPr="00003A3F" w:rsidRDefault="00C45D5B" w:rsidP="00CF774B">
            <w:pPr>
              <w:jc w:val="center"/>
              <w:rPr>
                <w:rFonts w:cs="Times New Roman"/>
                <w:sz w:val="18"/>
                <w:szCs w:val="18"/>
              </w:rPr>
            </w:pPr>
            <w:r w:rsidRPr="00003A3F">
              <w:rPr>
                <w:rFonts w:cs="Times New Roman"/>
                <w:sz w:val="18"/>
                <w:szCs w:val="18"/>
              </w:rPr>
              <w:t>2025</w:t>
            </w:r>
          </w:p>
        </w:tc>
        <w:tc>
          <w:tcPr>
            <w:tcW w:w="748" w:type="dxa"/>
            <w:tcBorders>
              <w:top w:val="nil"/>
              <w:left w:val="nil"/>
              <w:bottom w:val="single" w:sz="4" w:space="0" w:color="auto"/>
              <w:right w:val="nil"/>
            </w:tcBorders>
            <w:shd w:val="clear" w:color="auto" w:fill="auto"/>
            <w:noWrap/>
            <w:vAlign w:val="center"/>
          </w:tcPr>
          <w:p w14:paraId="7E263EDD" w14:textId="77777777" w:rsidR="00C45D5B" w:rsidRPr="00003A3F" w:rsidRDefault="00C45D5B" w:rsidP="00CF774B">
            <w:pPr>
              <w:jc w:val="center"/>
              <w:rPr>
                <w:rFonts w:cs="Times New Roman"/>
                <w:sz w:val="18"/>
                <w:szCs w:val="18"/>
              </w:rPr>
            </w:pPr>
            <w:r w:rsidRPr="00003A3F">
              <w:rPr>
                <w:rFonts w:cs="Times New Roman"/>
                <w:sz w:val="18"/>
                <w:szCs w:val="18"/>
              </w:rPr>
              <w:t>-1,1</w:t>
            </w:r>
          </w:p>
        </w:tc>
        <w:tc>
          <w:tcPr>
            <w:tcW w:w="498" w:type="dxa"/>
            <w:tcBorders>
              <w:top w:val="nil"/>
              <w:left w:val="nil"/>
              <w:bottom w:val="single" w:sz="4" w:space="0" w:color="auto"/>
              <w:right w:val="nil"/>
            </w:tcBorders>
            <w:shd w:val="clear" w:color="auto" w:fill="auto"/>
            <w:noWrap/>
            <w:vAlign w:val="center"/>
          </w:tcPr>
          <w:p w14:paraId="1C46ABFC" w14:textId="55079784" w:rsidR="00C45D5B" w:rsidRPr="00003A3F" w:rsidRDefault="00C45D5B" w:rsidP="001E6249">
            <w:pPr>
              <w:jc w:val="center"/>
              <w:rPr>
                <w:rFonts w:cs="Times New Roman"/>
                <w:sz w:val="18"/>
                <w:szCs w:val="18"/>
              </w:rPr>
            </w:pPr>
            <w:r w:rsidRPr="00003A3F">
              <w:rPr>
                <w:rFonts w:cs="Times New Roman"/>
                <w:sz w:val="18"/>
                <w:szCs w:val="18"/>
              </w:rPr>
              <w:t>5</w:t>
            </w:r>
            <w:r w:rsidR="001E6249">
              <w:rPr>
                <w:rFonts w:cs="Times New Roman"/>
                <w:sz w:val="18"/>
                <w:szCs w:val="18"/>
              </w:rPr>
              <w:t>4,1</w:t>
            </w:r>
          </w:p>
        </w:tc>
        <w:tc>
          <w:tcPr>
            <w:tcW w:w="1461" w:type="dxa"/>
            <w:tcBorders>
              <w:top w:val="nil"/>
              <w:left w:val="nil"/>
              <w:bottom w:val="single" w:sz="4" w:space="0" w:color="auto"/>
              <w:right w:val="nil"/>
            </w:tcBorders>
            <w:shd w:val="clear" w:color="auto" w:fill="auto"/>
            <w:noWrap/>
            <w:vAlign w:val="center"/>
          </w:tcPr>
          <w:p w14:paraId="5E409439" w14:textId="77777777" w:rsidR="00C45D5B" w:rsidRPr="00003A3F" w:rsidRDefault="00C45D5B" w:rsidP="00CF774B">
            <w:pPr>
              <w:jc w:val="center"/>
              <w:rPr>
                <w:rFonts w:cs="Times New Roman"/>
                <w:sz w:val="18"/>
                <w:szCs w:val="18"/>
              </w:rPr>
            </w:pPr>
            <w:r w:rsidRPr="00003A3F">
              <w:rPr>
                <w:rFonts w:cs="Times New Roman"/>
                <w:sz w:val="18"/>
                <w:szCs w:val="18"/>
              </w:rPr>
              <w:t>2026 až 2030</w:t>
            </w:r>
          </w:p>
        </w:tc>
        <w:tc>
          <w:tcPr>
            <w:tcW w:w="780" w:type="dxa"/>
            <w:tcBorders>
              <w:top w:val="nil"/>
              <w:left w:val="nil"/>
              <w:bottom w:val="single" w:sz="4" w:space="0" w:color="auto"/>
              <w:right w:val="nil"/>
            </w:tcBorders>
            <w:shd w:val="clear" w:color="auto" w:fill="auto"/>
            <w:noWrap/>
            <w:vAlign w:val="center"/>
          </w:tcPr>
          <w:p w14:paraId="6E8338F4" w14:textId="77777777" w:rsidR="00C45D5B" w:rsidRPr="00003A3F" w:rsidRDefault="00C45D5B" w:rsidP="00CF774B">
            <w:pPr>
              <w:jc w:val="center"/>
              <w:rPr>
                <w:rFonts w:cs="Times New Roman"/>
                <w:sz w:val="18"/>
                <w:szCs w:val="18"/>
              </w:rPr>
            </w:pPr>
            <w:r w:rsidRPr="00003A3F">
              <w:rPr>
                <w:rFonts w:cs="Times New Roman"/>
                <w:sz w:val="18"/>
                <w:szCs w:val="18"/>
              </w:rPr>
              <w:t>2038</w:t>
            </w:r>
          </w:p>
        </w:tc>
        <w:tc>
          <w:tcPr>
            <w:tcW w:w="428" w:type="dxa"/>
            <w:tcBorders>
              <w:top w:val="nil"/>
              <w:left w:val="nil"/>
              <w:bottom w:val="single" w:sz="4" w:space="0" w:color="auto"/>
              <w:right w:val="nil"/>
            </w:tcBorders>
            <w:shd w:val="clear" w:color="auto" w:fill="auto"/>
            <w:noWrap/>
            <w:vAlign w:val="center"/>
          </w:tcPr>
          <w:p w14:paraId="3B2CD836" w14:textId="77777777" w:rsidR="00C45D5B" w:rsidRPr="00003A3F" w:rsidRDefault="00C45D5B" w:rsidP="00CF774B">
            <w:pPr>
              <w:jc w:val="center"/>
              <w:rPr>
                <w:rFonts w:cs="Times New Roman"/>
                <w:sz w:val="18"/>
                <w:szCs w:val="18"/>
              </w:rPr>
            </w:pPr>
            <w:r w:rsidRPr="00003A3F">
              <w:rPr>
                <w:rFonts w:cs="Times New Roman"/>
                <w:sz w:val="18"/>
                <w:szCs w:val="18"/>
              </w:rPr>
              <w:t>60</w:t>
            </w:r>
          </w:p>
        </w:tc>
        <w:tc>
          <w:tcPr>
            <w:tcW w:w="991" w:type="dxa"/>
            <w:tcBorders>
              <w:top w:val="nil"/>
              <w:left w:val="nil"/>
              <w:bottom w:val="single" w:sz="4" w:space="0" w:color="auto"/>
              <w:right w:val="single" w:sz="4" w:space="0" w:color="auto"/>
            </w:tcBorders>
            <w:shd w:val="clear" w:color="auto" w:fill="auto"/>
            <w:vAlign w:val="center"/>
          </w:tcPr>
          <w:p w14:paraId="426F54ED" w14:textId="77777777" w:rsidR="00C45D5B" w:rsidRPr="00003A3F" w:rsidRDefault="00C45D5B" w:rsidP="00CF774B">
            <w:pPr>
              <w:jc w:val="center"/>
              <w:rPr>
                <w:rFonts w:cs="Times New Roman"/>
                <w:b/>
                <w:sz w:val="18"/>
                <w:szCs w:val="18"/>
              </w:rPr>
            </w:pPr>
            <w:r w:rsidRPr="00003A3F">
              <w:rPr>
                <w:rFonts w:cs="Times New Roman"/>
                <w:b/>
                <w:sz w:val="18"/>
                <w:szCs w:val="18"/>
              </w:rPr>
              <w:t>áno</w:t>
            </w:r>
          </w:p>
        </w:tc>
        <w:tc>
          <w:tcPr>
            <w:tcW w:w="985" w:type="dxa"/>
            <w:tcBorders>
              <w:top w:val="nil"/>
              <w:left w:val="single" w:sz="4" w:space="0" w:color="auto"/>
              <w:bottom w:val="single" w:sz="4" w:space="0" w:color="auto"/>
              <w:right w:val="nil"/>
            </w:tcBorders>
            <w:shd w:val="clear" w:color="auto" w:fill="F9C9BA" w:themeFill="accent6"/>
            <w:vAlign w:val="center"/>
          </w:tcPr>
          <w:p w14:paraId="4419E29C" w14:textId="677E449B" w:rsidR="00C45D5B" w:rsidRPr="00003A3F" w:rsidRDefault="001E6249" w:rsidP="00CF774B">
            <w:pPr>
              <w:jc w:val="center"/>
              <w:rPr>
                <w:rFonts w:cs="Times New Roman"/>
                <w:b/>
                <w:sz w:val="18"/>
                <w:szCs w:val="18"/>
              </w:rPr>
            </w:pPr>
            <w:r>
              <w:rPr>
                <w:rFonts w:cs="Times New Roman"/>
                <w:b/>
                <w:sz w:val="18"/>
                <w:szCs w:val="18"/>
              </w:rPr>
              <w:t>-1,0</w:t>
            </w:r>
          </w:p>
        </w:tc>
        <w:tc>
          <w:tcPr>
            <w:tcW w:w="985" w:type="dxa"/>
            <w:tcBorders>
              <w:top w:val="nil"/>
              <w:left w:val="nil"/>
              <w:bottom w:val="single" w:sz="4" w:space="0" w:color="auto"/>
              <w:right w:val="nil"/>
            </w:tcBorders>
            <w:shd w:val="clear" w:color="auto" w:fill="F9C9BA" w:themeFill="accent6"/>
            <w:vAlign w:val="center"/>
          </w:tcPr>
          <w:p w14:paraId="301764B2" w14:textId="77777777" w:rsidR="00C45D5B" w:rsidRPr="00003A3F" w:rsidRDefault="00C45D5B" w:rsidP="00CF774B">
            <w:pPr>
              <w:jc w:val="center"/>
              <w:rPr>
                <w:rFonts w:cs="Times New Roman"/>
                <w:b/>
                <w:sz w:val="18"/>
                <w:szCs w:val="18"/>
              </w:rPr>
            </w:pPr>
            <w:r w:rsidRPr="00003A3F">
              <w:rPr>
                <w:rFonts w:cs="Times New Roman"/>
                <w:b/>
                <w:sz w:val="18"/>
                <w:szCs w:val="18"/>
              </w:rPr>
              <w:t>stredné</w:t>
            </w:r>
          </w:p>
        </w:tc>
      </w:tr>
    </w:tbl>
    <w:p w14:paraId="79B0F71C" w14:textId="77777777" w:rsidR="00C45D5B" w:rsidRPr="00003A3F" w:rsidRDefault="00C45D5B" w:rsidP="00C45D5B">
      <w:pPr>
        <w:jc w:val="center"/>
        <w:rPr>
          <w:rFonts w:cs="Times New Roman"/>
          <w:i/>
          <w:sz w:val="16"/>
          <w:szCs w:val="16"/>
        </w:rPr>
      </w:pPr>
      <w:r w:rsidRPr="00003A3F">
        <w:rPr>
          <w:rFonts w:cs="Times New Roman"/>
          <w:i/>
          <w:sz w:val="16"/>
          <w:szCs w:val="16"/>
        </w:rPr>
        <w:t xml:space="preserve">                                                                                                                                                                                                                           Zdroj: MF SR</w:t>
      </w:r>
    </w:p>
    <w:p w14:paraId="1504E5F6" w14:textId="77777777" w:rsidR="00C45D5B" w:rsidRPr="00003A3F" w:rsidRDefault="00C45D5B" w:rsidP="00C45D5B">
      <w:pPr>
        <w:autoSpaceDE w:val="0"/>
        <w:autoSpaceDN w:val="0"/>
        <w:adjustRightInd w:val="0"/>
        <w:jc w:val="both"/>
        <w:rPr>
          <w:iCs/>
          <w:sz w:val="18"/>
          <w:szCs w:val="18"/>
        </w:rPr>
      </w:pPr>
    </w:p>
    <w:tbl>
      <w:tblPr>
        <w:tblW w:w="0" w:type="auto"/>
        <w:tblLayout w:type="fixed"/>
        <w:tblCellMar>
          <w:left w:w="70" w:type="dxa"/>
          <w:right w:w="70" w:type="dxa"/>
        </w:tblCellMar>
        <w:tblLook w:val="04A0" w:firstRow="1" w:lastRow="0" w:firstColumn="1" w:lastColumn="0" w:noHBand="0" w:noVBand="1"/>
      </w:tblPr>
      <w:tblGrid>
        <w:gridCol w:w="6946"/>
        <w:gridCol w:w="2126"/>
      </w:tblGrid>
      <w:tr w:rsidR="00C45D5B" w:rsidRPr="00A230EC" w14:paraId="7855DA8C" w14:textId="77777777" w:rsidTr="00CF774B">
        <w:trPr>
          <w:trHeight w:val="209"/>
        </w:trPr>
        <w:tc>
          <w:tcPr>
            <w:tcW w:w="6946" w:type="dxa"/>
            <w:tcBorders>
              <w:top w:val="nil"/>
              <w:left w:val="nil"/>
              <w:bottom w:val="single" w:sz="8" w:space="0" w:color="auto"/>
              <w:right w:val="nil"/>
            </w:tcBorders>
            <w:shd w:val="clear" w:color="auto" w:fill="auto"/>
            <w:noWrap/>
            <w:vAlign w:val="center"/>
            <w:hideMark/>
          </w:tcPr>
          <w:p w14:paraId="77F6BA59" w14:textId="66E02CC9" w:rsidR="00C45D5B" w:rsidRPr="00A230EC" w:rsidRDefault="00C45D5B" w:rsidP="00CF774B">
            <w:pPr>
              <w:pStyle w:val="Popis"/>
              <w:keepNext/>
              <w:spacing w:after="0"/>
              <w:rPr>
                <w:sz w:val="20"/>
                <w:szCs w:val="20"/>
              </w:rPr>
            </w:pPr>
            <w:bookmarkStart w:id="305" w:name="_Toc40186697"/>
            <w:bookmarkStart w:id="306" w:name="_Toc71622480"/>
            <w:bookmarkStart w:id="307" w:name="_Toc101880721"/>
            <w:r w:rsidRPr="00A230EC">
              <w:rPr>
                <w:rFonts w:eastAsiaTheme="minorHAnsi"/>
                <w:color w:val="2C9ADC"/>
                <w:sz w:val="20"/>
                <w:szCs w:val="20"/>
                <w:lang w:eastAsia="en-US"/>
              </w:rPr>
              <w:t xml:space="preserve">TABUĽKA </w:t>
            </w:r>
            <w:r w:rsidRPr="00A230EC">
              <w:rPr>
                <w:rFonts w:eastAsiaTheme="minorHAnsi"/>
                <w:color w:val="2C9ADC"/>
                <w:sz w:val="20"/>
                <w:szCs w:val="20"/>
                <w:lang w:eastAsia="en-US"/>
              </w:rPr>
              <w:fldChar w:fldCharType="begin"/>
            </w:r>
            <w:r w:rsidRPr="00A230EC">
              <w:rPr>
                <w:rFonts w:eastAsiaTheme="minorHAnsi"/>
                <w:color w:val="2C9ADC"/>
                <w:sz w:val="20"/>
                <w:szCs w:val="20"/>
                <w:lang w:eastAsia="en-US"/>
              </w:rPr>
              <w:instrText xml:space="preserve"> SEQ TABUĽKA \* ARABIC </w:instrText>
            </w:r>
            <w:r w:rsidRPr="00A230EC">
              <w:rPr>
                <w:rFonts w:eastAsiaTheme="minorHAnsi"/>
                <w:color w:val="2C9ADC"/>
                <w:sz w:val="20"/>
                <w:szCs w:val="20"/>
                <w:lang w:eastAsia="en-US"/>
              </w:rPr>
              <w:fldChar w:fldCharType="separate"/>
            </w:r>
            <w:r w:rsidR="005D3280">
              <w:rPr>
                <w:rFonts w:eastAsiaTheme="minorHAnsi"/>
                <w:noProof/>
                <w:color w:val="2C9ADC"/>
                <w:sz w:val="20"/>
                <w:szCs w:val="20"/>
                <w:lang w:eastAsia="en-US"/>
              </w:rPr>
              <w:t>42</w:t>
            </w:r>
            <w:r w:rsidRPr="00A230EC">
              <w:rPr>
                <w:rFonts w:eastAsiaTheme="minorHAnsi"/>
                <w:color w:val="2C9ADC"/>
                <w:sz w:val="20"/>
                <w:szCs w:val="20"/>
                <w:lang w:eastAsia="en-US"/>
              </w:rPr>
              <w:fldChar w:fldCharType="end"/>
            </w:r>
            <w:r w:rsidRPr="00A230EC">
              <w:rPr>
                <w:sz w:val="20"/>
                <w:szCs w:val="20"/>
              </w:rPr>
              <w:t xml:space="preserve"> </w:t>
            </w:r>
            <w:r w:rsidRPr="00A230EC">
              <w:rPr>
                <w:rFonts w:eastAsiaTheme="minorHAnsi"/>
                <w:b w:val="0"/>
                <w:color w:val="2C9ADC"/>
                <w:sz w:val="20"/>
                <w:szCs w:val="20"/>
                <w:lang w:eastAsia="en-US"/>
              </w:rPr>
              <w:t>–</w:t>
            </w:r>
            <w:r w:rsidRPr="00A230EC">
              <w:rPr>
                <w:sz w:val="20"/>
                <w:szCs w:val="20"/>
              </w:rPr>
              <w:t xml:space="preserve"> Rozbor indikátora udržateľnosti S1</w:t>
            </w:r>
            <w:bookmarkEnd w:id="305"/>
            <w:bookmarkEnd w:id="306"/>
            <w:bookmarkEnd w:id="307"/>
          </w:p>
        </w:tc>
        <w:tc>
          <w:tcPr>
            <w:tcW w:w="2126" w:type="dxa"/>
            <w:tcBorders>
              <w:top w:val="nil"/>
              <w:left w:val="nil"/>
              <w:bottom w:val="single" w:sz="8" w:space="0" w:color="auto"/>
              <w:right w:val="nil"/>
            </w:tcBorders>
          </w:tcPr>
          <w:p w14:paraId="4F57DA13" w14:textId="77777777" w:rsidR="00C45D5B" w:rsidRPr="00A230EC" w:rsidRDefault="00C45D5B" w:rsidP="00CF774B">
            <w:pPr>
              <w:pStyle w:val="Popis"/>
              <w:keepNext/>
              <w:spacing w:after="0"/>
              <w:rPr>
                <w:sz w:val="20"/>
                <w:szCs w:val="20"/>
              </w:rPr>
            </w:pPr>
          </w:p>
        </w:tc>
      </w:tr>
    </w:tbl>
    <w:p w14:paraId="10AE3049" w14:textId="77777777" w:rsidR="00C45D5B" w:rsidRPr="00A230EC" w:rsidRDefault="00C45D5B" w:rsidP="00C45D5B">
      <w:pPr>
        <w:autoSpaceDE w:val="0"/>
        <w:autoSpaceDN w:val="0"/>
        <w:adjustRightInd w:val="0"/>
        <w:jc w:val="both"/>
        <w:rPr>
          <w:iCs/>
          <w:sz w:val="18"/>
          <w:szCs w:val="18"/>
        </w:rPr>
      </w:pPr>
    </w:p>
    <w:tbl>
      <w:tblPr>
        <w:tblW w:w="5000" w:type="pct"/>
        <w:tblCellMar>
          <w:left w:w="70" w:type="dxa"/>
          <w:right w:w="70" w:type="dxa"/>
        </w:tblCellMar>
        <w:tblLook w:val="04A0" w:firstRow="1" w:lastRow="0" w:firstColumn="1" w:lastColumn="0" w:noHBand="0" w:noVBand="1"/>
      </w:tblPr>
      <w:tblGrid>
        <w:gridCol w:w="5509"/>
        <w:gridCol w:w="1861"/>
        <w:gridCol w:w="1700"/>
      </w:tblGrid>
      <w:tr w:rsidR="00C45D5B" w:rsidRPr="00A230EC" w14:paraId="2045561C" w14:textId="77777777" w:rsidTr="00CF774B">
        <w:trPr>
          <w:trHeight w:val="392"/>
        </w:trPr>
        <w:tc>
          <w:tcPr>
            <w:tcW w:w="3037" w:type="pct"/>
            <w:tcBorders>
              <w:top w:val="single" w:sz="8" w:space="0" w:color="auto"/>
              <w:left w:val="nil"/>
              <w:bottom w:val="single" w:sz="4" w:space="0" w:color="auto"/>
            </w:tcBorders>
            <w:shd w:val="clear" w:color="auto" w:fill="auto"/>
            <w:noWrap/>
            <w:vAlign w:val="center"/>
          </w:tcPr>
          <w:p w14:paraId="057F2B14" w14:textId="77777777" w:rsidR="00C45D5B" w:rsidRPr="00A230EC" w:rsidRDefault="00C45D5B" w:rsidP="00CF774B">
            <w:pPr>
              <w:rPr>
                <w:rFonts w:cs="Times New Roman"/>
                <w:b/>
                <w:bCs/>
                <w:color w:val="000000" w:themeColor="text1"/>
                <w:sz w:val="18"/>
                <w:szCs w:val="18"/>
              </w:rPr>
            </w:pPr>
          </w:p>
        </w:tc>
        <w:tc>
          <w:tcPr>
            <w:tcW w:w="1026" w:type="pct"/>
            <w:tcBorders>
              <w:top w:val="single" w:sz="8" w:space="0" w:color="auto"/>
              <w:bottom w:val="single" w:sz="4" w:space="0" w:color="auto"/>
            </w:tcBorders>
            <w:shd w:val="clear" w:color="auto" w:fill="auto"/>
            <w:noWrap/>
            <w:vAlign w:val="center"/>
          </w:tcPr>
          <w:p w14:paraId="7AA44779" w14:textId="77777777" w:rsidR="00C45D5B" w:rsidRPr="00A230EC" w:rsidRDefault="00C45D5B" w:rsidP="00CF774B">
            <w:pPr>
              <w:jc w:val="center"/>
              <w:rPr>
                <w:rFonts w:cs="Times New Roman"/>
                <w:b/>
                <w:bCs/>
                <w:color w:val="000000" w:themeColor="text1"/>
                <w:sz w:val="18"/>
                <w:szCs w:val="18"/>
              </w:rPr>
            </w:pPr>
            <w:r>
              <w:rPr>
                <w:rFonts w:cs="Times New Roman"/>
                <w:b/>
                <w:bCs/>
                <w:color w:val="000000" w:themeColor="text1"/>
                <w:sz w:val="18"/>
                <w:szCs w:val="18"/>
              </w:rPr>
              <w:t>OS 2022</w:t>
            </w:r>
          </w:p>
        </w:tc>
        <w:tc>
          <w:tcPr>
            <w:tcW w:w="937" w:type="pct"/>
            <w:tcBorders>
              <w:top w:val="single" w:sz="8" w:space="0" w:color="auto"/>
              <w:bottom w:val="single" w:sz="4" w:space="0" w:color="auto"/>
            </w:tcBorders>
            <w:shd w:val="clear" w:color="auto" w:fill="auto"/>
            <w:vAlign w:val="center"/>
          </w:tcPr>
          <w:p w14:paraId="0B56E96B" w14:textId="77777777" w:rsidR="00C45D5B" w:rsidRPr="00A230EC" w:rsidRDefault="00C45D5B" w:rsidP="00CF774B">
            <w:pPr>
              <w:jc w:val="center"/>
              <w:rPr>
                <w:rFonts w:cs="Times New Roman"/>
                <w:b/>
                <w:bCs/>
                <w:color w:val="000000" w:themeColor="text1"/>
                <w:sz w:val="18"/>
                <w:szCs w:val="18"/>
              </w:rPr>
            </w:pPr>
            <w:r>
              <w:rPr>
                <w:rFonts w:cs="Times New Roman"/>
                <w:b/>
                <w:bCs/>
                <w:color w:val="000000" w:themeColor="text1"/>
                <w:sz w:val="18"/>
                <w:szCs w:val="18"/>
              </w:rPr>
              <w:t>R 2023-25</w:t>
            </w:r>
          </w:p>
        </w:tc>
      </w:tr>
      <w:tr w:rsidR="00C45D5B" w:rsidRPr="00A230EC" w14:paraId="30856603" w14:textId="77777777" w:rsidTr="00CF774B">
        <w:trPr>
          <w:trHeight w:val="289"/>
        </w:trPr>
        <w:tc>
          <w:tcPr>
            <w:tcW w:w="3037" w:type="pct"/>
            <w:tcBorders>
              <w:top w:val="single" w:sz="8" w:space="0" w:color="auto"/>
              <w:left w:val="nil"/>
              <w:bottom w:val="single" w:sz="4" w:space="0" w:color="auto"/>
            </w:tcBorders>
            <w:shd w:val="clear" w:color="auto" w:fill="auto"/>
            <w:noWrap/>
            <w:vAlign w:val="center"/>
            <w:hideMark/>
          </w:tcPr>
          <w:p w14:paraId="1F053868" w14:textId="77777777" w:rsidR="00C45D5B" w:rsidRPr="00A230EC" w:rsidRDefault="00C45D5B" w:rsidP="00CF774B">
            <w:pPr>
              <w:rPr>
                <w:rFonts w:cs="Times New Roman"/>
                <w:b/>
                <w:bCs/>
                <w:color w:val="000000" w:themeColor="text1"/>
                <w:sz w:val="18"/>
                <w:szCs w:val="18"/>
              </w:rPr>
            </w:pPr>
            <w:r w:rsidRPr="00A230EC">
              <w:rPr>
                <w:rFonts w:cs="Times New Roman"/>
                <w:b/>
                <w:bCs/>
                <w:color w:val="000000" w:themeColor="text1"/>
                <w:sz w:val="18"/>
                <w:szCs w:val="18"/>
              </w:rPr>
              <w:t>S1 Indikátor (% HDP)</w:t>
            </w:r>
          </w:p>
        </w:tc>
        <w:tc>
          <w:tcPr>
            <w:tcW w:w="1026" w:type="pct"/>
            <w:tcBorders>
              <w:top w:val="single" w:sz="8" w:space="0" w:color="auto"/>
              <w:bottom w:val="single" w:sz="4" w:space="0" w:color="auto"/>
            </w:tcBorders>
            <w:shd w:val="clear" w:color="auto" w:fill="F9C9BA" w:themeFill="accent6"/>
            <w:noWrap/>
            <w:vAlign w:val="center"/>
          </w:tcPr>
          <w:p w14:paraId="2651A528" w14:textId="77777777" w:rsidR="00C45D5B" w:rsidRPr="00A230EC" w:rsidRDefault="00C45D5B" w:rsidP="00CF774B">
            <w:pPr>
              <w:jc w:val="center"/>
              <w:rPr>
                <w:rFonts w:cs="Times New Roman"/>
                <w:b/>
                <w:bCs/>
                <w:color w:val="000000" w:themeColor="text1"/>
                <w:sz w:val="18"/>
                <w:szCs w:val="18"/>
              </w:rPr>
            </w:pPr>
            <w:r>
              <w:rPr>
                <w:rFonts w:cs="Times New Roman"/>
                <w:b/>
                <w:bCs/>
                <w:color w:val="000000" w:themeColor="text1"/>
                <w:sz w:val="18"/>
                <w:szCs w:val="18"/>
              </w:rPr>
              <w:t>3</w:t>
            </w:r>
            <w:r w:rsidRPr="00A230EC">
              <w:rPr>
                <w:rFonts w:cs="Times New Roman"/>
                <w:b/>
                <w:bCs/>
                <w:color w:val="000000" w:themeColor="text1"/>
                <w:sz w:val="18"/>
                <w:szCs w:val="18"/>
              </w:rPr>
              <w:t>,4</w:t>
            </w:r>
          </w:p>
        </w:tc>
        <w:tc>
          <w:tcPr>
            <w:tcW w:w="937" w:type="pct"/>
            <w:tcBorders>
              <w:top w:val="single" w:sz="8" w:space="0" w:color="auto"/>
              <w:bottom w:val="single" w:sz="4" w:space="0" w:color="auto"/>
            </w:tcBorders>
            <w:shd w:val="clear" w:color="auto" w:fill="F9C9BA" w:themeFill="accent6"/>
            <w:vAlign w:val="center"/>
          </w:tcPr>
          <w:p w14:paraId="2539ABED" w14:textId="40D18452" w:rsidR="00C45D5B" w:rsidRPr="00A230EC" w:rsidRDefault="001E6249" w:rsidP="00CF774B">
            <w:pPr>
              <w:jc w:val="center"/>
              <w:rPr>
                <w:rFonts w:cs="Times New Roman"/>
                <w:b/>
                <w:bCs/>
                <w:color w:val="000000" w:themeColor="text1"/>
                <w:sz w:val="18"/>
                <w:szCs w:val="18"/>
              </w:rPr>
            </w:pPr>
            <w:r>
              <w:rPr>
                <w:rFonts w:cs="Times New Roman"/>
                <w:b/>
                <w:bCs/>
                <w:color w:val="000000" w:themeColor="text1"/>
                <w:sz w:val="18"/>
                <w:szCs w:val="18"/>
              </w:rPr>
              <w:t>0,5</w:t>
            </w:r>
          </w:p>
        </w:tc>
      </w:tr>
      <w:tr w:rsidR="00C45D5B" w:rsidRPr="00A230EC" w14:paraId="1C526FBA" w14:textId="77777777" w:rsidTr="00CF774B">
        <w:trPr>
          <w:trHeight w:val="231"/>
        </w:trPr>
        <w:tc>
          <w:tcPr>
            <w:tcW w:w="3037" w:type="pct"/>
            <w:tcBorders>
              <w:top w:val="single" w:sz="4" w:space="0" w:color="auto"/>
              <w:left w:val="nil"/>
            </w:tcBorders>
            <w:shd w:val="clear" w:color="auto" w:fill="auto"/>
            <w:noWrap/>
            <w:vAlign w:val="center"/>
          </w:tcPr>
          <w:p w14:paraId="08A73C70" w14:textId="77777777" w:rsidR="00C45D5B" w:rsidRPr="00A230EC" w:rsidRDefault="00C45D5B" w:rsidP="00CF774B">
            <w:pPr>
              <w:rPr>
                <w:rFonts w:cs="Times New Roman"/>
                <w:bCs/>
                <w:color w:val="000000"/>
                <w:sz w:val="18"/>
                <w:szCs w:val="18"/>
              </w:rPr>
            </w:pPr>
            <w:r w:rsidRPr="00A230EC">
              <w:rPr>
                <w:rFonts w:cs="Times New Roman"/>
                <w:bCs/>
                <w:color w:val="000000"/>
                <w:sz w:val="18"/>
                <w:szCs w:val="18"/>
              </w:rPr>
              <w:t>z toho:</w:t>
            </w:r>
          </w:p>
        </w:tc>
        <w:tc>
          <w:tcPr>
            <w:tcW w:w="1026" w:type="pct"/>
            <w:tcBorders>
              <w:top w:val="single" w:sz="4" w:space="0" w:color="auto"/>
            </w:tcBorders>
            <w:shd w:val="clear" w:color="auto" w:fill="auto"/>
            <w:noWrap/>
            <w:vAlign w:val="center"/>
          </w:tcPr>
          <w:p w14:paraId="12C642C6" w14:textId="77777777" w:rsidR="00C45D5B" w:rsidRPr="00A230EC" w:rsidRDefault="00C45D5B" w:rsidP="00CF774B">
            <w:pPr>
              <w:jc w:val="center"/>
              <w:rPr>
                <w:rFonts w:cs="Times New Roman"/>
                <w:b/>
                <w:bCs/>
                <w:color w:val="000000"/>
                <w:sz w:val="18"/>
                <w:szCs w:val="18"/>
              </w:rPr>
            </w:pPr>
          </w:p>
        </w:tc>
        <w:tc>
          <w:tcPr>
            <w:tcW w:w="937" w:type="pct"/>
            <w:tcBorders>
              <w:top w:val="single" w:sz="4" w:space="0" w:color="auto"/>
            </w:tcBorders>
            <w:shd w:val="clear" w:color="auto" w:fill="auto"/>
            <w:vAlign w:val="center"/>
          </w:tcPr>
          <w:p w14:paraId="5AFC4E3D" w14:textId="77777777" w:rsidR="00C45D5B" w:rsidRPr="00A230EC" w:rsidRDefault="00C45D5B" w:rsidP="00CF774B">
            <w:pPr>
              <w:jc w:val="center"/>
              <w:rPr>
                <w:rFonts w:cs="Times New Roman"/>
                <w:b/>
                <w:bCs/>
                <w:color w:val="000000"/>
                <w:sz w:val="18"/>
                <w:szCs w:val="18"/>
              </w:rPr>
            </w:pPr>
          </w:p>
        </w:tc>
      </w:tr>
      <w:tr w:rsidR="00C45D5B" w:rsidRPr="00A230EC" w14:paraId="73CE2939" w14:textId="77777777" w:rsidTr="00CF774B">
        <w:trPr>
          <w:trHeight w:val="231"/>
        </w:trPr>
        <w:tc>
          <w:tcPr>
            <w:tcW w:w="3037" w:type="pct"/>
            <w:tcBorders>
              <w:left w:val="nil"/>
            </w:tcBorders>
            <w:shd w:val="clear" w:color="auto" w:fill="auto"/>
            <w:noWrap/>
            <w:vAlign w:val="center"/>
            <w:hideMark/>
          </w:tcPr>
          <w:p w14:paraId="2194E5D3" w14:textId="77777777" w:rsidR="00C45D5B" w:rsidRPr="00A230EC" w:rsidRDefault="00C45D5B" w:rsidP="00CF774B">
            <w:pPr>
              <w:rPr>
                <w:rFonts w:cs="Times New Roman"/>
                <w:color w:val="000000"/>
                <w:sz w:val="18"/>
                <w:szCs w:val="18"/>
              </w:rPr>
            </w:pPr>
            <w:r w:rsidRPr="00A230EC">
              <w:rPr>
                <w:rFonts w:cs="Times New Roman"/>
                <w:color w:val="000000"/>
                <w:sz w:val="18"/>
                <w:szCs w:val="18"/>
              </w:rPr>
              <w:t xml:space="preserve">  Počiatočná rozpočtová pozícia</w:t>
            </w:r>
          </w:p>
        </w:tc>
        <w:tc>
          <w:tcPr>
            <w:tcW w:w="1026" w:type="pct"/>
            <w:shd w:val="clear" w:color="auto" w:fill="auto"/>
            <w:noWrap/>
            <w:vAlign w:val="center"/>
          </w:tcPr>
          <w:p w14:paraId="68418C6B" w14:textId="77777777" w:rsidR="00C45D5B" w:rsidRPr="00A230EC" w:rsidRDefault="00C45D5B" w:rsidP="00CF774B">
            <w:pPr>
              <w:jc w:val="center"/>
              <w:rPr>
                <w:rFonts w:cs="Times New Roman"/>
                <w:color w:val="000000"/>
                <w:sz w:val="18"/>
                <w:szCs w:val="18"/>
              </w:rPr>
            </w:pPr>
            <w:r>
              <w:rPr>
                <w:rFonts w:cs="Times New Roman"/>
                <w:color w:val="000000"/>
                <w:sz w:val="18"/>
                <w:szCs w:val="18"/>
              </w:rPr>
              <w:t>1,2</w:t>
            </w:r>
          </w:p>
        </w:tc>
        <w:tc>
          <w:tcPr>
            <w:tcW w:w="937" w:type="pct"/>
            <w:shd w:val="clear" w:color="auto" w:fill="auto"/>
            <w:vAlign w:val="center"/>
          </w:tcPr>
          <w:p w14:paraId="35B4CAA0" w14:textId="259DEBF9" w:rsidR="00C45D5B" w:rsidRPr="00A230EC" w:rsidRDefault="001E6249" w:rsidP="00CF774B">
            <w:pPr>
              <w:jc w:val="center"/>
              <w:rPr>
                <w:rFonts w:cs="Times New Roman"/>
                <w:color w:val="000000"/>
                <w:sz w:val="18"/>
                <w:szCs w:val="18"/>
              </w:rPr>
            </w:pPr>
            <w:r>
              <w:rPr>
                <w:rFonts w:cs="Times New Roman"/>
                <w:color w:val="000000"/>
                <w:sz w:val="18"/>
                <w:szCs w:val="18"/>
              </w:rPr>
              <w:t>-0,6</w:t>
            </w:r>
          </w:p>
        </w:tc>
      </w:tr>
      <w:tr w:rsidR="00C45D5B" w:rsidRPr="00A230EC" w14:paraId="1EF5B9A0" w14:textId="77777777" w:rsidTr="00CF774B">
        <w:trPr>
          <w:trHeight w:val="231"/>
        </w:trPr>
        <w:tc>
          <w:tcPr>
            <w:tcW w:w="3037" w:type="pct"/>
            <w:tcBorders>
              <w:left w:val="nil"/>
            </w:tcBorders>
            <w:shd w:val="clear" w:color="auto" w:fill="auto"/>
            <w:noWrap/>
            <w:vAlign w:val="center"/>
            <w:hideMark/>
          </w:tcPr>
          <w:p w14:paraId="47106C63" w14:textId="77777777" w:rsidR="00C45D5B" w:rsidRPr="00A230EC" w:rsidRDefault="00C45D5B" w:rsidP="00CF774B">
            <w:pPr>
              <w:rPr>
                <w:rFonts w:cs="Times New Roman"/>
                <w:color w:val="000000"/>
                <w:sz w:val="18"/>
                <w:szCs w:val="18"/>
              </w:rPr>
            </w:pPr>
            <w:r w:rsidRPr="00A230EC">
              <w:rPr>
                <w:rFonts w:cs="Times New Roman"/>
                <w:color w:val="000000"/>
                <w:sz w:val="18"/>
                <w:szCs w:val="18"/>
              </w:rPr>
              <w:t xml:space="preserve">  Náklady odkladu konsolidácie</w:t>
            </w:r>
          </w:p>
        </w:tc>
        <w:tc>
          <w:tcPr>
            <w:tcW w:w="1026" w:type="pct"/>
            <w:shd w:val="clear" w:color="auto" w:fill="auto"/>
            <w:noWrap/>
            <w:vAlign w:val="center"/>
          </w:tcPr>
          <w:p w14:paraId="5C1AF565" w14:textId="77777777" w:rsidR="00C45D5B" w:rsidRPr="00A230EC" w:rsidRDefault="00C45D5B" w:rsidP="00CF774B">
            <w:pPr>
              <w:jc w:val="center"/>
              <w:rPr>
                <w:rFonts w:cs="Times New Roman"/>
                <w:color w:val="000000"/>
                <w:sz w:val="18"/>
                <w:szCs w:val="18"/>
              </w:rPr>
            </w:pPr>
            <w:r>
              <w:rPr>
                <w:rFonts w:cs="Times New Roman"/>
                <w:color w:val="000000"/>
                <w:sz w:val="18"/>
                <w:szCs w:val="18"/>
              </w:rPr>
              <w:t>0,5</w:t>
            </w:r>
          </w:p>
        </w:tc>
        <w:tc>
          <w:tcPr>
            <w:tcW w:w="937" w:type="pct"/>
            <w:shd w:val="clear" w:color="auto" w:fill="auto"/>
            <w:vAlign w:val="center"/>
          </w:tcPr>
          <w:p w14:paraId="1144FEF5" w14:textId="77777777" w:rsidR="00C45D5B" w:rsidRPr="00A230EC" w:rsidRDefault="00C45D5B" w:rsidP="00CF774B">
            <w:pPr>
              <w:jc w:val="center"/>
              <w:rPr>
                <w:rFonts w:cs="Times New Roman"/>
                <w:color w:val="000000"/>
                <w:sz w:val="18"/>
                <w:szCs w:val="18"/>
              </w:rPr>
            </w:pPr>
            <w:r>
              <w:rPr>
                <w:rFonts w:cs="Times New Roman"/>
                <w:color w:val="000000"/>
                <w:sz w:val="18"/>
                <w:szCs w:val="18"/>
              </w:rPr>
              <w:t>0,1</w:t>
            </w:r>
          </w:p>
        </w:tc>
      </w:tr>
      <w:tr w:rsidR="00C45D5B" w:rsidRPr="00A230EC" w14:paraId="3E718322" w14:textId="77777777" w:rsidTr="00CF774B">
        <w:trPr>
          <w:trHeight w:val="231"/>
        </w:trPr>
        <w:tc>
          <w:tcPr>
            <w:tcW w:w="3037" w:type="pct"/>
            <w:tcBorders>
              <w:left w:val="nil"/>
            </w:tcBorders>
            <w:shd w:val="clear" w:color="auto" w:fill="auto"/>
            <w:noWrap/>
            <w:vAlign w:val="center"/>
            <w:hideMark/>
          </w:tcPr>
          <w:p w14:paraId="53DEE094" w14:textId="77777777" w:rsidR="00C45D5B" w:rsidRPr="00A230EC" w:rsidRDefault="00C45D5B" w:rsidP="00CF774B">
            <w:pPr>
              <w:rPr>
                <w:rFonts w:cs="Times New Roman"/>
                <w:color w:val="000000"/>
                <w:sz w:val="18"/>
                <w:szCs w:val="18"/>
              </w:rPr>
            </w:pPr>
            <w:r w:rsidRPr="00A230EC">
              <w:rPr>
                <w:rFonts w:cs="Times New Roman"/>
                <w:color w:val="000000"/>
                <w:sz w:val="18"/>
                <w:szCs w:val="18"/>
              </w:rPr>
              <w:t xml:space="preserve">  Požadovaná úroveň dlhu v koncovom roku</w:t>
            </w:r>
          </w:p>
        </w:tc>
        <w:tc>
          <w:tcPr>
            <w:tcW w:w="1026" w:type="pct"/>
            <w:shd w:val="clear" w:color="auto" w:fill="auto"/>
            <w:noWrap/>
            <w:vAlign w:val="center"/>
          </w:tcPr>
          <w:p w14:paraId="285A631C" w14:textId="77777777" w:rsidR="00C45D5B" w:rsidRPr="00A230EC" w:rsidRDefault="00C45D5B" w:rsidP="00CF774B">
            <w:pPr>
              <w:jc w:val="center"/>
              <w:rPr>
                <w:rFonts w:cs="Times New Roman"/>
                <w:color w:val="000000"/>
                <w:sz w:val="18"/>
                <w:szCs w:val="18"/>
              </w:rPr>
            </w:pPr>
            <w:r>
              <w:rPr>
                <w:rFonts w:cs="Times New Roman"/>
                <w:color w:val="000000"/>
                <w:sz w:val="18"/>
                <w:szCs w:val="18"/>
              </w:rPr>
              <w:t>0,1</w:t>
            </w:r>
          </w:p>
        </w:tc>
        <w:tc>
          <w:tcPr>
            <w:tcW w:w="937" w:type="pct"/>
            <w:shd w:val="clear" w:color="auto" w:fill="auto"/>
            <w:vAlign w:val="center"/>
          </w:tcPr>
          <w:p w14:paraId="2E98FEBE" w14:textId="0C7103B2" w:rsidR="00C45D5B" w:rsidRPr="00A230EC" w:rsidRDefault="001E6249" w:rsidP="00CF774B">
            <w:pPr>
              <w:jc w:val="center"/>
              <w:rPr>
                <w:rFonts w:cs="Times New Roman"/>
                <w:color w:val="000000"/>
                <w:sz w:val="18"/>
                <w:szCs w:val="18"/>
              </w:rPr>
            </w:pPr>
            <w:r>
              <w:rPr>
                <w:rFonts w:cs="Times New Roman"/>
                <w:color w:val="000000"/>
                <w:sz w:val="18"/>
                <w:szCs w:val="18"/>
              </w:rPr>
              <w:t>-0,5</w:t>
            </w:r>
          </w:p>
        </w:tc>
      </w:tr>
      <w:tr w:rsidR="00C45D5B" w:rsidRPr="00A230EC" w14:paraId="0F7F0D1E" w14:textId="77777777" w:rsidTr="00CF774B">
        <w:trPr>
          <w:trHeight w:val="231"/>
        </w:trPr>
        <w:tc>
          <w:tcPr>
            <w:tcW w:w="3037" w:type="pct"/>
            <w:tcBorders>
              <w:left w:val="nil"/>
            </w:tcBorders>
            <w:shd w:val="clear" w:color="auto" w:fill="auto"/>
            <w:noWrap/>
            <w:vAlign w:val="center"/>
            <w:hideMark/>
          </w:tcPr>
          <w:p w14:paraId="23C08D77" w14:textId="77777777" w:rsidR="00C45D5B" w:rsidRPr="00A230EC" w:rsidRDefault="00C45D5B" w:rsidP="00CF774B">
            <w:pPr>
              <w:rPr>
                <w:rFonts w:cs="Times New Roman"/>
                <w:color w:val="000000"/>
                <w:sz w:val="18"/>
                <w:szCs w:val="18"/>
              </w:rPr>
            </w:pPr>
            <w:r w:rsidRPr="00A230EC">
              <w:rPr>
                <w:rFonts w:cs="Times New Roman"/>
                <w:color w:val="000000"/>
                <w:sz w:val="18"/>
                <w:szCs w:val="18"/>
              </w:rPr>
              <w:t xml:space="preserve">  Dlhodobé výdavky (náklady starnutia)</w:t>
            </w:r>
          </w:p>
        </w:tc>
        <w:tc>
          <w:tcPr>
            <w:tcW w:w="1026" w:type="pct"/>
            <w:shd w:val="clear" w:color="auto" w:fill="auto"/>
            <w:noWrap/>
            <w:vAlign w:val="center"/>
          </w:tcPr>
          <w:p w14:paraId="2CFFC71A" w14:textId="77777777" w:rsidR="00C45D5B" w:rsidRPr="00A230EC" w:rsidRDefault="00C45D5B" w:rsidP="00CF774B">
            <w:pPr>
              <w:jc w:val="center"/>
              <w:rPr>
                <w:rFonts w:cs="Times New Roman"/>
                <w:color w:val="000000"/>
                <w:sz w:val="18"/>
                <w:szCs w:val="18"/>
              </w:rPr>
            </w:pPr>
            <w:r>
              <w:rPr>
                <w:rFonts w:cs="Times New Roman"/>
                <w:color w:val="000000"/>
                <w:sz w:val="18"/>
                <w:szCs w:val="18"/>
              </w:rPr>
              <w:t>1,6</w:t>
            </w:r>
          </w:p>
        </w:tc>
        <w:tc>
          <w:tcPr>
            <w:tcW w:w="937" w:type="pct"/>
            <w:shd w:val="clear" w:color="auto" w:fill="auto"/>
            <w:vAlign w:val="center"/>
          </w:tcPr>
          <w:p w14:paraId="6B86051D" w14:textId="77777777" w:rsidR="00C45D5B" w:rsidRPr="00A230EC" w:rsidRDefault="00C45D5B" w:rsidP="00CF774B">
            <w:pPr>
              <w:jc w:val="center"/>
              <w:rPr>
                <w:rFonts w:cs="Times New Roman"/>
                <w:color w:val="000000"/>
                <w:sz w:val="18"/>
                <w:szCs w:val="18"/>
              </w:rPr>
            </w:pPr>
            <w:r w:rsidRPr="00A230EC">
              <w:rPr>
                <w:rFonts w:cs="Times New Roman"/>
                <w:color w:val="000000"/>
                <w:sz w:val="18"/>
                <w:szCs w:val="18"/>
              </w:rPr>
              <w:t>1,6</w:t>
            </w:r>
          </w:p>
        </w:tc>
      </w:tr>
      <w:tr w:rsidR="00C45D5B" w:rsidRPr="00A230EC" w14:paraId="5E5B5E3E" w14:textId="77777777" w:rsidTr="00CF774B">
        <w:trPr>
          <w:trHeight w:val="231"/>
        </w:trPr>
        <w:tc>
          <w:tcPr>
            <w:tcW w:w="3037" w:type="pct"/>
            <w:tcBorders>
              <w:left w:val="nil"/>
              <w:bottom w:val="single" w:sz="8" w:space="0" w:color="auto"/>
            </w:tcBorders>
            <w:shd w:val="clear" w:color="auto" w:fill="auto"/>
            <w:noWrap/>
            <w:vAlign w:val="center"/>
            <w:hideMark/>
          </w:tcPr>
          <w:p w14:paraId="1826FAD0" w14:textId="77777777" w:rsidR="00C45D5B" w:rsidRPr="00A230EC" w:rsidRDefault="00C45D5B" w:rsidP="00CF774B">
            <w:pPr>
              <w:rPr>
                <w:rFonts w:cs="Times New Roman"/>
                <w:color w:val="000000"/>
                <w:sz w:val="18"/>
                <w:szCs w:val="18"/>
              </w:rPr>
            </w:pPr>
            <w:r w:rsidRPr="00A230EC">
              <w:rPr>
                <w:rFonts w:cs="Times New Roman"/>
                <w:color w:val="000000"/>
                <w:sz w:val="18"/>
                <w:szCs w:val="18"/>
              </w:rPr>
              <w:t xml:space="preserve">  Výpadok príjmov kvôli druhému pilieru</w:t>
            </w:r>
          </w:p>
        </w:tc>
        <w:tc>
          <w:tcPr>
            <w:tcW w:w="1026" w:type="pct"/>
            <w:tcBorders>
              <w:bottom w:val="single" w:sz="8" w:space="0" w:color="auto"/>
            </w:tcBorders>
            <w:shd w:val="clear" w:color="auto" w:fill="auto"/>
            <w:noWrap/>
            <w:vAlign w:val="center"/>
          </w:tcPr>
          <w:p w14:paraId="2A70B8E8" w14:textId="77777777" w:rsidR="00C45D5B" w:rsidRPr="00A230EC" w:rsidRDefault="00C45D5B" w:rsidP="00CF774B">
            <w:pPr>
              <w:jc w:val="center"/>
              <w:rPr>
                <w:rFonts w:cs="Times New Roman"/>
                <w:color w:val="000000"/>
                <w:sz w:val="18"/>
                <w:szCs w:val="18"/>
              </w:rPr>
            </w:pPr>
            <w:r w:rsidRPr="00A230EC">
              <w:rPr>
                <w:rFonts w:cs="Times New Roman"/>
                <w:color w:val="000000"/>
                <w:sz w:val="18"/>
                <w:szCs w:val="18"/>
              </w:rPr>
              <w:t>0,1</w:t>
            </w:r>
          </w:p>
        </w:tc>
        <w:tc>
          <w:tcPr>
            <w:tcW w:w="937" w:type="pct"/>
            <w:tcBorders>
              <w:bottom w:val="single" w:sz="8" w:space="0" w:color="auto"/>
            </w:tcBorders>
            <w:shd w:val="clear" w:color="auto" w:fill="auto"/>
            <w:vAlign w:val="center"/>
          </w:tcPr>
          <w:p w14:paraId="417270BA" w14:textId="77777777" w:rsidR="00C45D5B" w:rsidRPr="00A230EC" w:rsidRDefault="00C45D5B" w:rsidP="00CF774B">
            <w:pPr>
              <w:jc w:val="center"/>
              <w:rPr>
                <w:rFonts w:cs="Times New Roman"/>
                <w:color w:val="000000"/>
                <w:sz w:val="18"/>
                <w:szCs w:val="18"/>
              </w:rPr>
            </w:pPr>
            <w:r w:rsidRPr="00A230EC">
              <w:rPr>
                <w:rFonts w:cs="Times New Roman"/>
                <w:color w:val="000000"/>
                <w:sz w:val="18"/>
                <w:szCs w:val="18"/>
              </w:rPr>
              <w:t>0,0</w:t>
            </w:r>
          </w:p>
        </w:tc>
      </w:tr>
    </w:tbl>
    <w:p w14:paraId="723B6615" w14:textId="77777777" w:rsidR="00C45D5B" w:rsidRPr="00A230EC" w:rsidRDefault="00C45D5B" w:rsidP="00C45D5B">
      <w:pPr>
        <w:jc w:val="right"/>
        <w:rPr>
          <w:rFonts w:cs="Times New Roman"/>
          <w:i/>
          <w:sz w:val="16"/>
          <w:szCs w:val="16"/>
        </w:rPr>
      </w:pPr>
      <w:r w:rsidRPr="00A230EC">
        <w:rPr>
          <w:rFonts w:cs="Times New Roman"/>
          <w:i/>
          <w:sz w:val="16"/>
          <w:szCs w:val="16"/>
        </w:rPr>
        <w:t>Zdroj: MF SR</w:t>
      </w:r>
    </w:p>
    <w:p w14:paraId="6BC8339B" w14:textId="77777777" w:rsidR="00C45D5B" w:rsidRPr="00AB54ED" w:rsidRDefault="00C45D5B" w:rsidP="00C45D5B">
      <w:pPr>
        <w:autoSpaceDE w:val="0"/>
        <w:autoSpaceDN w:val="0"/>
        <w:adjustRightInd w:val="0"/>
        <w:jc w:val="both"/>
        <w:rPr>
          <w:iCs/>
          <w:sz w:val="20"/>
          <w:szCs w:val="20"/>
          <w:highlight w:val="yellow"/>
        </w:rPr>
      </w:pPr>
    </w:p>
    <w:tbl>
      <w:tblPr>
        <w:tblW w:w="9112" w:type="dxa"/>
        <w:tblLayout w:type="fixed"/>
        <w:tblCellMar>
          <w:left w:w="70" w:type="dxa"/>
          <w:right w:w="70" w:type="dxa"/>
        </w:tblCellMar>
        <w:tblLook w:val="04A0" w:firstRow="1" w:lastRow="0" w:firstColumn="1" w:lastColumn="0" w:noHBand="0" w:noVBand="1"/>
      </w:tblPr>
      <w:tblGrid>
        <w:gridCol w:w="2418"/>
        <w:gridCol w:w="1239"/>
        <w:gridCol w:w="1088"/>
        <w:gridCol w:w="1088"/>
        <w:gridCol w:w="1091"/>
        <w:gridCol w:w="1093"/>
        <w:gridCol w:w="1095"/>
      </w:tblGrid>
      <w:tr w:rsidR="00C45D5B" w:rsidRPr="00D95FBE" w14:paraId="4E614284" w14:textId="77777777" w:rsidTr="00CF774B">
        <w:trPr>
          <w:trHeight w:val="175"/>
        </w:trPr>
        <w:tc>
          <w:tcPr>
            <w:tcW w:w="9112" w:type="dxa"/>
            <w:gridSpan w:val="7"/>
            <w:tcBorders>
              <w:top w:val="nil"/>
              <w:left w:val="nil"/>
              <w:bottom w:val="single" w:sz="8" w:space="0" w:color="auto"/>
              <w:right w:val="nil"/>
            </w:tcBorders>
            <w:shd w:val="clear" w:color="auto" w:fill="auto"/>
            <w:noWrap/>
            <w:vAlign w:val="center"/>
            <w:hideMark/>
          </w:tcPr>
          <w:p w14:paraId="7A70A46F" w14:textId="74B336C2" w:rsidR="00C45D5B" w:rsidRPr="00D95FBE" w:rsidRDefault="00C45D5B" w:rsidP="00CF774B">
            <w:pPr>
              <w:pStyle w:val="Popis"/>
              <w:keepNext/>
              <w:spacing w:after="0"/>
              <w:rPr>
                <w:sz w:val="20"/>
                <w:szCs w:val="20"/>
              </w:rPr>
            </w:pPr>
            <w:bookmarkStart w:id="308" w:name="_Toc40186698"/>
            <w:bookmarkStart w:id="309" w:name="_Toc71622481"/>
            <w:bookmarkStart w:id="310" w:name="_Toc101880722"/>
            <w:r w:rsidRPr="00D95FBE">
              <w:rPr>
                <w:rFonts w:eastAsiaTheme="minorHAnsi"/>
                <w:color w:val="2C9ADC"/>
                <w:sz w:val="20"/>
                <w:szCs w:val="20"/>
                <w:lang w:eastAsia="en-US"/>
              </w:rPr>
              <w:t xml:space="preserve">TABUĽKA </w:t>
            </w:r>
            <w:r w:rsidRPr="00D95FBE">
              <w:rPr>
                <w:rFonts w:eastAsiaTheme="minorHAnsi"/>
                <w:color w:val="2C9ADC"/>
                <w:sz w:val="20"/>
                <w:szCs w:val="20"/>
                <w:lang w:eastAsia="en-US"/>
              </w:rPr>
              <w:fldChar w:fldCharType="begin"/>
            </w:r>
            <w:r w:rsidRPr="00D95FBE">
              <w:rPr>
                <w:rFonts w:eastAsiaTheme="minorHAnsi"/>
                <w:color w:val="2C9ADC"/>
                <w:sz w:val="20"/>
                <w:szCs w:val="20"/>
                <w:lang w:eastAsia="en-US"/>
              </w:rPr>
              <w:instrText xml:space="preserve"> SEQ TABUĽKA \* ARABIC </w:instrText>
            </w:r>
            <w:r w:rsidRPr="00D95FBE">
              <w:rPr>
                <w:rFonts w:eastAsiaTheme="minorHAnsi"/>
                <w:color w:val="2C9ADC"/>
                <w:sz w:val="20"/>
                <w:szCs w:val="20"/>
                <w:lang w:eastAsia="en-US"/>
              </w:rPr>
              <w:fldChar w:fldCharType="separate"/>
            </w:r>
            <w:r w:rsidR="005D3280">
              <w:rPr>
                <w:rFonts w:eastAsiaTheme="minorHAnsi"/>
                <w:noProof/>
                <w:color w:val="2C9ADC"/>
                <w:sz w:val="20"/>
                <w:szCs w:val="20"/>
                <w:lang w:eastAsia="en-US"/>
              </w:rPr>
              <w:t>43</w:t>
            </w:r>
            <w:r w:rsidRPr="00D95FBE">
              <w:rPr>
                <w:rFonts w:eastAsiaTheme="minorHAnsi"/>
                <w:color w:val="2C9ADC"/>
                <w:sz w:val="20"/>
                <w:szCs w:val="20"/>
                <w:lang w:eastAsia="en-US"/>
              </w:rPr>
              <w:fldChar w:fldCharType="end"/>
            </w:r>
            <w:r w:rsidRPr="00D95FBE">
              <w:rPr>
                <w:sz w:val="20"/>
                <w:szCs w:val="20"/>
              </w:rPr>
              <w:t xml:space="preserve"> </w:t>
            </w:r>
            <w:r w:rsidRPr="00D95FBE">
              <w:rPr>
                <w:rFonts w:eastAsiaTheme="minorHAnsi"/>
                <w:b w:val="0"/>
                <w:color w:val="2C9ADC"/>
                <w:sz w:val="20"/>
                <w:szCs w:val="20"/>
                <w:lang w:eastAsia="en-US"/>
              </w:rPr>
              <w:t>–</w:t>
            </w:r>
            <w:r w:rsidRPr="00D95FBE">
              <w:rPr>
                <w:sz w:val="20"/>
                <w:szCs w:val="20"/>
              </w:rPr>
              <w:t xml:space="preserve"> Predpoklady MF SR pre výpočet indikátora udržateľnosti S2</w:t>
            </w:r>
            <w:bookmarkEnd w:id="308"/>
            <w:bookmarkEnd w:id="309"/>
            <w:bookmarkEnd w:id="310"/>
          </w:p>
        </w:tc>
      </w:tr>
      <w:tr w:rsidR="00C45D5B" w:rsidRPr="00D95FBE" w14:paraId="124403B9" w14:textId="77777777" w:rsidTr="00CF774B">
        <w:trPr>
          <w:trHeight w:val="416"/>
        </w:trPr>
        <w:tc>
          <w:tcPr>
            <w:tcW w:w="2418" w:type="dxa"/>
            <w:tcBorders>
              <w:top w:val="nil"/>
              <w:left w:val="nil"/>
              <w:bottom w:val="single" w:sz="8" w:space="0" w:color="auto"/>
              <w:right w:val="nil"/>
            </w:tcBorders>
            <w:shd w:val="clear" w:color="auto" w:fill="auto"/>
            <w:noWrap/>
            <w:vAlign w:val="center"/>
            <w:hideMark/>
          </w:tcPr>
          <w:p w14:paraId="0441961A" w14:textId="77777777" w:rsidR="00C45D5B" w:rsidRPr="00D95FBE" w:rsidRDefault="00C45D5B" w:rsidP="00CF774B">
            <w:pPr>
              <w:jc w:val="center"/>
              <w:rPr>
                <w:rFonts w:cs="Times New Roman"/>
                <w:b/>
                <w:bCs/>
                <w:color w:val="000000"/>
                <w:sz w:val="18"/>
                <w:szCs w:val="18"/>
              </w:rPr>
            </w:pPr>
            <w:r w:rsidRPr="00D95FBE">
              <w:rPr>
                <w:rFonts w:cs="Times New Roman"/>
                <w:b/>
                <w:bCs/>
                <w:color w:val="000000"/>
                <w:sz w:val="18"/>
                <w:szCs w:val="18"/>
              </w:rPr>
              <w:t> </w:t>
            </w:r>
          </w:p>
        </w:tc>
        <w:tc>
          <w:tcPr>
            <w:tcW w:w="1239" w:type="dxa"/>
            <w:tcBorders>
              <w:top w:val="nil"/>
              <w:left w:val="nil"/>
              <w:bottom w:val="single" w:sz="8" w:space="0" w:color="auto"/>
              <w:right w:val="nil"/>
            </w:tcBorders>
            <w:shd w:val="clear" w:color="auto" w:fill="auto"/>
            <w:noWrap/>
            <w:vAlign w:val="center"/>
            <w:hideMark/>
          </w:tcPr>
          <w:p w14:paraId="6328163F" w14:textId="77777777" w:rsidR="00C45D5B" w:rsidRPr="00D95FBE" w:rsidRDefault="00C45D5B" w:rsidP="00CF774B">
            <w:pPr>
              <w:jc w:val="center"/>
              <w:rPr>
                <w:rFonts w:cs="Times New Roman"/>
                <w:b/>
                <w:bCs/>
                <w:color w:val="000000"/>
                <w:sz w:val="16"/>
                <w:szCs w:val="16"/>
              </w:rPr>
            </w:pPr>
            <w:r w:rsidRPr="00D95FBE">
              <w:rPr>
                <w:rFonts w:cs="Times New Roman"/>
                <w:b/>
                <w:bCs/>
                <w:color w:val="000000"/>
                <w:sz w:val="16"/>
                <w:szCs w:val="16"/>
              </w:rPr>
              <w:t>Východiskový rok (t</w:t>
            </w:r>
            <w:r w:rsidRPr="00D95FBE">
              <w:rPr>
                <w:rFonts w:cs="Times New Roman"/>
                <w:b/>
                <w:bCs/>
                <w:color w:val="000000"/>
                <w:sz w:val="16"/>
                <w:szCs w:val="16"/>
                <w:vertAlign w:val="subscript"/>
              </w:rPr>
              <w:t>0</w:t>
            </w:r>
            <w:r w:rsidRPr="00D95FBE">
              <w:rPr>
                <w:rFonts w:cs="Times New Roman"/>
                <w:b/>
                <w:bCs/>
                <w:color w:val="000000"/>
                <w:sz w:val="16"/>
                <w:szCs w:val="16"/>
              </w:rPr>
              <w:t>)</w:t>
            </w:r>
          </w:p>
        </w:tc>
        <w:tc>
          <w:tcPr>
            <w:tcW w:w="1088" w:type="dxa"/>
            <w:tcBorders>
              <w:top w:val="nil"/>
              <w:left w:val="nil"/>
              <w:bottom w:val="single" w:sz="8" w:space="0" w:color="auto"/>
              <w:right w:val="nil"/>
            </w:tcBorders>
            <w:shd w:val="clear" w:color="auto" w:fill="auto"/>
            <w:noWrap/>
            <w:vAlign w:val="center"/>
            <w:hideMark/>
          </w:tcPr>
          <w:p w14:paraId="13EA4E93" w14:textId="77777777" w:rsidR="00C45D5B" w:rsidRPr="00D95FBE" w:rsidRDefault="00C45D5B" w:rsidP="00CF774B">
            <w:pPr>
              <w:jc w:val="center"/>
              <w:rPr>
                <w:rFonts w:cs="Times New Roman"/>
                <w:b/>
                <w:bCs/>
                <w:color w:val="000000"/>
                <w:sz w:val="16"/>
                <w:szCs w:val="16"/>
              </w:rPr>
            </w:pPr>
            <w:r w:rsidRPr="00D95FBE">
              <w:rPr>
                <w:rFonts w:cs="Times New Roman"/>
                <w:b/>
                <w:bCs/>
                <w:color w:val="000000"/>
                <w:sz w:val="16"/>
                <w:szCs w:val="16"/>
              </w:rPr>
              <w:t>Štrukturálne primárne saldo</w:t>
            </w:r>
          </w:p>
        </w:tc>
        <w:tc>
          <w:tcPr>
            <w:tcW w:w="1088" w:type="dxa"/>
            <w:tcBorders>
              <w:top w:val="nil"/>
              <w:left w:val="nil"/>
              <w:bottom w:val="single" w:sz="8" w:space="0" w:color="auto"/>
              <w:right w:val="nil"/>
            </w:tcBorders>
            <w:shd w:val="clear" w:color="auto" w:fill="auto"/>
            <w:noWrap/>
            <w:vAlign w:val="center"/>
            <w:hideMark/>
          </w:tcPr>
          <w:p w14:paraId="1ED50F28" w14:textId="77777777" w:rsidR="00C45D5B" w:rsidRPr="00D95FBE" w:rsidRDefault="00C45D5B" w:rsidP="00CF774B">
            <w:pPr>
              <w:jc w:val="center"/>
              <w:rPr>
                <w:rFonts w:cs="Times New Roman"/>
                <w:b/>
                <w:bCs/>
                <w:color w:val="000000"/>
                <w:sz w:val="16"/>
                <w:szCs w:val="16"/>
              </w:rPr>
            </w:pPr>
            <w:r w:rsidRPr="00D95FBE">
              <w:rPr>
                <w:rFonts w:cs="Times New Roman"/>
                <w:b/>
                <w:bCs/>
                <w:color w:val="000000"/>
                <w:sz w:val="16"/>
                <w:szCs w:val="16"/>
              </w:rPr>
              <w:t>DLH (t</w:t>
            </w:r>
            <w:r w:rsidRPr="00D95FBE">
              <w:rPr>
                <w:rFonts w:cs="Times New Roman"/>
                <w:b/>
                <w:bCs/>
                <w:color w:val="000000"/>
                <w:sz w:val="16"/>
                <w:szCs w:val="16"/>
                <w:vertAlign w:val="subscript"/>
              </w:rPr>
              <w:t>0</w:t>
            </w:r>
            <w:r w:rsidRPr="00D95FBE">
              <w:rPr>
                <w:rFonts w:cs="Times New Roman"/>
                <w:b/>
                <w:bCs/>
                <w:color w:val="000000"/>
                <w:sz w:val="16"/>
                <w:szCs w:val="16"/>
              </w:rPr>
              <w:t>)</w:t>
            </w:r>
          </w:p>
        </w:tc>
        <w:tc>
          <w:tcPr>
            <w:tcW w:w="1091" w:type="dxa"/>
            <w:tcBorders>
              <w:top w:val="nil"/>
              <w:left w:val="nil"/>
              <w:bottom w:val="single" w:sz="8" w:space="0" w:color="auto"/>
              <w:right w:val="single" w:sz="4" w:space="0" w:color="auto"/>
            </w:tcBorders>
            <w:shd w:val="clear" w:color="auto" w:fill="auto"/>
          </w:tcPr>
          <w:p w14:paraId="6EB33C62" w14:textId="77777777" w:rsidR="00C45D5B" w:rsidRPr="00D95FBE" w:rsidRDefault="00C45D5B" w:rsidP="00CF774B">
            <w:pPr>
              <w:jc w:val="center"/>
              <w:rPr>
                <w:rFonts w:cs="Times New Roman"/>
                <w:b/>
                <w:bCs/>
                <w:color w:val="000000"/>
                <w:sz w:val="16"/>
                <w:szCs w:val="16"/>
              </w:rPr>
            </w:pPr>
            <w:r w:rsidRPr="00D95FBE">
              <w:rPr>
                <w:rFonts w:cs="Times New Roman"/>
                <w:b/>
                <w:bCs/>
                <w:color w:val="000000"/>
                <w:sz w:val="16"/>
                <w:szCs w:val="16"/>
              </w:rPr>
              <w:t>Vplyv II. piliera na P a V strane</w:t>
            </w:r>
          </w:p>
        </w:tc>
        <w:tc>
          <w:tcPr>
            <w:tcW w:w="1093" w:type="dxa"/>
            <w:tcBorders>
              <w:top w:val="nil"/>
              <w:left w:val="single" w:sz="4" w:space="0" w:color="auto"/>
              <w:bottom w:val="single" w:sz="8" w:space="0" w:color="auto"/>
              <w:right w:val="nil"/>
            </w:tcBorders>
            <w:shd w:val="clear" w:color="auto" w:fill="auto"/>
            <w:vAlign w:val="center"/>
          </w:tcPr>
          <w:p w14:paraId="6D20670C" w14:textId="77777777" w:rsidR="00C45D5B" w:rsidRPr="00D95FBE" w:rsidRDefault="00C45D5B" w:rsidP="00CF774B">
            <w:pPr>
              <w:jc w:val="center"/>
              <w:rPr>
                <w:rFonts w:cs="Times New Roman"/>
                <w:b/>
                <w:bCs/>
                <w:color w:val="000000"/>
                <w:sz w:val="16"/>
                <w:szCs w:val="16"/>
              </w:rPr>
            </w:pPr>
            <w:r w:rsidRPr="00D95FBE">
              <w:rPr>
                <w:rFonts w:cs="Times New Roman"/>
                <w:b/>
                <w:bCs/>
                <w:color w:val="000000"/>
                <w:sz w:val="16"/>
                <w:szCs w:val="16"/>
              </w:rPr>
              <w:t>Výsledná Hodnota S</w:t>
            </w:r>
            <w:r>
              <w:rPr>
                <w:rFonts w:cs="Times New Roman"/>
                <w:b/>
                <w:bCs/>
                <w:color w:val="000000"/>
                <w:sz w:val="16"/>
                <w:szCs w:val="16"/>
              </w:rPr>
              <w:t>2</w:t>
            </w:r>
          </w:p>
        </w:tc>
        <w:tc>
          <w:tcPr>
            <w:tcW w:w="1095" w:type="dxa"/>
            <w:tcBorders>
              <w:top w:val="nil"/>
              <w:left w:val="nil"/>
              <w:bottom w:val="single" w:sz="8" w:space="0" w:color="auto"/>
              <w:right w:val="nil"/>
            </w:tcBorders>
            <w:shd w:val="clear" w:color="auto" w:fill="auto"/>
            <w:noWrap/>
            <w:vAlign w:val="center"/>
          </w:tcPr>
          <w:p w14:paraId="0F1E237C" w14:textId="77777777" w:rsidR="00C45D5B" w:rsidRPr="00D95FBE" w:rsidRDefault="00C45D5B" w:rsidP="00CF774B">
            <w:pPr>
              <w:jc w:val="center"/>
              <w:rPr>
                <w:rFonts w:cs="Times New Roman"/>
                <w:b/>
                <w:bCs/>
                <w:color w:val="000000"/>
                <w:sz w:val="16"/>
                <w:szCs w:val="16"/>
              </w:rPr>
            </w:pPr>
            <w:r w:rsidRPr="00D95FBE">
              <w:rPr>
                <w:rFonts w:cs="Times New Roman"/>
                <w:b/>
                <w:bCs/>
                <w:color w:val="000000"/>
                <w:sz w:val="16"/>
                <w:szCs w:val="16"/>
              </w:rPr>
              <w:t>Riziko udržateľnosti</w:t>
            </w:r>
          </w:p>
        </w:tc>
      </w:tr>
      <w:tr w:rsidR="00C45D5B" w:rsidRPr="00D95FBE" w14:paraId="319C1C95" w14:textId="77777777" w:rsidTr="00CF774B">
        <w:trPr>
          <w:trHeight w:val="191"/>
        </w:trPr>
        <w:tc>
          <w:tcPr>
            <w:tcW w:w="2418" w:type="dxa"/>
            <w:tcBorders>
              <w:top w:val="nil"/>
              <w:left w:val="nil"/>
              <w:right w:val="nil"/>
            </w:tcBorders>
            <w:shd w:val="clear" w:color="auto" w:fill="auto"/>
            <w:noWrap/>
            <w:vAlign w:val="center"/>
            <w:hideMark/>
          </w:tcPr>
          <w:p w14:paraId="564F821C" w14:textId="77777777" w:rsidR="00C45D5B" w:rsidRPr="00D95FBE" w:rsidRDefault="00C45D5B" w:rsidP="00CF774B">
            <w:pPr>
              <w:rPr>
                <w:rFonts w:cs="Times New Roman"/>
                <w:b/>
                <w:sz w:val="18"/>
                <w:szCs w:val="18"/>
              </w:rPr>
            </w:pPr>
            <w:r>
              <w:rPr>
                <w:rFonts w:cs="Times New Roman"/>
                <w:b/>
                <w:sz w:val="18"/>
                <w:szCs w:val="18"/>
              </w:rPr>
              <w:t>OS 2022</w:t>
            </w:r>
          </w:p>
        </w:tc>
        <w:tc>
          <w:tcPr>
            <w:tcW w:w="1239" w:type="dxa"/>
            <w:tcBorders>
              <w:top w:val="nil"/>
              <w:left w:val="nil"/>
              <w:right w:val="nil"/>
            </w:tcBorders>
            <w:shd w:val="clear" w:color="auto" w:fill="auto"/>
            <w:noWrap/>
            <w:vAlign w:val="center"/>
            <w:hideMark/>
          </w:tcPr>
          <w:p w14:paraId="433F44F6" w14:textId="77777777" w:rsidR="00C45D5B" w:rsidRPr="00D95FBE" w:rsidRDefault="00C45D5B" w:rsidP="00CF774B">
            <w:pPr>
              <w:jc w:val="center"/>
              <w:rPr>
                <w:rFonts w:cs="Times New Roman"/>
                <w:sz w:val="18"/>
                <w:szCs w:val="18"/>
              </w:rPr>
            </w:pPr>
            <w:r>
              <w:rPr>
                <w:rFonts w:cs="Times New Roman"/>
                <w:sz w:val="18"/>
                <w:szCs w:val="18"/>
              </w:rPr>
              <w:t>2022</w:t>
            </w:r>
          </w:p>
        </w:tc>
        <w:tc>
          <w:tcPr>
            <w:tcW w:w="1088" w:type="dxa"/>
            <w:tcBorders>
              <w:top w:val="nil"/>
              <w:left w:val="nil"/>
              <w:right w:val="nil"/>
            </w:tcBorders>
            <w:shd w:val="clear" w:color="auto" w:fill="auto"/>
            <w:noWrap/>
            <w:vAlign w:val="center"/>
            <w:hideMark/>
          </w:tcPr>
          <w:p w14:paraId="6D457492" w14:textId="77777777" w:rsidR="00C45D5B" w:rsidRPr="00D95FBE" w:rsidRDefault="00C45D5B" w:rsidP="00CF774B">
            <w:pPr>
              <w:jc w:val="center"/>
              <w:rPr>
                <w:rFonts w:cs="Times New Roman"/>
                <w:sz w:val="18"/>
                <w:szCs w:val="18"/>
              </w:rPr>
            </w:pPr>
            <w:r>
              <w:rPr>
                <w:rFonts w:cs="Times New Roman"/>
                <w:sz w:val="18"/>
                <w:szCs w:val="18"/>
              </w:rPr>
              <w:t>-2,9</w:t>
            </w:r>
          </w:p>
        </w:tc>
        <w:tc>
          <w:tcPr>
            <w:tcW w:w="1088" w:type="dxa"/>
            <w:tcBorders>
              <w:top w:val="nil"/>
              <w:left w:val="nil"/>
              <w:right w:val="nil"/>
            </w:tcBorders>
            <w:shd w:val="clear" w:color="auto" w:fill="auto"/>
            <w:noWrap/>
            <w:vAlign w:val="center"/>
            <w:hideMark/>
          </w:tcPr>
          <w:p w14:paraId="1C95F1C3" w14:textId="77777777" w:rsidR="00C45D5B" w:rsidRPr="00D95FBE" w:rsidRDefault="00C45D5B" w:rsidP="00CF774B">
            <w:pPr>
              <w:jc w:val="center"/>
              <w:rPr>
                <w:rFonts w:cs="Times New Roman"/>
                <w:sz w:val="18"/>
                <w:szCs w:val="18"/>
              </w:rPr>
            </w:pPr>
            <w:r>
              <w:rPr>
                <w:rFonts w:cs="Times New Roman"/>
                <w:sz w:val="18"/>
                <w:szCs w:val="18"/>
              </w:rPr>
              <w:t>61,6</w:t>
            </w:r>
          </w:p>
        </w:tc>
        <w:tc>
          <w:tcPr>
            <w:tcW w:w="1091" w:type="dxa"/>
            <w:tcBorders>
              <w:top w:val="single" w:sz="8" w:space="0" w:color="auto"/>
              <w:left w:val="nil"/>
              <w:right w:val="single" w:sz="2" w:space="0" w:color="auto"/>
            </w:tcBorders>
            <w:shd w:val="clear" w:color="auto" w:fill="auto"/>
            <w:vAlign w:val="center"/>
          </w:tcPr>
          <w:p w14:paraId="3F688EE5" w14:textId="77777777" w:rsidR="00C45D5B" w:rsidRPr="00D95FBE" w:rsidRDefault="00C45D5B" w:rsidP="00CF774B">
            <w:pPr>
              <w:jc w:val="center"/>
              <w:rPr>
                <w:rFonts w:cs="Times New Roman"/>
                <w:b/>
                <w:sz w:val="18"/>
                <w:szCs w:val="18"/>
              </w:rPr>
            </w:pPr>
            <w:r w:rsidRPr="00D95FBE">
              <w:rPr>
                <w:rFonts w:cs="Times New Roman"/>
                <w:b/>
                <w:sz w:val="18"/>
                <w:szCs w:val="18"/>
              </w:rPr>
              <w:t>áno</w:t>
            </w:r>
          </w:p>
        </w:tc>
        <w:tc>
          <w:tcPr>
            <w:tcW w:w="1093" w:type="dxa"/>
            <w:tcBorders>
              <w:top w:val="nil"/>
              <w:left w:val="single" w:sz="2" w:space="0" w:color="auto"/>
              <w:right w:val="nil"/>
            </w:tcBorders>
            <w:shd w:val="clear" w:color="auto" w:fill="F9C9BA" w:themeFill="accent6"/>
          </w:tcPr>
          <w:p w14:paraId="293EC4DA" w14:textId="77777777" w:rsidR="00C45D5B" w:rsidRPr="00D95FBE" w:rsidRDefault="00C45D5B" w:rsidP="00CF774B">
            <w:pPr>
              <w:jc w:val="center"/>
              <w:rPr>
                <w:rFonts w:cs="Times New Roman"/>
                <w:b/>
                <w:sz w:val="18"/>
                <w:szCs w:val="18"/>
              </w:rPr>
            </w:pPr>
            <w:r>
              <w:rPr>
                <w:rFonts w:cs="Times New Roman"/>
                <w:b/>
                <w:sz w:val="18"/>
                <w:szCs w:val="18"/>
              </w:rPr>
              <w:t>10,8</w:t>
            </w:r>
          </w:p>
        </w:tc>
        <w:tc>
          <w:tcPr>
            <w:tcW w:w="1095" w:type="dxa"/>
            <w:tcBorders>
              <w:top w:val="nil"/>
              <w:left w:val="nil"/>
              <w:right w:val="nil"/>
            </w:tcBorders>
            <w:shd w:val="clear" w:color="auto" w:fill="F9C9BA" w:themeFill="accent6"/>
            <w:noWrap/>
            <w:vAlign w:val="center"/>
          </w:tcPr>
          <w:p w14:paraId="6812BAFB" w14:textId="77777777" w:rsidR="00C45D5B" w:rsidRPr="00D95FBE" w:rsidRDefault="00C45D5B" w:rsidP="00CF774B">
            <w:pPr>
              <w:jc w:val="center"/>
              <w:rPr>
                <w:rFonts w:cs="Times New Roman"/>
                <w:b/>
                <w:sz w:val="18"/>
                <w:szCs w:val="18"/>
              </w:rPr>
            </w:pPr>
            <w:r w:rsidRPr="00D95FBE">
              <w:rPr>
                <w:rFonts w:cs="Times New Roman"/>
                <w:b/>
                <w:sz w:val="18"/>
                <w:szCs w:val="18"/>
              </w:rPr>
              <w:t>vysoké</w:t>
            </w:r>
          </w:p>
        </w:tc>
      </w:tr>
      <w:tr w:rsidR="00C45D5B" w:rsidRPr="00D95FBE" w14:paraId="7C95CA6D" w14:textId="77777777" w:rsidTr="00CF774B">
        <w:trPr>
          <w:trHeight w:val="191"/>
        </w:trPr>
        <w:tc>
          <w:tcPr>
            <w:tcW w:w="2418" w:type="dxa"/>
            <w:tcBorders>
              <w:top w:val="nil"/>
              <w:left w:val="nil"/>
              <w:right w:val="nil"/>
            </w:tcBorders>
            <w:shd w:val="clear" w:color="auto" w:fill="auto"/>
            <w:noWrap/>
            <w:vAlign w:val="center"/>
            <w:hideMark/>
          </w:tcPr>
          <w:p w14:paraId="4D013B19" w14:textId="77777777" w:rsidR="00C45D5B" w:rsidRPr="00D95FBE" w:rsidRDefault="00C45D5B" w:rsidP="00CF774B">
            <w:pPr>
              <w:rPr>
                <w:rFonts w:cs="Times New Roman"/>
                <w:b/>
                <w:sz w:val="18"/>
                <w:szCs w:val="18"/>
              </w:rPr>
            </w:pPr>
            <w:r>
              <w:rPr>
                <w:rFonts w:cs="Times New Roman"/>
                <w:b/>
                <w:sz w:val="18"/>
                <w:szCs w:val="18"/>
              </w:rPr>
              <w:t>R 2023-25</w:t>
            </w:r>
          </w:p>
        </w:tc>
        <w:tc>
          <w:tcPr>
            <w:tcW w:w="1239" w:type="dxa"/>
            <w:tcBorders>
              <w:top w:val="nil"/>
              <w:left w:val="nil"/>
              <w:right w:val="nil"/>
            </w:tcBorders>
            <w:shd w:val="clear" w:color="auto" w:fill="auto"/>
            <w:noWrap/>
            <w:vAlign w:val="center"/>
            <w:hideMark/>
          </w:tcPr>
          <w:p w14:paraId="4345060C" w14:textId="77777777" w:rsidR="00C45D5B" w:rsidRPr="00D95FBE" w:rsidRDefault="00C45D5B" w:rsidP="00CF774B">
            <w:pPr>
              <w:jc w:val="center"/>
              <w:rPr>
                <w:rFonts w:cs="Times New Roman"/>
                <w:sz w:val="18"/>
                <w:szCs w:val="18"/>
              </w:rPr>
            </w:pPr>
            <w:r w:rsidRPr="00D95FBE">
              <w:rPr>
                <w:rFonts w:cs="Times New Roman"/>
                <w:sz w:val="18"/>
                <w:szCs w:val="18"/>
              </w:rPr>
              <w:t>2024</w:t>
            </w:r>
          </w:p>
        </w:tc>
        <w:tc>
          <w:tcPr>
            <w:tcW w:w="1088" w:type="dxa"/>
            <w:tcBorders>
              <w:top w:val="nil"/>
              <w:left w:val="nil"/>
              <w:right w:val="nil"/>
            </w:tcBorders>
            <w:shd w:val="clear" w:color="auto" w:fill="auto"/>
            <w:noWrap/>
            <w:vAlign w:val="center"/>
            <w:hideMark/>
          </w:tcPr>
          <w:p w14:paraId="4A05DDA4" w14:textId="77777777" w:rsidR="00C45D5B" w:rsidRPr="00D95FBE" w:rsidRDefault="00C45D5B" w:rsidP="00CF774B">
            <w:pPr>
              <w:jc w:val="center"/>
              <w:rPr>
                <w:rFonts w:cs="Times New Roman"/>
                <w:sz w:val="18"/>
                <w:szCs w:val="18"/>
              </w:rPr>
            </w:pPr>
            <w:r>
              <w:rPr>
                <w:rFonts w:cs="Times New Roman"/>
                <w:sz w:val="18"/>
                <w:szCs w:val="18"/>
              </w:rPr>
              <w:t>-1,7</w:t>
            </w:r>
          </w:p>
        </w:tc>
        <w:tc>
          <w:tcPr>
            <w:tcW w:w="1088" w:type="dxa"/>
            <w:tcBorders>
              <w:top w:val="nil"/>
              <w:left w:val="nil"/>
              <w:right w:val="nil"/>
            </w:tcBorders>
            <w:shd w:val="clear" w:color="auto" w:fill="auto"/>
            <w:noWrap/>
            <w:vAlign w:val="center"/>
            <w:hideMark/>
          </w:tcPr>
          <w:p w14:paraId="5E14A9E7" w14:textId="51C13685" w:rsidR="00C45D5B" w:rsidRPr="00D95FBE" w:rsidRDefault="00370593" w:rsidP="00CF774B">
            <w:pPr>
              <w:jc w:val="center"/>
              <w:rPr>
                <w:rFonts w:cs="Times New Roman"/>
                <w:sz w:val="18"/>
                <w:szCs w:val="18"/>
              </w:rPr>
            </w:pPr>
            <w:r>
              <w:rPr>
                <w:rFonts w:cs="Times New Roman"/>
                <w:sz w:val="18"/>
                <w:szCs w:val="18"/>
              </w:rPr>
              <w:t>56,4</w:t>
            </w:r>
          </w:p>
        </w:tc>
        <w:tc>
          <w:tcPr>
            <w:tcW w:w="1091" w:type="dxa"/>
            <w:tcBorders>
              <w:top w:val="nil"/>
              <w:left w:val="nil"/>
              <w:right w:val="single" w:sz="2" w:space="0" w:color="auto"/>
            </w:tcBorders>
            <w:shd w:val="clear" w:color="auto" w:fill="auto"/>
            <w:vAlign w:val="center"/>
          </w:tcPr>
          <w:p w14:paraId="59C6EE24" w14:textId="77777777" w:rsidR="00C45D5B" w:rsidRPr="00D95FBE" w:rsidRDefault="00C45D5B" w:rsidP="00CF774B">
            <w:pPr>
              <w:jc w:val="center"/>
              <w:rPr>
                <w:rFonts w:cs="Times New Roman"/>
                <w:b/>
                <w:sz w:val="18"/>
                <w:szCs w:val="18"/>
              </w:rPr>
            </w:pPr>
            <w:r w:rsidRPr="00D95FBE">
              <w:rPr>
                <w:rFonts w:cs="Times New Roman"/>
                <w:b/>
                <w:sz w:val="18"/>
                <w:szCs w:val="18"/>
              </w:rPr>
              <w:t>áno</w:t>
            </w:r>
          </w:p>
        </w:tc>
        <w:tc>
          <w:tcPr>
            <w:tcW w:w="1093" w:type="dxa"/>
            <w:tcBorders>
              <w:top w:val="nil"/>
              <w:left w:val="single" w:sz="2" w:space="0" w:color="auto"/>
              <w:right w:val="nil"/>
            </w:tcBorders>
            <w:shd w:val="clear" w:color="auto" w:fill="F9C9BA" w:themeFill="accent6"/>
          </w:tcPr>
          <w:p w14:paraId="3FAAB225" w14:textId="3C8BBE1D" w:rsidR="00C45D5B" w:rsidRPr="00D95FBE" w:rsidRDefault="00370593" w:rsidP="00CF774B">
            <w:pPr>
              <w:jc w:val="center"/>
              <w:rPr>
                <w:rFonts w:cs="Times New Roman"/>
                <w:b/>
                <w:sz w:val="18"/>
                <w:szCs w:val="18"/>
              </w:rPr>
            </w:pPr>
            <w:r>
              <w:rPr>
                <w:rFonts w:cs="Times New Roman"/>
                <w:b/>
                <w:sz w:val="18"/>
                <w:szCs w:val="18"/>
              </w:rPr>
              <w:t>9,0</w:t>
            </w:r>
          </w:p>
        </w:tc>
        <w:tc>
          <w:tcPr>
            <w:tcW w:w="1095" w:type="dxa"/>
            <w:tcBorders>
              <w:top w:val="nil"/>
              <w:left w:val="nil"/>
              <w:right w:val="nil"/>
            </w:tcBorders>
            <w:shd w:val="clear" w:color="auto" w:fill="F9C9BA" w:themeFill="accent6"/>
            <w:noWrap/>
            <w:vAlign w:val="center"/>
          </w:tcPr>
          <w:p w14:paraId="128111D5" w14:textId="77777777" w:rsidR="00C45D5B" w:rsidRPr="00D95FBE" w:rsidRDefault="00C45D5B" w:rsidP="00CF774B">
            <w:pPr>
              <w:jc w:val="center"/>
              <w:rPr>
                <w:rFonts w:cs="Times New Roman"/>
                <w:b/>
                <w:sz w:val="18"/>
                <w:szCs w:val="18"/>
              </w:rPr>
            </w:pPr>
            <w:r w:rsidRPr="00D95FBE">
              <w:rPr>
                <w:rFonts w:cs="Times New Roman"/>
                <w:b/>
                <w:sz w:val="18"/>
                <w:szCs w:val="18"/>
              </w:rPr>
              <w:t>vysoké</w:t>
            </w:r>
          </w:p>
        </w:tc>
      </w:tr>
      <w:tr w:rsidR="00C45D5B" w:rsidRPr="00D95FBE" w14:paraId="26620CAD" w14:textId="77777777" w:rsidTr="00CF774B">
        <w:trPr>
          <w:trHeight w:val="191"/>
        </w:trPr>
        <w:tc>
          <w:tcPr>
            <w:tcW w:w="2418" w:type="dxa"/>
            <w:tcBorders>
              <w:top w:val="nil"/>
              <w:left w:val="nil"/>
              <w:bottom w:val="single" w:sz="12" w:space="0" w:color="auto"/>
            </w:tcBorders>
            <w:shd w:val="clear" w:color="auto" w:fill="auto"/>
            <w:noWrap/>
            <w:vAlign w:val="center"/>
          </w:tcPr>
          <w:p w14:paraId="1983C4B1" w14:textId="77777777" w:rsidR="00C45D5B" w:rsidRPr="00D95FBE" w:rsidRDefault="00C45D5B" w:rsidP="00CF774B">
            <w:pPr>
              <w:rPr>
                <w:rFonts w:cs="Times New Roman"/>
                <w:b/>
                <w:sz w:val="18"/>
                <w:szCs w:val="18"/>
              </w:rPr>
            </w:pPr>
            <w:r>
              <w:rPr>
                <w:rFonts w:cs="Times New Roman"/>
                <w:b/>
                <w:sz w:val="18"/>
                <w:szCs w:val="18"/>
              </w:rPr>
              <w:t>R 2023-25</w:t>
            </w:r>
          </w:p>
        </w:tc>
        <w:tc>
          <w:tcPr>
            <w:tcW w:w="1239" w:type="dxa"/>
            <w:tcBorders>
              <w:top w:val="nil"/>
              <w:bottom w:val="single" w:sz="12" w:space="0" w:color="auto"/>
            </w:tcBorders>
            <w:shd w:val="clear" w:color="auto" w:fill="auto"/>
            <w:noWrap/>
            <w:vAlign w:val="center"/>
          </w:tcPr>
          <w:p w14:paraId="6F1D6EF9" w14:textId="77777777" w:rsidR="00C45D5B" w:rsidRPr="00D95FBE" w:rsidRDefault="00C45D5B" w:rsidP="00CF774B">
            <w:pPr>
              <w:jc w:val="center"/>
              <w:rPr>
                <w:rFonts w:cs="Times New Roman"/>
                <w:sz w:val="18"/>
                <w:szCs w:val="18"/>
              </w:rPr>
            </w:pPr>
            <w:r>
              <w:rPr>
                <w:rFonts w:cs="Times New Roman"/>
                <w:sz w:val="18"/>
                <w:szCs w:val="18"/>
              </w:rPr>
              <w:t>2025</w:t>
            </w:r>
          </w:p>
        </w:tc>
        <w:tc>
          <w:tcPr>
            <w:tcW w:w="1088" w:type="dxa"/>
            <w:tcBorders>
              <w:top w:val="nil"/>
              <w:bottom w:val="single" w:sz="12" w:space="0" w:color="auto"/>
            </w:tcBorders>
            <w:shd w:val="clear" w:color="auto" w:fill="auto"/>
            <w:noWrap/>
            <w:vAlign w:val="center"/>
          </w:tcPr>
          <w:p w14:paraId="57373AE5" w14:textId="77777777" w:rsidR="00C45D5B" w:rsidRPr="00D95FBE" w:rsidRDefault="00C45D5B" w:rsidP="00CF774B">
            <w:pPr>
              <w:jc w:val="center"/>
              <w:rPr>
                <w:rFonts w:cs="Times New Roman"/>
                <w:sz w:val="18"/>
                <w:szCs w:val="18"/>
              </w:rPr>
            </w:pPr>
            <w:r>
              <w:rPr>
                <w:rFonts w:cs="Times New Roman"/>
                <w:sz w:val="18"/>
                <w:szCs w:val="18"/>
              </w:rPr>
              <w:t>-1,1</w:t>
            </w:r>
          </w:p>
        </w:tc>
        <w:tc>
          <w:tcPr>
            <w:tcW w:w="1088" w:type="dxa"/>
            <w:tcBorders>
              <w:top w:val="nil"/>
              <w:bottom w:val="single" w:sz="12" w:space="0" w:color="auto"/>
            </w:tcBorders>
            <w:shd w:val="clear" w:color="auto" w:fill="auto"/>
            <w:noWrap/>
            <w:vAlign w:val="center"/>
          </w:tcPr>
          <w:p w14:paraId="7CDB4784" w14:textId="66BC7B8A" w:rsidR="00C45D5B" w:rsidRPr="00D95FBE" w:rsidRDefault="00B4146A" w:rsidP="00CF774B">
            <w:pPr>
              <w:jc w:val="center"/>
              <w:rPr>
                <w:rFonts w:cs="Times New Roman"/>
                <w:sz w:val="18"/>
                <w:szCs w:val="18"/>
              </w:rPr>
            </w:pPr>
            <w:r>
              <w:rPr>
                <w:rFonts w:cs="Times New Roman"/>
                <w:sz w:val="18"/>
                <w:szCs w:val="18"/>
              </w:rPr>
              <w:t>54,1</w:t>
            </w:r>
          </w:p>
        </w:tc>
        <w:tc>
          <w:tcPr>
            <w:tcW w:w="1091" w:type="dxa"/>
            <w:tcBorders>
              <w:top w:val="nil"/>
              <w:bottom w:val="single" w:sz="12" w:space="0" w:color="auto"/>
              <w:right w:val="single" w:sz="2" w:space="0" w:color="auto"/>
            </w:tcBorders>
            <w:shd w:val="clear" w:color="auto" w:fill="auto"/>
            <w:vAlign w:val="center"/>
          </w:tcPr>
          <w:p w14:paraId="03539B7A" w14:textId="77777777" w:rsidR="00C45D5B" w:rsidRPr="00D95FBE" w:rsidRDefault="00C45D5B" w:rsidP="00CF774B">
            <w:pPr>
              <w:jc w:val="center"/>
              <w:rPr>
                <w:rFonts w:cs="Times New Roman"/>
                <w:b/>
                <w:sz w:val="18"/>
                <w:szCs w:val="18"/>
              </w:rPr>
            </w:pPr>
            <w:r w:rsidRPr="00D95FBE">
              <w:rPr>
                <w:rFonts w:cs="Times New Roman"/>
                <w:b/>
                <w:sz w:val="18"/>
                <w:szCs w:val="18"/>
              </w:rPr>
              <w:t>áno</w:t>
            </w:r>
          </w:p>
        </w:tc>
        <w:tc>
          <w:tcPr>
            <w:tcW w:w="1093" w:type="dxa"/>
            <w:tcBorders>
              <w:top w:val="nil"/>
              <w:left w:val="single" w:sz="2" w:space="0" w:color="auto"/>
              <w:bottom w:val="single" w:sz="12" w:space="0" w:color="auto"/>
            </w:tcBorders>
            <w:shd w:val="clear" w:color="auto" w:fill="F9C9BA" w:themeFill="accent6"/>
          </w:tcPr>
          <w:p w14:paraId="39804900" w14:textId="69BDAF09" w:rsidR="00C45D5B" w:rsidRPr="00D95FBE" w:rsidRDefault="00370593" w:rsidP="00CF774B">
            <w:pPr>
              <w:jc w:val="center"/>
              <w:rPr>
                <w:rFonts w:cs="Times New Roman"/>
                <w:b/>
                <w:sz w:val="18"/>
                <w:szCs w:val="18"/>
              </w:rPr>
            </w:pPr>
            <w:r>
              <w:rPr>
                <w:rFonts w:cs="Times New Roman"/>
                <w:b/>
                <w:sz w:val="18"/>
                <w:szCs w:val="18"/>
              </w:rPr>
              <w:t>8,2</w:t>
            </w:r>
          </w:p>
        </w:tc>
        <w:tc>
          <w:tcPr>
            <w:tcW w:w="1095" w:type="dxa"/>
            <w:tcBorders>
              <w:top w:val="nil"/>
              <w:bottom w:val="single" w:sz="12" w:space="0" w:color="auto"/>
              <w:right w:val="nil"/>
            </w:tcBorders>
            <w:shd w:val="clear" w:color="auto" w:fill="F9C9BA" w:themeFill="accent6"/>
            <w:noWrap/>
            <w:vAlign w:val="center"/>
          </w:tcPr>
          <w:p w14:paraId="097D48E4" w14:textId="77777777" w:rsidR="00C45D5B" w:rsidRPr="00D95FBE" w:rsidRDefault="00C45D5B" w:rsidP="00CF774B">
            <w:pPr>
              <w:jc w:val="center"/>
              <w:rPr>
                <w:rFonts w:cs="Times New Roman"/>
                <w:b/>
                <w:sz w:val="18"/>
                <w:szCs w:val="18"/>
              </w:rPr>
            </w:pPr>
            <w:r w:rsidRPr="00D95FBE">
              <w:rPr>
                <w:rFonts w:cs="Times New Roman"/>
                <w:b/>
                <w:sz w:val="18"/>
                <w:szCs w:val="18"/>
              </w:rPr>
              <w:t>vysoké</w:t>
            </w:r>
          </w:p>
        </w:tc>
      </w:tr>
    </w:tbl>
    <w:p w14:paraId="1A8D0505" w14:textId="77777777" w:rsidR="00C45D5B" w:rsidRPr="00D95FBE" w:rsidRDefault="00C45D5B" w:rsidP="00C45D5B">
      <w:pPr>
        <w:jc w:val="right"/>
        <w:rPr>
          <w:rFonts w:cs="Times New Roman"/>
          <w:i/>
          <w:sz w:val="16"/>
          <w:szCs w:val="16"/>
        </w:rPr>
      </w:pPr>
      <w:r w:rsidRPr="00D95FBE">
        <w:rPr>
          <w:rFonts w:cs="Times New Roman"/>
          <w:i/>
          <w:sz w:val="16"/>
          <w:szCs w:val="16"/>
        </w:rPr>
        <w:t>Zdroj: MF SR</w:t>
      </w:r>
    </w:p>
    <w:p w14:paraId="2F063ED3" w14:textId="70E89083" w:rsidR="00C45D5B" w:rsidRPr="00D95FBE" w:rsidRDefault="00C45D5B" w:rsidP="00C45D5B">
      <w:pPr>
        <w:pStyle w:val="Popis"/>
        <w:keepNext/>
        <w:spacing w:after="0"/>
        <w:rPr>
          <w:sz w:val="20"/>
          <w:szCs w:val="20"/>
        </w:rPr>
      </w:pPr>
      <w:bookmarkStart w:id="311" w:name="_Toc40186699"/>
      <w:bookmarkStart w:id="312" w:name="_Toc71622482"/>
      <w:bookmarkStart w:id="313" w:name="_Toc101880723"/>
      <w:r w:rsidRPr="00D95FBE">
        <w:rPr>
          <w:rFonts w:eastAsiaTheme="minorHAnsi"/>
          <w:color w:val="2C9ADC"/>
          <w:sz w:val="20"/>
          <w:szCs w:val="20"/>
          <w:lang w:eastAsia="en-US"/>
        </w:rPr>
        <w:t xml:space="preserve">TABUĽKA </w:t>
      </w:r>
      <w:r w:rsidRPr="00D95FBE">
        <w:rPr>
          <w:rFonts w:eastAsiaTheme="minorHAnsi"/>
          <w:color w:val="2C9ADC"/>
          <w:sz w:val="20"/>
          <w:szCs w:val="20"/>
          <w:lang w:eastAsia="en-US"/>
        </w:rPr>
        <w:fldChar w:fldCharType="begin"/>
      </w:r>
      <w:r w:rsidRPr="00D95FBE">
        <w:rPr>
          <w:rFonts w:eastAsiaTheme="minorHAnsi"/>
          <w:color w:val="2C9ADC"/>
          <w:sz w:val="20"/>
          <w:szCs w:val="20"/>
          <w:lang w:eastAsia="en-US"/>
        </w:rPr>
        <w:instrText xml:space="preserve"> SEQ TABUĽKA \* ARABIC </w:instrText>
      </w:r>
      <w:r w:rsidRPr="00D95FBE">
        <w:rPr>
          <w:rFonts w:eastAsiaTheme="minorHAnsi"/>
          <w:color w:val="2C9ADC"/>
          <w:sz w:val="20"/>
          <w:szCs w:val="20"/>
          <w:lang w:eastAsia="en-US"/>
        </w:rPr>
        <w:fldChar w:fldCharType="separate"/>
      </w:r>
      <w:r w:rsidR="005D3280">
        <w:rPr>
          <w:rFonts w:eastAsiaTheme="minorHAnsi"/>
          <w:noProof/>
          <w:color w:val="2C9ADC"/>
          <w:sz w:val="20"/>
          <w:szCs w:val="20"/>
          <w:lang w:eastAsia="en-US"/>
        </w:rPr>
        <w:t>44</w:t>
      </w:r>
      <w:r w:rsidRPr="00D95FBE">
        <w:rPr>
          <w:rFonts w:eastAsiaTheme="minorHAnsi"/>
          <w:color w:val="2C9ADC"/>
          <w:sz w:val="20"/>
          <w:szCs w:val="20"/>
          <w:lang w:eastAsia="en-US"/>
        </w:rPr>
        <w:fldChar w:fldCharType="end"/>
      </w:r>
      <w:r w:rsidRPr="00D95FBE">
        <w:rPr>
          <w:sz w:val="20"/>
          <w:szCs w:val="20"/>
        </w:rPr>
        <w:t xml:space="preserve"> </w:t>
      </w:r>
      <w:r w:rsidRPr="00D95FBE">
        <w:rPr>
          <w:rFonts w:eastAsiaTheme="minorHAnsi"/>
          <w:b w:val="0"/>
          <w:color w:val="2C9ADC"/>
          <w:sz w:val="20"/>
          <w:szCs w:val="20"/>
          <w:lang w:eastAsia="en-US"/>
        </w:rPr>
        <w:t>–</w:t>
      </w:r>
      <w:r w:rsidRPr="00D95FBE">
        <w:rPr>
          <w:sz w:val="20"/>
          <w:szCs w:val="20"/>
        </w:rPr>
        <w:t xml:space="preserve"> Rozbor indikátora udržateľnosti S2</w:t>
      </w:r>
      <w:bookmarkEnd w:id="311"/>
      <w:bookmarkEnd w:id="312"/>
      <w:bookmarkEnd w:id="313"/>
    </w:p>
    <w:tbl>
      <w:tblPr>
        <w:tblW w:w="5000" w:type="pct"/>
        <w:tblCellMar>
          <w:left w:w="70" w:type="dxa"/>
          <w:right w:w="70" w:type="dxa"/>
        </w:tblCellMar>
        <w:tblLook w:val="04A0" w:firstRow="1" w:lastRow="0" w:firstColumn="1" w:lastColumn="0" w:noHBand="0" w:noVBand="1"/>
      </w:tblPr>
      <w:tblGrid>
        <w:gridCol w:w="6113"/>
        <w:gridCol w:w="160"/>
        <w:gridCol w:w="814"/>
        <w:gridCol w:w="1134"/>
        <w:gridCol w:w="65"/>
        <w:gridCol w:w="784"/>
      </w:tblGrid>
      <w:tr w:rsidR="00C45D5B" w:rsidRPr="00D95FBE" w14:paraId="51212E44" w14:textId="77777777" w:rsidTr="00CF774B">
        <w:trPr>
          <w:trHeight w:val="430"/>
        </w:trPr>
        <w:tc>
          <w:tcPr>
            <w:tcW w:w="3370" w:type="pct"/>
            <w:tcBorders>
              <w:top w:val="single" w:sz="4" w:space="0" w:color="auto"/>
              <w:left w:val="nil"/>
              <w:bottom w:val="single" w:sz="8" w:space="0" w:color="auto"/>
            </w:tcBorders>
            <w:shd w:val="clear" w:color="auto" w:fill="auto"/>
            <w:noWrap/>
            <w:vAlign w:val="center"/>
          </w:tcPr>
          <w:p w14:paraId="1DA4EC5C" w14:textId="77777777" w:rsidR="00C45D5B" w:rsidRPr="00D95FBE" w:rsidRDefault="00C45D5B" w:rsidP="00CF774B">
            <w:pPr>
              <w:jc w:val="center"/>
              <w:rPr>
                <w:rFonts w:cs="Times New Roman"/>
                <w:b/>
                <w:color w:val="000000"/>
                <w:sz w:val="18"/>
                <w:szCs w:val="18"/>
              </w:rPr>
            </w:pPr>
          </w:p>
        </w:tc>
        <w:tc>
          <w:tcPr>
            <w:tcW w:w="537" w:type="pct"/>
            <w:gridSpan w:val="2"/>
            <w:tcBorders>
              <w:top w:val="single" w:sz="4" w:space="0" w:color="auto"/>
              <w:left w:val="nil"/>
              <w:bottom w:val="single" w:sz="8" w:space="0" w:color="auto"/>
            </w:tcBorders>
            <w:shd w:val="clear" w:color="auto" w:fill="auto"/>
            <w:vAlign w:val="center"/>
          </w:tcPr>
          <w:p w14:paraId="5B0C58BE" w14:textId="77777777" w:rsidR="00C45D5B" w:rsidRPr="00824184" w:rsidRDefault="00C45D5B" w:rsidP="00CF774B">
            <w:pPr>
              <w:jc w:val="center"/>
              <w:rPr>
                <w:rFonts w:cs="Times New Roman"/>
                <w:b/>
                <w:bCs/>
                <w:color w:val="000000" w:themeColor="text1"/>
                <w:sz w:val="18"/>
                <w:szCs w:val="18"/>
              </w:rPr>
            </w:pPr>
            <w:r w:rsidRPr="00824184">
              <w:rPr>
                <w:rFonts w:cs="Times New Roman"/>
                <w:b/>
                <w:bCs/>
                <w:color w:val="000000" w:themeColor="text1"/>
                <w:sz w:val="18"/>
                <w:szCs w:val="18"/>
              </w:rPr>
              <w:t>OS 2022</w:t>
            </w:r>
          </w:p>
        </w:tc>
        <w:tc>
          <w:tcPr>
            <w:tcW w:w="625" w:type="pct"/>
            <w:tcBorders>
              <w:top w:val="single" w:sz="4" w:space="0" w:color="auto"/>
              <w:left w:val="nil"/>
              <w:bottom w:val="single" w:sz="8" w:space="0" w:color="auto"/>
              <w:right w:val="nil"/>
            </w:tcBorders>
            <w:vAlign w:val="center"/>
          </w:tcPr>
          <w:p w14:paraId="03B54A44" w14:textId="77777777" w:rsidR="00C45D5B" w:rsidRPr="00824184" w:rsidRDefault="00C45D5B" w:rsidP="00CF774B">
            <w:pPr>
              <w:jc w:val="center"/>
              <w:rPr>
                <w:rFonts w:cs="Times New Roman"/>
                <w:b/>
                <w:bCs/>
                <w:color w:val="000000" w:themeColor="text1"/>
                <w:sz w:val="18"/>
                <w:szCs w:val="18"/>
              </w:rPr>
            </w:pPr>
            <w:r w:rsidRPr="00824184">
              <w:rPr>
                <w:rFonts w:cs="Times New Roman"/>
                <w:b/>
                <w:bCs/>
                <w:color w:val="000000" w:themeColor="text1"/>
                <w:sz w:val="18"/>
                <w:szCs w:val="18"/>
              </w:rPr>
              <w:t>R 2023-25</w:t>
            </w:r>
          </w:p>
        </w:tc>
        <w:tc>
          <w:tcPr>
            <w:tcW w:w="468" w:type="pct"/>
            <w:gridSpan w:val="2"/>
            <w:tcBorders>
              <w:top w:val="single" w:sz="4" w:space="0" w:color="auto"/>
              <w:left w:val="nil"/>
              <w:bottom w:val="single" w:sz="8" w:space="0" w:color="auto"/>
            </w:tcBorders>
            <w:shd w:val="clear" w:color="auto" w:fill="auto"/>
            <w:vAlign w:val="center"/>
          </w:tcPr>
          <w:p w14:paraId="5CEED2FD" w14:textId="77777777" w:rsidR="00C45D5B" w:rsidRPr="00824184" w:rsidRDefault="00C45D5B" w:rsidP="00CF774B">
            <w:pPr>
              <w:jc w:val="center"/>
              <w:rPr>
                <w:rFonts w:cs="Times New Roman"/>
                <w:b/>
                <w:bCs/>
                <w:color w:val="000000" w:themeColor="text1"/>
                <w:sz w:val="18"/>
                <w:szCs w:val="18"/>
              </w:rPr>
            </w:pPr>
            <w:r w:rsidRPr="00824184">
              <w:rPr>
                <w:rFonts w:cs="Times New Roman"/>
                <w:b/>
                <w:bCs/>
                <w:color w:val="000000" w:themeColor="text1"/>
                <w:sz w:val="18"/>
                <w:szCs w:val="18"/>
              </w:rPr>
              <w:t>R 2023-25</w:t>
            </w:r>
          </w:p>
        </w:tc>
      </w:tr>
      <w:tr w:rsidR="00C45D5B" w:rsidRPr="00D95FBE" w14:paraId="16A3E95E" w14:textId="77777777" w:rsidTr="00CF774B">
        <w:trPr>
          <w:trHeight w:val="287"/>
        </w:trPr>
        <w:tc>
          <w:tcPr>
            <w:tcW w:w="3370" w:type="pct"/>
            <w:tcBorders>
              <w:top w:val="single" w:sz="8" w:space="0" w:color="auto"/>
              <w:left w:val="nil"/>
              <w:bottom w:val="single" w:sz="4" w:space="0" w:color="auto"/>
            </w:tcBorders>
            <w:shd w:val="clear" w:color="auto" w:fill="auto"/>
            <w:noWrap/>
            <w:vAlign w:val="center"/>
            <w:hideMark/>
          </w:tcPr>
          <w:p w14:paraId="00F8D84C" w14:textId="77777777" w:rsidR="00C45D5B" w:rsidRPr="00D95FBE" w:rsidRDefault="00C45D5B" w:rsidP="00CF774B">
            <w:pPr>
              <w:rPr>
                <w:rFonts w:cs="Times New Roman"/>
                <w:b/>
                <w:bCs/>
                <w:color w:val="000000" w:themeColor="text1"/>
                <w:sz w:val="18"/>
                <w:szCs w:val="18"/>
              </w:rPr>
            </w:pPr>
            <w:r w:rsidRPr="00D95FBE">
              <w:rPr>
                <w:rFonts w:cs="Times New Roman"/>
                <w:b/>
                <w:bCs/>
                <w:color w:val="000000" w:themeColor="text1"/>
                <w:sz w:val="18"/>
                <w:szCs w:val="18"/>
              </w:rPr>
              <w:t>S2 Indikátor (% HDP)</w:t>
            </w:r>
          </w:p>
        </w:tc>
        <w:tc>
          <w:tcPr>
            <w:tcW w:w="537" w:type="pct"/>
            <w:gridSpan w:val="2"/>
            <w:tcBorders>
              <w:top w:val="single" w:sz="8" w:space="0" w:color="auto"/>
              <w:bottom w:val="single" w:sz="4" w:space="0" w:color="auto"/>
            </w:tcBorders>
            <w:shd w:val="clear" w:color="auto" w:fill="F9C9BA" w:themeFill="accent6"/>
            <w:noWrap/>
            <w:vAlign w:val="center"/>
          </w:tcPr>
          <w:p w14:paraId="658E9D2B" w14:textId="77777777" w:rsidR="00C45D5B" w:rsidRPr="00824184" w:rsidRDefault="00C45D5B" w:rsidP="00CF774B">
            <w:pPr>
              <w:jc w:val="center"/>
              <w:rPr>
                <w:rFonts w:cs="Times New Roman"/>
                <w:b/>
                <w:bCs/>
                <w:color w:val="000000" w:themeColor="text1"/>
                <w:sz w:val="18"/>
                <w:szCs w:val="18"/>
              </w:rPr>
            </w:pPr>
            <w:r w:rsidRPr="00824184">
              <w:rPr>
                <w:rFonts w:cs="Times New Roman"/>
                <w:b/>
                <w:sz w:val="18"/>
                <w:szCs w:val="18"/>
              </w:rPr>
              <w:t>10,8</w:t>
            </w:r>
          </w:p>
        </w:tc>
        <w:tc>
          <w:tcPr>
            <w:tcW w:w="625" w:type="pct"/>
            <w:tcBorders>
              <w:top w:val="single" w:sz="8" w:space="0" w:color="auto"/>
              <w:bottom w:val="single" w:sz="4" w:space="0" w:color="auto"/>
            </w:tcBorders>
            <w:shd w:val="clear" w:color="auto" w:fill="F9C9BA" w:themeFill="accent6"/>
            <w:vAlign w:val="center"/>
          </w:tcPr>
          <w:p w14:paraId="2B30785B" w14:textId="5F575801" w:rsidR="00C45D5B" w:rsidRPr="00824184" w:rsidRDefault="00725F05" w:rsidP="00CF774B">
            <w:pPr>
              <w:jc w:val="center"/>
              <w:rPr>
                <w:rFonts w:cs="Times New Roman"/>
                <w:b/>
                <w:bCs/>
                <w:color w:val="000000" w:themeColor="text1"/>
                <w:sz w:val="18"/>
                <w:szCs w:val="18"/>
              </w:rPr>
            </w:pPr>
            <w:r>
              <w:rPr>
                <w:rFonts w:cs="Times New Roman"/>
                <w:b/>
                <w:bCs/>
                <w:color w:val="000000" w:themeColor="text1"/>
                <w:sz w:val="18"/>
                <w:szCs w:val="18"/>
              </w:rPr>
              <w:t>9,0</w:t>
            </w:r>
          </w:p>
        </w:tc>
        <w:tc>
          <w:tcPr>
            <w:tcW w:w="468" w:type="pct"/>
            <w:gridSpan w:val="2"/>
            <w:tcBorders>
              <w:top w:val="single" w:sz="8" w:space="0" w:color="auto"/>
              <w:bottom w:val="single" w:sz="4" w:space="0" w:color="auto"/>
            </w:tcBorders>
            <w:shd w:val="clear" w:color="auto" w:fill="F9C9BA" w:themeFill="accent6"/>
            <w:noWrap/>
            <w:vAlign w:val="center"/>
          </w:tcPr>
          <w:p w14:paraId="7D85F20D" w14:textId="21BDCB3E" w:rsidR="00C45D5B" w:rsidRPr="00824184" w:rsidRDefault="00725F05" w:rsidP="00CF774B">
            <w:pPr>
              <w:jc w:val="center"/>
              <w:rPr>
                <w:rFonts w:cs="Times New Roman"/>
                <w:b/>
                <w:bCs/>
                <w:color w:val="000000" w:themeColor="text1"/>
                <w:sz w:val="18"/>
                <w:szCs w:val="18"/>
              </w:rPr>
            </w:pPr>
            <w:r>
              <w:rPr>
                <w:rFonts w:cs="Times New Roman"/>
                <w:b/>
                <w:bCs/>
                <w:color w:val="000000" w:themeColor="text1"/>
                <w:sz w:val="18"/>
                <w:szCs w:val="18"/>
              </w:rPr>
              <w:t>8,2</w:t>
            </w:r>
          </w:p>
        </w:tc>
      </w:tr>
      <w:tr w:rsidR="00C45D5B" w:rsidRPr="00824184" w14:paraId="25B6FEA5" w14:textId="77777777" w:rsidTr="00CF774B">
        <w:trPr>
          <w:gridAfter w:val="1"/>
          <w:wAfter w:w="432" w:type="pct"/>
          <w:trHeight w:val="228"/>
        </w:trPr>
        <w:tc>
          <w:tcPr>
            <w:tcW w:w="3370" w:type="pct"/>
            <w:tcBorders>
              <w:top w:val="single" w:sz="4" w:space="0" w:color="auto"/>
              <w:left w:val="nil"/>
            </w:tcBorders>
            <w:shd w:val="clear" w:color="auto" w:fill="auto"/>
            <w:noWrap/>
            <w:vAlign w:val="center"/>
          </w:tcPr>
          <w:p w14:paraId="293C6C61" w14:textId="77777777" w:rsidR="00C45D5B" w:rsidRPr="00D95FBE" w:rsidRDefault="00C45D5B" w:rsidP="00CF774B">
            <w:pPr>
              <w:rPr>
                <w:rFonts w:cs="Times New Roman"/>
                <w:bCs/>
                <w:color w:val="000000"/>
                <w:sz w:val="18"/>
                <w:szCs w:val="18"/>
              </w:rPr>
            </w:pPr>
            <w:r w:rsidRPr="00D95FBE">
              <w:rPr>
                <w:rFonts w:cs="Times New Roman"/>
                <w:bCs/>
                <w:color w:val="000000"/>
                <w:sz w:val="18"/>
                <w:szCs w:val="18"/>
              </w:rPr>
              <w:t>z toho:</w:t>
            </w:r>
          </w:p>
        </w:tc>
        <w:tc>
          <w:tcPr>
            <w:tcW w:w="88" w:type="pct"/>
            <w:tcBorders>
              <w:top w:val="single" w:sz="4" w:space="0" w:color="auto"/>
            </w:tcBorders>
            <w:shd w:val="clear" w:color="auto" w:fill="auto"/>
            <w:noWrap/>
            <w:vAlign w:val="center"/>
          </w:tcPr>
          <w:p w14:paraId="0E1685AE" w14:textId="77777777" w:rsidR="00C45D5B" w:rsidRPr="00824184" w:rsidRDefault="00C45D5B" w:rsidP="00CF774B">
            <w:pPr>
              <w:jc w:val="center"/>
              <w:rPr>
                <w:rFonts w:cs="Times New Roman"/>
                <w:b/>
                <w:bCs/>
                <w:color w:val="000000"/>
                <w:sz w:val="18"/>
                <w:szCs w:val="18"/>
              </w:rPr>
            </w:pPr>
          </w:p>
        </w:tc>
        <w:tc>
          <w:tcPr>
            <w:tcW w:w="1110" w:type="pct"/>
            <w:gridSpan w:val="3"/>
            <w:tcBorders>
              <w:top w:val="single" w:sz="4" w:space="0" w:color="auto"/>
            </w:tcBorders>
            <w:shd w:val="clear" w:color="auto" w:fill="auto"/>
            <w:vAlign w:val="center"/>
          </w:tcPr>
          <w:p w14:paraId="11131FC8" w14:textId="77777777" w:rsidR="00C45D5B" w:rsidRPr="00824184" w:rsidRDefault="00C45D5B" w:rsidP="00CF774B">
            <w:pPr>
              <w:jc w:val="center"/>
              <w:rPr>
                <w:rFonts w:cs="Times New Roman"/>
                <w:b/>
                <w:bCs/>
                <w:color w:val="000000"/>
                <w:sz w:val="18"/>
                <w:szCs w:val="18"/>
              </w:rPr>
            </w:pPr>
          </w:p>
        </w:tc>
      </w:tr>
      <w:tr w:rsidR="00C45D5B" w:rsidRPr="00D95FBE" w14:paraId="5520691D" w14:textId="77777777" w:rsidTr="00CF774B">
        <w:trPr>
          <w:trHeight w:val="228"/>
        </w:trPr>
        <w:tc>
          <w:tcPr>
            <w:tcW w:w="3370" w:type="pct"/>
            <w:tcBorders>
              <w:left w:val="nil"/>
            </w:tcBorders>
            <w:shd w:val="clear" w:color="auto" w:fill="auto"/>
            <w:noWrap/>
            <w:vAlign w:val="center"/>
            <w:hideMark/>
          </w:tcPr>
          <w:p w14:paraId="7853C240" w14:textId="77777777" w:rsidR="00C45D5B" w:rsidRPr="00D95FBE" w:rsidRDefault="00C45D5B" w:rsidP="00CF774B">
            <w:pPr>
              <w:rPr>
                <w:rFonts w:cs="Times New Roman"/>
                <w:color w:val="000000"/>
                <w:sz w:val="18"/>
                <w:szCs w:val="18"/>
              </w:rPr>
            </w:pPr>
            <w:r w:rsidRPr="00D95FBE">
              <w:rPr>
                <w:rFonts w:cs="Times New Roman"/>
                <w:color w:val="000000"/>
                <w:sz w:val="18"/>
                <w:szCs w:val="18"/>
              </w:rPr>
              <w:t xml:space="preserve">  Počiatočná rozpočtová pozícia</w:t>
            </w:r>
          </w:p>
        </w:tc>
        <w:tc>
          <w:tcPr>
            <w:tcW w:w="537" w:type="pct"/>
            <w:gridSpan w:val="2"/>
            <w:shd w:val="clear" w:color="auto" w:fill="auto"/>
            <w:noWrap/>
            <w:vAlign w:val="center"/>
          </w:tcPr>
          <w:p w14:paraId="405007F0"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3,0</w:t>
            </w:r>
          </w:p>
        </w:tc>
        <w:tc>
          <w:tcPr>
            <w:tcW w:w="625" w:type="pct"/>
            <w:vAlign w:val="center"/>
          </w:tcPr>
          <w:p w14:paraId="594D513C" w14:textId="43863489" w:rsidR="00C45D5B" w:rsidRPr="00824184" w:rsidRDefault="00725F05" w:rsidP="00CF774B">
            <w:pPr>
              <w:jc w:val="center"/>
              <w:rPr>
                <w:rFonts w:cs="Times New Roman"/>
                <w:color w:val="000000"/>
                <w:sz w:val="18"/>
                <w:szCs w:val="18"/>
              </w:rPr>
            </w:pPr>
            <w:r>
              <w:rPr>
                <w:rFonts w:cs="Times New Roman"/>
                <w:color w:val="000000"/>
                <w:sz w:val="18"/>
                <w:szCs w:val="18"/>
              </w:rPr>
              <w:t>1,6</w:t>
            </w:r>
          </w:p>
        </w:tc>
        <w:tc>
          <w:tcPr>
            <w:tcW w:w="468" w:type="pct"/>
            <w:gridSpan w:val="2"/>
            <w:shd w:val="clear" w:color="auto" w:fill="auto"/>
            <w:noWrap/>
            <w:vAlign w:val="center"/>
          </w:tcPr>
          <w:p w14:paraId="06325CD7" w14:textId="01032001" w:rsidR="00C45D5B" w:rsidRPr="00824184" w:rsidRDefault="00725F05" w:rsidP="00CF774B">
            <w:pPr>
              <w:jc w:val="center"/>
              <w:rPr>
                <w:rFonts w:cs="Times New Roman"/>
                <w:color w:val="000000"/>
                <w:sz w:val="18"/>
                <w:szCs w:val="18"/>
              </w:rPr>
            </w:pPr>
            <w:r>
              <w:rPr>
                <w:rFonts w:cs="Times New Roman"/>
                <w:color w:val="000000"/>
                <w:sz w:val="18"/>
                <w:szCs w:val="18"/>
              </w:rPr>
              <w:t>1,0</w:t>
            </w:r>
          </w:p>
        </w:tc>
      </w:tr>
      <w:tr w:rsidR="00C45D5B" w:rsidRPr="00D95FBE" w14:paraId="765D9E20" w14:textId="77777777" w:rsidTr="00CF774B">
        <w:trPr>
          <w:trHeight w:val="228"/>
        </w:trPr>
        <w:tc>
          <w:tcPr>
            <w:tcW w:w="3370" w:type="pct"/>
            <w:tcBorders>
              <w:left w:val="nil"/>
            </w:tcBorders>
            <w:shd w:val="clear" w:color="auto" w:fill="auto"/>
            <w:noWrap/>
            <w:vAlign w:val="center"/>
            <w:hideMark/>
          </w:tcPr>
          <w:p w14:paraId="576D628A" w14:textId="77777777" w:rsidR="00C45D5B" w:rsidRPr="00D95FBE" w:rsidRDefault="00C45D5B" w:rsidP="00CF774B">
            <w:pPr>
              <w:rPr>
                <w:rFonts w:cs="Times New Roman"/>
                <w:color w:val="000000"/>
                <w:sz w:val="18"/>
                <w:szCs w:val="18"/>
              </w:rPr>
            </w:pPr>
            <w:r w:rsidRPr="00D95FBE">
              <w:rPr>
                <w:rFonts w:cs="Times New Roman"/>
                <w:color w:val="000000"/>
                <w:sz w:val="18"/>
                <w:szCs w:val="18"/>
              </w:rPr>
              <w:t xml:space="preserve">  Výdavky na penzie</w:t>
            </w:r>
          </w:p>
        </w:tc>
        <w:tc>
          <w:tcPr>
            <w:tcW w:w="537" w:type="pct"/>
            <w:gridSpan w:val="2"/>
            <w:shd w:val="clear" w:color="auto" w:fill="auto"/>
            <w:noWrap/>
            <w:vAlign w:val="center"/>
          </w:tcPr>
          <w:p w14:paraId="1A6A1C48"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4,2</w:t>
            </w:r>
          </w:p>
        </w:tc>
        <w:tc>
          <w:tcPr>
            <w:tcW w:w="625" w:type="pct"/>
            <w:vAlign w:val="center"/>
          </w:tcPr>
          <w:p w14:paraId="73CBA8F4"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4,1</w:t>
            </w:r>
          </w:p>
        </w:tc>
        <w:tc>
          <w:tcPr>
            <w:tcW w:w="468" w:type="pct"/>
            <w:gridSpan w:val="2"/>
            <w:shd w:val="clear" w:color="auto" w:fill="auto"/>
            <w:noWrap/>
            <w:vAlign w:val="center"/>
          </w:tcPr>
          <w:p w14:paraId="671D9EAF"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4,1</w:t>
            </w:r>
          </w:p>
        </w:tc>
      </w:tr>
      <w:tr w:rsidR="00C45D5B" w:rsidRPr="00D95FBE" w14:paraId="1C906973" w14:textId="77777777" w:rsidTr="00CF774B">
        <w:trPr>
          <w:trHeight w:val="228"/>
        </w:trPr>
        <w:tc>
          <w:tcPr>
            <w:tcW w:w="3370" w:type="pct"/>
            <w:tcBorders>
              <w:left w:val="nil"/>
            </w:tcBorders>
            <w:shd w:val="clear" w:color="auto" w:fill="auto"/>
            <w:noWrap/>
            <w:vAlign w:val="center"/>
            <w:hideMark/>
          </w:tcPr>
          <w:p w14:paraId="008829D0" w14:textId="77777777" w:rsidR="00C45D5B" w:rsidRPr="00D95FBE" w:rsidRDefault="00C45D5B" w:rsidP="00CF774B">
            <w:pPr>
              <w:rPr>
                <w:rFonts w:cs="Times New Roman"/>
                <w:color w:val="000000"/>
                <w:sz w:val="18"/>
                <w:szCs w:val="18"/>
              </w:rPr>
            </w:pPr>
            <w:r w:rsidRPr="00D95FBE">
              <w:rPr>
                <w:rFonts w:cs="Times New Roman"/>
                <w:color w:val="000000"/>
                <w:sz w:val="18"/>
                <w:szCs w:val="18"/>
              </w:rPr>
              <w:t xml:space="preserve">  Zdravotná a dlhodobá starostlivosť</w:t>
            </w:r>
          </w:p>
        </w:tc>
        <w:tc>
          <w:tcPr>
            <w:tcW w:w="537" w:type="pct"/>
            <w:gridSpan w:val="2"/>
            <w:shd w:val="clear" w:color="auto" w:fill="auto"/>
            <w:noWrap/>
            <w:vAlign w:val="center"/>
          </w:tcPr>
          <w:p w14:paraId="02B8D188"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3,4</w:t>
            </w:r>
          </w:p>
        </w:tc>
        <w:tc>
          <w:tcPr>
            <w:tcW w:w="625" w:type="pct"/>
            <w:vAlign w:val="center"/>
          </w:tcPr>
          <w:p w14:paraId="074AEE08"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3,2</w:t>
            </w:r>
          </w:p>
        </w:tc>
        <w:tc>
          <w:tcPr>
            <w:tcW w:w="468" w:type="pct"/>
            <w:gridSpan w:val="2"/>
            <w:shd w:val="clear" w:color="auto" w:fill="auto"/>
            <w:noWrap/>
            <w:vAlign w:val="center"/>
          </w:tcPr>
          <w:p w14:paraId="609A5A8B"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3,2</w:t>
            </w:r>
          </w:p>
        </w:tc>
      </w:tr>
      <w:tr w:rsidR="00C45D5B" w:rsidRPr="00D95FBE" w14:paraId="4AF9BB32" w14:textId="77777777" w:rsidTr="00CF774B">
        <w:trPr>
          <w:trHeight w:val="228"/>
        </w:trPr>
        <w:tc>
          <w:tcPr>
            <w:tcW w:w="3370" w:type="pct"/>
            <w:tcBorders>
              <w:left w:val="nil"/>
            </w:tcBorders>
            <w:shd w:val="clear" w:color="auto" w:fill="auto"/>
            <w:noWrap/>
            <w:vAlign w:val="bottom"/>
            <w:hideMark/>
          </w:tcPr>
          <w:p w14:paraId="6B2A312C" w14:textId="77777777" w:rsidR="00C45D5B" w:rsidRPr="00D95FBE" w:rsidRDefault="00C45D5B" w:rsidP="00CF774B">
            <w:pPr>
              <w:rPr>
                <w:rFonts w:cs="Times New Roman"/>
                <w:color w:val="000000"/>
                <w:sz w:val="18"/>
                <w:szCs w:val="18"/>
              </w:rPr>
            </w:pPr>
            <w:r w:rsidRPr="00D95FBE">
              <w:rPr>
                <w:rFonts w:cs="Times New Roman"/>
                <w:color w:val="000000"/>
                <w:sz w:val="18"/>
                <w:szCs w:val="18"/>
              </w:rPr>
              <w:t xml:space="preserve">  Výdavky na vzdelanie a dávky v nezamestnanosti</w:t>
            </w:r>
          </w:p>
        </w:tc>
        <w:tc>
          <w:tcPr>
            <w:tcW w:w="537" w:type="pct"/>
            <w:gridSpan w:val="2"/>
            <w:shd w:val="clear" w:color="auto" w:fill="auto"/>
            <w:noWrap/>
            <w:vAlign w:val="center"/>
          </w:tcPr>
          <w:p w14:paraId="4CAD615D"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0,4</w:t>
            </w:r>
          </w:p>
        </w:tc>
        <w:tc>
          <w:tcPr>
            <w:tcW w:w="625" w:type="pct"/>
            <w:vAlign w:val="center"/>
          </w:tcPr>
          <w:p w14:paraId="327D1AB5"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0,3</w:t>
            </w:r>
          </w:p>
        </w:tc>
        <w:tc>
          <w:tcPr>
            <w:tcW w:w="468" w:type="pct"/>
            <w:gridSpan w:val="2"/>
            <w:shd w:val="clear" w:color="auto" w:fill="auto"/>
            <w:noWrap/>
            <w:vAlign w:val="center"/>
          </w:tcPr>
          <w:p w14:paraId="04765724"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0,3</w:t>
            </w:r>
          </w:p>
        </w:tc>
      </w:tr>
      <w:tr w:rsidR="00C45D5B" w:rsidRPr="00D95FBE" w14:paraId="17A61FED" w14:textId="77777777" w:rsidTr="00CF774B">
        <w:trPr>
          <w:trHeight w:val="228"/>
        </w:trPr>
        <w:tc>
          <w:tcPr>
            <w:tcW w:w="3370" w:type="pct"/>
            <w:tcBorders>
              <w:left w:val="nil"/>
              <w:bottom w:val="single" w:sz="8" w:space="0" w:color="auto"/>
            </w:tcBorders>
            <w:shd w:val="clear" w:color="auto" w:fill="auto"/>
            <w:noWrap/>
            <w:vAlign w:val="center"/>
            <w:hideMark/>
          </w:tcPr>
          <w:p w14:paraId="698F5310" w14:textId="77777777" w:rsidR="00C45D5B" w:rsidRPr="00D95FBE" w:rsidRDefault="00C45D5B" w:rsidP="00CF774B">
            <w:pPr>
              <w:rPr>
                <w:rFonts w:cs="Times New Roman"/>
                <w:color w:val="000000"/>
                <w:sz w:val="18"/>
                <w:szCs w:val="18"/>
              </w:rPr>
            </w:pPr>
            <w:r w:rsidRPr="00D95FBE">
              <w:rPr>
                <w:rFonts w:cs="Times New Roman"/>
                <w:color w:val="000000"/>
                <w:sz w:val="18"/>
                <w:szCs w:val="18"/>
              </w:rPr>
              <w:t xml:space="preserve">  Výpadok príjmov kvôli druhému pilieru</w:t>
            </w:r>
          </w:p>
        </w:tc>
        <w:tc>
          <w:tcPr>
            <w:tcW w:w="537" w:type="pct"/>
            <w:gridSpan w:val="2"/>
            <w:tcBorders>
              <w:bottom w:val="single" w:sz="8" w:space="0" w:color="auto"/>
            </w:tcBorders>
            <w:shd w:val="clear" w:color="auto" w:fill="auto"/>
            <w:noWrap/>
            <w:vAlign w:val="center"/>
          </w:tcPr>
          <w:p w14:paraId="3A728E37"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-0,2</w:t>
            </w:r>
          </w:p>
        </w:tc>
        <w:tc>
          <w:tcPr>
            <w:tcW w:w="625" w:type="pct"/>
            <w:tcBorders>
              <w:bottom w:val="single" w:sz="8" w:space="0" w:color="auto"/>
            </w:tcBorders>
            <w:vAlign w:val="center"/>
          </w:tcPr>
          <w:p w14:paraId="57C6A20E"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-0,3</w:t>
            </w:r>
          </w:p>
        </w:tc>
        <w:tc>
          <w:tcPr>
            <w:tcW w:w="468" w:type="pct"/>
            <w:gridSpan w:val="2"/>
            <w:tcBorders>
              <w:bottom w:val="single" w:sz="8" w:space="0" w:color="auto"/>
            </w:tcBorders>
            <w:shd w:val="clear" w:color="auto" w:fill="auto"/>
            <w:noWrap/>
            <w:vAlign w:val="center"/>
          </w:tcPr>
          <w:p w14:paraId="7A43D743" w14:textId="77777777" w:rsidR="00C45D5B" w:rsidRPr="00824184" w:rsidRDefault="00C45D5B" w:rsidP="00CF774B">
            <w:pPr>
              <w:jc w:val="center"/>
              <w:rPr>
                <w:rFonts w:cs="Times New Roman"/>
                <w:color w:val="000000"/>
                <w:sz w:val="18"/>
                <w:szCs w:val="18"/>
              </w:rPr>
            </w:pPr>
            <w:r w:rsidRPr="00824184">
              <w:rPr>
                <w:rFonts w:cs="Times New Roman"/>
                <w:color w:val="000000"/>
                <w:sz w:val="18"/>
                <w:szCs w:val="18"/>
              </w:rPr>
              <w:t>-0,3</w:t>
            </w:r>
          </w:p>
        </w:tc>
      </w:tr>
    </w:tbl>
    <w:p w14:paraId="5B2380DE" w14:textId="77777777" w:rsidR="00C45D5B" w:rsidRPr="00D95FBE" w:rsidRDefault="00C45D5B" w:rsidP="00C45D5B">
      <w:pPr>
        <w:jc w:val="right"/>
        <w:rPr>
          <w:rFonts w:cs="Times New Roman"/>
          <w:i/>
          <w:sz w:val="16"/>
          <w:szCs w:val="16"/>
        </w:rPr>
      </w:pPr>
      <w:r w:rsidRPr="00D95FBE">
        <w:rPr>
          <w:rFonts w:cs="Times New Roman"/>
          <w:i/>
          <w:sz w:val="16"/>
          <w:szCs w:val="16"/>
        </w:rPr>
        <w:t>Zdroj: MF SR</w:t>
      </w:r>
    </w:p>
    <w:p w14:paraId="7C13A035" w14:textId="77777777" w:rsidR="00C45D5B" w:rsidRPr="00D95FBE" w:rsidRDefault="00C45D5B" w:rsidP="00C45D5B"/>
    <w:p w14:paraId="17F6101C" w14:textId="77777777" w:rsidR="00C45D5B" w:rsidRPr="00AB54ED" w:rsidRDefault="00C45D5B" w:rsidP="00C45D5B">
      <w:pPr>
        <w:rPr>
          <w:highlight w:val="yellow"/>
        </w:rPr>
      </w:pPr>
    </w:p>
    <w:p w14:paraId="55D4C994" w14:textId="77777777" w:rsidR="00C45D5B" w:rsidRDefault="00C45D5B" w:rsidP="00C45D5B">
      <w:pPr>
        <w:rPr>
          <w:highlight w:val="yellow"/>
        </w:rPr>
      </w:pPr>
    </w:p>
    <w:p w14:paraId="5F461093" w14:textId="77777777" w:rsidR="00C45D5B" w:rsidRDefault="00C45D5B" w:rsidP="00C45D5B">
      <w:pPr>
        <w:rPr>
          <w:highlight w:val="yellow"/>
        </w:rPr>
      </w:pPr>
    </w:p>
    <w:p w14:paraId="1DF6C121" w14:textId="77777777" w:rsidR="00C45D5B" w:rsidRDefault="00C45D5B" w:rsidP="00C45D5B">
      <w:pPr>
        <w:rPr>
          <w:highlight w:val="yellow"/>
        </w:rPr>
      </w:pPr>
    </w:p>
    <w:p w14:paraId="1E5BCDC8" w14:textId="77777777" w:rsidR="00C45D5B" w:rsidRDefault="00C45D5B" w:rsidP="00C45D5B">
      <w:pPr>
        <w:rPr>
          <w:highlight w:val="yellow"/>
        </w:rPr>
      </w:pPr>
    </w:p>
    <w:p w14:paraId="42F22D60" w14:textId="77777777" w:rsidR="00C45D5B" w:rsidRPr="00AB54ED" w:rsidRDefault="00C45D5B" w:rsidP="00C45D5B">
      <w:pPr>
        <w:rPr>
          <w:highlight w:val="yellow"/>
        </w:rPr>
      </w:pPr>
    </w:p>
    <w:p w14:paraId="5FC38CCC" w14:textId="77777777" w:rsidR="00C45D5B" w:rsidRPr="00AB54ED" w:rsidRDefault="00C45D5B" w:rsidP="00C45D5B">
      <w:pPr>
        <w:rPr>
          <w:highlight w:val="yellow"/>
        </w:rPr>
      </w:pPr>
    </w:p>
    <w:p w14:paraId="6BFD4E8A" w14:textId="77777777" w:rsidR="00C45D5B" w:rsidRPr="00AB54ED" w:rsidRDefault="00C45D5B" w:rsidP="00C45D5B">
      <w:pPr>
        <w:rPr>
          <w:highlight w:val="yellow"/>
        </w:rPr>
      </w:pPr>
    </w:p>
    <w:p w14:paraId="6FBAFB91" w14:textId="77777777" w:rsidR="00C45D5B" w:rsidRPr="00AB54ED" w:rsidRDefault="00C45D5B" w:rsidP="00C45D5B">
      <w:pPr>
        <w:rPr>
          <w:highlight w:val="yellow"/>
        </w:rPr>
      </w:pPr>
    </w:p>
    <w:p w14:paraId="7351D831" w14:textId="53C2801A" w:rsidR="00C45D5B" w:rsidRPr="00DD16B0" w:rsidRDefault="00C45D5B" w:rsidP="00C45D5B">
      <w:pPr>
        <w:rPr>
          <w:b/>
          <w:color w:val="2C9ADC" w:themeColor="accent1"/>
          <w:sz w:val="24"/>
          <w:szCs w:val="24"/>
        </w:rPr>
      </w:pPr>
      <w:bookmarkStart w:id="314" w:name="_Ref6313944"/>
      <w:r w:rsidRPr="00DD16B0">
        <w:rPr>
          <w:b/>
          <w:color w:val="2C9ADC" w:themeColor="accent1"/>
          <w:sz w:val="24"/>
          <w:szCs w:val="24"/>
        </w:rPr>
        <w:t>Predpoklady výpočtu plánovaných opatrení v dôchodkovom systéme</w:t>
      </w:r>
    </w:p>
    <w:p w14:paraId="25DFCD02" w14:textId="77777777" w:rsidR="00C45D5B" w:rsidRPr="00AB54ED" w:rsidRDefault="00C45D5B" w:rsidP="00C45D5B">
      <w:pPr>
        <w:rPr>
          <w:color w:val="2C9ADC" w:themeColor="accent1"/>
          <w:sz w:val="24"/>
          <w:szCs w:val="24"/>
          <w:highlight w:val="yellow"/>
        </w:rPr>
      </w:pPr>
    </w:p>
    <w:tbl>
      <w:tblPr>
        <w:tblStyle w:val="Mriekatabuky1"/>
        <w:tblW w:w="0" w:type="auto"/>
        <w:tblLayout w:type="fixed"/>
        <w:tblLook w:val="04A0" w:firstRow="1" w:lastRow="0" w:firstColumn="1" w:lastColumn="0" w:noHBand="0" w:noVBand="1"/>
      </w:tblPr>
      <w:tblGrid>
        <w:gridCol w:w="2482"/>
        <w:gridCol w:w="6440"/>
      </w:tblGrid>
      <w:tr w:rsidR="00C45D5B" w:rsidRPr="00DD16B0" w14:paraId="49E0EEE7" w14:textId="77777777" w:rsidTr="00CF774B">
        <w:tc>
          <w:tcPr>
            <w:tcW w:w="8922" w:type="dxa"/>
            <w:gridSpan w:val="2"/>
            <w:tcBorders>
              <w:top w:val="nil"/>
              <w:left w:val="nil"/>
              <w:right w:val="nil"/>
            </w:tcBorders>
          </w:tcPr>
          <w:p w14:paraId="15C88D49" w14:textId="3298D335" w:rsidR="00C45D5B" w:rsidRPr="00DD16B0" w:rsidRDefault="00C45D5B" w:rsidP="00CF774B">
            <w:pPr>
              <w:pStyle w:val="Popis"/>
              <w:keepNext/>
              <w:jc w:val="both"/>
              <w:rPr>
                <w:b w:val="0"/>
                <w:sz w:val="16"/>
              </w:rPr>
            </w:pPr>
            <w:bookmarkStart w:id="315" w:name="_Toc71622483"/>
            <w:bookmarkStart w:id="316" w:name="_Toc101880724"/>
            <w:r w:rsidRPr="00DD16B0">
              <w:rPr>
                <w:rFonts w:eastAsiaTheme="minorHAnsi"/>
                <w:sz w:val="20"/>
              </w:rPr>
              <w:t xml:space="preserve">TABUĽKA </w:t>
            </w:r>
            <w:r w:rsidRPr="00DD16B0">
              <w:rPr>
                <w:rFonts w:eastAsiaTheme="minorHAnsi"/>
                <w:sz w:val="20"/>
              </w:rPr>
              <w:fldChar w:fldCharType="begin"/>
            </w:r>
            <w:r w:rsidRPr="00DD16B0">
              <w:rPr>
                <w:rFonts w:eastAsiaTheme="minorHAnsi"/>
                <w:sz w:val="20"/>
              </w:rPr>
              <w:instrText xml:space="preserve"> SEQ TABUĽKA \* ARABIC </w:instrText>
            </w:r>
            <w:r w:rsidRPr="00DD16B0">
              <w:rPr>
                <w:rFonts w:eastAsiaTheme="minorHAnsi"/>
                <w:sz w:val="20"/>
              </w:rPr>
              <w:fldChar w:fldCharType="separate"/>
            </w:r>
            <w:r w:rsidR="005D3280">
              <w:rPr>
                <w:rFonts w:eastAsiaTheme="minorHAnsi"/>
                <w:noProof/>
                <w:sz w:val="20"/>
              </w:rPr>
              <w:t>45</w:t>
            </w:r>
            <w:r w:rsidRPr="00DD16B0">
              <w:rPr>
                <w:rFonts w:eastAsiaTheme="minorHAnsi"/>
                <w:sz w:val="20"/>
              </w:rPr>
              <w:fldChar w:fldCharType="end"/>
            </w:r>
            <w:r w:rsidRPr="00DD16B0">
              <w:rPr>
                <w:rFonts w:eastAsiaTheme="minorHAnsi"/>
                <w:sz w:val="20"/>
              </w:rPr>
              <w:t xml:space="preserve"> </w:t>
            </w:r>
            <w:r w:rsidRPr="00DD16B0">
              <w:rPr>
                <w:rFonts w:eastAsiaTheme="minorHAnsi"/>
                <w:b w:val="0"/>
                <w:color w:val="2C9ADC"/>
                <w:sz w:val="20"/>
                <w:szCs w:val="20"/>
              </w:rPr>
              <w:t>–</w:t>
            </w:r>
            <w:r w:rsidRPr="00DD16B0">
              <w:rPr>
                <w:rFonts w:cs="Arial"/>
                <w:bCs w:val="0"/>
                <w:sz w:val="20"/>
              </w:rPr>
              <w:t xml:space="preserve"> Predpoklady výpočtu vplyvu plánovaných opatrení.</w:t>
            </w:r>
            <w:bookmarkEnd w:id="315"/>
            <w:bookmarkEnd w:id="316"/>
          </w:p>
        </w:tc>
      </w:tr>
      <w:tr w:rsidR="00C45D5B" w:rsidRPr="00DD16B0" w14:paraId="22A4A50B" w14:textId="77777777" w:rsidTr="00CF774B">
        <w:tc>
          <w:tcPr>
            <w:tcW w:w="2482" w:type="dxa"/>
            <w:tcBorders>
              <w:left w:val="nil"/>
            </w:tcBorders>
          </w:tcPr>
          <w:p w14:paraId="5539F566" w14:textId="77777777" w:rsidR="00C45D5B" w:rsidRPr="00DD16B0" w:rsidRDefault="00C45D5B" w:rsidP="00CF774B">
            <w:pPr>
              <w:jc w:val="both"/>
              <w:rPr>
                <w:b/>
                <w:sz w:val="16"/>
              </w:rPr>
            </w:pPr>
            <w:r w:rsidRPr="00DD16B0">
              <w:rPr>
                <w:b/>
                <w:sz w:val="16"/>
              </w:rPr>
              <w:t>Opatrenia</w:t>
            </w:r>
          </w:p>
        </w:tc>
        <w:tc>
          <w:tcPr>
            <w:tcW w:w="6440" w:type="dxa"/>
            <w:tcBorders>
              <w:right w:val="nil"/>
            </w:tcBorders>
          </w:tcPr>
          <w:p w14:paraId="2B882FF5" w14:textId="77777777" w:rsidR="00C45D5B" w:rsidRPr="00DD16B0" w:rsidRDefault="00C45D5B" w:rsidP="00CF774B">
            <w:pPr>
              <w:jc w:val="both"/>
              <w:rPr>
                <w:b/>
                <w:sz w:val="16"/>
              </w:rPr>
            </w:pPr>
            <w:r w:rsidRPr="00DD16B0">
              <w:rPr>
                <w:b/>
                <w:sz w:val="16"/>
              </w:rPr>
              <w:t>Predpoklady</w:t>
            </w:r>
          </w:p>
        </w:tc>
      </w:tr>
      <w:tr w:rsidR="00C45D5B" w:rsidRPr="00DD16B0" w14:paraId="03323211" w14:textId="77777777" w:rsidTr="00CF774B">
        <w:tc>
          <w:tcPr>
            <w:tcW w:w="2482" w:type="dxa"/>
            <w:tcBorders>
              <w:left w:val="nil"/>
            </w:tcBorders>
          </w:tcPr>
          <w:p w14:paraId="215C6513" w14:textId="77777777" w:rsidR="00C45D5B" w:rsidRPr="00DD16B0" w:rsidRDefault="00C45D5B" w:rsidP="00CF774B">
            <w:pPr>
              <w:jc w:val="both"/>
              <w:rPr>
                <w:sz w:val="16"/>
              </w:rPr>
            </w:pPr>
            <w:r w:rsidRPr="00DD16B0">
              <w:rPr>
                <w:sz w:val="16"/>
              </w:rPr>
              <w:t>Rast DV so SDŽ</w:t>
            </w:r>
          </w:p>
        </w:tc>
        <w:tc>
          <w:tcPr>
            <w:tcW w:w="6440" w:type="dxa"/>
            <w:tcBorders>
              <w:right w:val="nil"/>
            </w:tcBorders>
          </w:tcPr>
          <w:p w14:paraId="709E47B7" w14:textId="77777777" w:rsidR="00C45D5B" w:rsidRPr="00DD16B0" w:rsidRDefault="00C45D5B" w:rsidP="00CF774B">
            <w:pPr>
              <w:jc w:val="both"/>
              <w:rPr>
                <w:sz w:val="16"/>
              </w:rPr>
            </w:pPr>
            <w:r w:rsidRPr="00AA46E2">
              <w:rPr>
                <w:sz w:val="16"/>
              </w:rPr>
              <w:t xml:space="preserve">Dôchodkový vek </w:t>
            </w:r>
            <w:r>
              <w:rPr>
                <w:sz w:val="16"/>
              </w:rPr>
              <w:t>rastie</w:t>
            </w:r>
            <w:r w:rsidRPr="00AA46E2">
              <w:rPr>
                <w:sz w:val="16"/>
              </w:rPr>
              <w:t xml:space="preserve"> pre príslušné ročníky od doby, kedy by podľa súčasného nastavenia začal platiť strop na dôchodkový vek. Pri raste dôchodkového veku sa sleduje zmenu strednej dĺžky života v siedmich referenčných obdobiach, pričom každé referenčné obdobie sleduje zmenu strednej dĺžky života na 5 ročnom horizonte. Ženám, ktoré vychovali dieťa, je dôchodkový vek</w:t>
            </w:r>
            <w:r>
              <w:rPr>
                <w:sz w:val="16"/>
              </w:rPr>
              <w:t xml:space="preserve"> aj naďalej</w:t>
            </w:r>
            <w:r w:rsidRPr="00AA46E2">
              <w:rPr>
                <w:sz w:val="16"/>
              </w:rPr>
              <w:t xml:space="preserve"> znížený o 6 mesiacov za každé vychované dieťa, maximálne však o 18 mesiacov (platí pre ženy, ktoré vychovali tri a viac detí).</w:t>
            </w:r>
          </w:p>
        </w:tc>
      </w:tr>
      <w:tr w:rsidR="00C45D5B" w:rsidRPr="00DD16B0" w14:paraId="438AA1D0" w14:textId="77777777" w:rsidTr="00CF774B">
        <w:tc>
          <w:tcPr>
            <w:tcW w:w="2482" w:type="dxa"/>
            <w:tcBorders>
              <w:left w:val="nil"/>
            </w:tcBorders>
          </w:tcPr>
          <w:p w14:paraId="37B76FF2" w14:textId="77777777" w:rsidR="00C45D5B" w:rsidRPr="00DD16B0" w:rsidRDefault="00C45D5B" w:rsidP="00CF774B">
            <w:pPr>
              <w:jc w:val="both"/>
              <w:rPr>
                <w:sz w:val="16"/>
              </w:rPr>
            </w:pPr>
            <w:r w:rsidRPr="00AA46E2">
              <w:rPr>
                <w:sz w:val="16"/>
              </w:rPr>
              <w:t>Znížený rast ADH</w:t>
            </w:r>
            <w:r w:rsidRPr="00DD16B0">
              <w:rPr>
                <w:sz w:val="16"/>
              </w:rPr>
              <w:t xml:space="preserve"> </w:t>
            </w:r>
          </w:p>
        </w:tc>
        <w:tc>
          <w:tcPr>
            <w:tcW w:w="6440" w:type="dxa"/>
            <w:tcBorders>
              <w:right w:val="nil"/>
            </w:tcBorders>
          </w:tcPr>
          <w:p w14:paraId="134E727B" w14:textId="77777777" w:rsidR="00C45D5B" w:rsidRPr="00DD16B0" w:rsidRDefault="00C45D5B" w:rsidP="00CF774B">
            <w:pPr>
              <w:jc w:val="both"/>
              <w:rPr>
                <w:sz w:val="16"/>
              </w:rPr>
            </w:pPr>
            <w:r w:rsidRPr="00AA46E2">
              <w:rPr>
                <w:sz w:val="16"/>
              </w:rPr>
              <w:t>Rast aktuálnej dôchodkovej hodnoty bude zodpovedať 95 % rastu priemernej mzdy v hospodárstve, v porovnaní so súčasnými 100 %.</w:t>
            </w:r>
          </w:p>
        </w:tc>
      </w:tr>
      <w:tr w:rsidR="00C45D5B" w:rsidRPr="00DD16B0" w14:paraId="10538B01" w14:textId="77777777" w:rsidTr="00CF774B">
        <w:tc>
          <w:tcPr>
            <w:tcW w:w="2482" w:type="dxa"/>
            <w:tcBorders>
              <w:left w:val="nil"/>
            </w:tcBorders>
          </w:tcPr>
          <w:p w14:paraId="386E8D31" w14:textId="77777777" w:rsidR="00C45D5B" w:rsidRPr="00DD16B0" w:rsidRDefault="00C45D5B" w:rsidP="00CF774B">
            <w:pPr>
              <w:jc w:val="both"/>
              <w:rPr>
                <w:sz w:val="16"/>
              </w:rPr>
            </w:pPr>
            <w:r w:rsidRPr="00AA46E2">
              <w:rPr>
                <w:sz w:val="16"/>
              </w:rPr>
              <w:t>Rodičovský dôchodok</w:t>
            </w:r>
          </w:p>
        </w:tc>
        <w:tc>
          <w:tcPr>
            <w:tcW w:w="6440" w:type="dxa"/>
            <w:tcBorders>
              <w:right w:val="nil"/>
            </w:tcBorders>
          </w:tcPr>
          <w:p w14:paraId="042B6879" w14:textId="77777777" w:rsidR="00C45D5B" w:rsidRPr="00DD16B0" w:rsidRDefault="00C45D5B" w:rsidP="00CF774B">
            <w:pPr>
              <w:jc w:val="both"/>
              <w:rPr>
                <w:sz w:val="16"/>
              </w:rPr>
            </w:pPr>
            <w:r w:rsidRPr="00AA46E2">
              <w:rPr>
                <w:sz w:val="16"/>
              </w:rPr>
              <w:t>Príplatok pre každého rodiča sa určí ako 1,5 % jednej dvanástiny úhrnu vymeriavacích základov dieťaťa, najviac vo výške jednej dvanástiny 1,2-násobku všeobecného vymeriavacieho základu. Predpokladá sa poberanie príplatku u každého, komu naň vznikne nárok.</w:t>
            </w:r>
          </w:p>
        </w:tc>
      </w:tr>
      <w:tr w:rsidR="00C45D5B" w:rsidRPr="00DD16B0" w14:paraId="45F5F4F6" w14:textId="77777777" w:rsidTr="00CF774B">
        <w:tc>
          <w:tcPr>
            <w:tcW w:w="2482" w:type="dxa"/>
            <w:tcBorders>
              <w:left w:val="nil"/>
            </w:tcBorders>
          </w:tcPr>
          <w:p w14:paraId="70085CCF" w14:textId="77777777" w:rsidR="00C45D5B" w:rsidRPr="00DD16B0" w:rsidRDefault="00C45D5B" w:rsidP="00CF774B">
            <w:pPr>
              <w:jc w:val="both"/>
              <w:rPr>
                <w:sz w:val="16"/>
              </w:rPr>
            </w:pPr>
            <w:r w:rsidRPr="00AA46E2">
              <w:rPr>
                <w:sz w:val="16"/>
              </w:rPr>
              <w:t>Predčasný starobný dôchodok po 40 odpracovaných rokoch</w:t>
            </w:r>
          </w:p>
        </w:tc>
        <w:tc>
          <w:tcPr>
            <w:tcW w:w="6440" w:type="dxa"/>
            <w:tcBorders>
              <w:right w:val="nil"/>
            </w:tcBorders>
          </w:tcPr>
          <w:p w14:paraId="0BDD5AED" w14:textId="77777777" w:rsidR="00C45D5B" w:rsidRPr="00DD16B0" w:rsidRDefault="00C45D5B" w:rsidP="00CF774B">
            <w:pPr>
              <w:jc w:val="both"/>
              <w:rPr>
                <w:sz w:val="16"/>
              </w:rPr>
            </w:pPr>
            <w:r w:rsidRPr="00AA46E2">
              <w:rPr>
                <w:sz w:val="16"/>
              </w:rPr>
              <w:t>HDP je upravené o pokles jednotlivcov z pracovnej sily, ktorí sa rozhodnú odísť z pracovného trhu skôr. Vďaka aktuárnemu princípu by celkový objem výdavkov na dôchodky nemala táto zmena výraznejšie ovplyvniť. Kalkulácia zároveň predpokladá už zavedené naviazanie rastu dôchodkového veku na rast strednej dĺžky života*.</w:t>
            </w:r>
          </w:p>
        </w:tc>
      </w:tr>
      <w:tr w:rsidR="00C45D5B" w:rsidRPr="00AB54ED" w14:paraId="6ED657AC" w14:textId="77777777" w:rsidTr="00CF774B">
        <w:tc>
          <w:tcPr>
            <w:tcW w:w="8922" w:type="dxa"/>
            <w:gridSpan w:val="2"/>
            <w:tcBorders>
              <w:left w:val="nil"/>
              <w:bottom w:val="nil"/>
              <w:right w:val="nil"/>
            </w:tcBorders>
          </w:tcPr>
          <w:p w14:paraId="07C36A6C" w14:textId="77777777" w:rsidR="00C45D5B" w:rsidRPr="00DD16B0" w:rsidRDefault="00C45D5B" w:rsidP="00CF774B">
            <w:pPr>
              <w:jc w:val="both"/>
              <w:rPr>
                <w:i/>
                <w:sz w:val="16"/>
              </w:rPr>
            </w:pPr>
            <w:r w:rsidRPr="00DD16B0">
              <w:rPr>
                <w:i/>
                <w:sz w:val="16"/>
              </w:rPr>
              <w:t xml:space="preserve">* </w:t>
            </w:r>
            <w:r w:rsidRPr="00AA46E2">
              <w:rPr>
                <w:i/>
                <w:sz w:val="16"/>
              </w:rPr>
              <w:t>Ide teda o dodatočný vplyv k zavedeniu rastu DV so SDŽ a nie oproti súčasnému nastaveniu. Oproti súčasnému nastaveniu by bol efekt nižší, nakoľko by túto možnosť mohlo využiť menej ľudí. Z dôvodu rastúceho podielu času stráveného vzdelaním a nemeniacemu sa DV (z dôvodu stropu), budú pracovné kariéry kratšie, preto 40 odpracovaných rokov dosiahne stále menej ľudí.</w:t>
            </w:r>
          </w:p>
        </w:tc>
      </w:tr>
      <w:bookmarkEnd w:id="314"/>
    </w:tbl>
    <w:p w14:paraId="2FEE424B" w14:textId="77777777" w:rsidR="00C45D5B" w:rsidRDefault="00C45D5B" w:rsidP="00C45D5B">
      <w:pPr>
        <w:rPr>
          <w:rFonts w:cs="Arial"/>
          <w:b/>
          <w:bCs/>
          <w:color w:val="2C9ADC" w:themeColor="accent1"/>
          <w:sz w:val="24"/>
          <w:szCs w:val="24"/>
          <w:highlight w:val="yellow"/>
        </w:rPr>
      </w:pPr>
    </w:p>
    <w:p w14:paraId="627204CC" w14:textId="77777777" w:rsidR="00C45D5B" w:rsidRDefault="00C45D5B" w:rsidP="00C45D5B">
      <w:pPr>
        <w:rPr>
          <w:rFonts w:cs="Arial"/>
          <w:b/>
          <w:bCs/>
          <w:color w:val="2C9ADC" w:themeColor="accent1"/>
          <w:sz w:val="24"/>
          <w:szCs w:val="24"/>
          <w:highlight w:val="yellow"/>
        </w:rPr>
      </w:pPr>
    </w:p>
    <w:p w14:paraId="4B2EDFE0" w14:textId="77777777" w:rsidR="00C45D5B" w:rsidRDefault="00C45D5B" w:rsidP="00C45D5B">
      <w:pPr>
        <w:spacing w:after="160" w:line="259" w:lineRule="auto"/>
        <w:rPr>
          <w:rFonts w:cs="Arial"/>
          <w:b/>
          <w:bCs/>
          <w:color w:val="2C9ADC" w:themeColor="accent1"/>
          <w:sz w:val="24"/>
          <w:szCs w:val="24"/>
          <w:highlight w:val="yellow"/>
        </w:rPr>
      </w:pPr>
      <w:r>
        <w:rPr>
          <w:rFonts w:cs="Arial"/>
          <w:b/>
          <w:bCs/>
          <w:color w:val="2C9ADC" w:themeColor="accent1"/>
          <w:sz w:val="24"/>
          <w:szCs w:val="24"/>
          <w:highlight w:val="yellow"/>
        </w:rPr>
        <w:br w:type="page"/>
      </w:r>
    </w:p>
    <w:p w14:paraId="20531163" w14:textId="7F0AB8AE" w:rsidR="00C45D5B" w:rsidRPr="00847742" w:rsidRDefault="00C45D5B" w:rsidP="00C45D5B">
      <w:pPr>
        <w:pStyle w:val="Nadpis3"/>
        <w:rPr>
          <w:color w:val="2C9ADC" w:themeColor="accent1"/>
          <w:sz w:val="24"/>
          <w:szCs w:val="24"/>
        </w:rPr>
      </w:pPr>
      <w:r w:rsidRPr="00C45D5B">
        <w:rPr>
          <w:color w:val="2C9ADC" w:themeColor="accent1"/>
          <w:sz w:val="24"/>
          <w:szCs w:val="24"/>
        </w:rPr>
        <w:t>Príloha 6 –</w:t>
      </w:r>
      <w:r w:rsidRPr="00847742">
        <w:rPr>
          <w:color w:val="2C9ADC" w:themeColor="accent1"/>
          <w:sz w:val="24"/>
          <w:szCs w:val="24"/>
        </w:rPr>
        <w:t xml:space="preserve"> Predbežný výpočet limitov verejných výdavkov Radou pre rozpočtovú zodpovednosť pre účely Programu Stability</w:t>
      </w:r>
    </w:p>
    <w:p w14:paraId="2DCED78F" w14:textId="77777777" w:rsidR="00C45D5B" w:rsidRPr="00D420C9" w:rsidRDefault="00C45D5B" w:rsidP="00C45D5B"/>
    <w:tbl>
      <w:tblPr>
        <w:tblW w:w="8948" w:type="dxa"/>
        <w:tblCellMar>
          <w:left w:w="70" w:type="dxa"/>
          <w:right w:w="70" w:type="dxa"/>
        </w:tblCellMar>
        <w:tblLook w:val="04A0" w:firstRow="1" w:lastRow="0" w:firstColumn="1" w:lastColumn="0" w:noHBand="0" w:noVBand="1"/>
      </w:tblPr>
      <w:tblGrid>
        <w:gridCol w:w="6753"/>
        <w:gridCol w:w="1081"/>
        <w:gridCol w:w="1114"/>
      </w:tblGrid>
      <w:tr w:rsidR="00C45D5B" w:rsidRPr="005F6C83" w14:paraId="41D570EB" w14:textId="77777777" w:rsidTr="00CF774B">
        <w:trPr>
          <w:trHeight w:val="278"/>
        </w:trPr>
        <w:tc>
          <w:tcPr>
            <w:tcW w:w="6753" w:type="dxa"/>
            <w:tcBorders>
              <w:top w:val="nil"/>
              <w:left w:val="nil"/>
              <w:bottom w:val="nil"/>
              <w:right w:val="nil"/>
            </w:tcBorders>
            <w:shd w:val="clear" w:color="auto" w:fill="auto"/>
            <w:noWrap/>
            <w:vAlign w:val="bottom"/>
            <w:hideMark/>
          </w:tcPr>
          <w:p w14:paraId="7330658F" w14:textId="7B5B3B89" w:rsidR="00C45D5B" w:rsidRPr="00847742" w:rsidRDefault="00C45D5B" w:rsidP="00CF774B">
            <w:pPr>
              <w:rPr>
                <w:szCs w:val="24"/>
              </w:rPr>
            </w:pPr>
            <w:bookmarkStart w:id="317" w:name="_Toc101880725"/>
            <w:r>
              <w:rPr>
                <w:b/>
                <w:color w:val="2C9ADC" w:themeColor="accent1"/>
                <w:sz w:val="20"/>
                <w:szCs w:val="20"/>
              </w:rPr>
              <w:t xml:space="preserve">TABUĽKA </w:t>
            </w:r>
            <w:r w:rsidRPr="00B304DF">
              <w:rPr>
                <w:b/>
                <w:color w:val="2C9ADC" w:themeColor="accent1"/>
                <w:sz w:val="20"/>
                <w:szCs w:val="20"/>
              </w:rPr>
              <w:fldChar w:fldCharType="begin"/>
            </w:r>
            <w:r w:rsidRPr="00B304DF">
              <w:rPr>
                <w:b/>
                <w:color w:val="2C9ADC" w:themeColor="accent1"/>
                <w:sz w:val="20"/>
                <w:szCs w:val="20"/>
              </w:rPr>
              <w:instrText xml:space="preserve"> SEQ TABUĽKA \* ARABIC </w:instrText>
            </w:r>
            <w:r w:rsidRPr="00B304DF">
              <w:rPr>
                <w:b/>
                <w:color w:val="2C9ADC" w:themeColor="accent1"/>
                <w:sz w:val="20"/>
                <w:szCs w:val="20"/>
              </w:rPr>
              <w:fldChar w:fldCharType="separate"/>
            </w:r>
            <w:r w:rsidR="005D3280">
              <w:rPr>
                <w:b/>
                <w:noProof/>
                <w:color w:val="2C9ADC" w:themeColor="accent1"/>
                <w:sz w:val="20"/>
                <w:szCs w:val="20"/>
              </w:rPr>
              <w:t>46</w:t>
            </w:r>
            <w:r w:rsidRPr="00B304DF">
              <w:rPr>
                <w:b/>
                <w:color w:val="2C9ADC" w:themeColor="accent1"/>
                <w:sz w:val="20"/>
                <w:szCs w:val="20"/>
              </w:rPr>
              <w:fldChar w:fldCharType="end"/>
            </w:r>
            <w:r w:rsidRPr="0046444D">
              <w:rPr>
                <w:b/>
                <w:color w:val="2C9ADC" w:themeColor="accent1"/>
                <w:sz w:val="20"/>
                <w:szCs w:val="20"/>
              </w:rPr>
              <w:t xml:space="preserve"> </w:t>
            </w:r>
            <w:r>
              <w:rPr>
                <w:b/>
                <w:color w:val="2C9ADC" w:themeColor="accent1"/>
                <w:sz w:val="20"/>
                <w:szCs w:val="20"/>
              </w:rPr>
              <w:t xml:space="preserve">– </w:t>
            </w:r>
            <w:r w:rsidRPr="0046444D">
              <w:rPr>
                <w:b/>
                <w:color w:val="2C9ADC" w:themeColor="accent1"/>
                <w:sz w:val="20"/>
                <w:szCs w:val="20"/>
              </w:rPr>
              <w:t>Výpočet plánovaného štrukturálneho salda (% HDP)</w:t>
            </w:r>
            <w:bookmarkEnd w:id="317"/>
          </w:p>
        </w:tc>
        <w:tc>
          <w:tcPr>
            <w:tcW w:w="1081" w:type="dxa"/>
            <w:tcBorders>
              <w:top w:val="nil"/>
              <w:left w:val="nil"/>
              <w:bottom w:val="nil"/>
              <w:right w:val="nil"/>
            </w:tcBorders>
            <w:shd w:val="clear" w:color="auto" w:fill="auto"/>
            <w:noWrap/>
            <w:vAlign w:val="bottom"/>
            <w:hideMark/>
          </w:tcPr>
          <w:p w14:paraId="22B50C46" w14:textId="77777777" w:rsidR="00C45D5B" w:rsidRPr="005F6C83" w:rsidRDefault="00C45D5B" w:rsidP="00CF774B">
            <w:pPr>
              <w:rPr>
                <w:rFonts w:cs="Calibri"/>
                <w:b/>
                <w:bCs/>
                <w:color w:val="13B5EA"/>
                <w:szCs w:val="20"/>
              </w:rPr>
            </w:pPr>
          </w:p>
        </w:tc>
        <w:tc>
          <w:tcPr>
            <w:tcW w:w="1114" w:type="dxa"/>
            <w:tcBorders>
              <w:top w:val="nil"/>
              <w:left w:val="nil"/>
              <w:bottom w:val="nil"/>
              <w:right w:val="nil"/>
            </w:tcBorders>
            <w:shd w:val="clear" w:color="auto" w:fill="auto"/>
            <w:noWrap/>
            <w:vAlign w:val="bottom"/>
            <w:hideMark/>
          </w:tcPr>
          <w:p w14:paraId="16A48D82" w14:textId="77777777" w:rsidR="00C45D5B" w:rsidRPr="005F6C83" w:rsidRDefault="00C45D5B" w:rsidP="00CF774B">
            <w:pPr>
              <w:rPr>
                <w:rFonts w:cs="Times New Roman"/>
                <w:szCs w:val="20"/>
              </w:rPr>
            </w:pPr>
          </w:p>
        </w:tc>
      </w:tr>
      <w:tr w:rsidR="00C45D5B" w:rsidRPr="005F6C83" w14:paraId="1C0EDF1D" w14:textId="77777777" w:rsidTr="00CF774B">
        <w:trPr>
          <w:trHeight w:val="278"/>
        </w:trPr>
        <w:tc>
          <w:tcPr>
            <w:tcW w:w="6753" w:type="dxa"/>
            <w:tcBorders>
              <w:top w:val="nil"/>
              <w:left w:val="nil"/>
              <w:bottom w:val="nil"/>
              <w:right w:val="nil"/>
            </w:tcBorders>
            <w:shd w:val="clear" w:color="000000" w:fill="13B5EA"/>
            <w:noWrap/>
            <w:vAlign w:val="center"/>
            <w:hideMark/>
          </w:tcPr>
          <w:p w14:paraId="3459C628" w14:textId="77777777" w:rsidR="00C45D5B" w:rsidRPr="005F6C83" w:rsidRDefault="00C45D5B" w:rsidP="00CF774B">
            <w:pPr>
              <w:jc w:val="center"/>
              <w:rPr>
                <w:rFonts w:cs="Calibri"/>
                <w:b/>
                <w:bCs/>
                <w:color w:val="FFFFFF"/>
                <w:sz w:val="18"/>
                <w:szCs w:val="18"/>
              </w:rPr>
            </w:pPr>
            <w:r w:rsidRPr="005F6C83">
              <w:rPr>
                <w:rFonts w:cs="Calibri"/>
                <w:b/>
                <w:bCs/>
                <w:color w:val="FFFFFF"/>
                <w:sz w:val="18"/>
                <w:szCs w:val="18"/>
              </w:rPr>
              <w:t> </w:t>
            </w:r>
          </w:p>
        </w:tc>
        <w:tc>
          <w:tcPr>
            <w:tcW w:w="1081" w:type="dxa"/>
            <w:tcBorders>
              <w:top w:val="nil"/>
              <w:left w:val="nil"/>
              <w:bottom w:val="nil"/>
              <w:right w:val="nil"/>
            </w:tcBorders>
            <w:shd w:val="clear" w:color="000000" w:fill="13B5EA"/>
            <w:noWrap/>
            <w:vAlign w:val="center"/>
            <w:hideMark/>
          </w:tcPr>
          <w:p w14:paraId="7313BDC0" w14:textId="77777777" w:rsidR="00C45D5B" w:rsidRPr="005F6C83" w:rsidRDefault="00C45D5B" w:rsidP="00CF774B">
            <w:pPr>
              <w:jc w:val="center"/>
              <w:rPr>
                <w:rFonts w:cs="Calibri"/>
                <w:b/>
                <w:bCs/>
                <w:color w:val="FFFFFF"/>
                <w:sz w:val="18"/>
                <w:szCs w:val="18"/>
              </w:rPr>
            </w:pPr>
            <w:r w:rsidRPr="005F6C83">
              <w:rPr>
                <w:rFonts w:cs="Calibri"/>
                <w:b/>
                <w:bCs/>
                <w:color w:val="FFFFFF"/>
                <w:sz w:val="18"/>
                <w:szCs w:val="18"/>
              </w:rPr>
              <w:t>2023</w:t>
            </w:r>
          </w:p>
        </w:tc>
        <w:tc>
          <w:tcPr>
            <w:tcW w:w="1114" w:type="dxa"/>
            <w:tcBorders>
              <w:top w:val="nil"/>
              <w:left w:val="nil"/>
              <w:bottom w:val="nil"/>
              <w:right w:val="nil"/>
            </w:tcBorders>
            <w:shd w:val="clear" w:color="000000" w:fill="13B5EA"/>
            <w:noWrap/>
            <w:vAlign w:val="center"/>
            <w:hideMark/>
          </w:tcPr>
          <w:p w14:paraId="57636B0E" w14:textId="77777777" w:rsidR="00C45D5B" w:rsidRPr="005F6C83" w:rsidRDefault="00C45D5B" w:rsidP="00CF774B">
            <w:pPr>
              <w:jc w:val="center"/>
              <w:rPr>
                <w:rFonts w:cs="Calibri"/>
                <w:b/>
                <w:bCs/>
                <w:color w:val="FFFFFF"/>
                <w:sz w:val="18"/>
                <w:szCs w:val="18"/>
              </w:rPr>
            </w:pPr>
            <w:r w:rsidRPr="005F6C83">
              <w:rPr>
                <w:rFonts w:cs="Calibri"/>
                <w:b/>
                <w:bCs/>
                <w:color w:val="FFFFFF"/>
                <w:sz w:val="18"/>
                <w:szCs w:val="18"/>
              </w:rPr>
              <w:t>2024</w:t>
            </w:r>
          </w:p>
        </w:tc>
      </w:tr>
      <w:tr w:rsidR="00C45D5B" w:rsidRPr="005F6C83" w14:paraId="79982897" w14:textId="77777777" w:rsidTr="00CF774B">
        <w:trPr>
          <w:trHeight w:val="278"/>
        </w:trPr>
        <w:tc>
          <w:tcPr>
            <w:tcW w:w="6753" w:type="dxa"/>
            <w:tcBorders>
              <w:top w:val="nil"/>
              <w:left w:val="nil"/>
              <w:bottom w:val="nil"/>
              <w:right w:val="nil"/>
            </w:tcBorders>
            <w:shd w:val="clear" w:color="auto" w:fill="auto"/>
            <w:noWrap/>
            <w:vAlign w:val="bottom"/>
            <w:hideMark/>
          </w:tcPr>
          <w:p w14:paraId="01922C03" w14:textId="77777777" w:rsidR="00C45D5B" w:rsidRPr="005F6C83" w:rsidRDefault="00C45D5B" w:rsidP="00CF774B">
            <w:pPr>
              <w:rPr>
                <w:rFonts w:cs="Calibri"/>
                <w:color w:val="000000"/>
                <w:sz w:val="18"/>
                <w:szCs w:val="18"/>
              </w:rPr>
            </w:pPr>
            <w:r w:rsidRPr="005F6C83">
              <w:rPr>
                <w:rFonts w:cs="Calibri"/>
                <w:color w:val="000000"/>
                <w:sz w:val="18"/>
                <w:szCs w:val="18"/>
              </w:rPr>
              <w:t>1. Riziko udržateľnosti</w:t>
            </w:r>
          </w:p>
        </w:tc>
        <w:tc>
          <w:tcPr>
            <w:tcW w:w="1081" w:type="dxa"/>
            <w:tcBorders>
              <w:top w:val="nil"/>
              <w:left w:val="nil"/>
              <w:bottom w:val="nil"/>
              <w:right w:val="nil"/>
            </w:tcBorders>
            <w:shd w:val="clear" w:color="000000" w:fill="D9E1F2"/>
            <w:noWrap/>
            <w:vAlign w:val="center"/>
            <w:hideMark/>
          </w:tcPr>
          <w:p w14:paraId="5FAF25B6" w14:textId="77777777" w:rsidR="00C45D5B" w:rsidRPr="005F6C83" w:rsidRDefault="00C45D5B" w:rsidP="00CF774B">
            <w:pPr>
              <w:jc w:val="center"/>
              <w:rPr>
                <w:rFonts w:cs="Calibri"/>
                <w:color w:val="000000"/>
                <w:sz w:val="18"/>
                <w:szCs w:val="18"/>
              </w:rPr>
            </w:pPr>
            <w:r>
              <w:rPr>
                <w:rFonts w:cs="Calibri"/>
                <w:color w:val="000000"/>
                <w:sz w:val="18"/>
                <w:szCs w:val="18"/>
              </w:rPr>
              <w:t>vysoké</w:t>
            </w:r>
          </w:p>
        </w:tc>
        <w:tc>
          <w:tcPr>
            <w:tcW w:w="1114" w:type="dxa"/>
            <w:tcBorders>
              <w:top w:val="nil"/>
              <w:left w:val="nil"/>
              <w:bottom w:val="nil"/>
              <w:right w:val="nil"/>
            </w:tcBorders>
            <w:shd w:val="clear" w:color="000000" w:fill="D9E1F2"/>
            <w:noWrap/>
            <w:vAlign w:val="center"/>
            <w:hideMark/>
          </w:tcPr>
          <w:p w14:paraId="5D46A0EA" w14:textId="77777777" w:rsidR="00C45D5B" w:rsidRPr="005F6C83" w:rsidRDefault="00C45D5B" w:rsidP="00CF774B">
            <w:pPr>
              <w:jc w:val="center"/>
              <w:rPr>
                <w:rFonts w:cs="Calibri"/>
                <w:color w:val="000000"/>
                <w:sz w:val="18"/>
                <w:szCs w:val="18"/>
              </w:rPr>
            </w:pPr>
            <w:r>
              <w:rPr>
                <w:rFonts w:cs="Calibri"/>
                <w:color w:val="000000"/>
                <w:sz w:val="18"/>
                <w:szCs w:val="18"/>
              </w:rPr>
              <w:t>vysoké</w:t>
            </w:r>
          </w:p>
        </w:tc>
      </w:tr>
      <w:tr w:rsidR="00C45D5B" w:rsidRPr="005F6C83" w14:paraId="6726E03D" w14:textId="77777777" w:rsidTr="00CF774B">
        <w:trPr>
          <w:trHeight w:val="278"/>
        </w:trPr>
        <w:tc>
          <w:tcPr>
            <w:tcW w:w="6753" w:type="dxa"/>
            <w:tcBorders>
              <w:top w:val="nil"/>
              <w:left w:val="nil"/>
              <w:bottom w:val="nil"/>
              <w:right w:val="nil"/>
            </w:tcBorders>
            <w:shd w:val="clear" w:color="auto" w:fill="auto"/>
            <w:noWrap/>
            <w:vAlign w:val="bottom"/>
            <w:hideMark/>
          </w:tcPr>
          <w:p w14:paraId="5D5A2529" w14:textId="77777777" w:rsidR="00C45D5B" w:rsidRPr="005F6C83" w:rsidRDefault="00C45D5B" w:rsidP="00CF774B">
            <w:pPr>
              <w:rPr>
                <w:rFonts w:cs="Calibri"/>
                <w:color w:val="000000"/>
                <w:sz w:val="18"/>
                <w:szCs w:val="18"/>
              </w:rPr>
            </w:pPr>
            <w:r w:rsidRPr="005F6C83">
              <w:rPr>
                <w:rFonts w:cs="Calibri"/>
                <w:color w:val="000000"/>
                <w:sz w:val="18"/>
                <w:szCs w:val="18"/>
              </w:rPr>
              <w:t xml:space="preserve"> - požiadavka na konsolidáciu voči NPC</w:t>
            </w:r>
          </w:p>
        </w:tc>
        <w:tc>
          <w:tcPr>
            <w:tcW w:w="1081" w:type="dxa"/>
            <w:tcBorders>
              <w:top w:val="nil"/>
              <w:left w:val="nil"/>
              <w:bottom w:val="nil"/>
              <w:right w:val="nil"/>
            </w:tcBorders>
            <w:shd w:val="clear" w:color="000000" w:fill="D9E1F2"/>
            <w:noWrap/>
            <w:vAlign w:val="center"/>
            <w:hideMark/>
          </w:tcPr>
          <w:p w14:paraId="66507CEB" w14:textId="77777777" w:rsidR="00C45D5B" w:rsidRPr="005F6C83" w:rsidRDefault="00C45D5B" w:rsidP="00CF774B">
            <w:pPr>
              <w:jc w:val="center"/>
              <w:rPr>
                <w:rFonts w:cs="Calibri"/>
                <w:color w:val="000000"/>
                <w:sz w:val="18"/>
                <w:szCs w:val="18"/>
              </w:rPr>
            </w:pPr>
            <w:r w:rsidRPr="005F6C83">
              <w:rPr>
                <w:rFonts w:cs="Calibri"/>
                <w:color w:val="000000"/>
                <w:sz w:val="18"/>
                <w:szCs w:val="18"/>
              </w:rPr>
              <w:t>0,50</w:t>
            </w:r>
          </w:p>
        </w:tc>
        <w:tc>
          <w:tcPr>
            <w:tcW w:w="1114" w:type="dxa"/>
            <w:tcBorders>
              <w:top w:val="nil"/>
              <w:left w:val="nil"/>
              <w:bottom w:val="nil"/>
              <w:right w:val="nil"/>
            </w:tcBorders>
            <w:shd w:val="clear" w:color="000000" w:fill="D9E1F2"/>
            <w:noWrap/>
            <w:vAlign w:val="center"/>
            <w:hideMark/>
          </w:tcPr>
          <w:p w14:paraId="38D53A35" w14:textId="77777777" w:rsidR="00C45D5B" w:rsidRPr="005F6C83" w:rsidRDefault="00C45D5B" w:rsidP="00CF774B">
            <w:pPr>
              <w:jc w:val="center"/>
              <w:rPr>
                <w:rFonts w:cs="Calibri"/>
                <w:color w:val="000000"/>
                <w:sz w:val="18"/>
                <w:szCs w:val="18"/>
              </w:rPr>
            </w:pPr>
            <w:r w:rsidRPr="005F6C83">
              <w:rPr>
                <w:rFonts w:cs="Calibri"/>
                <w:color w:val="000000"/>
                <w:sz w:val="18"/>
                <w:szCs w:val="18"/>
              </w:rPr>
              <w:t>0,50</w:t>
            </w:r>
          </w:p>
        </w:tc>
      </w:tr>
      <w:tr w:rsidR="00C45D5B" w:rsidRPr="005F6C83" w14:paraId="7F66CCC9" w14:textId="77777777" w:rsidTr="00CF774B">
        <w:trPr>
          <w:trHeight w:val="278"/>
        </w:trPr>
        <w:tc>
          <w:tcPr>
            <w:tcW w:w="6753" w:type="dxa"/>
            <w:tcBorders>
              <w:top w:val="nil"/>
              <w:left w:val="nil"/>
              <w:bottom w:val="nil"/>
              <w:right w:val="nil"/>
            </w:tcBorders>
            <w:shd w:val="clear" w:color="auto" w:fill="auto"/>
            <w:noWrap/>
            <w:vAlign w:val="bottom"/>
            <w:hideMark/>
          </w:tcPr>
          <w:p w14:paraId="59756DF5" w14:textId="77777777" w:rsidR="00C45D5B" w:rsidRPr="005F6C83" w:rsidRDefault="00C45D5B" w:rsidP="00CF774B">
            <w:pPr>
              <w:rPr>
                <w:rFonts w:cs="Calibri"/>
                <w:color w:val="000000"/>
                <w:sz w:val="18"/>
                <w:szCs w:val="18"/>
              </w:rPr>
            </w:pPr>
            <w:r w:rsidRPr="005F6C83">
              <w:rPr>
                <w:rFonts w:cs="Calibri"/>
                <w:color w:val="000000"/>
                <w:sz w:val="18"/>
                <w:szCs w:val="18"/>
              </w:rPr>
              <w:t>2. Dlhová brzda (dlh za t-2)</w:t>
            </w:r>
          </w:p>
        </w:tc>
        <w:tc>
          <w:tcPr>
            <w:tcW w:w="1081" w:type="dxa"/>
            <w:tcBorders>
              <w:top w:val="nil"/>
              <w:left w:val="nil"/>
              <w:bottom w:val="nil"/>
              <w:right w:val="nil"/>
            </w:tcBorders>
            <w:shd w:val="clear" w:color="000000" w:fill="D9E1F2"/>
            <w:noWrap/>
            <w:vAlign w:val="center"/>
            <w:hideMark/>
          </w:tcPr>
          <w:p w14:paraId="09083C21" w14:textId="77777777" w:rsidR="00C45D5B" w:rsidRPr="005F6C83" w:rsidRDefault="00C45D5B" w:rsidP="00CF774B">
            <w:pPr>
              <w:jc w:val="center"/>
              <w:rPr>
                <w:rFonts w:cs="Calibri"/>
                <w:color w:val="000000"/>
                <w:sz w:val="18"/>
                <w:szCs w:val="18"/>
              </w:rPr>
            </w:pPr>
            <w:r w:rsidRPr="005F6C83">
              <w:rPr>
                <w:rFonts w:cs="Calibri"/>
                <w:color w:val="000000"/>
                <w:sz w:val="18"/>
                <w:szCs w:val="18"/>
              </w:rPr>
              <w:t>-</w:t>
            </w:r>
          </w:p>
        </w:tc>
        <w:tc>
          <w:tcPr>
            <w:tcW w:w="1114" w:type="dxa"/>
            <w:tcBorders>
              <w:top w:val="nil"/>
              <w:left w:val="nil"/>
              <w:bottom w:val="nil"/>
              <w:right w:val="nil"/>
            </w:tcBorders>
            <w:shd w:val="clear" w:color="000000" w:fill="D9E1F2"/>
            <w:noWrap/>
            <w:vAlign w:val="center"/>
            <w:hideMark/>
          </w:tcPr>
          <w:p w14:paraId="1BF77596" w14:textId="77777777" w:rsidR="00C45D5B" w:rsidRPr="005F6C83" w:rsidRDefault="00C45D5B" w:rsidP="00CF774B">
            <w:pPr>
              <w:jc w:val="center"/>
              <w:rPr>
                <w:rFonts w:cs="Calibri"/>
                <w:color w:val="000000"/>
                <w:sz w:val="18"/>
                <w:szCs w:val="18"/>
              </w:rPr>
            </w:pPr>
            <w:r w:rsidRPr="005F6C83">
              <w:rPr>
                <w:rFonts w:cs="Calibri"/>
                <w:color w:val="000000"/>
                <w:sz w:val="18"/>
                <w:szCs w:val="18"/>
              </w:rPr>
              <w:t>-</w:t>
            </w:r>
          </w:p>
        </w:tc>
      </w:tr>
      <w:tr w:rsidR="00C45D5B" w:rsidRPr="005F6C83" w14:paraId="5C9DC407" w14:textId="77777777" w:rsidTr="00CF774B">
        <w:trPr>
          <w:trHeight w:val="278"/>
        </w:trPr>
        <w:tc>
          <w:tcPr>
            <w:tcW w:w="6753" w:type="dxa"/>
            <w:tcBorders>
              <w:top w:val="nil"/>
              <w:left w:val="nil"/>
              <w:bottom w:val="nil"/>
              <w:right w:val="nil"/>
            </w:tcBorders>
            <w:shd w:val="clear" w:color="auto" w:fill="auto"/>
            <w:noWrap/>
            <w:vAlign w:val="bottom"/>
            <w:hideMark/>
          </w:tcPr>
          <w:p w14:paraId="25CB3E4C" w14:textId="77777777" w:rsidR="00C45D5B" w:rsidRPr="005F6C83" w:rsidRDefault="00C45D5B" w:rsidP="00CF774B">
            <w:pPr>
              <w:rPr>
                <w:rFonts w:cs="Calibri"/>
                <w:color w:val="000000"/>
                <w:sz w:val="18"/>
                <w:szCs w:val="18"/>
              </w:rPr>
            </w:pPr>
            <w:r w:rsidRPr="005F6C83">
              <w:rPr>
                <w:rFonts w:cs="Calibri"/>
                <w:color w:val="000000"/>
                <w:sz w:val="18"/>
                <w:szCs w:val="18"/>
              </w:rPr>
              <w:t xml:space="preserve"> - požiadavka na zmenu štrukturálneho salda</w:t>
            </w:r>
          </w:p>
        </w:tc>
        <w:tc>
          <w:tcPr>
            <w:tcW w:w="1081" w:type="dxa"/>
            <w:tcBorders>
              <w:top w:val="nil"/>
              <w:left w:val="nil"/>
              <w:bottom w:val="nil"/>
              <w:right w:val="nil"/>
            </w:tcBorders>
            <w:shd w:val="clear" w:color="000000" w:fill="D9E1F2"/>
            <w:noWrap/>
            <w:vAlign w:val="center"/>
            <w:hideMark/>
          </w:tcPr>
          <w:p w14:paraId="0121A615" w14:textId="77777777" w:rsidR="00C45D5B" w:rsidRPr="005F6C83" w:rsidRDefault="00C45D5B" w:rsidP="00CF774B">
            <w:pPr>
              <w:jc w:val="center"/>
              <w:rPr>
                <w:rFonts w:cs="Calibri"/>
                <w:color w:val="000000"/>
                <w:sz w:val="18"/>
                <w:szCs w:val="18"/>
              </w:rPr>
            </w:pPr>
            <w:r w:rsidRPr="005F6C83">
              <w:rPr>
                <w:rFonts w:cs="Calibri"/>
                <w:color w:val="000000"/>
                <w:sz w:val="18"/>
                <w:szCs w:val="18"/>
              </w:rPr>
              <w:t>0,00</w:t>
            </w:r>
          </w:p>
        </w:tc>
        <w:tc>
          <w:tcPr>
            <w:tcW w:w="1114" w:type="dxa"/>
            <w:tcBorders>
              <w:top w:val="nil"/>
              <w:left w:val="nil"/>
              <w:bottom w:val="nil"/>
              <w:right w:val="nil"/>
            </w:tcBorders>
            <w:shd w:val="clear" w:color="000000" w:fill="D9E1F2"/>
            <w:noWrap/>
            <w:vAlign w:val="center"/>
            <w:hideMark/>
          </w:tcPr>
          <w:p w14:paraId="02ED1726" w14:textId="77777777" w:rsidR="00C45D5B" w:rsidRPr="005F6C83" w:rsidRDefault="00C45D5B" w:rsidP="00CF774B">
            <w:pPr>
              <w:jc w:val="center"/>
              <w:rPr>
                <w:rFonts w:cs="Calibri"/>
                <w:color w:val="000000"/>
                <w:sz w:val="18"/>
                <w:szCs w:val="18"/>
              </w:rPr>
            </w:pPr>
            <w:r w:rsidRPr="005F6C83">
              <w:rPr>
                <w:rFonts w:cs="Calibri"/>
                <w:color w:val="000000"/>
                <w:sz w:val="18"/>
                <w:szCs w:val="18"/>
              </w:rPr>
              <w:t>0,00</w:t>
            </w:r>
          </w:p>
        </w:tc>
      </w:tr>
      <w:tr w:rsidR="00C45D5B" w:rsidRPr="005F6C83" w14:paraId="20D9A1A4" w14:textId="77777777" w:rsidTr="00CF774B">
        <w:trPr>
          <w:trHeight w:val="278"/>
        </w:trPr>
        <w:tc>
          <w:tcPr>
            <w:tcW w:w="6753" w:type="dxa"/>
            <w:tcBorders>
              <w:top w:val="nil"/>
              <w:left w:val="nil"/>
              <w:bottom w:val="single" w:sz="4" w:space="0" w:color="13B5EA"/>
              <w:right w:val="nil"/>
            </w:tcBorders>
            <w:shd w:val="clear" w:color="auto" w:fill="auto"/>
            <w:noWrap/>
            <w:vAlign w:val="bottom"/>
            <w:hideMark/>
          </w:tcPr>
          <w:p w14:paraId="2B7620DD" w14:textId="77777777" w:rsidR="00C45D5B" w:rsidRPr="005F6C83" w:rsidRDefault="00C45D5B" w:rsidP="00CF774B">
            <w:pPr>
              <w:rPr>
                <w:rFonts w:cs="Calibri"/>
                <w:color w:val="000000"/>
                <w:sz w:val="18"/>
                <w:szCs w:val="18"/>
              </w:rPr>
            </w:pPr>
            <w:r w:rsidRPr="005F6C83">
              <w:rPr>
                <w:rFonts w:cs="Calibri"/>
                <w:color w:val="000000"/>
                <w:sz w:val="18"/>
                <w:szCs w:val="18"/>
              </w:rPr>
              <w:t>3. Zohľadnenie dôchodkovej reformy</w:t>
            </w:r>
          </w:p>
        </w:tc>
        <w:tc>
          <w:tcPr>
            <w:tcW w:w="1081" w:type="dxa"/>
            <w:tcBorders>
              <w:top w:val="nil"/>
              <w:left w:val="nil"/>
              <w:bottom w:val="single" w:sz="4" w:space="0" w:color="13B5EA"/>
              <w:right w:val="nil"/>
            </w:tcBorders>
            <w:shd w:val="clear" w:color="000000" w:fill="D9E1F2"/>
            <w:noWrap/>
            <w:vAlign w:val="center"/>
            <w:hideMark/>
          </w:tcPr>
          <w:p w14:paraId="6DD7811E" w14:textId="77777777" w:rsidR="00C45D5B" w:rsidRPr="005F6C83" w:rsidRDefault="00C45D5B" w:rsidP="00CF774B">
            <w:pPr>
              <w:jc w:val="center"/>
              <w:rPr>
                <w:rFonts w:cs="Calibri"/>
                <w:color w:val="000000"/>
                <w:sz w:val="18"/>
                <w:szCs w:val="18"/>
              </w:rPr>
            </w:pPr>
            <w:r w:rsidRPr="005F6C83">
              <w:rPr>
                <w:rFonts w:cs="Calibri"/>
                <w:color w:val="000000"/>
                <w:sz w:val="18"/>
                <w:szCs w:val="18"/>
              </w:rPr>
              <w:t>0,00</w:t>
            </w:r>
          </w:p>
        </w:tc>
        <w:tc>
          <w:tcPr>
            <w:tcW w:w="1114" w:type="dxa"/>
            <w:tcBorders>
              <w:top w:val="nil"/>
              <w:left w:val="nil"/>
              <w:bottom w:val="single" w:sz="4" w:space="0" w:color="13B5EA"/>
              <w:right w:val="nil"/>
            </w:tcBorders>
            <w:shd w:val="clear" w:color="000000" w:fill="D9E1F2"/>
            <w:noWrap/>
            <w:vAlign w:val="center"/>
            <w:hideMark/>
          </w:tcPr>
          <w:p w14:paraId="7F815CFF" w14:textId="77777777" w:rsidR="00C45D5B" w:rsidRPr="005F6C83" w:rsidRDefault="00C45D5B" w:rsidP="00CF774B">
            <w:pPr>
              <w:jc w:val="center"/>
              <w:rPr>
                <w:rFonts w:cs="Calibri"/>
                <w:color w:val="000000"/>
                <w:sz w:val="18"/>
                <w:szCs w:val="18"/>
              </w:rPr>
            </w:pPr>
            <w:r w:rsidRPr="005F6C83">
              <w:rPr>
                <w:rFonts w:cs="Calibri"/>
                <w:color w:val="000000"/>
                <w:sz w:val="18"/>
                <w:szCs w:val="18"/>
              </w:rPr>
              <w:t>0,00</w:t>
            </w:r>
          </w:p>
        </w:tc>
      </w:tr>
      <w:tr w:rsidR="00C45D5B" w:rsidRPr="005F6C83" w14:paraId="0A259B87" w14:textId="77777777" w:rsidTr="00CF774B">
        <w:trPr>
          <w:trHeight w:val="278"/>
        </w:trPr>
        <w:tc>
          <w:tcPr>
            <w:tcW w:w="6753" w:type="dxa"/>
            <w:tcBorders>
              <w:top w:val="nil"/>
              <w:left w:val="nil"/>
              <w:bottom w:val="nil"/>
              <w:right w:val="nil"/>
            </w:tcBorders>
            <w:shd w:val="clear" w:color="auto" w:fill="auto"/>
            <w:noWrap/>
            <w:vAlign w:val="bottom"/>
            <w:hideMark/>
          </w:tcPr>
          <w:p w14:paraId="581AE5EC" w14:textId="77777777" w:rsidR="00C45D5B" w:rsidRPr="005F6C83" w:rsidRDefault="00C45D5B" w:rsidP="00CF774B">
            <w:pPr>
              <w:jc w:val="center"/>
              <w:rPr>
                <w:rFonts w:cs="Calibri"/>
                <w:sz w:val="18"/>
                <w:szCs w:val="18"/>
              </w:rPr>
            </w:pPr>
          </w:p>
        </w:tc>
        <w:tc>
          <w:tcPr>
            <w:tcW w:w="1081" w:type="dxa"/>
            <w:tcBorders>
              <w:top w:val="nil"/>
              <w:left w:val="nil"/>
              <w:bottom w:val="nil"/>
              <w:right w:val="nil"/>
            </w:tcBorders>
            <w:shd w:val="clear" w:color="auto" w:fill="auto"/>
            <w:noWrap/>
            <w:vAlign w:val="center"/>
            <w:hideMark/>
          </w:tcPr>
          <w:p w14:paraId="1AF3644E" w14:textId="77777777" w:rsidR="00C45D5B" w:rsidRPr="005F6C83" w:rsidRDefault="00C45D5B" w:rsidP="00CF774B">
            <w:pPr>
              <w:jc w:val="center"/>
              <w:rPr>
                <w:rFonts w:cs="Times New Roman"/>
                <w:sz w:val="20"/>
                <w:szCs w:val="20"/>
              </w:rPr>
            </w:pPr>
          </w:p>
        </w:tc>
        <w:tc>
          <w:tcPr>
            <w:tcW w:w="1114" w:type="dxa"/>
            <w:tcBorders>
              <w:top w:val="nil"/>
              <w:left w:val="nil"/>
              <w:bottom w:val="nil"/>
              <w:right w:val="nil"/>
            </w:tcBorders>
            <w:shd w:val="clear" w:color="auto" w:fill="auto"/>
            <w:noWrap/>
            <w:vAlign w:val="center"/>
            <w:hideMark/>
          </w:tcPr>
          <w:p w14:paraId="065BC873" w14:textId="77777777" w:rsidR="00C45D5B" w:rsidRPr="005F6C83" w:rsidRDefault="00C45D5B" w:rsidP="00CF774B">
            <w:pPr>
              <w:jc w:val="center"/>
              <w:rPr>
                <w:rFonts w:cs="Times New Roman"/>
                <w:sz w:val="20"/>
                <w:szCs w:val="20"/>
              </w:rPr>
            </w:pPr>
          </w:p>
        </w:tc>
      </w:tr>
      <w:tr w:rsidR="00C45D5B" w:rsidRPr="005F6C83" w14:paraId="234FE5CD" w14:textId="77777777" w:rsidTr="00CF774B">
        <w:trPr>
          <w:trHeight w:val="278"/>
        </w:trPr>
        <w:tc>
          <w:tcPr>
            <w:tcW w:w="6753" w:type="dxa"/>
            <w:tcBorders>
              <w:top w:val="nil"/>
              <w:left w:val="nil"/>
              <w:bottom w:val="nil"/>
              <w:right w:val="nil"/>
            </w:tcBorders>
            <w:shd w:val="clear" w:color="auto" w:fill="auto"/>
            <w:noWrap/>
            <w:vAlign w:val="bottom"/>
            <w:hideMark/>
          </w:tcPr>
          <w:p w14:paraId="5FCC42E9" w14:textId="77777777" w:rsidR="00C45D5B" w:rsidRPr="005F6C83" w:rsidRDefault="00C45D5B" w:rsidP="00CF774B">
            <w:pPr>
              <w:rPr>
                <w:rFonts w:cs="Calibri"/>
                <w:color w:val="000000"/>
                <w:sz w:val="18"/>
                <w:szCs w:val="18"/>
              </w:rPr>
            </w:pPr>
            <w:r w:rsidRPr="005F6C83">
              <w:rPr>
                <w:rFonts w:cs="Calibri"/>
                <w:color w:val="000000"/>
                <w:sz w:val="18"/>
                <w:szCs w:val="18"/>
              </w:rPr>
              <w:t>Štrukturálne saldo v základnom scenári RRZ (% HDP)</w:t>
            </w:r>
          </w:p>
        </w:tc>
        <w:tc>
          <w:tcPr>
            <w:tcW w:w="1081" w:type="dxa"/>
            <w:tcBorders>
              <w:top w:val="nil"/>
              <w:left w:val="nil"/>
              <w:bottom w:val="nil"/>
              <w:right w:val="nil"/>
            </w:tcBorders>
            <w:shd w:val="clear" w:color="auto" w:fill="auto"/>
            <w:noWrap/>
            <w:vAlign w:val="center"/>
            <w:hideMark/>
          </w:tcPr>
          <w:p w14:paraId="3A2FDFAD" w14:textId="77777777" w:rsidR="00C45D5B" w:rsidRPr="00C91160" w:rsidRDefault="00C45D5B" w:rsidP="00CF774B">
            <w:pPr>
              <w:jc w:val="center"/>
              <w:rPr>
                <w:rFonts w:cs="Calibri"/>
                <w:color w:val="000000"/>
                <w:sz w:val="18"/>
                <w:szCs w:val="18"/>
              </w:rPr>
            </w:pPr>
            <w:r w:rsidRPr="00C91160">
              <w:rPr>
                <w:rFonts w:cs="Calibri"/>
                <w:color w:val="000000"/>
                <w:sz w:val="18"/>
                <w:szCs w:val="18"/>
              </w:rPr>
              <w:t>-3,3</w:t>
            </w:r>
          </w:p>
        </w:tc>
        <w:tc>
          <w:tcPr>
            <w:tcW w:w="1114" w:type="dxa"/>
            <w:tcBorders>
              <w:top w:val="nil"/>
              <w:left w:val="nil"/>
              <w:bottom w:val="nil"/>
              <w:right w:val="nil"/>
            </w:tcBorders>
            <w:shd w:val="clear" w:color="auto" w:fill="auto"/>
            <w:noWrap/>
            <w:vAlign w:val="center"/>
            <w:hideMark/>
          </w:tcPr>
          <w:p w14:paraId="59A4D36D" w14:textId="77777777" w:rsidR="00C45D5B" w:rsidRPr="00C91160" w:rsidRDefault="00C45D5B" w:rsidP="00CF774B">
            <w:pPr>
              <w:jc w:val="center"/>
              <w:rPr>
                <w:rFonts w:cs="Calibri"/>
                <w:color w:val="000000"/>
                <w:sz w:val="18"/>
                <w:szCs w:val="18"/>
              </w:rPr>
            </w:pPr>
            <w:r w:rsidRPr="00C91160">
              <w:rPr>
                <w:rFonts w:cs="Calibri"/>
                <w:color w:val="000000"/>
                <w:sz w:val="18"/>
                <w:szCs w:val="18"/>
              </w:rPr>
              <w:t>-3,6</w:t>
            </w:r>
          </w:p>
        </w:tc>
      </w:tr>
      <w:tr w:rsidR="00C45D5B" w:rsidRPr="005F6C83" w14:paraId="6895E6DA" w14:textId="77777777" w:rsidTr="00CF774B">
        <w:trPr>
          <w:trHeight w:val="278"/>
        </w:trPr>
        <w:tc>
          <w:tcPr>
            <w:tcW w:w="6753" w:type="dxa"/>
            <w:tcBorders>
              <w:top w:val="nil"/>
              <w:left w:val="nil"/>
              <w:bottom w:val="nil"/>
              <w:right w:val="nil"/>
            </w:tcBorders>
            <w:shd w:val="clear" w:color="auto" w:fill="auto"/>
            <w:noWrap/>
            <w:vAlign w:val="bottom"/>
            <w:hideMark/>
          </w:tcPr>
          <w:p w14:paraId="4B2F9DD9" w14:textId="77777777" w:rsidR="00C45D5B" w:rsidRPr="005F6C83" w:rsidRDefault="00C45D5B" w:rsidP="00CF774B">
            <w:pPr>
              <w:rPr>
                <w:rFonts w:cs="Calibri"/>
                <w:color w:val="000000"/>
                <w:sz w:val="18"/>
                <w:szCs w:val="18"/>
              </w:rPr>
            </w:pPr>
            <w:r w:rsidRPr="005F6C83">
              <w:rPr>
                <w:rFonts w:cs="Calibri"/>
                <w:color w:val="000000"/>
                <w:sz w:val="18"/>
                <w:szCs w:val="18"/>
              </w:rPr>
              <w:t xml:space="preserve"> - medziročná zmena štrukturálneho salda v základnom scenári</w:t>
            </w:r>
          </w:p>
        </w:tc>
        <w:tc>
          <w:tcPr>
            <w:tcW w:w="1081" w:type="dxa"/>
            <w:tcBorders>
              <w:top w:val="nil"/>
              <w:left w:val="nil"/>
              <w:bottom w:val="nil"/>
              <w:right w:val="nil"/>
            </w:tcBorders>
            <w:shd w:val="clear" w:color="auto" w:fill="auto"/>
            <w:noWrap/>
            <w:vAlign w:val="center"/>
            <w:hideMark/>
          </w:tcPr>
          <w:p w14:paraId="7CC76665" w14:textId="77777777" w:rsidR="00C45D5B" w:rsidRPr="00C91160" w:rsidRDefault="00C45D5B" w:rsidP="00CF774B">
            <w:pPr>
              <w:jc w:val="center"/>
              <w:rPr>
                <w:rFonts w:cs="Calibri"/>
                <w:color w:val="000000"/>
                <w:sz w:val="18"/>
                <w:szCs w:val="18"/>
              </w:rPr>
            </w:pPr>
            <w:r w:rsidRPr="00C91160">
              <w:rPr>
                <w:rFonts w:cs="Calibri"/>
                <w:color w:val="000000"/>
                <w:sz w:val="18"/>
                <w:szCs w:val="18"/>
              </w:rPr>
              <w:t>-0,26</w:t>
            </w:r>
          </w:p>
        </w:tc>
        <w:tc>
          <w:tcPr>
            <w:tcW w:w="1114" w:type="dxa"/>
            <w:tcBorders>
              <w:top w:val="nil"/>
              <w:left w:val="nil"/>
              <w:bottom w:val="nil"/>
              <w:right w:val="nil"/>
            </w:tcBorders>
            <w:shd w:val="clear" w:color="auto" w:fill="auto"/>
            <w:noWrap/>
            <w:vAlign w:val="center"/>
            <w:hideMark/>
          </w:tcPr>
          <w:p w14:paraId="08B0255C" w14:textId="77777777" w:rsidR="00C45D5B" w:rsidRPr="00C91160" w:rsidRDefault="00C45D5B" w:rsidP="00CF774B">
            <w:pPr>
              <w:jc w:val="center"/>
              <w:rPr>
                <w:rFonts w:cs="Calibri"/>
                <w:color w:val="000000"/>
                <w:sz w:val="18"/>
                <w:szCs w:val="18"/>
              </w:rPr>
            </w:pPr>
            <w:r w:rsidRPr="00C91160">
              <w:rPr>
                <w:rFonts w:cs="Calibri"/>
                <w:color w:val="000000"/>
                <w:sz w:val="18"/>
                <w:szCs w:val="18"/>
              </w:rPr>
              <w:t>-0,36</w:t>
            </w:r>
          </w:p>
        </w:tc>
      </w:tr>
      <w:tr w:rsidR="00C45D5B" w:rsidRPr="005F6C83" w14:paraId="2623FCCA" w14:textId="77777777" w:rsidTr="00CF774B">
        <w:trPr>
          <w:trHeight w:val="278"/>
        </w:trPr>
        <w:tc>
          <w:tcPr>
            <w:tcW w:w="6753" w:type="dxa"/>
            <w:tcBorders>
              <w:top w:val="nil"/>
              <w:left w:val="nil"/>
              <w:bottom w:val="nil"/>
              <w:right w:val="nil"/>
            </w:tcBorders>
            <w:shd w:val="clear" w:color="auto" w:fill="auto"/>
            <w:noWrap/>
            <w:vAlign w:val="bottom"/>
            <w:hideMark/>
          </w:tcPr>
          <w:p w14:paraId="59C62E62" w14:textId="77777777" w:rsidR="00C45D5B" w:rsidRPr="005F6C83" w:rsidRDefault="00C45D5B" w:rsidP="00CF774B">
            <w:pPr>
              <w:rPr>
                <w:rFonts w:cs="Calibri"/>
                <w:b/>
                <w:bCs/>
                <w:color w:val="000000"/>
                <w:sz w:val="18"/>
                <w:szCs w:val="18"/>
              </w:rPr>
            </w:pPr>
            <w:r w:rsidRPr="005F6C83">
              <w:rPr>
                <w:rFonts w:cs="Calibri"/>
                <w:b/>
                <w:bCs/>
                <w:color w:val="000000"/>
                <w:sz w:val="18"/>
                <w:szCs w:val="18"/>
              </w:rPr>
              <w:t>Štrukturálne saldo pre výpočet limitu výdavkov (% HDP)</w:t>
            </w:r>
          </w:p>
        </w:tc>
        <w:tc>
          <w:tcPr>
            <w:tcW w:w="1081" w:type="dxa"/>
            <w:tcBorders>
              <w:top w:val="nil"/>
              <w:left w:val="nil"/>
              <w:bottom w:val="nil"/>
              <w:right w:val="nil"/>
            </w:tcBorders>
            <w:shd w:val="clear" w:color="auto" w:fill="auto"/>
            <w:noWrap/>
            <w:vAlign w:val="center"/>
            <w:hideMark/>
          </w:tcPr>
          <w:p w14:paraId="22EE42BD" w14:textId="77777777" w:rsidR="00C45D5B" w:rsidRPr="00C91160" w:rsidRDefault="00C45D5B" w:rsidP="00CF774B">
            <w:pPr>
              <w:jc w:val="center"/>
              <w:rPr>
                <w:rFonts w:cs="Calibri"/>
                <w:b/>
                <w:bCs/>
                <w:color w:val="000000"/>
                <w:sz w:val="18"/>
                <w:szCs w:val="18"/>
              </w:rPr>
            </w:pPr>
            <w:r w:rsidRPr="00C91160">
              <w:rPr>
                <w:rFonts w:cs="Calibri"/>
                <w:b/>
                <w:bCs/>
                <w:color w:val="000000"/>
                <w:sz w:val="18"/>
                <w:szCs w:val="18"/>
              </w:rPr>
              <w:t>-2,8</w:t>
            </w:r>
          </w:p>
        </w:tc>
        <w:tc>
          <w:tcPr>
            <w:tcW w:w="1114" w:type="dxa"/>
            <w:tcBorders>
              <w:top w:val="nil"/>
              <w:left w:val="nil"/>
              <w:bottom w:val="nil"/>
              <w:right w:val="nil"/>
            </w:tcBorders>
            <w:shd w:val="clear" w:color="auto" w:fill="auto"/>
            <w:noWrap/>
            <w:vAlign w:val="center"/>
            <w:hideMark/>
          </w:tcPr>
          <w:p w14:paraId="29831E09" w14:textId="77777777" w:rsidR="00C45D5B" w:rsidRPr="00C91160" w:rsidRDefault="00C45D5B" w:rsidP="00CF774B">
            <w:pPr>
              <w:jc w:val="center"/>
              <w:rPr>
                <w:rFonts w:cs="Calibri"/>
                <w:b/>
                <w:bCs/>
                <w:color w:val="000000"/>
                <w:sz w:val="18"/>
                <w:szCs w:val="18"/>
              </w:rPr>
            </w:pPr>
            <w:r w:rsidRPr="00C91160">
              <w:rPr>
                <w:rFonts w:cs="Calibri"/>
                <w:b/>
                <w:bCs/>
                <w:color w:val="000000"/>
                <w:sz w:val="18"/>
                <w:szCs w:val="18"/>
              </w:rPr>
              <w:t>-2,6</w:t>
            </w:r>
          </w:p>
        </w:tc>
      </w:tr>
      <w:tr w:rsidR="00C45D5B" w:rsidRPr="005F6C83" w14:paraId="51E91113" w14:textId="77777777" w:rsidTr="00CF050A">
        <w:trPr>
          <w:trHeight w:val="278"/>
        </w:trPr>
        <w:tc>
          <w:tcPr>
            <w:tcW w:w="6753" w:type="dxa"/>
            <w:tcBorders>
              <w:top w:val="nil"/>
              <w:left w:val="nil"/>
              <w:bottom w:val="single" w:sz="4" w:space="0" w:color="13B5EA"/>
              <w:right w:val="nil"/>
            </w:tcBorders>
            <w:shd w:val="clear" w:color="auto" w:fill="auto"/>
            <w:noWrap/>
            <w:vAlign w:val="bottom"/>
            <w:hideMark/>
          </w:tcPr>
          <w:p w14:paraId="4DA589BA" w14:textId="77777777" w:rsidR="00C45D5B" w:rsidRPr="005F6C83" w:rsidRDefault="00C45D5B" w:rsidP="00CF774B">
            <w:pPr>
              <w:rPr>
                <w:rFonts w:cs="Calibri"/>
                <w:color w:val="000000"/>
                <w:sz w:val="18"/>
                <w:szCs w:val="18"/>
              </w:rPr>
            </w:pPr>
            <w:r w:rsidRPr="005F6C83">
              <w:rPr>
                <w:rFonts w:cs="Calibri"/>
                <w:color w:val="000000"/>
                <w:sz w:val="18"/>
                <w:szCs w:val="18"/>
              </w:rPr>
              <w:t xml:space="preserve"> - dodatočná potreba trvalých opatrení (voči ZS)</w:t>
            </w:r>
          </w:p>
        </w:tc>
        <w:tc>
          <w:tcPr>
            <w:tcW w:w="1081" w:type="dxa"/>
            <w:tcBorders>
              <w:top w:val="nil"/>
              <w:left w:val="nil"/>
              <w:bottom w:val="single" w:sz="4" w:space="0" w:color="13B5EA"/>
              <w:right w:val="nil"/>
            </w:tcBorders>
            <w:shd w:val="clear" w:color="auto" w:fill="auto"/>
            <w:noWrap/>
            <w:vAlign w:val="center"/>
            <w:hideMark/>
          </w:tcPr>
          <w:p w14:paraId="62A19530" w14:textId="77777777" w:rsidR="00C45D5B" w:rsidRPr="005F6C83" w:rsidRDefault="00C45D5B" w:rsidP="00CF774B">
            <w:pPr>
              <w:jc w:val="center"/>
              <w:rPr>
                <w:rFonts w:cs="Calibri"/>
                <w:color w:val="000000"/>
                <w:sz w:val="18"/>
                <w:szCs w:val="18"/>
              </w:rPr>
            </w:pPr>
            <w:r w:rsidRPr="005F6C83">
              <w:rPr>
                <w:rFonts w:cs="Calibri"/>
                <w:color w:val="000000"/>
                <w:sz w:val="18"/>
                <w:szCs w:val="18"/>
              </w:rPr>
              <w:t>0,50</w:t>
            </w:r>
          </w:p>
        </w:tc>
        <w:tc>
          <w:tcPr>
            <w:tcW w:w="1114" w:type="dxa"/>
            <w:tcBorders>
              <w:top w:val="nil"/>
              <w:left w:val="nil"/>
              <w:bottom w:val="single" w:sz="4" w:space="0" w:color="13B5EA"/>
              <w:right w:val="nil"/>
            </w:tcBorders>
            <w:shd w:val="clear" w:color="auto" w:fill="auto"/>
            <w:noWrap/>
            <w:vAlign w:val="center"/>
            <w:hideMark/>
          </w:tcPr>
          <w:p w14:paraId="6BE52C80" w14:textId="77777777" w:rsidR="00C45D5B" w:rsidRPr="005F6C83" w:rsidRDefault="00C45D5B" w:rsidP="00CF774B">
            <w:pPr>
              <w:jc w:val="center"/>
              <w:rPr>
                <w:rFonts w:cs="Calibri"/>
                <w:color w:val="000000"/>
                <w:sz w:val="18"/>
                <w:szCs w:val="18"/>
              </w:rPr>
            </w:pPr>
            <w:r w:rsidRPr="005F6C83">
              <w:rPr>
                <w:rFonts w:cs="Calibri"/>
                <w:color w:val="000000"/>
                <w:sz w:val="18"/>
                <w:szCs w:val="18"/>
              </w:rPr>
              <w:t>1,00</w:t>
            </w:r>
          </w:p>
        </w:tc>
      </w:tr>
      <w:tr w:rsidR="0014253B" w:rsidRPr="005F6C83" w14:paraId="764C95CD" w14:textId="77777777" w:rsidTr="00CF050A">
        <w:trPr>
          <w:trHeight w:val="278"/>
        </w:trPr>
        <w:tc>
          <w:tcPr>
            <w:tcW w:w="8948" w:type="dxa"/>
            <w:gridSpan w:val="3"/>
            <w:tcBorders>
              <w:top w:val="single" w:sz="4" w:space="0" w:color="13B5EA"/>
              <w:left w:val="nil"/>
              <w:right w:val="nil"/>
            </w:tcBorders>
            <w:shd w:val="clear" w:color="auto" w:fill="auto"/>
            <w:noWrap/>
            <w:vAlign w:val="center"/>
          </w:tcPr>
          <w:p w14:paraId="0D61A6E7" w14:textId="2B5F6AB1" w:rsidR="0014253B" w:rsidRPr="005F6C83" w:rsidRDefault="0014253B" w:rsidP="00D03F68">
            <w:pPr>
              <w:rPr>
                <w:rFonts w:cs="Calibri"/>
                <w:color w:val="000000"/>
                <w:sz w:val="18"/>
                <w:szCs w:val="18"/>
              </w:rPr>
            </w:pPr>
            <w:r w:rsidRPr="00DB39AD">
              <w:rPr>
                <w:rFonts w:cs="Calibri"/>
                <w:i/>
                <w:color w:val="000000"/>
                <w:sz w:val="16"/>
                <w:szCs w:val="18"/>
              </w:rPr>
              <w:t>Pozn.:</w:t>
            </w:r>
            <w:r>
              <w:rPr>
                <w:rFonts w:cs="Calibri"/>
                <w:i/>
                <w:color w:val="000000"/>
                <w:sz w:val="16"/>
                <w:szCs w:val="18"/>
              </w:rPr>
              <w:t xml:space="preserve"> Výpočet limitov zatiaľ nezohľadňuje reformu dôchodkového systému</w:t>
            </w:r>
            <w:r w:rsidR="00D03F68">
              <w:rPr>
                <w:rFonts w:cs="Calibri"/>
                <w:i/>
                <w:color w:val="000000"/>
                <w:sz w:val="16"/>
                <w:szCs w:val="18"/>
              </w:rPr>
              <w:t xml:space="preserve"> (ktorú vláda schválila v apríli, ale zatiaľ nebola prerokovaná v Parlamente) aplikáciou postupu podľa odseku 6, paragraf 37m zákona o rozpočtových pravidlách verenej správy 523/2004 Z.z.</w:t>
            </w:r>
          </w:p>
        </w:tc>
      </w:tr>
      <w:tr w:rsidR="0014253B" w:rsidRPr="00427BB1" w14:paraId="08CB2FA9" w14:textId="77777777" w:rsidTr="00CF050A">
        <w:trPr>
          <w:trHeight w:val="278"/>
        </w:trPr>
        <w:tc>
          <w:tcPr>
            <w:tcW w:w="6753" w:type="dxa"/>
            <w:tcBorders>
              <w:left w:val="nil"/>
              <w:bottom w:val="nil"/>
              <w:right w:val="nil"/>
            </w:tcBorders>
            <w:shd w:val="clear" w:color="auto" w:fill="auto"/>
            <w:noWrap/>
            <w:vAlign w:val="center"/>
            <w:hideMark/>
          </w:tcPr>
          <w:p w14:paraId="7540F95D" w14:textId="77777777" w:rsidR="0014253B" w:rsidRPr="00427BB1" w:rsidRDefault="0014253B" w:rsidP="0014253B">
            <w:pPr>
              <w:jc w:val="center"/>
              <w:rPr>
                <w:rFonts w:cs="Calibri"/>
                <w:color w:val="000000"/>
                <w:sz w:val="2"/>
                <w:szCs w:val="18"/>
              </w:rPr>
            </w:pPr>
          </w:p>
        </w:tc>
        <w:tc>
          <w:tcPr>
            <w:tcW w:w="1081" w:type="dxa"/>
            <w:tcBorders>
              <w:left w:val="nil"/>
              <w:bottom w:val="nil"/>
              <w:right w:val="nil"/>
            </w:tcBorders>
            <w:shd w:val="clear" w:color="auto" w:fill="auto"/>
            <w:noWrap/>
            <w:vAlign w:val="center"/>
            <w:hideMark/>
          </w:tcPr>
          <w:p w14:paraId="58AB6177" w14:textId="77777777" w:rsidR="0014253B" w:rsidRPr="00427BB1" w:rsidRDefault="0014253B" w:rsidP="0014253B">
            <w:pPr>
              <w:rPr>
                <w:rFonts w:cs="Times New Roman"/>
                <w:sz w:val="2"/>
                <w:szCs w:val="20"/>
              </w:rPr>
            </w:pPr>
          </w:p>
        </w:tc>
        <w:tc>
          <w:tcPr>
            <w:tcW w:w="1114" w:type="dxa"/>
            <w:tcBorders>
              <w:left w:val="nil"/>
              <w:bottom w:val="nil"/>
              <w:right w:val="nil"/>
            </w:tcBorders>
            <w:shd w:val="clear" w:color="auto" w:fill="auto"/>
            <w:noWrap/>
            <w:vAlign w:val="center"/>
            <w:hideMark/>
          </w:tcPr>
          <w:p w14:paraId="41C6F5A9" w14:textId="77777777" w:rsidR="0014253B" w:rsidRPr="00427BB1" w:rsidRDefault="0014253B" w:rsidP="0014253B">
            <w:pPr>
              <w:jc w:val="center"/>
              <w:rPr>
                <w:rFonts w:cs="Times New Roman"/>
                <w:sz w:val="2"/>
                <w:szCs w:val="20"/>
              </w:rPr>
            </w:pPr>
          </w:p>
        </w:tc>
      </w:tr>
    </w:tbl>
    <w:p w14:paraId="75F02302" w14:textId="6488A75C" w:rsidR="00C45D5B" w:rsidRPr="00552567" w:rsidRDefault="00C45D5B" w:rsidP="0015104F">
      <w:pPr>
        <w:rPr>
          <w:b/>
          <w:sz w:val="20"/>
          <w:szCs w:val="20"/>
        </w:rPr>
      </w:pPr>
      <w:bookmarkStart w:id="318" w:name="_Toc101880726"/>
      <w:r w:rsidRPr="00552567">
        <w:rPr>
          <w:b/>
          <w:color w:val="2C9ADC" w:themeColor="accent1"/>
          <w:sz w:val="20"/>
          <w:szCs w:val="20"/>
        </w:rPr>
        <w:t xml:space="preserve">TABUĽKA </w:t>
      </w:r>
      <w:r w:rsidRPr="00552567">
        <w:rPr>
          <w:b/>
          <w:color w:val="2C9ADC" w:themeColor="accent1"/>
          <w:sz w:val="20"/>
          <w:szCs w:val="20"/>
        </w:rPr>
        <w:fldChar w:fldCharType="begin"/>
      </w:r>
      <w:r w:rsidRPr="00552567">
        <w:rPr>
          <w:b/>
          <w:color w:val="2C9ADC" w:themeColor="accent1"/>
          <w:sz w:val="20"/>
          <w:szCs w:val="20"/>
        </w:rPr>
        <w:instrText xml:space="preserve"> SEQ TABUĽKA \* ARABIC </w:instrText>
      </w:r>
      <w:r w:rsidRPr="00552567">
        <w:rPr>
          <w:b/>
          <w:color w:val="2C9ADC" w:themeColor="accent1"/>
          <w:sz w:val="20"/>
          <w:szCs w:val="20"/>
        </w:rPr>
        <w:fldChar w:fldCharType="separate"/>
      </w:r>
      <w:r w:rsidR="005D3280" w:rsidRPr="00552567">
        <w:rPr>
          <w:b/>
          <w:noProof/>
          <w:color w:val="2C9ADC" w:themeColor="accent1"/>
          <w:sz w:val="20"/>
          <w:szCs w:val="20"/>
        </w:rPr>
        <w:t>47</w:t>
      </w:r>
      <w:r w:rsidRPr="00552567">
        <w:rPr>
          <w:b/>
          <w:color w:val="2C9ADC" w:themeColor="accent1"/>
          <w:sz w:val="20"/>
          <w:szCs w:val="20"/>
        </w:rPr>
        <w:fldChar w:fldCharType="end"/>
      </w:r>
      <w:r w:rsidRPr="00552567">
        <w:rPr>
          <w:b/>
          <w:color w:val="2C9ADC" w:themeColor="accent1"/>
          <w:sz w:val="20"/>
          <w:szCs w:val="20"/>
        </w:rPr>
        <w:t xml:space="preserve"> – Výpočet limitu verejných výdavkov na roky 2023 a 2024 (eur, ESA 2010)</w:t>
      </w:r>
      <w:bookmarkEnd w:id="318"/>
    </w:p>
    <w:tbl>
      <w:tblPr>
        <w:tblW w:w="9103" w:type="dxa"/>
        <w:tblCellMar>
          <w:left w:w="70" w:type="dxa"/>
          <w:right w:w="70" w:type="dxa"/>
        </w:tblCellMar>
        <w:tblLook w:val="04A0" w:firstRow="1" w:lastRow="0" w:firstColumn="1" w:lastColumn="0" w:noHBand="0" w:noVBand="1"/>
      </w:tblPr>
      <w:tblGrid>
        <w:gridCol w:w="6202"/>
        <w:gridCol w:w="1441"/>
        <w:gridCol w:w="1460"/>
      </w:tblGrid>
      <w:tr w:rsidR="00C45D5B" w:rsidRPr="005F6C83" w14:paraId="3FC8C9C6" w14:textId="77777777" w:rsidTr="00CF774B">
        <w:trPr>
          <w:trHeight w:val="283"/>
        </w:trPr>
        <w:tc>
          <w:tcPr>
            <w:tcW w:w="6202" w:type="dxa"/>
            <w:tcBorders>
              <w:top w:val="nil"/>
              <w:left w:val="nil"/>
              <w:bottom w:val="nil"/>
              <w:right w:val="nil"/>
            </w:tcBorders>
            <w:shd w:val="clear" w:color="000000" w:fill="13B5EA"/>
            <w:noWrap/>
            <w:vAlign w:val="center"/>
            <w:hideMark/>
          </w:tcPr>
          <w:p w14:paraId="187C01E9" w14:textId="77777777" w:rsidR="00C45D5B" w:rsidRPr="005F6C83" w:rsidRDefault="00C45D5B" w:rsidP="00CF774B">
            <w:pPr>
              <w:rPr>
                <w:rFonts w:cs="Calibri"/>
                <w:b/>
                <w:bCs/>
                <w:color w:val="FFFFFF"/>
                <w:sz w:val="18"/>
                <w:szCs w:val="18"/>
              </w:rPr>
            </w:pPr>
            <w:r w:rsidRPr="005F6C83">
              <w:rPr>
                <w:rFonts w:cs="Calibri"/>
                <w:b/>
                <w:bCs/>
                <w:color w:val="FFFFFF"/>
                <w:sz w:val="18"/>
                <w:szCs w:val="18"/>
              </w:rPr>
              <w:t> </w:t>
            </w:r>
          </w:p>
        </w:tc>
        <w:tc>
          <w:tcPr>
            <w:tcW w:w="1441" w:type="dxa"/>
            <w:tcBorders>
              <w:top w:val="nil"/>
              <w:left w:val="nil"/>
              <w:bottom w:val="nil"/>
              <w:right w:val="nil"/>
            </w:tcBorders>
            <w:shd w:val="clear" w:color="000000" w:fill="13B5EA"/>
            <w:noWrap/>
            <w:vAlign w:val="center"/>
            <w:hideMark/>
          </w:tcPr>
          <w:p w14:paraId="6861F69F" w14:textId="77777777" w:rsidR="00C45D5B" w:rsidRPr="005F6C83" w:rsidRDefault="00C45D5B" w:rsidP="00CF774B">
            <w:pPr>
              <w:jc w:val="right"/>
              <w:rPr>
                <w:rFonts w:cs="Calibri"/>
                <w:b/>
                <w:bCs/>
                <w:color w:val="FFFFFF"/>
                <w:sz w:val="18"/>
                <w:szCs w:val="18"/>
              </w:rPr>
            </w:pPr>
            <w:r w:rsidRPr="005F6C83">
              <w:rPr>
                <w:rFonts w:cs="Calibri"/>
                <w:b/>
                <w:bCs/>
                <w:color w:val="FFFFFF"/>
                <w:sz w:val="18"/>
                <w:szCs w:val="18"/>
              </w:rPr>
              <w:t>2023</w:t>
            </w:r>
          </w:p>
        </w:tc>
        <w:tc>
          <w:tcPr>
            <w:tcW w:w="1460" w:type="dxa"/>
            <w:tcBorders>
              <w:top w:val="nil"/>
              <w:left w:val="nil"/>
              <w:bottom w:val="nil"/>
              <w:right w:val="nil"/>
            </w:tcBorders>
            <w:shd w:val="clear" w:color="000000" w:fill="13B5EA"/>
            <w:noWrap/>
            <w:vAlign w:val="center"/>
            <w:hideMark/>
          </w:tcPr>
          <w:p w14:paraId="113F2DB2" w14:textId="77777777" w:rsidR="00C45D5B" w:rsidRPr="005F6C83" w:rsidRDefault="00C45D5B" w:rsidP="00CF774B">
            <w:pPr>
              <w:jc w:val="right"/>
              <w:rPr>
                <w:rFonts w:cs="Calibri"/>
                <w:b/>
                <w:bCs/>
                <w:color w:val="FFFFFF"/>
                <w:sz w:val="18"/>
                <w:szCs w:val="18"/>
              </w:rPr>
            </w:pPr>
            <w:r w:rsidRPr="005F6C83">
              <w:rPr>
                <w:rFonts w:cs="Calibri"/>
                <w:b/>
                <w:bCs/>
                <w:color w:val="FFFFFF"/>
                <w:sz w:val="18"/>
                <w:szCs w:val="18"/>
              </w:rPr>
              <w:t>2024</w:t>
            </w:r>
          </w:p>
        </w:tc>
      </w:tr>
      <w:tr w:rsidR="00C45D5B" w:rsidRPr="005F6C83" w14:paraId="4BABB501" w14:textId="77777777" w:rsidTr="00CF774B">
        <w:trPr>
          <w:trHeight w:val="283"/>
        </w:trPr>
        <w:tc>
          <w:tcPr>
            <w:tcW w:w="6202" w:type="dxa"/>
            <w:tcBorders>
              <w:top w:val="nil"/>
              <w:left w:val="single" w:sz="4" w:space="0" w:color="13B5EA"/>
              <w:bottom w:val="nil"/>
              <w:right w:val="nil"/>
            </w:tcBorders>
            <w:shd w:val="clear" w:color="auto" w:fill="auto"/>
            <w:noWrap/>
            <w:vAlign w:val="center"/>
            <w:hideMark/>
          </w:tcPr>
          <w:p w14:paraId="14F18F0B" w14:textId="77777777" w:rsidR="00C45D5B" w:rsidRPr="005F6C83" w:rsidRDefault="00C45D5B" w:rsidP="00CF774B">
            <w:pPr>
              <w:rPr>
                <w:rFonts w:cs="Calibri"/>
                <w:color w:val="000000"/>
                <w:sz w:val="18"/>
                <w:szCs w:val="18"/>
              </w:rPr>
            </w:pPr>
            <w:r w:rsidRPr="005F6C83">
              <w:rPr>
                <w:rFonts w:cs="Calibri"/>
                <w:color w:val="000000"/>
                <w:sz w:val="18"/>
                <w:szCs w:val="18"/>
              </w:rPr>
              <w:t>(-) Plánované štrukturálne saldo VS</w:t>
            </w:r>
          </w:p>
        </w:tc>
        <w:tc>
          <w:tcPr>
            <w:tcW w:w="1441" w:type="dxa"/>
            <w:tcBorders>
              <w:top w:val="nil"/>
              <w:left w:val="nil"/>
              <w:bottom w:val="nil"/>
              <w:right w:val="nil"/>
            </w:tcBorders>
            <w:shd w:val="clear" w:color="auto" w:fill="auto"/>
            <w:noWrap/>
            <w:vAlign w:val="center"/>
            <w:hideMark/>
          </w:tcPr>
          <w:p w14:paraId="120951DF" w14:textId="77777777" w:rsidR="00C45D5B" w:rsidRPr="009F1E48" w:rsidRDefault="00C45D5B" w:rsidP="00CF774B">
            <w:pPr>
              <w:jc w:val="right"/>
              <w:rPr>
                <w:rFonts w:cs="Calibri"/>
                <w:color w:val="000000"/>
                <w:sz w:val="18"/>
                <w:szCs w:val="18"/>
              </w:rPr>
            </w:pPr>
            <w:r w:rsidRPr="009F1E48">
              <w:rPr>
                <w:rFonts w:cs="Calibri"/>
                <w:color w:val="000000"/>
                <w:sz w:val="18"/>
                <w:szCs w:val="18"/>
              </w:rPr>
              <w:t>-3 264 356 491</w:t>
            </w:r>
          </w:p>
        </w:tc>
        <w:tc>
          <w:tcPr>
            <w:tcW w:w="1460" w:type="dxa"/>
            <w:tcBorders>
              <w:top w:val="nil"/>
              <w:left w:val="nil"/>
              <w:bottom w:val="nil"/>
              <w:right w:val="nil"/>
            </w:tcBorders>
            <w:shd w:val="clear" w:color="auto" w:fill="auto"/>
            <w:noWrap/>
            <w:vAlign w:val="center"/>
            <w:hideMark/>
          </w:tcPr>
          <w:p w14:paraId="0A968652" w14:textId="77777777" w:rsidR="00C45D5B" w:rsidRPr="009F1E48" w:rsidRDefault="00C45D5B" w:rsidP="00CF774B">
            <w:pPr>
              <w:jc w:val="right"/>
              <w:rPr>
                <w:rFonts w:cs="Calibri"/>
                <w:color w:val="000000"/>
                <w:sz w:val="18"/>
                <w:szCs w:val="18"/>
              </w:rPr>
            </w:pPr>
            <w:r w:rsidRPr="009F1E48">
              <w:rPr>
                <w:rFonts w:cs="Calibri"/>
                <w:color w:val="000000"/>
                <w:sz w:val="18"/>
                <w:szCs w:val="18"/>
              </w:rPr>
              <w:t>-3 229 462 984</w:t>
            </w:r>
          </w:p>
        </w:tc>
      </w:tr>
      <w:tr w:rsidR="00C45D5B" w:rsidRPr="005F6C83" w14:paraId="4190DB2F" w14:textId="77777777" w:rsidTr="00CF774B">
        <w:trPr>
          <w:trHeight w:val="283"/>
        </w:trPr>
        <w:tc>
          <w:tcPr>
            <w:tcW w:w="6202" w:type="dxa"/>
            <w:tcBorders>
              <w:top w:val="nil"/>
              <w:left w:val="single" w:sz="4" w:space="0" w:color="13B5EA"/>
              <w:bottom w:val="nil"/>
              <w:right w:val="nil"/>
            </w:tcBorders>
            <w:shd w:val="clear" w:color="auto" w:fill="auto"/>
            <w:noWrap/>
            <w:vAlign w:val="center"/>
            <w:hideMark/>
          </w:tcPr>
          <w:p w14:paraId="154BD091" w14:textId="77777777" w:rsidR="00C45D5B" w:rsidRPr="005F6C83" w:rsidRDefault="00C45D5B" w:rsidP="00CF774B">
            <w:pPr>
              <w:rPr>
                <w:rFonts w:cs="Calibri"/>
                <w:color w:val="000000"/>
                <w:sz w:val="18"/>
                <w:szCs w:val="18"/>
              </w:rPr>
            </w:pPr>
            <w:r w:rsidRPr="005F6C83">
              <w:rPr>
                <w:rFonts w:cs="Calibri"/>
                <w:color w:val="000000"/>
                <w:sz w:val="18"/>
                <w:szCs w:val="18"/>
              </w:rPr>
              <w:t>(-) Konsolidované výdavky na správu dlhu VS</w:t>
            </w:r>
          </w:p>
        </w:tc>
        <w:tc>
          <w:tcPr>
            <w:tcW w:w="1441" w:type="dxa"/>
            <w:tcBorders>
              <w:top w:val="nil"/>
              <w:left w:val="nil"/>
              <w:bottom w:val="nil"/>
              <w:right w:val="nil"/>
            </w:tcBorders>
            <w:shd w:val="clear" w:color="auto" w:fill="auto"/>
            <w:noWrap/>
            <w:vAlign w:val="center"/>
            <w:hideMark/>
          </w:tcPr>
          <w:p w14:paraId="188CFF0E" w14:textId="77777777" w:rsidR="00C45D5B" w:rsidRPr="009F1E48" w:rsidRDefault="00C45D5B" w:rsidP="00CF774B">
            <w:pPr>
              <w:jc w:val="right"/>
              <w:rPr>
                <w:rFonts w:cs="Calibri"/>
                <w:color w:val="000000"/>
                <w:sz w:val="18"/>
                <w:szCs w:val="18"/>
              </w:rPr>
            </w:pPr>
            <w:r w:rsidRPr="009F1E48">
              <w:rPr>
                <w:rFonts w:cs="Calibri"/>
                <w:color w:val="000000"/>
                <w:sz w:val="18"/>
                <w:szCs w:val="18"/>
              </w:rPr>
              <w:t>1 071 146 751</w:t>
            </w:r>
          </w:p>
        </w:tc>
        <w:tc>
          <w:tcPr>
            <w:tcW w:w="1460" w:type="dxa"/>
            <w:tcBorders>
              <w:top w:val="nil"/>
              <w:left w:val="nil"/>
              <w:bottom w:val="nil"/>
              <w:right w:val="nil"/>
            </w:tcBorders>
            <w:shd w:val="clear" w:color="auto" w:fill="auto"/>
            <w:noWrap/>
            <w:vAlign w:val="center"/>
            <w:hideMark/>
          </w:tcPr>
          <w:p w14:paraId="74216E49" w14:textId="77777777" w:rsidR="00C45D5B" w:rsidRPr="009F1E48" w:rsidRDefault="00C45D5B" w:rsidP="00CF774B">
            <w:pPr>
              <w:jc w:val="right"/>
              <w:rPr>
                <w:rFonts w:cs="Calibri"/>
                <w:color w:val="000000"/>
                <w:sz w:val="18"/>
                <w:szCs w:val="18"/>
              </w:rPr>
            </w:pPr>
            <w:r w:rsidRPr="009F1E48">
              <w:rPr>
                <w:rFonts w:cs="Calibri"/>
                <w:color w:val="000000"/>
                <w:sz w:val="18"/>
                <w:szCs w:val="18"/>
              </w:rPr>
              <w:t>1 178 514 176</w:t>
            </w:r>
          </w:p>
        </w:tc>
      </w:tr>
      <w:tr w:rsidR="00C45D5B" w:rsidRPr="005F6C83" w14:paraId="069FDC1D" w14:textId="77777777" w:rsidTr="00CF774B">
        <w:trPr>
          <w:trHeight w:val="283"/>
        </w:trPr>
        <w:tc>
          <w:tcPr>
            <w:tcW w:w="6202" w:type="dxa"/>
            <w:tcBorders>
              <w:top w:val="nil"/>
              <w:left w:val="nil"/>
              <w:bottom w:val="nil"/>
              <w:right w:val="nil"/>
            </w:tcBorders>
            <w:shd w:val="clear" w:color="auto" w:fill="auto"/>
            <w:noWrap/>
            <w:vAlign w:val="center"/>
            <w:hideMark/>
          </w:tcPr>
          <w:p w14:paraId="6D356CDE" w14:textId="77777777" w:rsidR="00C45D5B" w:rsidRPr="005F6C83" w:rsidRDefault="00C45D5B" w:rsidP="00CF774B">
            <w:pPr>
              <w:rPr>
                <w:rFonts w:cs="Calibri"/>
                <w:color w:val="000000"/>
                <w:sz w:val="18"/>
                <w:szCs w:val="18"/>
              </w:rPr>
            </w:pPr>
            <w:r w:rsidRPr="005F6C83">
              <w:rPr>
                <w:rFonts w:cs="Calibri"/>
                <w:color w:val="000000"/>
                <w:sz w:val="18"/>
                <w:szCs w:val="18"/>
              </w:rPr>
              <w:t>(-) Výdavky zo štátneho rozpočtu na spolufinancovanie</w:t>
            </w:r>
            <w:r w:rsidRPr="005F6C83">
              <w:rPr>
                <w:rFonts w:cs="Calibri"/>
                <w:color w:val="13B5EA"/>
                <w:sz w:val="18"/>
                <w:szCs w:val="18"/>
              </w:rPr>
              <w:t>*</w:t>
            </w:r>
          </w:p>
        </w:tc>
        <w:tc>
          <w:tcPr>
            <w:tcW w:w="1441" w:type="dxa"/>
            <w:tcBorders>
              <w:top w:val="nil"/>
              <w:left w:val="nil"/>
              <w:bottom w:val="nil"/>
              <w:right w:val="nil"/>
            </w:tcBorders>
            <w:shd w:val="clear" w:color="auto" w:fill="auto"/>
            <w:noWrap/>
            <w:vAlign w:val="center"/>
            <w:hideMark/>
          </w:tcPr>
          <w:p w14:paraId="359E75D6" w14:textId="77777777" w:rsidR="00C45D5B" w:rsidRPr="009F1E48" w:rsidRDefault="00C45D5B" w:rsidP="00CF774B">
            <w:pPr>
              <w:jc w:val="right"/>
              <w:rPr>
                <w:rFonts w:cs="Calibri"/>
                <w:color w:val="000000"/>
                <w:sz w:val="18"/>
                <w:szCs w:val="18"/>
              </w:rPr>
            </w:pPr>
            <w:r w:rsidRPr="009F1E48">
              <w:rPr>
                <w:rFonts w:cs="Calibri"/>
                <w:color w:val="000000"/>
                <w:sz w:val="18"/>
                <w:szCs w:val="18"/>
              </w:rPr>
              <w:t>1 132 699 294</w:t>
            </w:r>
          </w:p>
        </w:tc>
        <w:tc>
          <w:tcPr>
            <w:tcW w:w="1460" w:type="dxa"/>
            <w:tcBorders>
              <w:top w:val="nil"/>
              <w:left w:val="nil"/>
              <w:bottom w:val="nil"/>
              <w:right w:val="nil"/>
            </w:tcBorders>
            <w:shd w:val="clear" w:color="auto" w:fill="auto"/>
            <w:noWrap/>
            <w:vAlign w:val="center"/>
            <w:hideMark/>
          </w:tcPr>
          <w:p w14:paraId="1B1B6FE1" w14:textId="77777777" w:rsidR="00C45D5B" w:rsidRPr="009F1E48" w:rsidRDefault="00C45D5B" w:rsidP="00CF774B">
            <w:pPr>
              <w:jc w:val="right"/>
              <w:rPr>
                <w:rFonts w:cs="Calibri"/>
                <w:color w:val="000000"/>
                <w:sz w:val="18"/>
                <w:szCs w:val="18"/>
              </w:rPr>
            </w:pPr>
            <w:r w:rsidRPr="009F1E48">
              <w:rPr>
                <w:rFonts w:cs="Calibri"/>
                <w:color w:val="000000"/>
                <w:sz w:val="18"/>
                <w:szCs w:val="18"/>
              </w:rPr>
              <w:t>851 228 429</w:t>
            </w:r>
          </w:p>
        </w:tc>
      </w:tr>
      <w:tr w:rsidR="00C45D5B" w:rsidRPr="005F6C83" w14:paraId="2D5666D5" w14:textId="77777777" w:rsidTr="00CF774B">
        <w:trPr>
          <w:trHeight w:val="283"/>
        </w:trPr>
        <w:tc>
          <w:tcPr>
            <w:tcW w:w="6202" w:type="dxa"/>
            <w:tcBorders>
              <w:top w:val="nil"/>
              <w:left w:val="nil"/>
              <w:bottom w:val="nil"/>
              <w:right w:val="nil"/>
            </w:tcBorders>
            <w:shd w:val="clear" w:color="auto" w:fill="auto"/>
            <w:noWrap/>
            <w:vAlign w:val="center"/>
            <w:hideMark/>
          </w:tcPr>
          <w:p w14:paraId="3DCC020D" w14:textId="77777777" w:rsidR="00C45D5B" w:rsidRPr="005F6C83" w:rsidRDefault="00C45D5B" w:rsidP="00CF774B">
            <w:pPr>
              <w:rPr>
                <w:rFonts w:cs="Calibri"/>
                <w:color w:val="000000"/>
                <w:sz w:val="18"/>
                <w:szCs w:val="18"/>
              </w:rPr>
            </w:pPr>
            <w:r w:rsidRPr="005F6C83">
              <w:rPr>
                <w:rFonts w:cs="Calibri"/>
                <w:color w:val="000000"/>
                <w:sz w:val="18"/>
                <w:szCs w:val="18"/>
              </w:rPr>
              <w:t>(-) Odvody Európskej únii</w:t>
            </w:r>
          </w:p>
        </w:tc>
        <w:tc>
          <w:tcPr>
            <w:tcW w:w="1441" w:type="dxa"/>
            <w:tcBorders>
              <w:top w:val="nil"/>
              <w:left w:val="nil"/>
              <w:bottom w:val="nil"/>
              <w:right w:val="nil"/>
            </w:tcBorders>
            <w:shd w:val="clear" w:color="auto" w:fill="auto"/>
            <w:noWrap/>
            <w:vAlign w:val="center"/>
            <w:hideMark/>
          </w:tcPr>
          <w:p w14:paraId="56778B6E" w14:textId="77777777" w:rsidR="00C45D5B" w:rsidRPr="009F1E48" w:rsidRDefault="00C45D5B" w:rsidP="00CF774B">
            <w:pPr>
              <w:jc w:val="right"/>
              <w:rPr>
                <w:rFonts w:cs="Calibri"/>
                <w:color w:val="000000"/>
                <w:sz w:val="18"/>
                <w:szCs w:val="18"/>
              </w:rPr>
            </w:pPr>
            <w:r w:rsidRPr="009F1E48">
              <w:rPr>
                <w:rFonts w:cs="Calibri"/>
                <w:color w:val="000000"/>
                <w:sz w:val="18"/>
                <w:szCs w:val="18"/>
              </w:rPr>
              <w:t>1 023 001 000</w:t>
            </w:r>
          </w:p>
        </w:tc>
        <w:tc>
          <w:tcPr>
            <w:tcW w:w="1460" w:type="dxa"/>
            <w:tcBorders>
              <w:top w:val="nil"/>
              <w:left w:val="nil"/>
              <w:bottom w:val="nil"/>
              <w:right w:val="nil"/>
            </w:tcBorders>
            <w:shd w:val="clear" w:color="auto" w:fill="auto"/>
            <w:noWrap/>
            <w:vAlign w:val="center"/>
            <w:hideMark/>
          </w:tcPr>
          <w:p w14:paraId="432CEB94" w14:textId="77777777" w:rsidR="00C45D5B" w:rsidRPr="009F1E48" w:rsidRDefault="00C45D5B" w:rsidP="00CF774B">
            <w:pPr>
              <w:jc w:val="right"/>
              <w:rPr>
                <w:rFonts w:cs="Calibri"/>
                <w:color w:val="000000"/>
                <w:sz w:val="18"/>
                <w:szCs w:val="18"/>
              </w:rPr>
            </w:pPr>
            <w:r w:rsidRPr="009F1E48">
              <w:rPr>
                <w:rFonts w:cs="Calibri"/>
                <w:color w:val="000000"/>
                <w:sz w:val="18"/>
                <w:szCs w:val="18"/>
              </w:rPr>
              <w:t>1 042 649 000</w:t>
            </w:r>
          </w:p>
        </w:tc>
      </w:tr>
      <w:tr w:rsidR="00C45D5B" w:rsidRPr="005F6C83" w14:paraId="23E8F65A" w14:textId="77777777" w:rsidTr="00CF774B">
        <w:trPr>
          <w:trHeight w:val="283"/>
        </w:trPr>
        <w:tc>
          <w:tcPr>
            <w:tcW w:w="6202" w:type="dxa"/>
            <w:tcBorders>
              <w:top w:val="nil"/>
              <w:left w:val="single" w:sz="4" w:space="0" w:color="13B5EA"/>
              <w:bottom w:val="nil"/>
              <w:right w:val="nil"/>
            </w:tcBorders>
            <w:shd w:val="clear" w:color="auto" w:fill="auto"/>
            <w:noWrap/>
            <w:vAlign w:val="center"/>
            <w:hideMark/>
          </w:tcPr>
          <w:p w14:paraId="66B3B997" w14:textId="77777777" w:rsidR="00C45D5B" w:rsidRPr="005F6C83" w:rsidRDefault="00C45D5B" w:rsidP="00CF774B">
            <w:pPr>
              <w:rPr>
                <w:rFonts w:cs="Calibri"/>
                <w:color w:val="000000"/>
                <w:sz w:val="18"/>
                <w:szCs w:val="18"/>
              </w:rPr>
            </w:pPr>
            <w:r w:rsidRPr="005F6C83">
              <w:rPr>
                <w:rFonts w:cs="Calibri"/>
                <w:color w:val="000000"/>
                <w:sz w:val="18"/>
                <w:szCs w:val="18"/>
              </w:rPr>
              <w:t>(+) Predpokladaný výsledok hospodárenia územnej samosprávy</w:t>
            </w:r>
          </w:p>
        </w:tc>
        <w:tc>
          <w:tcPr>
            <w:tcW w:w="1441" w:type="dxa"/>
            <w:tcBorders>
              <w:top w:val="nil"/>
              <w:left w:val="nil"/>
              <w:bottom w:val="nil"/>
              <w:right w:val="nil"/>
            </w:tcBorders>
            <w:shd w:val="clear" w:color="auto" w:fill="auto"/>
            <w:noWrap/>
            <w:vAlign w:val="center"/>
            <w:hideMark/>
          </w:tcPr>
          <w:p w14:paraId="17E3C93F" w14:textId="77777777" w:rsidR="00C45D5B" w:rsidRPr="009F1E48" w:rsidRDefault="00C45D5B" w:rsidP="00CF774B">
            <w:pPr>
              <w:jc w:val="right"/>
              <w:rPr>
                <w:rFonts w:cs="Calibri"/>
                <w:color w:val="000000"/>
                <w:sz w:val="18"/>
                <w:szCs w:val="18"/>
              </w:rPr>
            </w:pPr>
            <w:r w:rsidRPr="009F1E48">
              <w:rPr>
                <w:rFonts w:cs="Calibri"/>
                <w:color w:val="000000"/>
                <w:sz w:val="18"/>
                <w:szCs w:val="18"/>
              </w:rPr>
              <w:t>-16 591 497</w:t>
            </w:r>
          </w:p>
        </w:tc>
        <w:tc>
          <w:tcPr>
            <w:tcW w:w="1460" w:type="dxa"/>
            <w:tcBorders>
              <w:top w:val="nil"/>
              <w:left w:val="nil"/>
              <w:bottom w:val="nil"/>
              <w:right w:val="nil"/>
            </w:tcBorders>
            <w:shd w:val="clear" w:color="auto" w:fill="auto"/>
            <w:noWrap/>
            <w:vAlign w:val="center"/>
            <w:hideMark/>
          </w:tcPr>
          <w:p w14:paraId="18AC453D" w14:textId="77777777" w:rsidR="00C45D5B" w:rsidRPr="009F1E48" w:rsidRDefault="00C45D5B" w:rsidP="00CF774B">
            <w:pPr>
              <w:jc w:val="right"/>
              <w:rPr>
                <w:rFonts w:cs="Calibri"/>
                <w:color w:val="000000"/>
                <w:sz w:val="18"/>
                <w:szCs w:val="18"/>
              </w:rPr>
            </w:pPr>
            <w:r w:rsidRPr="009F1E48">
              <w:rPr>
                <w:rFonts w:cs="Calibri"/>
                <w:color w:val="000000"/>
                <w:sz w:val="18"/>
                <w:szCs w:val="18"/>
              </w:rPr>
              <w:t>48 382 749</w:t>
            </w:r>
          </w:p>
        </w:tc>
      </w:tr>
      <w:tr w:rsidR="00C45D5B" w:rsidRPr="005F6C83" w14:paraId="11EDC54D" w14:textId="77777777" w:rsidTr="00CF774B">
        <w:trPr>
          <w:trHeight w:val="283"/>
        </w:trPr>
        <w:tc>
          <w:tcPr>
            <w:tcW w:w="6202" w:type="dxa"/>
            <w:tcBorders>
              <w:top w:val="nil"/>
              <w:left w:val="nil"/>
              <w:bottom w:val="nil"/>
              <w:right w:val="nil"/>
            </w:tcBorders>
            <w:shd w:val="clear" w:color="auto" w:fill="auto"/>
            <w:noWrap/>
            <w:vAlign w:val="center"/>
            <w:hideMark/>
          </w:tcPr>
          <w:p w14:paraId="3B3F8F38" w14:textId="77777777" w:rsidR="00C45D5B" w:rsidRPr="005F6C83" w:rsidRDefault="00C45D5B" w:rsidP="00CF774B">
            <w:pPr>
              <w:rPr>
                <w:rFonts w:cs="Calibri"/>
                <w:color w:val="000000"/>
                <w:sz w:val="18"/>
                <w:szCs w:val="18"/>
              </w:rPr>
            </w:pPr>
            <w:r w:rsidRPr="005F6C83">
              <w:rPr>
                <w:rFonts w:cs="Calibri"/>
                <w:color w:val="000000"/>
                <w:sz w:val="18"/>
                <w:szCs w:val="18"/>
              </w:rPr>
              <w:t>(+) Predpokladané konsolidované daňové príjmy bez jednorazových, cyklu a samospráv</w:t>
            </w:r>
          </w:p>
        </w:tc>
        <w:tc>
          <w:tcPr>
            <w:tcW w:w="1441" w:type="dxa"/>
            <w:tcBorders>
              <w:top w:val="nil"/>
              <w:left w:val="nil"/>
              <w:bottom w:val="nil"/>
              <w:right w:val="nil"/>
            </w:tcBorders>
            <w:shd w:val="clear" w:color="auto" w:fill="auto"/>
            <w:noWrap/>
            <w:vAlign w:val="center"/>
            <w:hideMark/>
          </w:tcPr>
          <w:p w14:paraId="10663DD9" w14:textId="77777777" w:rsidR="00C45D5B" w:rsidRPr="009F1E48" w:rsidRDefault="00C45D5B" w:rsidP="00CF774B">
            <w:pPr>
              <w:jc w:val="right"/>
              <w:rPr>
                <w:rFonts w:cs="Calibri"/>
                <w:color w:val="000000"/>
                <w:sz w:val="18"/>
                <w:szCs w:val="18"/>
              </w:rPr>
            </w:pPr>
            <w:r w:rsidRPr="009F1E48">
              <w:rPr>
                <w:rFonts w:cs="Calibri"/>
                <w:color w:val="000000"/>
                <w:sz w:val="18"/>
                <w:szCs w:val="18"/>
              </w:rPr>
              <w:t>35 333 318 991</w:t>
            </w:r>
          </w:p>
        </w:tc>
        <w:tc>
          <w:tcPr>
            <w:tcW w:w="1460" w:type="dxa"/>
            <w:tcBorders>
              <w:top w:val="nil"/>
              <w:left w:val="nil"/>
              <w:bottom w:val="nil"/>
              <w:right w:val="nil"/>
            </w:tcBorders>
            <w:shd w:val="clear" w:color="auto" w:fill="auto"/>
            <w:noWrap/>
            <w:vAlign w:val="center"/>
            <w:hideMark/>
          </w:tcPr>
          <w:p w14:paraId="3D5F73E4" w14:textId="77777777" w:rsidR="00C45D5B" w:rsidRPr="009F1E48" w:rsidRDefault="00C45D5B" w:rsidP="00CF774B">
            <w:pPr>
              <w:jc w:val="right"/>
              <w:rPr>
                <w:rFonts w:cs="Calibri"/>
                <w:color w:val="000000"/>
                <w:sz w:val="18"/>
                <w:szCs w:val="18"/>
              </w:rPr>
            </w:pPr>
            <w:r w:rsidRPr="009F1E48">
              <w:rPr>
                <w:rFonts w:cs="Calibri"/>
                <w:color w:val="000000"/>
                <w:sz w:val="18"/>
                <w:szCs w:val="18"/>
              </w:rPr>
              <w:t>36 651 808 025</w:t>
            </w:r>
          </w:p>
        </w:tc>
      </w:tr>
      <w:tr w:rsidR="00C45D5B" w:rsidRPr="005F6C83" w14:paraId="0FE1DFF1" w14:textId="77777777" w:rsidTr="00CF774B">
        <w:trPr>
          <w:trHeight w:val="283"/>
        </w:trPr>
        <w:tc>
          <w:tcPr>
            <w:tcW w:w="6202" w:type="dxa"/>
            <w:tcBorders>
              <w:top w:val="nil"/>
              <w:left w:val="nil"/>
              <w:bottom w:val="nil"/>
              <w:right w:val="nil"/>
            </w:tcBorders>
            <w:shd w:val="clear" w:color="auto" w:fill="auto"/>
            <w:noWrap/>
            <w:vAlign w:val="center"/>
            <w:hideMark/>
          </w:tcPr>
          <w:p w14:paraId="69B6DBC9" w14:textId="77777777" w:rsidR="00C45D5B" w:rsidRPr="005F6C83" w:rsidRDefault="00C45D5B" w:rsidP="00CF774B">
            <w:pPr>
              <w:rPr>
                <w:rFonts w:cs="Calibri"/>
                <w:color w:val="000000"/>
                <w:sz w:val="18"/>
                <w:szCs w:val="18"/>
              </w:rPr>
            </w:pPr>
            <w:r w:rsidRPr="005F6C83">
              <w:rPr>
                <w:rFonts w:cs="Calibri"/>
                <w:color w:val="000000"/>
                <w:sz w:val="18"/>
                <w:szCs w:val="18"/>
              </w:rPr>
              <w:t>(+) Predpokladané konsolidované nedaňové príjmy bez jednorazových, EU fondov, POO a</w:t>
            </w:r>
            <w:r>
              <w:rPr>
                <w:rFonts w:cs="Calibri"/>
                <w:color w:val="000000"/>
                <w:sz w:val="18"/>
                <w:szCs w:val="18"/>
              </w:rPr>
              <w:t> </w:t>
            </w:r>
            <w:r w:rsidRPr="005F6C83">
              <w:rPr>
                <w:rFonts w:cs="Calibri"/>
                <w:color w:val="000000"/>
                <w:sz w:val="18"/>
                <w:szCs w:val="18"/>
              </w:rPr>
              <w:t>samospráv</w:t>
            </w:r>
          </w:p>
        </w:tc>
        <w:tc>
          <w:tcPr>
            <w:tcW w:w="1441" w:type="dxa"/>
            <w:tcBorders>
              <w:top w:val="nil"/>
              <w:left w:val="nil"/>
              <w:bottom w:val="nil"/>
              <w:right w:val="nil"/>
            </w:tcBorders>
            <w:shd w:val="clear" w:color="auto" w:fill="auto"/>
            <w:noWrap/>
            <w:vAlign w:val="center"/>
            <w:hideMark/>
          </w:tcPr>
          <w:p w14:paraId="271A8C6E" w14:textId="77777777" w:rsidR="00C45D5B" w:rsidRPr="009F1E48" w:rsidRDefault="00C45D5B" w:rsidP="00CF774B">
            <w:pPr>
              <w:jc w:val="right"/>
              <w:rPr>
                <w:rFonts w:cs="Calibri"/>
                <w:color w:val="000000"/>
                <w:sz w:val="18"/>
                <w:szCs w:val="18"/>
              </w:rPr>
            </w:pPr>
            <w:r w:rsidRPr="009F1E48">
              <w:rPr>
                <w:rFonts w:cs="Calibri"/>
                <w:color w:val="000000"/>
                <w:sz w:val="18"/>
                <w:szCs w:val="18"/>
              </w:rPr>
              <w:t>2 498 599 548</w:t>
            </w:r>
          </w:p>
        </w:tc>
        <w:tc>
          <w:tcPr>
            <w:tcW w:w="1460" w:type="dxa"/>
            <w:tcBorders>
              <w:top w:val="nil"/>
              <w:left w:val="nil"/>
              <w:bottom w:val="nil"/>
              <w:right w:val="nil"/>
            </w:tcBorders>
            <w:shd w:val="clear" w:color="auto" w:fill="auto"/>
            <w:noWrap/>
            <w:vAlign w:val="center"/>
            <w:hideMark/>
          </w:tcPr>
          <w:p w14:paraId="408A2CB5" w14:textId="77777777" w:rsidR="00C45D5B" w:rsidRPr="009F1E48" w:rsidRDefault="00C45D5B" w:rsidP="00CF774B">
            <w:pPr>
              <w:jc w:val="right"/>
              <w:rPr>
                <w:rFonts w:cs="Calibri"/>
                <w:color w:val="000000"/>
                <w:sz w:val="18"/>
                <w:szCs w:val="18"/>
              </w:rPr>
            </w:pPr>
            <w:r w:rsidRPr="009F1E48">
              <w:rPr>
                <w:rFonts w:cs="Calibri"/>
                <w:color w:val="000000"/>
                <w:sz w:val="18"/>
                <w:szCs w:val="18"/>
              </w:rPr>
              <w:t>2 545 207 033</w:t>
            </w:r>
          </w:p>
        </w:tc>
      </w:tr>
      <w:tr w:rsidR="00C45D5B" w:rsidRPr="005F6C83" w14:paraId="450AD627" w14:textId="77777777" w:rsidTr="00CF774B">
        <w:trPr>
          <w:trHeight w:val="283"/>
        </w:trPr>
        <w:tc>
          <w:tcPr>
            <w:tcW w:w="6202" w:type="dxa"/>
            <w:tcBorders>
              <w:top w:val="nil"/>
              <w:left w:val="nil"/>
              <w:bottom w:val="single" w:sz="4" w:space="0" w:color="13B5EA"/>
              <w:right w:val="nil"/>
            </w:tcBorders>
            <w:shd w:val="clear" w:color="auto" w:fill="auto"/>
            <w:noWrap/>
            <w:vAlign w:val="center"/>
            <w:hideMark/>
          </w:tcPr>
          <w:p w14:paraId="6758DF44" w14:textId="77777777" w:rsidR="00C45D5B" w:rsidRPr="005F6C83" w:rsidRDefault="00C45D5B" w:rsidP="00CF774B">
            <w:pPr>
              <w:rPr>
                <w:rFonts w:cs="Calibri"/>
                <w:b/>
                <w:bCs/>
                <w:color w:val="000000"/>
                <w:sz w:val="18"/>
                <w:szCs w:val="18"/>
              </w:rPr>
            </w:pPr>
            <w:r w:rsidRPr="005F6C83">
              <w:rPr>
                <w:rFonts w:cs="Calibri"/>
                <w:b/>
                <w:bCs/>
                <w:color w:val="000000"/>
                <w:sz w:val="18"/>
                <w:szCs w:val="18"/>
              </w:rPr>
              <w:t>Limit verejných výdavkov (podľa ods. 3)</w:t>
            </w:r>
          </w:p>
        </w:tc>
        <w:tc>
          <w:tcPr>
            <w:tcW w:w="1441" w:type="dxa"/>
            <w:tcBorders>
              <w:top w:val="nil"/>
              <w:left w:val="nil"/>
              <w:bottom w:val="single" w:sz="4" w:space="0" w:color="13B5EA"/>
              <w:right w:val="nil"/>
            </w:tcBorders>
            <w:shd w:val="clear" w:color="auto" w:fill="auto"/>
            <w:noWrap/>
            <w:vAlign w:val="center"/>
            <w:hideMark/>
          </w:tcPr>
          <w:p w14:paraId="577A0ED1" w14:textId="77777777" w:rsidR="00C45D5B" w:rsidRPr="009F1E48" w:rsidRDefault="00C45D5B" w:rsidP="00CF774B">
            <w:pPr>
              <w:jc w:val="right"/>
              <w:rPr>
                <w:rFonts w:cs="Calibri"/>
                <w:b/>
                <w:bCs/>
                <w:color w:val="000000"/>
                <w:sz w:val="18"/>
                <w:szCs w:val="18"/>
              </w:rPr>
            </w:pPr>
            <w:r w:rsidRPr="009F1E48">
              <w:rPr>
                <w:rFonts w:cs="Calibri"/>
                <w:b/>
                <w:bCs/>
                <w:color w:val="000000"/>
                <w:sz w:val="18"/>
                <w:szCs w:val="18"/>
              </w:rPr>
              <w:t>37 852 836 489</w:t>
            </w:r>
          </w:p>
        </w:tc>
        <w:tc>
          <w:tcPr>
            <w:tcW w:w="1460" w:type="dxa"/>
            <w:tcBorders>
              <w:top w:val="nil"/>
              <w:left w:val="nil"/>
              <w:bottom w:val="single" w:sz="4" w:space="0" w:color="13B5EA"/>
              <w:right w:val="nil"/>
            </w:tcBorders>
            <w:shd w:val="clear" w:color="auto" w:fill="auto"/>
            <w:noWrap/>
            <w:vAlign w:val="center"/>
            <w:hideMark/>
          </w:tcPr>
          <w:p w14:paraId="00973CF9" w14:textId="77777777" w:rsidR="00C45D5B" w:rsidRPr="009F1E48" w:rsidRDefault="00C45D5B" w:rsidP="00CF774B">
            <w:pPr>
              <w:jc w:val="right"/>
              <w:rPr>
                <w:rFonts w:cs="Calibri"/>
                <w:b/>
                <w:bCs/>
                <w:color w:val="000000"/>
                <w:sz w:val="18"/>
                <w:szCs w:val="18"/>
              </w:rPr>
            </w:pPr>
            <w:r w:rsidRPr="009F1E48">
              <w:rPr>
                <w:rFonts w:cs="Calibri"/>
                <w:b/>
                <w:bCs/>
                <w:color w:val="000000"/>
                <w:sz w:val="18"/>
                <w:szCs w:val="18"/>
              </w:rPr>
              <w:t>39 402 469 186</w:t>
            </w:r>
          </w:p>
        </w:tc>
      </w:tr>
      <w:tr w:rsidR="00C45D5B" w:rsidRPr="005F6C83" w14:paraId="436C56B8" w14:textId="77777777" w:rsidTr="00CF774B">
        <w:trPr>
          <w:trHeight w:val="283"/>
        </w:trPr>
        <w:tc>
          <w:tcPr>
            <w:tcW w:w="6202" w:type="dxa"/>
            <w:tcBorders>
              <w:top w:val="nil"/>
              <w:left w:val="nil"/>
              <w:bottom w:val="nil"/>
              <w:right w:val="nil"/>
            </w:tcBorders>
            <w:shd w:val="clear" w:color="auto" w:fill="auto"/>
            <w:noWrap/>
            <w:vAlign w:val="center"/>
            <w:hideMark/>
          </w:tcPr>
          <w:p w14:paraId="4BC66AC3" w14:textId="77777777" w:rsidR="00C45D5B" w:rsidRPr="005F6C83" w:rsidRDefault="00C45D5B" w:rsidP="00CF774B">
            <w:pPr>
              <w:rPr>
                <w:rFonts w:cs="Calibri"/>
                <w:b/>
                <w:bCs/>
                <w:color w:val="000000"/>
                <w:sz w:val="18"/>
                <w:szCs w:val="18"/>
              </w:rPr>
            </w:pPr>
            <w:r w:rsidRPr="005F6C83">
              <w:rPr>
                <w:rFonts w:cs="Calibri"/>
                <w:b/>
                <w:bCs/>
                <w:color w:val="000000"/>
                <w:sz w:val="18"/>
                <w:szCs w:val="18"/>
              </w:rPr>
              <w:t>Jednorazové výdavky mimo limitu zahrnuté v podkladových údajoch</w:t>
            </w:r>
          </w:p>
        </w:tc>
        <w:tc>
          <w:tcPr>
            <w:tcW w:w="1441" w:type="dxa"/>
            <w:tcBorders>
              <w:top w:val="nil"/>
              <w:left w:val="nil"/>
              <w:bottom w:val="nil"/>
              <w:right w:val="nil"/>
            </w:tcBorders>
            <w:shd w:val="clear" w:color="auto" w:fill="auto"/>
            <w:noWrap/>
            <w:vAlign w:val="center"/>
            <w:hideMark/>
          </w:tcPr>
          <w:p w14:paraId="15FAA2EB" w14:textId="77777777" w:rsidR="00C45D5B" w:rsidRPr="009F1E48" w:rsidRDefault="00C45D5B" w:rsidP="00CF774B">
            <w:pPr>
              <w:jc w:val="right"/>
              <w:rPr>
                <w:rFonts w:cs="Calibri"/>
                <w:b/>
                <w:bCs/>
                <w:color w:val="000000"/>
                <w:sz w:val="18"/>
                <w:szCs w:val="18"/>
              </w:rPr>
            </w:pPr>
            <w:r w:rsidRPr="009F1E48">
              <w:rPr>
                <w:rFonts w:cs="Calibri"/>
                <w:b/>
                <w:bCs/>
                <w:color w:val="000000"/>
                <w:sz w:val="18"/>
                <w:szCs w:val="18"/>
              </w:rPr>
              <w:t>12 442 903</w:t>
            </w:r>
          </w:p>
        </w:tc>
        <w:tc>
          <w:tcPr>
            <w:tcW w:w="1460" w:type="dxa"/>
            <w:tcBorders>
              <w:top w:val="nil"/>
              <w:left w:val="nil"/>
              <w:bottom w:val="nil"/>
              <w:right w:val="nil"/>
            </w:tcBorders>
            <w:shd w:val="clear" w:color="auto" w:fill="auto"/>
            <w:noWrap/>
            <w:vAlign w:val="center"/>
            <w:hideMark/>
          </w:tcPr>
          <w:p w14:paraId="4B48D04F" w14:textId="77777777" w:rsidR="00C45D5B" w:rsidRPr="009F1E48" w:rsidRDefault="00C45D5B" w:rsidP="00CF774B">
            <w:pPr>
              <w:jc w:val="right"/>
              <w:rPr>
                <w:rFonts w:cs="Calibri"/>
                <w:b/>
                <w:bCs/>
                <w:color w:val="000000"/>
                <w:sz w:val="18"/>
                <w:szCs w:val="18"/>
              </w:rPr>
            </w:pPr>
            <w:r w:rsidRPr="009F1E48">
              <w:rPr>
                <w:rFonts w:cs="Calibri"/>
                <w:b/>
                <w:bCs/>
                <w:color w:val="000000"/>
                <w:sz w:val="18"/>
                <w:szCs w:val="18"/>
              </w:rPr>
              <w:t>12 442 903</w:t>
            </w:r>
          </w:p>
        </w:tc>
      </w:tr>
      <w:tr w:rsidR="00C45D5B" w:rsidRPr="005F6C83" w14:paraId="29E58A96" w14:textId="77777777" w:rsidTr="00CF774B">
        <w:trPr>
          <w:trHeight w:val="283"/>
        </w:trPr>
        <w:tc>
          <w:tcPr>
            <w:tcW w:w="6202" w:type="dxa"/>
            <w:tcBorders>
              <w:top w:val="nil"/>
              <w:left w:val="nil"/>
              <w:bottom w:val="single" w:sz="4" w:space="0" w:color="13B5EA"/>
              <w:right w:val="nil"/>
            </w:tcBorders>
            <w:shd w:val="clear" w:color="auto" w:fill="auto"/>
            <w:noWrap/>
            <w:vAlign w:val="center"/>
            <w:hideMark/>
          </w:tcPr>
          <w:p w14:paraId="2E479987" w14:textId="77777777" w:rsidR="00C45D5B" w:rsidRPr="005F6C83" w:rsidRDefault="00C45D5B" w:rsidP="00CF774B">
            <w:pPr>
              <w:ind w:firstLineChars="100" w:firstLine="180"/>
              <w:rPr>
                <w:rFonts w:cs="Calibri"/>
                <w:color w:val="000000"/>
                <w:sz w:val="18"/>
                <w:szCs w:val="18"/>
              </w:rPr>
            </w:pPr>
            <w:r w:rsidRPr="005F6C83">
              <w:rPr>
                <w:rFonts w:cs="Calibri"/>
                <w:color w:val="000000"/>
                <w:sz w:val="18"/>
                <w:szCs w:val="18"/>
              </w:rPr>
              <w:t xml:space="preserve"> - imputovanie alikvótnej časti DPH za PPP projekty (R1, D4/R7)</w:t>
            </w:r>
          </w:p>
        </w:tc>
        <w:tc>
          <w:tcPr>
            <w:tcW w:w="1441" w:type="dxa"/>
            <w:tcBorders>
              <w:top w:val="nil"/>
              <w:left w:val="nil"/>
              <w:bottom w:val="single" w:sz="4" w:space="0" w:color="13B5EA"/>
              <w:right w:val="nil"/>
            </w:tcBorders>
            <w:shd w:val="clear" w:color="auto" w:fill="auto"/>
            <w:noWrap/>
            <w:vAlign w:val="center"/>
            <w:hideMark/>
          </w:tcPr>
          <w:p w14:paraId="0BD98ADD" w14:textId="77777777" w:rsidR="00C45D5B" w:rsidRPr="009F1E48" w:rsidRDefault="00C45D5B" w:rsidP="00CF774B">
            <w:pPr>
              <w:jc w:val="right"/>
              <w:rPr>
                <w:rFonts w:cs="Calibri"/>
                <w:color w:val="000000"/>
                <w:sz w:val="18"/>
                <w:szCs w:val="18"/>
              </w:rPr>
            </w:pPr>
            <w:r w:rsidRPr="009F1E48">
              <w:rPr>
                <w:rFonts w:cs="Calibri"/>
                <w:color w:val="000000"/>
                <w:sz w:val="18"/>
                <w:szCs w:val="18"/>
              </w:rPr>
              <w:t>12 442 903</w:t>
            </w:r>
          </w:p>
        </w:tc>
        <w:tc>
          <w:tcPr>
            <w:tcW w:w="1460" w:type="dxa"/>
            <w:tcBorders>
              <w:top w:val="nil"/>
              <w:left w:val="nil"/>
              <w:bottom w:val="single" w:sz="4" w:space="0" w:color="13B5EA"/>
              <w:right w:val="nil"/>
            </w:tcBorders>
            <w:shd w:val="clear" w:color="auto" w:fill="auto"/>
            <w:noWrap/>
            <w:vAlign w:val="center"/>
            <w:hideMark/>
          </w:tcPr>
          <w:p w14:paraId="33B10A51" w14:textId="77777777" w:rsidR="00C45D5B" w:rsidRPr="009F1E48" w:rsidRDefault="00C45D5B" w:rsidP="00CF774B">
            <w:pPr>
              <w:jc w:val="right"/>
              <w:rPr>
                <w:rFonts w:cs="Calibri"/>
                <w:color w:val="000000"/>
                <w:sz w:val="18"/>
                <w:szCs w:val="18"/>
              </w:rPr>
            </w:pPr>
            <w:r w:rsidRPr="009F1E48">
              <w:rPr>
                <w:rFonts w:cs="Calibri"/>
                <w:color w:val="000000"/>
                <w:sz w:val="18"/>
                <w:szCs w:val="18"/>
              </w:rPr>
              <w:t>12 442 903</w:t>
            </w:r>
          </w:p>
        </w:tc>
      </w:tr>
      <w:tr w:rsidR="00C45D5B" w:rsidRPr="005F6C83" w14:paraId="7CF77F5E" w14:textId="77777777" w:rsidTr="00CF774B">
        <w:trPr>
          <w:trHeight w:val="283"/>
        </w:trPr>
        <w:tc>
          <w:tcPr>
            <w:tcW w:w="6202" w:type="dxa"/>
            <w:tcBorders>
              <w:top w:val="nil"/>
              <w:left w:val="nil"/>
              <w:bottom w:val="nil"/>
              <w:right w:val="nil"/>
            </w:tcBorders>
            <w:shd w:val="clear" w:color="auto" w:fill="auto"/>
            <w:noWrap/>
            <w:vAlign w:val="center"/>
            <w:hideMark/>
          </w:tcPr>
          <w:p w14:paraId="66026911" w14:textId="77777777" w:rsidR="00C45D5B" w:rsidRPr="005F6C83" w:rsidRDefault="00C45D5B" w:rsidP="00CF774B">
            <w:pPr>
              <w:rPr>
                <w:rFonts w:cs="Calibri"/>
                <w:i/>
                <w:iCs/>
                <w:color w:val="13B5EA"/>
                <w:sz w:val="18"/>
                <w:szCs w:val="18"/>
              </w:rPr>
            </w:pPr>
            <w:r w:rsidRPr="00C61661">
              <w:rPr>
                <w:rFonts w:cs="Calibri"/>
                <w:i/>
                <w:iCs/>
                <w:color w:val="000000" w:themeColor="text1"/>
                <w:sz w:val="16"/>
                <w:szCs w:val="18"/>
              </w:rPr>
              <w:t>* vrátane DPH na POO</w:t>
            </w:r>
          </w:p>
        </w:tc>
        <w:tc>
          <w:tcPr>
            <w:tcW w:w="1441" w:type="dxa"/>
            <w:tcBorders>
              <w:top w:val="nil"/>
              <w:left w:val="nil"/>
              <w:bottom w:val="nil"/>
              <w:right w:val="nil"/>
            </w:tcBorders>
            <w:shd w:val="clear" w:color="auto" w:fill="auto"/>
            <w:noWrap/>
            <w:vAlign w:val="center"/>
            <w:hideMark/>
          </w:tcPr>
          <w:p w14:paraId="0585A372" w14:textId="77777777" w:rsidR="00C45D5B" w:rsidRPr="005F6C83" w:rsidRDefault="00C45D5B" w:rsidP="00CF774B">
            <w:pPr>
              <w:rPr>
                <w:rFonts w:cs="Calibri"/>
                <w:i/>
                <w:iCs/>
                <w:color w:val="13B5EA"/>
                <w:sz w:val="18"/>
                <w:szCs w:val="18"/>
              </w:rPr>
            </w:pPr>
          </w:p>
        </w:tc>
        <w:tc>
          <w:tcPr>
            <w:tcW w:w="1460" w:type="dxa"/>
            <w:tcBorders>
              <w:top w:val="nil"/>
              <w:left w:val="nil"/>
              <w:bottom w:val="nil"/>
              <w:right w:val="nil"/>
            </w:tcBorders>
            <w:shd w:val="clear" w:color="auto" w:fill="auto"/>
            <w:noWrap/>
            <w:vAlign w:val="center"/>
            <w:hideMark/>
          </w:tcPr>
          <w:p w14:paraId="72DBFFF6" w14:textId="77777777" w:rsidR="00C45D5B" w:rsidRPr="005F6C83" w:rsidRDefault="00C45D5B" w:rsidP="00CF774B">
            <w:pPr>
              <w:rPr>
                <w:rFonts w:cs="Times New Roman"/>
                <w:sz w:val="20"/>
                <w:szCs w:val="20"/>
              </w:rPr>
            </w:pPr>
          </w:p>
        </w:tc>
      </w:tr>
    </w:tbl>
    <w:p w14:paraId="3DDE34DB" w14:textId="77777777" w:rsidR="00C45D5B" w:rsidRPr="00636109" w:rsidRDefault="00C45D5B" w:rsidP="00C45D5B">
      <w:pPr>
        <w:jc w:val="right"/>
        <w:rPr>
          <w:i/>
          <w:sz w:val="16"/>
          <w:szCs w:val="16"/>
        </w:rPr>
      </w:pPr>
      <w:r w:rsidRPr="00636109">
        <w:rPr>
          <w:i/>
          <w:sz w:val="16"/>
          <w:szCs w:val="16"/>
        </w:rPr>
        <w:t>Zdroj: RRZ</w:t>
      </w:r>
    </w:p>
    <w:p w14:paraId="109E8B34" w14:textId="77777777" w:rsidR="00C45D5B" w:rsidRPr="00427BB1" w:rsidRDefault="00C45D5B" w:rsidP="00C45D5B">
      <w:pPr>
        <w:jc w:val="right"/>
        <w:rPr>
          <w:sz w:val="8"/>
          <w:szCs w:val="16"/>
        </w:rPr>
      </w:pPr>
    </w:p>
    <w:tbl>
      <w:tblPr>
        <w:tblW w:w="9380" w:type="dxa"/>
        <w:tblCellMar>
          <w:left w:w="70" w:type="dxa"/>
          <w:right w:w="70" w:type="dxa"/>
        </w:tblCellMar>
        <w:tblLook w:val="04A0" w:firstRow="1" w:lastRow="0" w:firstColumn="1" w:lastColumn="0" w:noHBand="0" w:noVBand="1"/>
      </w:tblPr>
      <w:tblGrid>
        <w:gridCol w:w="6096"/>
        <w:gridCol w:w="1559"/>
        <w:gridCol w:w="1518"/>
        <w:gridCol w:w="189"/>
        <w:gridCol w:w="18"/>
      </w:tblGrid>
      <w:tr w:rsidR="00C45D5B" w:rsidRPr="00D420C9" w14:paraId="4DE44815" w14:textId="77777777" w:rsidTr="00CF774B">
        <w:trPr>
          <w:gridAfter w:val="1"/>
          <w:wAfter w:w="18" w:type="dxa"/>
          <w:trHeight w:val="275"/>
        </w:trPr>
        <w:tc>
          <w:tcPr>
            <w:tcW w:w="9362" w:type="dxa"/>
            <w:gridSpan w:val="4"/>
            <w:tcBorders>
              <w:top w:val="nil"/>
              <w:left w:val="nil"/>
              <w:bottom w:val="nil"/>
              <w:right w:val="nil"/>
            </w:tcBorders>
            <w:shd w:val="clear" w:color="auto" w:fill="auto"/>
            <w:noWrap/>
            <w:vAlign w:val="bottom"/>
            <w:hideMark/>
          </w:tcPr>
          <w:p w14:paraId="2D4F14F8" w14:textId="466ACE23" w:rsidR="00C45D5B" w:rsidRPr="00C61661" w:rsidRDefault="00C45D5B" w:rsidP="00CF774B">
            <w:pPr>
              <w:pStyle w:val="Nadpis3"/>
              <w:rPr>
                <w:color w:val="2C9ADC" w:themeColor="accent1"/>
                <w:sz w:val="22"/>
                <w:szCs w:val="24"/>
                <w:highlight w:val="yellow"/>
              </w:rPr>
            </w:pPr>
            <w:bookmarkStart w:id="319" w:name="_Toc101880727"/>
            <w:r w:rsidRPr="00634F5E">
              <w:rPr>
                <w:color w:val="2C9ADC" w:themeColor="accent1"/>
                <w:szCs w:val="20"/>
              </w:rPr>
              <w:t xml:space="preserve">TABUĽKA </w:t>
            </w:r>
            <w:r w:rsidRPr="00634F5E">
              <w:rPr>
                <w:color w:val="2C9ADC" w:themeColor="accent1"/>
                <w:szCs w:val="20"/>
              </w:rPr>
              <w:fldChar w:fldCharType="begin"/>
            </w:r>
            <w:r w:rsidRPr="00634F5E">
              <w:rPr>
                <w:color w:val="2C9ADC" w:themeColor="accent1"/>
                <w:szCs w:val="20"/>
              </w:rPr>
              <w:instrText xml:space="preserve"> SEQ TABUĽKA \* ARABIC </w:instrText>
            </w:r>
            <w:r w:rsidRPr="00634F5E">
              <w:rPr>
                <w:color w:val="2C9ADC" w:themeColor="accent1"/>
                <w:szCs w:val="20"/>
              </w:rPr>
              <w:fldChar w:fldCharType="separate"/>
            </w:r>
            <w:r w:rsidR="005D3280">
              <w:rPr>
                <w:noProof/>
                <w:color w:val="2C9ADC" w:themeColor="accent1"/>
                <w:szCs w:val="20"/>
              </w:rPr>
              <w:t>48</w:t>
            </w:r>
            <w:r w:rsidRPr="00634F5E">
              <w:rPr>
                <w:color w:val="2C9ADC" w:themeColor="accent1"/>
                <w:szCs w:val="20"/>
              </w:rPr>
              <w:fldChar w:fldCharType="end"/>
            </w:r>
            <w:r w:rsidRPr="00634F5E">
              <w:rPr>
                <w:color w:val="2C9ADC" w:themeColor="accent1"/>
                <w:szCs w:val="20"/>
              </w:rPr>
              <w:t xml:space="preserve"> – </w:t>
            </w:r>
            <w:r w:rsidRPr="00634F5E">
              <w:rPr>
                <w:rFonts w:cs="Book Antiqua"/>
                <w:bCs w:val="0"/>
                <w:color w:val="2C9ADC" w:themeColor="accent1"/>
                <w:szCs w:val="20"/>
              </w:rPr>
              <w:t>Výpočet predbežného rozpočtového cieľa podľa MF SR na základe limitov verejných výdavkov vypočítaných Radou pre rozpočtovú zodpovednosť</w:t>
            </w:r>
            <w:bookmarkEnd w:id="319"/>
          </w:p>
        </w:tc>
      </w:tr>
      <w:tr w:rsidR="00C45D5B" w:rsidRPr="00D420C9" w14:paraId="42C49714" w14:textId="77777777" w:rsidTr="00CF774B">
        <w:trPr>
          <w:trHeight w:val="275"/>
        </w:trPr>
        <w:tc>
          <w:tcPr>
            <w:tcW w:w="6096" w:type="dxa"/>
            <w:tcBorders>
              <w:top w:val="nil"/>
              <w:left w:val="nil"/>
              <w:bottom w:val="nil"/>
              <w:right w:val="nil"/>
            </w:tcBorders>
            <w:shd w:val="clear" w:color="000000" w:fill="13B5EA"/>
            <w:noWrap/>
            <w:vAlign w:val="center"/>
            <w:hideMark/>
          </w:tcPr>
          <w:p w14:paraId="49AE2D3D" w14:textId="77777777" w:rsidR="00C45D5B" w:rsidRPr="00D420C9" w:rsidRDefault="00C45D5B" w:rsidP="00CF774B">
            <w:pPr>
              <w:jc w:val="center"/>
              <w:rPr>
                <w:rFonts w:cs="Calibri"/>
                <w:b/>
                <w:bCs/>
                <w:color w:val="FFFFFF"/>
                <w:sz w:val="18"/>
                <w:szCs w:val="18"/>
              </w:rPr>
            </w:pPr>
            <w:r w:rsidRPr="00D420C9">
              <w:rPr>
                <w:rFonts w:cs="Calibri"/>
                <w:b/>
                <w:bCs/>
                <w:color w:val="FFFFFF"/>
                <w:sz w:val="18"/>
                <w:szCs w:val="18"/>
              </w:rPr>
              <w:t> </w:t>
            </w:r>
          </w:p>
        </w:tc>
        <w:tc>
          <w:tcPr>
            <w:tcW w:w="1559" w:type="dxa"/>
            <w:tcBorders>
              <w:top w:val="nil"/>
              <w:left w:val="nil"/>
              <w:bottom w:val="nil"/>
              <w:right w:val="nil"/>
            </w:tcBorders>
            <w:shd w:val="clear" w:color="000000" w:fill="13B5EA"/>
            <w:noWrap/>
            <w:vAlign w:val="center"/>
            <w:hideMark/>
          </w:tcPr>
          <w:p w14:paraId="3A0A4E4F" w14:textId="77777777" w:rsidR="00C45D5B" w:rsidRPr="00D420C9" w:rsidRDefault="00C45D5B" w:rsidP="00CF774B">
            <w:pPr>
              <w:jc w:val="center"/>
              <w:rPr>
                <w:rFonts w:cs="Calibri"/>
                <w:b/>
                <w:bCs/>
                <w:color w:val="FFFFFF"/>
                <w:sz w:val="18"/>
                <w:szCs w:val="18"/>
              </w:rPr>
            </w:pPr>
            <w:r w:rsidRPr="00D420C9">
              <w:rPr>
                <w:rFonts w:cs="Calibri"/>
                <w:b/>
                <w:bCs/>
                <w:color w:val="FFFFFF"/>
                <w:sz w:val="18"/>
                <w:szCs w:val="18"/>
              </w:rPr>
              <w:t>2023</w:t>
            </w:r>
          </w:p>
        </w:tc>
        <w:tc>
          <w:tcPr>
            <w:tcW w:w="1518" w:type="dxa"/>
            <w:tcBorders>
              <w:top w:val="nil"/>
              <w:left w:val="nil"/>
              <w:bottom w:val="nil"/>
              <w:right w:val="nil"/>
            </w:tcBorders>
            <w:shd w:val="clear" w:color="000000" w:fill="13B5EA"/>
            <w:noWrap/>
            <w:vAlign w:val="center"/>
            <w:hideMark/>
          </w:tcPr>
          <w:p w14:paraId="386AFBAD" w14:textId="77777777" w:rsidR="00C45D5B" w:rsidRPr="00D420C9" w:rsidRDefault="00C45D5B" w:rsidP="00CF774B">
            <w:pPr>
              <w:jc w:val="center"/>
              <w:rPr>
                <w:rFonts w:cs="Calibri"/>
                <w:b/>
                <w:bCs/>
                <w:color w:val="FFFFFF"/>
                <w:sz w:val="18"/>
                <w:szCs w:val="18"/>
              </w:rPr>
            </w:pPr>
            <w:r w:rsidRPr="00D420C9">
              <w:rPr>
                <w:rFonts w:cs="Calibri"/>
                <w:b/>
                <w:bCs/>
                <w:color w:val="FFFFFF"/>
                <w:sz w:val="18"/>
                <w:szCs w:val="18"/>
              </w:rPr>
              <w:t>2024</w:t>
            </w:r>
          </w:p>
        </w:tc>
        <w:tc>
          <w:tcPr>
            <w:tcW w:w="207" w:type="dxa"/>
            <w:gridSpan w:val="2"/>
            <w:vAlign w:val="center"/>
            <w:hideMark/>
          </w:tcPr>
          <w:p w14:paraId="7B45E08E" w14:textId="77777777" w:rsidR="00C45D5B" w:rsidRPr="00D420C9" w:rsidRDefault="00C45D5B" w:rsidP="00CF774B">
            <w:pPr>
              <w:rPr>
                <w:rFonts w:cs="Times New Roman"/>
                <w:sz w:val="20"/>
                <w:szCs w:val="20"/>
              </w:rPr>
            </w:pPr>
          </w:p>
        </w:tc>
      </w:tr>
      <w:tr w:rsidR="00C45D5B" w:rsidRPr="00D420C9" w14:paraId="5CDB5AE0" w14:textId="77777777" w:rsidTr="00CF774B">
        <w:trPr>
          <w:trHeight w:val="275"/>
        </w:trPr>
        <w:tc>
          <w:tcPr>
            <w:tcW w:w="6096" w:type="dxa"/>
            <w:tcBorders>
              <w:top w:val="nil"/>
              <w:left w:val="nil"/>
              <w:bottom w:val="single" w:sz="4" w:space="0" w:color="13B5EA"/>
              <w:right w:val="nil"/>
            </w:tcBorders>
            <w:shd w:val="clear" w:color="auto" w:fill="auto"/>
            <w:noWrap/>
            <w:vAlign w:val="center"/>
            <w:hideMark/>
          </w:tcPr>
          <w:p w14:paraId="0AE4BEE6"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Limit verejných výdavkov (podľa ods. 3)</w:t>
            </w:r>
          </w:p>
        </w:tc>
        <w:tc>
          <w:tcPr>
            <w:tcW w:w="1559" w:type="dxa"/>
            <w:tcBorders>
              <w:top w:val="nil"/>
              <w:left w:val="nil"/>
              <w:bottom w:val="single" w:sz="4" w:space="0" w:color="13B5EA"/>
              <w:right w:val="nil"/>
            </w:tcBorders>
            <w:shd w:val="clear" w:color="auto" w:fill="auto"/>
            <w:noWrap/>
            <w:vAlign w:val="center"/>
            <w:hideMark/>
          </w:tcPr>
          <w:p w14:paraId="047C2EDD" w14:textId="77777777" w:rsidR="00C45D5B" w:rsidRPr="00634F5E" w:rsidRDefault="00C45D5B" w:rsidP="00CF774B">
            <w:pPr>
              <w:jc w:val="right"/>
              <w:rPr>
                <w:rFonts w:cs="Calibri"/>
                <w:b/>
                <w:bCs/>
                <w:color w:val="000000"/>
                <w:sz w:val="18"/>
                <w:szCs w:val="18"/>
              </w:rPr>
            </w:pPr>
            <w:r w:rsidRPr="00634F5E">
              <w:rPr>
                <w:rFonts w:cs="Calibri"/>
                <w:b/>
                <w:bCs/>
                <w:color w:val="000000"/>
                <w:sz w:val="18"/>
                <w:szCs w:val="18"/>
              </w:rPr>
              <w:t>37 852 836 489</w:t>
            </w:r>
          </w:p>
        </w:tc>
        <w:tc>
          <w:tcPr>
            <w:tcW w:w="1518" w:type="dxa"/>
            <w:tcBorders>
              <w:top w:val="nil"/>
              <w:left w:val="nil"/>
              <w:bottom w:val="single" w:sz="4" w:space="0" w:color="13B5EA"/>
              <w:right w:val="nil"/>
            </w:tcBorders>
            <w:shd w:val="clear" w:color="auto" w:fill="auto"/>
            <w:noWrap/>
            <w:vAlign w:val="center"/>
            <w:hideMark/>
          </w:tcPr>
          <w:p w14:paraId="2B1E7555" w14:textId="77777777" w:rsidR="00C45D5B" w:rsidRPr="00634F5E" w:rsidRDefault="00C45D5B" w:rsidP="00CF774B">
            <w:pPr>
              <w:jc w:val="right"/>
              <w:rPr>
                <w:rFonts w:cs="Calibri"/>
                <w:b/>
                <w:bCs/>
                <w:color w:val="000000"/>
                <w:sz w:val="18"/>
                <w:szCs w:val="18"/>
              </w:rPr>
            </w:pPr>
            <w:r w:rsidRPr="00634F5E">
              <w:rPr>
                <w:rFonts w:cs="Calibri"/>
                <w:b/>
                <w:bCs/>
                <w:color w:val="000000"/>
                <w:sz w:val="18"/>
                <w:szCs w:val="18"/>
              </w:rPr>
              <w:t>39 402 469 186</w:t>
            </w:r>
          </w:p>
        </w:tc>
        <w:tc>
          <w:tcPr>
            <w:tcW w:w="207" w:type="dxa"/>
            <w:gridSpan w:val="2"/>
            <w:vAlign w:val="center"/>
            <w:hideMark/>
          </w:tcPr>
          <w:p w14:paraId="4A87F553" w14:textId="77777777" w:rsidR="00C45D5B" w:rsidRPr="00D420C9" w:rsidRDefault="00C45D5B" w:rsidP="00CF774B">
            <w:pPr>
              <w:rPr>
                <w:rFonts w:cs="Times New Roman"/>
                <w:sz w:val="20"/>
                <w:szCs w:val="20"/>
              </w:rPr>
            </w:pPr>
          </w:p>
        </w:tc>
      </w:tr>
      <w:tr w:rsidR="00C45D5B" w:rsidRPr="00D420C9" w14:paraId="4AC65265" w14:textId="77777777" w:rsidTr="00CF774B">
        <w:trPr>
          <w:trHeight w:val="275"/>
        </w:trPr>
        <w:tc>
          <w:tcPr>
            <w:tcW w:w="6096" w:type="dxa"/>
            <w:tcBorders>
              <w:top w:val="nil"/>
              <w:left w:val="nil"/>
              <w:bottom w:val="nil"/>
              <w:right w:val="nil"/>
            </w:tcBorders>
            <w:shd w:val="clear" w:color="auto" w:fill="auto"/>
            <w:noWrap/>
            <w:vAlign w:val="center"/>
            <w:hideMark/>
          </w:tcPr>
          <w:p w14:paraId="663A2887"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Jednorazové výdavky mimo limitu zahrnuté v podkladových údajoch</w:t>
            </w:r>
          </w:p>
        </w:tc>
        <w:tc>
          <w:tcPr>
            <w:tcW w:w="1559" w:type="dxa"/>
            <w:tcBorders>
              <w:top w:val="nil"/>
              <w:left w:val="nil"/>
              <w:bottom w:val="nil"/>
              <w:right w:val="nil"/>
            </w:tcBorders>
            <w:shd w:val="clear" w:color="auto" w:fill="auto"/>
            <w:noWrap/>
            <w:vAlign w:val="center"/>
            <w:hideMark/>
          </w:tcPr>
          <w:p w14:paraId="6031A51F" w14:textId="77777777" w:rsidR="00C45D5B" w:rsidRPr="00634F5E" w:rsidRDefault="00C45D5B" w:rsidP="00CF774B">
            <w:pPr>
              <w:jc w:val="right"/>
              <w:rPr>
                <w:rFonts w:cs="Calibri"/>
                <w:b/>
                <w:bCs/>
                <w:color w:val="000000"/>
                <w:sz w:val="18"/>
                <w:szCs w:val="18"/>
              </w:rPr>
            </w:pPr>
            <w:r w:rsidRPr="00634F5E">
              <w:rPr>
                <w:rFonts w:cs="Calibri"/>
                <w:b/>
                <w:bCs/>
                <w:color w:val="000000"/>
                <w:sz w:val="18"/>
                <w:szCs w:val="18"/>
              </w:rPr>
              <w:t>12 442 903</w:t>
            </w:r>
          </w:p>
        </w:tc>
        <w:tc>
          <w:tcPr>
            <w:tcW w:w="1518" w:type="dxa"/>
            <w:tcBorders>
              <w:top w:val="nil"/>
              <w:left w:val="nil"/>
              <w:bottom w:val="nil"/>
              <w:right w:val="nil"/>
            </w:tcBorders>
            <w:shd w:val="clear" w:color="auto" w:fill="auto"/>
            <w:noWrap/>
            <w:vAlign w:val="center"/>
            <w:hideMark/>
          </w:tcPr>
          <w:p w14:paraId="6B988D8C" w14:textId="77777777" w:rsidR="00C45D5B" w:rsidRPr="00634F5E" w:rsidRDefault="00C45D5B" w:rsidP="00CF774B">
            <w:pPr>
              <w:jc w:val="right"/>
              <w:rPr>
                <w:rFonts w:cs="Calibri"/>
                <w:b/>
                <w:bCs/>
                <w:color w:val="000000"/>
                <w:sz w:val="18"/>
                <w:szCs w:val="18"/>
              </w:rPr>
            </w:pPr>
            <w:r w:rsidRPr="00634F5E">
              <w:rPr>
                <w:rFonts w:cs="Calibri"/>
                <w:b/>
                <w:bCs/>
                <w:color w:val="000000"/>
                <w:sz w:val="18"/>
                <w:szCs w:val="18"/>
              </w:rPr>
              <w:t>12 442 903</w:t>
            </w:r>
          </w:p>
        </w:tc>
        <w:tc>
          <w:tcPr>
            <w:tcW w:w="207" w:type="dxa"/>
            <w:gridSpan w:val="2"/>
            <w:vAlign w:val="center"/>
            <w:hideMark/>
          </w:tcPr>
          <w:p w14:paraId="567B144B" w14:textId="77777777" w:rsidR="00C45D5B" w:rsidRPr="00D420C9" w:rsidRDefault="00C45D5B" w:rsidP="00CF774B">
            <w:pPr>
              <w:rPr>
                <w:rFonts w:cs="Times New Roman"/>
                <w:sz w:val="20"/>
                <w:szCs w:val="20"/>
              </w:rPr>
            </w:pPr>
          </w:p>
        </w:tc>
      </w:tr>
      <w:tr w:rsidR="00C45D5B" w:rsidRPr="00D420C9" w14:paraId="72801F39" w14:textId="77777777" w:rsidTr="00CF774B">
        <w:trPr>
          <w:trHeight w:val="275"/>
        </w:trPr>
        <w:tc>
          <w:tcPr>
            <w:tcW w:w="6096" w:type="dxa"/>
            <w:tcBorders>
              <w:top w:val="nil"/>
              <w:left w:val="nil"/>
              <w:bottom w:val="nil"/>
              <w:right w:val="nil"/>
            </w:tcBorders>
            <w:shd w:val="clear" w:color="auto" w:fill="auto"/>
            <w:noWrap/>
            <w:vAlign w:val="center"/>
            <w:hideMark/>
          </w:tcPr>
          <w:p w14:paraId="3553BBAB"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Výdavky z prostriedkov z fondov EÚ, vrátane fondov POO</w:t>
            </w:r>
          </w:p>
        </w:tc>
        <w:tc>
          <w:tcPr>
            <w:tcW w:w="1559" w:type="dxa"/>
            <w:tcBorders>
              <w:top w:val="nil"/>
              <w:left w:val="nil"/>
              <w:bottom w:val="nil"/>
              <w:right w:val="nil"/>
            </w:tcBorders>
            <w:shd w:val="clear" w:color="auto" w:fill="auto"/>
            <w:noWrap/>
            <w:vAlign w:val="center"/>
            <w:hideMark/>
          </w:tcPr>
          <w:p w14:paraId="685353D4" w14:textId="77777777" w:rsidR="00C45D5B" w:rsidRPr="00634F5E" w:rsidRDefault="00C45D5B" w:rsidP="00CF774B">
            <w:pPr>
              <w:jc w:val="right"/>
              <w:rPr>
                <w:rFonts w:cs="Calibri"/>
                <w:color w:val="000000"/>
                <w:sz w:val="18"/>
                <w:szCs w:val="18"/>
              </w:rPr>
            </w:pPr>
            <w:r w:rsidRPr="00634F5E">
              <w:rPr>
                <w:rFonts w:cs="Calibri"/>
                <w:color w:val="000000"/>
                <w:sz w:val="18"/>
                <w:szCs w:val="18"/>
              </w:rPr>
              <w:t>4 254 267 000</w:t>
            </w:r>
          </w:p>
        </w:tc>
        <w:tc>
          <w:tcPr>
            <w:tcW w:w="1518" w:type="dxa"/>
            <w:tcBorders>
              <w:top w:val="nil"/>
              <w:left w:val="nil"/>
              <w:bottom w:val="nil"/>
              <w:right w:val="nil"/>
            </w:tcBorders>
            <w:shd w:val="clear" w:color="auto" w:fill="auto"/>
            <w:noWrap/>
            <w:vAlign w:val="center"/>
            <w:hideMark/>
          </w:tcPr>
          <w:p w14:paraId="5FC3DB82" w14:textId="77777777" w:rsidR="00C45D5B" w:rsidRPr="00634F5E" w:rsidRDefault="00C45D5B" w:rsidP="00CF774B">
            <w:pPr>
              <w:jc w:val="right"/>
              <w:rPr>
                <w:rFonts w:cs="Calibri"/>
                <w:color w:val="000000"/>
                <w:sz w:val="18"/>
                <w:szCs w:val="18"/>
              </w:rPr>
            </w:pPr>
            <w:r w:rsidRPr="00634F5E">
              <w:rPr>
                <w:rFonts w:cs="Calibri"/>
                <w:color w:val="000000"/>
                <w:sz w:val="18"/>
                <w:szCs w:val="18"/>
              </w:rPr>
              <w:t>2 354 624 000</w:t>
            </w:r>
          </w:p>
        </w:tc>
        <w:tc>
          <w:tcPr>
            <w:tcW w:w="207" w:type="dxa"/>
            <w:gridSpan w:val="2"/>
            <w:vAlign w:val="center"/>
            <w:hideMark/>
          </w:tcPr>
          <w:p w14:paraId="77C8EEDA" w14:textId="77777777" w:rsidR="00C45D5B" w:rsidRPr="00D420C9" w:rsidRDefault="00C45D5B" w:rsidP="00CF774B">
            <w:pPr>
              <w:rPr>
                <w:rFonts w:cs="Times New Roman"/>
                <w:sz w:val="20"/>
                <w:szCs w:val="20"/>
              </w:rPr>
            </w:pPr>
          </w:p>
        </w:tc>
      </w:tr>
      <w:tr w:rsidR="00C45D5B" w:rsidRPr="00D420C9" w14:paraId="6CCE3329" w14:textId="77777777" w:rsidTr="00CF774B">
        <w:trPr>
          <w:trHeight w:val="275"/>
        </w:trPr>
        <w:tc>
          <w:tcPr>
            <w:tcW w:w="6096" w:type="dxa"/>
            <w:tcBorders>
              <w:top w:val="nil"/>
              <w:left w:val="nil"/>
              <w:bottom w:val="nil"/>
              <w:right w:val="nil"/>
            </w:tcBorders>
            <w:shd w:val="clear" w:color="auto" w:fill="auto"/>
            <w:noWrap/>
            <w:vAlign w:val="center"/>
            <w:hideMark/>
          </w:tcPr>
          <w:p w14:paraId="383ABBA1"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Výdavky zo štátneho rozpočtu na spolufinancovanie</w:t>
            </w:r>
          </w:p>
        </w:tc>
        <w:tc>
          <w:tcPr>
            <w:tcW w:w="1559" w:type="dxa"/>
            <w:tcBorders>
              <w:top w:val="nil"/>
              <w:left w:val="nil"/>
              <w:bottom w:val="nil"/>
              <w:right w:val="nil"/>
            </w:tcBorders>
            <w:shd w:val="clear" w:color="auto" w:fill="auto"/>
            <w:noWrap/>
            <w:vAlign w:val="center"/>
            <w:hideMark/>
          </w:tcPr>
          <w:p w14:paraId="403CD4F2" w14:textId="77777777" w:rsidR="00C45D5B" w:rsidRPr="00634F5E" w:rsidRDefault="00C45D5B" w:rsidP="00CF774B">
            <w:pPr>
              <w:jc w:val="right"/>
              <w:rPr>
                <w:rFonts w:cs="Calibri"/>
                <w:color w:val="000000"/>
                <w:sz w:val="18"/>
                <w:szCs w:val="18"/>
              </w:rPr>
            </w:pPr>
            <w:r w:rsidRPr="00634F5E">
              <w:rPr>
                <w:rFonts w:cs="Calibri"/>
                <w:color w:val="000000"/>
                <w:sz w:val="18"/>
                <w:szCs w:val="18"/>
              </w:rPr>
              <w:t>1 266 828 573</w:t>
            </w:r>
          </w:p>
        </w:tc>
        <w:tc>
          <w:tcPr>
            <w:tcW w:w="1518" w:type="dxa"/>
            <w:tcBorders>
              <w:top w:val="nil"/>
              <w:left w:val="nil"/>
              <w:bottom w:val="nil"/>
              <w:right w:val="nil"/>
            </w:tcBorders>
            <w:shd w:val="clear" w:color="auto" w:fill="auto"/>
            <w:noWrap/>
            <w:vAlign w:val="center"/>
            <w:hideMark/>
          </w:tcPr>
          <w:p w14:paraId="78C2305C" w14:textId="77777777" w:rsidR="00C45D5B" w:rsidRPr="00634F5E" w:rsidRDefault="00C45D5B" w:rsidP="00CF774B">
            <w:pPr>
              <w:jc w:val="right"/>
              <w:rPr>
                <w:rFonts w:cs="Calibri"/>
                <w:color w:val="000000"/>
                <w:sz w:val="18"/>
                <w:szCs w:val="18"/>
              </w:rPr>
            </w:pPr>
            <w:r w:rsidRPr="00634F5E">
              <w:rPr>
                <w:rFonts w:cs="Calibri"/>
                <w:color w:val="000000"/>
                <w:sz w:val="18"/>
                <w:szCs w:val="18"/>
              </w:rPr>
              <w:t>691 826 261</w:t>
            </w:r>
          </w:p>
        </w:tc>
        <w:tc>
          <w:tcPr>
            <w:tcW w:w="207" w:type="dxa"/>
            <w:gridSpan w:val="2"/>
            <w:vAlign w:val="center"/>
            <w:hideMark/>
          </w:tcPr>
          <w:p w14:paraId="4CC64191" w14:textId="77777777" w:rsidR="00C45D5B" w:rsidRPr="00D420C9" w:rsidRDefault="00C45D5B" w:rsidP="00CF774B">
            <w:pPr>
              <w:rPr>
                <w:rFonts w:cs="Times New Roman"/>
                <w:sz w:val="20"/>
                <w:szCs w:val="20"/>
              </w:rPr>
            </w:pPr>
          </w:p>
        </w:tc>
      </w:tr>
      <w:tr w:rsidR="00C45D5B" w:rsidRPr="00D420C9" w14:paraId="69243BE3" w14:textId="77777777" w:rsidTr="00CF774B">
        <w:trPr>
          <w:trHeight w:val="275"/>
        </w:trPr>
        <w:tc>
          <w:tcPr>
            <w:tcW w:w="6096" w:type="dxa"/>
            <w:tcBorders>
              <w:top w:val="nil"/>
              <w:left w:val="nil"/>
              <w:bottom w:val="nil"/>
              <w:right w:val="nil"/>
            </w:tcBorders>
            <w:shd w:val="clear" w:color="auto" w:fill="auto"/>
            <w:noWrap/>
            <w:vAlign w:val="center"/>
            <w:hideMark/>
          </w:tcPr>
          <w:p w14:paraId="3D8DA3C8"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Odvody Európskej únii</w:t>
            </w:r>
          </w:p>
        </w:tc>
        <w:tc>
          <w:tcPr>
            <w:tcW w:w="1559" w:type="dxa"/>
            <w:tcBorders>
              <w:top w:val="nil"/>
              <w:left w:val="nil"/>
              <w:bottom w:val="nil"/>
              <w:right w:val="nil"/>
            </w:tcBorders>
            <w:shd w:val="clear" w:color="auto" w:fill="auto"/>
            <w:noWrap/>
            <w:vAlign w:val="center"/>
            <w:hideMark/>
          </w:tcPr>
          <w:p w14:paraId="7DD0FB1B" w14:textId="77777777" w:rsidR="00C45D5B" w:rsidRPr="00634F5E" w:rsidRDefault="00C45D5B" w:rsidP="00CF774B">
            <w:pPr>
              <w:jc w:val="right"/>
              <w:rPr>
                <w:rFonts w:cs="Calibri"/>
                <w:color w:val="000000"/>
                <w:sz w:val="18"/>
                <w:szCs w:val="18"/>
              </w:rPr>
            </w:pPr>
            <w:r w:rsidRPr="00634F5E">
              <w:rPr>
                <w:rFonts w:cs="Calibri"/>
                <w:color w:val="000000"/>
                <w:sz w:val="18"/>
                <w:szCs w:val="18"/>
              </w:rPr>
              <w:t>1 034 790 000</w:t>
            </w:r>
          </w:p>
        </w:tc>
        <w:tc>
          <w:tcPr>
            <w:tcW w:w="1518" w:type="dxa"/>
            <w:tcBorders>
              <w:top w:val="nil"/>
              <w:left w:val="nil"/>
              <w:bottom w:val="nil"/>
              <w:right w:val="nil"/>
            </w:tcBorders>
            <w:shd w:val="clear" w:color="auto" w:fill="auto"/>
            <w:noWrap/>
            <w:vAlign w:val="center"/>
            <w:hideMark/>
          </w:tcPr>
          <w:p w14:paraId="553E37A3" w14:textId="77777777" w:rsidR="00C45D5B" w:rsidRPr="00634F5E" w:rsidRDefault="00C45D5B" w:rsidP="00CF774B">
            <w:pPr>
              <w:jc w:val="right"/>
              <w:rPr>
                <w:rFonts w:cs="Calibri"/>
                <w:color w:val="000000"/>
                <w:sz w:val="18"/>
                <w:szCs w:val="18"/>
              </w:rPr>
            </w:pPr>
            <w:r w:rsidRPr="00634F5E">
              <w:rPr>
                <w:rFonts w:cs="Calibri"/>
                <w:color w:val="000000"/>
                <w:sz w:val="18"/>
                <w:szCs w:val="18"/>
              </w:rPr>
              <w:t>1 066 300 000</w:t>
            </w:r>
          </w:p>
        </w:tc>
        <w:tc>
          <w:tcPr>
            <w:tcW w:w="207" w:type="dxa"/>
            <w:gridSpan w:val="2"/>
            <w:vAlign w:val="center"/>
            <w:hideMark/>
          </w:tcPr>
          <w:p w14:paraId="4EE959BB" w14:textId="77777777" w:rsidR="00C45D5B" w:rsidRPr="00D420C9" w:rsidRDefault="00C45D5B" w:rsidP="00CF774B">
            <w:pPr>
              <w:rPr>
                <w:rFonts w:cs="Times New Roman"/>
                <w:sz w:val="20"/>
                <w:szCs w:val="20"/>
              </w:rPr>
            </w:pPr>
          </w:p>
        </w:tc>
      </w:tr>
      <w:tr w:rsidR="00C45D5B" w:rsidRPr="00D420C9" w14:paraId="4D290C6C" w14:textId="77777777" w:rsidTr="00CF774B">
        <w:trPr>
          <w:trHeight w:val="275"/>
        </w:trPr>
        <w:tc>
          <w:tcPr>
            <w:tcW w:w="6096" w:type="dxa"/>
            <w:tcBorders>
              <w:top w:val="nil"/>
              <w:left w:val="nil"/>
              <w:bottom w:val="nil"/>
              <w:right w:val="nil"/>
            </w:tcBorders>
            <w:shd w:val="clear" w:color="auto" w:fill="auto"/>
            <w:noWrap/>
            <w:vAlign w:val="center"/>
            <w:hideMark/>
          </w:tcPr>
          <w:p w14:paraId="2E1A7551"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xml:space="preserve">) Úrokové náklady </w:t>
            </w:r>
          </w:p>
        </w:tc>
        <w:tc>
          <w:tcPr>
            <w:tcW w:w="1559" w:type="dxa"/>
            <w:tcBorders>
              <w:top w:val="nil"/>
              <w:left w:val="nil"/>
              <w:bottom w:val="nil"/>
              <w:right w:val="nil"/>
            </w:tcBorders>
            <w:shd w:val="clear" w:color="auto" w:fill="auto"/>
            <w:noWrap/>
            <w:vAlign w:val="center"/>
            <w:hideMark/>
          </w:tcPr>
          <w:p w14:paraId="481375F3" w14:textId="77777777" w:rsidR="00C45D5B" w:rsidRPr="00634F5E" w:rsidRDefault="00C45D5B" w:rsidP="00CF774B">
            <w:pPr>
              <w:jc w:val="right"/>
              <w:rPr>
                <w:rFonts w:cs="Calibri"/>
                <w:color w:val="000000"/>
                <w:sz w:val="18"/>
                <w:szCs w:val="18"/>
              </w:rPr>
            </w:pPr>
            <w:r w:rsidRPr="00634F5E">
              <w:rPr>
                <w:rFonts w:cs="Calibri"/>
                <w:color w:val="000000"/>
                <w:sz w:val="18"/>
                <w:szCs w:val="18"/>
              </w:rPr>
              <w:t>962 406 000</w:t>
            </w:r>
          </w:p>
        </w:tc>
        <w:tc>
          <w:tcPr>
            <w:tcW w:w="1518" w:type="dxa"/>
            <w:tcBorders>
              <w:top w:val="nil"/>
              <w:left w:val="nil"/>
              <w:bottom w:val="nil"/>
              <w:right w:val="nil"/>
            </w:tcBorders>
            <w:shd w:val="clear" w:color="auto" w:fill="auto"/>
            <w:noWrap/>
            <w:vAlign w:val="center"/>
            <w:hideMark/>
          </w:tcPr>
          <w:p w14:paraId="2DA0B6BB" w14:textId="77777777" w:rsidR="00C45D5B" w:rsidRPr="00634F5E" w:rsidRDefault="00C45D5B" w:rsidP="00CF774B">
            <w:pPr>
              <w:jc w:val="right"/>
              <w:rPr>
                <w:rFonts w:cs="Calibri"/>
                <w:color w:val="000000"/>
                <w:sz w:val="18"/>
                <w:szCs w:val="18"/>
              </w:rPr>
            </w:pPr>
            <w:r w:rsidRPr="00634F5E">
              <w:rPr>
                <w:rFonts w:cs="Calibri"/>
                <w:color w:val="000000"/>
                <w:sz w:val="18"/>
                <w:szCs w:val="18"/>
              </w:rPr>
              <w:t>1 133 095 000</w:t>
            </w:r>
          </w:p>
        </w:tc>
        <w:tc>
          <w:tcPr>
            <w:tcW w:w="207" w:type="dxa"/>
            <w:gridSpan w:val="2"/>
            <w:vAlign w:val="center"/>
            <w:hideMark/>
          </w:tcPr>
          <w:p w14:paraId="098EFA68" w14:textId="77777777" w:rsidR="00C45D5B" w:rsidRPr="00D420C9" w:rsidRDefault="00C45D5B" w:rsidP="00CF774B">
            <w:pPr>
              <w:rPr>
                <w:rFonts w:cs="Times New Roman"/>
                <w:sz w:val="20"/>
                <w:szCs w:val="20"/>
              </w:rPr>
            </w:pPr>
          </w:p>
        </w:tc>
      </w:tr>
      <w:tr w:rsidR="00C45D5B" w:rsidRPr="00D420C9" w14:paraId="4632E9B5" w14:textId="77777777" w:rsidTr="00CF774B">
        <w:trPr>
          <w:trHeight w:val="275"/>
        </w:trPr>
        <w:tc>
          <w:tcPr>
            <w:tcW w:w="6096" w:type="dxa"/>
            <w:tcBorders>
              <w:top w:val="nil"/>
              <w:left w:val="nil"/>
              <w:bottom w:val="nil"/>
              <w:right w:val="nil"/>
            </w:tcBorders>
            <w:shd w:val="clear" w:color="auto" w:fill="auto"/>
            <w:noWrap/>
            <w:vAlign w:val="center"/>
            <w:hideMark/>
          </w:tcPr>
          <w:p w14:paraId="3ACE5E41"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xml:space="preserve">) Cyklické výdavky </w:t>
            </w:r>
          </w:p>
        </w:tc>
        <w:tc>
          <w:tcPr>
            <w:tcW w:w="1559" w:type="dxa"/>
            <w:tcBorders>
              <w:top w:val="nil"/>
              <w:left w:val="nil"/>
              <w:bottom w:val="nil"/>
              <w:right w:val="nil"/>
            </w:tcBorders>
            <w:shd w:val="clear" w:color="auto" w:fill="auto"/>
            <w:noWrap/>
            <w:vAlign w:val="center"/>
            <w:hideMark/>
          </w:tcPr>
          <w:p w14:paraId="1A02C758" w14:textId="77777777" w:rsidR="00C45D5B" w:rsidRPr="00634F5E" w:rsidRDefault="00C45D5B" w:rsidP="00CF774B">
            <w:pPr>
              <w:jc w:val="right"/>
              <w:rPr>
                <w:rFonts w:cs="Calibri"/>
                <w:color w:val="000000"/>
                <w:sz w:val="18"/>
                <w:szCs w:val="18"/>
              </w:rPr>
            </w:pPr>
            <w:r w:rsidRPr="00634F5E">
              <w:rPr>
                <w:rFonts w:cs="Calibri"/>
                <w:color w:val="000000"/>
                <w:sz w:val="18"/>
                <w:szCs w:val="18"/>
              </w:rPr>
              <w:t>6 975 134</w:t>
            </w:r>
          </w:p>
        </w:tc>
        <w:tc>
          <w:tcPr>
            <w:tcW w:w="1518" w:type="dxa"/>
            <w:tcBorders>
              <w:top w:val="nil"/>
              <w:left w:val="nil"/>
              <w:bottom w:val="nil"/>
              <w:right w:val="nil"/>
            </w:tcBorders>
            <w:shd w:val="clear" w:color="auto" w:fill="auto"/>
            <w:noWrap/>
            <w:vAlign w:val="center"/>
            <w:hideMark/>
          </w:tcPr>
          <w:p w14:paraId="77A64BBD" w14:textId="77777777" w:rsidR="00C45D5B" w:rsidRPr="00634F5E" w:rsidRDefault="00C45D5B" w:rsidP="00CF774B">
            <w:pPr>
              <w:jc w:val="right"/>
              <w:rPr>
                <w:rFonts w:cs="Calibri"/>
                <w:color w:val="000000"/>
                <w:sz w:val="18"/>
                <w:szCs w:val="18"/>
              </w:rPr>
            </w:pPr>
            <w:r w:rsidRPr="00634F5E">
              <w:rPr>
                <w:rFonts w:cs="Calibri"/>
                <w:color w:val="000000"/>
                <w:sz w:val="18"/>
                <w:szCs w:val="18"/>
              </w:rPr>
              <w:t>32 360 112</w:t>
            </w:r>
          </w:p>
        </w:tc>
        <w:tc>
          <w:tcPr>
            <w:tcW w:w="207" w:type="dxa"/>
            <w:gridSpan w:val="2"/>
            <w:vAlign w:val="center"/>
            <w:hideMark/>
          </w:tcPr>
          <w:p w14:paraId="41B48A85" w14:textId="77777777" w:rsidR="00C45D5B" w:rsidRPr="00D420C9" w:rsidRDefault="00C45D5B" w:rsidP="00CF774B">
            <w:pPr>
              <w:rPr>
                <w:rFonts w:cs="Times New Roman"/>
                <w:sz w:val="20"/>
                <w:szCs w:val="20"/>
              </w:rPr>
            </w:pPr>
          </w:p>
        </w:tc>
      </w:tr>
      <w:tr w:rsidR="00C45D5B" w:rsidRPr="00D420C9" w14:paraId="5B444A56" w14:textId="77777777" w:rsidTr="00CF774B">
        <w:trPr>
          <w:trHeight w:val="275"/>
        </w:trPr>
        <w:tc>
          <w:tcPr>
            <w:tcW w:w="6096" w:type="dxa"/>
            <w:tcBorders>
              <w:top w:val="nil"/>
              <w:left w:val="nil"/>
              <w:bottom w:val="nil"/>
              <w:right w:val="nil"/>
            </w:tcBorders>
            <w:shd w:val="clear" w:color="auto" w:fill="auto"/>
            <w:noWrap/>
            <w:vAlign w:val="center"/>
            <w:hideMark/>
          </w:tcPr>
          <w:p w14:paraId="2A3C92FB"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Predpokladaný výsledok hospodárenia územnej samosprávy</w:t>
            </w:r>
          </w:p>
        </w:tc>
        <w:tc>
          <w:tcPr>
            <w:tcW w:w="1559" w:type="dxa"/>
            <w:tcBorders>
              <w:top w:val="nil"/>
              <w:left w:val="nil"/>
              <w:bottom w:val="nil"/>
              <w:right w:val="nil"/>
            </w:tcBorders>
            <w:shd w:val="clear" w:color="auto" w:fill="auto"/>
            <w:noWrap/>
            <w:vAlign w:val="center"/>
            <w:hideMark/>
          </w:tcPr>
          <w:p w14:paraId="70DF72EF" w14:textId="77777777" w:rsidR="00C45D5B" w:rsidRPr="00634F5E" w:rsidRDefault="00C45D5B" w:rsidP="00CF774B">
            <w:pPr>
              <w:jc w:val="right"/>
              <w:rPr>
                <w:rFonts w:cs="Calibri"/>
                <w:color w:val="000000"/>
                <w:sz w:val="18"/>
                <w:szCs w:val="18"/>
              </w:rPr>
            </w:pPr>
            <w:r w:rsidRPr="00634F5E">
              <w:rPr>
                <w:rFonts w:cs="Calibri"/>
                <w:color w:val="000000"/>
                <w:sz w:val="18"/>
                <w:szCs w:val="18"/>
              </w:rPr>
              <w:t>227 829 000</w:t>
            </w:r>
          </w:p>
        </w:tc>
        <w:tc>
          <w:tcPr>
            <w:tcW w:w="1518" w:type="dxa"/>
            <w:tcBorders>
              <w:top w:val="nil"/>
              <w:left w:val="nil"/>
              <w:bottom w:val="nil"/>
              <w:right w:val="nil"/>
            </w:tcBorders>
            <w:shd w:val="clear" w:color="auto" w:fill="auto"/>
            <w:noWrap/>
            <w:vAlign w:val="center"/>
            <w:hideMark/>
          </w:tcPr>
          <w:p w14:paraId="47492D2A" w14:textId="77777777" w:rsidR="00C45D5B" w:rsidRPr="00634F5E" w:rsidRDefault="00C45D5B" w:rsidP="00CF774B">
            <w:pPr>
              <w:jc w:val="right"/>
              <w:rPr>
                <w:rFonts w:cs="Calibri"/>
                <w:color w:val="000000"/>
                <w:sz w:val="18"/>
                <w:szCs w:val="18"/>
              </w:rPr>
            </w:pPr>
            <w:r w:rsidRPr="00634F5E">
              <w:rPr>
                <w:rFonts w:cs="Calibri"/>
                <w:color w:val="000000"/>
                <w:sz w:val="18"/>
                <w:szCs w:val="18"/>
              </w:rPr>
              <w:t>155 378 000</w:t>
            </w:r>
          </w:p>
        </w:tc>
        <w:tc>
          <w:tcPr>
            <w:tcW w:w="207" w:type="dxa"/>
            <w:gridSpan w:val="2"/>
            <w:vAlign w:val="center"/>
            <w:hideMark/>
          </w:tcPr>
          <w:p w14:paraId="5D56854A" w14:textId="77777777" w:rsidR="00C45D5B" w:rsidRPr="00D420C9" w:rsidRDefault="00C45D5B" w:rsidP="00CF774B">
            <w:pPr>
              <w:rPr>
                <w:rFonts w:cs="Times New Roman"/>
                <w:sz w:val="20"/>
                <w:szCs w:val="20"/>
              </w:rPr>
            </w:pPr>
          </w:p>
        </w:tc>
      </w:tr>
      <w:tr w:rsidR="00C45D5B" w:rsidRPr="00D420C9" w14:paraId="267EB784" w14:textId="77777777" w:rsidTr="00CF774B">
        <w:trPr>
          <w:trHeight w:val="275"/>
        </w:trPr>
        <w:tc>
          <w:tcPr>
            <w:tcW w:w="6096" w:type="dxa"/>
            <w:tcBorders>
              <w:top w:val="nil"/>
              <w:left w:val="nil"/>
              <w:bottom w:val="nil"/>
              <w:right w:val="nil"/>
            </w:tcBorders>
            <w:shd w:val="clear" w:color="auto" w:fill="auto"/>
            <w:noWrap/>
            <w:vAlign w:val="center"/>
            <w:hideMark/>
          </w:tcPr>
          <w:p w14:paraId="65E4B901"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Predpokladané konsolidované daňové príjmy</w:t>
            </w:r>
            <w:r>
              <w:rPr>
                <w:rFonts w:cs="Calibri"/>
                <w:b/>
                <w:bCs/>
                <w:color w:val="000000"/>
                <w:sz w:val="18"/>
                <w:szCs w:val="18"/>
              </w:rPr>
              <w:t xml:space="preserve"> bez samospráv</w:t>
            </w:r>
          </w:p>
        </w:tc>
        <w:tc>
          <w:tcPr>
            <w:tcW w:w="1559" w:type="dxa"/>
            <w:tcBorders>
              <w:top w:val="nil"/>
              <w:left w:val="nil"/>
              <w:bottom w:val="nil"/>
              <w:right w:val="nil"/>
            </w:tcBorders>
            <w:shd w:val="clear" w:color="auto" w:fill="auto"/>
            <w:noWrap/>
            <w:vAlign w:val="center"/>
            <w:hideMark/>
          </w:tcPr>
          <w:p w14:paraId="129A4D8F" w14:textId="77777777" w:rsidR="00C45D5B" w:rsidRPr="00634F5E" w:rsidRDefault="00C45D5B" w:rsidP="00CF774B">
            <w:pPr>
              <w:jc w:val="right"/>
              <w:rPr>
                <w:rFonts w:cs="Calibri"/>
                <w:color w:val="000000"/>
                <w:sz w:val="18"/>
                <w:szCs w:val="18"/>
              </w:rPr>
            </w:pPr>
            <w:r w:rsidRPr="00634F5E">
              <w:rPr>
                <w:rFonts w:cs="Calibri"/>
                <w:color w:val="000000"/>
                <w:sz w:val="18"/>
                <w:szCs w:val="18"/>
              </w:rPr>
              <w:t>35 445 260 751</w:t>
            </w:r>
          </w:p>
        </w:tc>
        <w:tc>
          <w:tcPr>
            <w:tcW w:w="1518" w:type="dxa"/>
            <w:tcBorders>
              <w:top w:val="nil"/>
              <w:left w:val="nil"/>
              <w:bottom w:val="nil"/>
              <w:right w:val="nil"/>
            </w:tcBorders>
            <w:shd w:val="clear" w:color="auto" w:fill="auto"/>
            <w:noWrap/>
            <w:vAlign w:val="center"/>
            <w:hideMark/>
          </w:tcPr>
          <w:p w14:paraId="449E1388" w14:textId="77777777" w:rsidR="00C45D5B" w:rsidRPr="00634F5E" w:rsidRDefault="00C45D5B" w:rsidP="00CF774B">
            <w:pPr>
              <w:jc w:val="right"/>
              <w:rPr>
                <w:rFonts w:cs="Calibri"/>
                <w:color w:val="000000"/>
                <w:sz w:val="18"/>
                <w:szCs w:val="18"/>
              </w:rPr>
            </w:pPr>
            <w:r w:rsidRPr="00634F5E">
              <w:rPr>
                <w:rFonts w:cs="Calibri"/>
                <w:color w:val="000000"/>
                <w:sz w:val="18"/>
                <w:szCs w:val="18"/>
              </w:rPr>
              <w:t>36 652 159 289</w:t>
            </w:r>
          </w:p>
        </w:tc>
        <w:tc>
          <w:tcPr>
            <w:tcW w:w="207" w:type="dxa"/>
            <w:gridSpan w:val="2"/>
            <w:vAlign w:val="center"/>
            <w:hideMark/>
          </w:tcPr>
          <w:p w14:paraId="7F60252A" w14:textId="77777777" w:rsidR="00C45D5B" w:rsidRPr="00D420C9" w:rsidRDefault="00C45D5B" w:rsidP="00CF774B">
            <w:pPr>
              <w:rPr>
                <w:rFonts w:cs="Times New Roman"/>
                <w:sz w:val="20"/>
                <w:szCs w:val="20"/>
              </w:rPr>
            </w:pPr>
          </w:p>
        </w:tc>
      </w:tr>
      <w:tr w:rsidR="00C45D5B" w:rsidRPr="00D420C9" w14:paraId="7D8EADCA" w14:textId="77777777" w:rsidTr="00CF774B">
        <w:trPr>
          <w:trHeight w:val="275"/>
        </w:trPr>
        <w:tc>
          <w:tcPr>
            <w:tcW w:w="6096" w:type="dxa"/>
            <w:tcBorders>
              <w:top w:val="nil"/>
              <w:left w:val="nil"/>
              <w:bottom w:val="nil"/>
              <w:right w:val="nil"/>
            </w:tcBorders>
            <w:shd w:val="clear" w:color="auto" w:fill="auto"/>
            <w:noWrap/>
            <w:vAlign w:val="center"/>
            <w:hideMark/>
          </w:tcPr>
          <w:p w14:paraId="66531526" w14:textId="77777777" w:rsidR="00C45D5B" w:rsidRPr="00D420C9" w:rsidRDefault="00C45D5B" w:rsidP="00CF774B">
            <w:pPr>
              <w:rPr>
                <w:rFonts w:cs="Calibri"/>
                <w:b/>
                <w:bCs/>
                <w:color w:val="000000"/>
                <w:sz w:val="18"/>
                <w:szCs w:val="18"/>
              </w:rPr>
            </w:pPr>
            <w:r w:rsidRPr="00D420C9">
              <w:rPr>
                <w:rFonts w:cs="Calibri"/>
                <w:b/>
                <w:bCs/>
                <w:color w:val="000000"/>
                <w:sz w:val="18"/>
                <w:szCs w:val="18"/>
              </w:rPr>
              <w:t>(</w:t>
            </w:r>
            <w:r>
              <w:rPr>
                <w:rFonts w:cs="Calibri"/>
                <w:b/>
                <w:bCs/>
                <w:color w:val="000000"/>
                <w:sz w:val="18"/>
                <w:szCs w:val="18"/>
              </w:rPr>
              <w:t>+</w:t>
            </w:r>
            <w:r w:rsidRPr="00D420C9">
              <w:rPr>
                <w:rFonts w:cs="Calibri"/>
                <w:b/>
                <w:bCs/>
                <w:color w:val="000000"/>
                <w:sz w:val="18"/>
                <w:szCs w:val="18"/>
              </w:rPr>
              <w:t>) Predpokladané konsolidované nedaňové príjmy, vrátane EÚ</w:t>
            </w:r>
            <w:r>
              <w:rPr>
                <w:rFonts w:cs="Calibri"/>
                <w:b/>
                <w:bCs/>
                <w:color w:val="000000"/>
                <w:sz w:val="18"/>
                <w:szCs w:val="18"/>
              </w:rPr>
              <w:t xml:space="preserve"> bez samospráv</w:t>
            </w:r>
          </w:p>
        </w:tc>
        <w:tc>
          <w:tcPr>
            <w:tcW w:w="1559" w:type="dxa"/>
            <w:tcBorders>
              <w:top w:val="nil"/>
              <w:left w:val="nil"/>
              <w:bottom w:val="nil"/>
              <w:right w:val="nil"/>
            </w:tcBorders>
            <w:shd w:val="clear" w:color="auto" w:fill="auto"/>
            <w:noWrap/>
            <w:vAlign w:val="center"/>
            <w:hideMark/>
          </w:tcPr>
          <w:p w14:paraId="1C5F369D" w14:textId="77777777" w:rsidR="00C45D5B" w:rsidRPr="00634F5E" w:rsidRDefault="00C45D5B" w:rsidP="00CF774B">
            <w:pPr>
              <w:jc w:val="right"/>
              <w:rPr>
                <w:rFonts w:cs="Calibri"/>
                <w:color w:val="000000"/>
                <w:sz w:val="18"/>
                <w:szCs w:val="18"/>
              </w:rPr>
            </w:pPr>
            <w:r w:rsidRPr="00634F5E">
              <w:rPr>
                <w:rFonts w:cs="Calibri"/>
                <w:color w:val="000000"/>
                <w:sz w:val="18"/>
                <w:szCs w:val="18"/>
              </w:rPr>
              <w:t>6 876 469 896</w:t>
            </w:r>
          </w:p>
        </w:tc>
        <w:tc>
          <w:tcPr>
            <w:tcW w:w="1518" w:type="dxa"/>
            <w:tcBorders>
              <w:top w:val="nil"/>
              <w:left w:val="nil"/>
              <w:bottom w:val="nil"/>
              <w:right w:val="nil"/>
            </w:tcBorders>
            <w:shd w:val="clear" w:color="auto" w:fill="auto"/>
            <w:noWrap/>
            <w:vAlign w:val="center"/>
            <w:hideMark/>
          </w:tcPr>
          <w:p w14:paraId="0BBED66B" w14:textId="77777777" w:rsidR="00C45D5B" w:rsidRPr="00634F5E" w:rsidRDefault="00C45D5B" w:rsidP="00CF774B">
            <w:pPr>
              <w:jc w:val="right"/>
              <w:rPr>
                <w:rFonts w:cs="Calibri"/>
                <w:color w:val="000000"/>
                <w:sz w:val="18"/>
                <w:szCs w:val="18"/>
              </w:rPr>
            </w:pPr>
            <w:r w:rsidRPr="00634F5E">
              <w:rPr>
                <w:rFonts w:cs="Calibri"/>
                <w:color w:val="000000"/>
                <w:sz w:val="18"/>
                <w:szCs w:val="18"/>
              </w:rPr>
              <w:t>4 966 366 371</w:t>
            </w:r>
          </w:p>
        </w:tc>
        <w:tc>
          <w:tcPr>
            <w:tcW w:w="207" w:type="dxa"/>
            <w:gridSpan w:val="2"/>
            <w:vAlign w:val="center"/>
            <w:hideMark/>
          </w:tcPr>
          <w:p w14:paraId="33346EE2" w14:textId="77777777" w:rsidR="00C45D5B" w:rsidRPr="00D420C9" w:rsidRDefault="00C45D5B" w:rsidP="00CF774B">
            <w:pPr>
              <w:rPr>
                <w:rFonts w:cs="Times New Roman"/>
                <w:sz w:val="20"/>
                <w:szCs w:val="20"/>
              </w:rPr>
            </w:pPr>
          </w:p>
        </w:tc>
      </w:tr>
      <w:tr w:rsidR="00C45D5B" w:rsidRPr="00D420C9" w14:paraId="3C31734E" w14:textId="77777777" w:rsidTr="00CF774B">
        <w:trPr>
          <w:trHeight w:val="275"/>
        </w:trPr>
        <w:tc>
          <w:tcPr>
            <w:tcW w:w="6096" w:type="dxa"/>
            <w:tcBorders>
              <w:top w:val="nil"/>
              <w:left w:val="nil"/>
              <w:bottom w:val="nil"/>
              <w:right w:val="nil"/>
            </w:tcBorders>
            <w:shd w:val="clear" w:color="auto" w:fill="auto"/>
            <w:noWrap/>
            <w:vAlign w:val="center"/>
          </w:tcPr>
          <w:p w14:paraId="65AE087B" w14:textId="77777777" w:rsidR="00C45D5B" w:rsidRPr="00D420C9" w:rsidRDefault="00C45D5B" w:rsidP="00CF774B">
            <w:pPr>
              <w:rPr>
                <w:rFonts w:cs="Calibri"/>
                <w:b/>
                <w:bCs/>
                <w:color w:val="000000"/>
                <w:sz w:val="18"/>
                <w:szCs w:val="18"/>
              </w:rPr>
            </w:pPr>
            <w:r>
              <w:rPr>
                <w:rFonts w:cs="Calibri"/>
                <w:b/>
                <w:bCs/>
                <w:color w:val="000000"/>
                <w:sz w:val="18"/>
                <w:szCs w:val="18"/>
              </w:rPr>
              <w:t>Cielené saldo v eurách</w:t>
            </w:r>
          </w:p>
        </w:tc>
        <w:tc>
          <w:tcPr>
            <w:tcW w:w="1559" w:type="dxa"/>
            <w:tcBorders>
              <w:top w:val="nil"/>
              <w:left w:val="nil"/>
              <w:bottom w:val="nil"/>
              <w:right w:val="nil"/>
            </w:tcBorders>
            <w:shd w:val="clear" w:color="auto" w:fill="auto"/>
            <w:noWrap/>
            <w:vAlign w:val="center"/>
          </w:tcPr>
          <w:p w14:paraId="60883850" w14:textId="77777777" w:rsidR="00C45D5B" w:rsidRPr="00634F5E" w:rsidRDefault="00C45D5B" w:rsidP="00CF774B">
            <w:pPr>
              <w:jc w:val="right"/>
              <w:rPr>
                <w:rFonts w:cs="Calibri"/>
                <w:color w:val="000000"/>
                <w:sz w:val="18"/>
                <w:szCs w:val="18"/>
              </w:rPr>
            </w:pPr>
            <w:r w:rsidRPr="00634F5E">
              <w:rPr>
                <w:rFonts w:cs="Calibri"/>
                <w:color w:val="000000"/>
                <w:sz w:val="18"/>
                <w:szCs w:val="18"/>
              </w:rPr>
              <w:t>-2 827 036 183</w:t>
            </w:r>
          </w:p>
        </w:tc>
        <w:tc>
          <w:tcPr>
            <w:tcW w:w="1518" w:type="dxa"/>
            <w:tcBorders>
              <w:top w:val="nil"/>
              <w:left w:val="nil"/>
              <w:bottom w:val="nil"/>
              <w:right w:val="nil"/>
            </w:tcBorders>
            <w:shd w:val="clear" w:color="auto" w:fill="auto"/>
            <w:noWrap/>
            <w:vAlign w:val="center"/>
          </w:tcPr>
          <w:p w14:paraId="64E548E6" w14:textId="77777777" w:rsidR="00C45D5B" w:rsidRPr="00634F5E" w:rsidRDefault="00C45D5B" w:rsidP="00CF774B">
            <w:pPr>
              <w:jc w:val="right"/>
              <w:rPr>
                <w:rFonts w:cs="Calibri"/>
                <w:color w:val="000000"/>
                <w:sz w:val="18"/>
                <w:szCs w:val="18"/>
              </w:rPr>
            </w:pPr>
            <w:r w:rsidRPr="00634F5E">
              <w:rPr>
                <w:rFonts w:cs="Calibri"/>
                <w:color w:val="000000"/>
                <w:sz w:val="18"/>
                <w:szCs w:val="18"/>
              </w:rPr>
              <w:t>-2 854 493 578</w:t>
            </w:r>
          </w:p>
        </w:tc>
        <w:tc>
          <w:tcPr>
            <w:tcW w:w="207" w:type="dxa"/>
            <w:gridSpan w:val="2"/>
            <w:vAlign w:val="center"/>
          </w:tcPr>
          <w:p w14:paraId="4B2A98B7" w14:textId="77777777" w:rsidR="00C45D5B" w:rsidRPr="00D420C9" w:rsidRDefault="00C45D5B" w:rsidP="00CF774B">
            <w:pPr>
              <w:rPr>
                <w:rFonts w:cs="Times New Roman"/>
                <w:sz w:val="20"/>
                <w:szCs w:val="20"/>
              </w:rPr>
            </w:pPr>
          </w:p>
        </w:tc>
      </w:tr>
      <w:tr w:rsidR="00C45D5B" w:rsidRPr="00D420C9" w14:paraId="0AF5B3AD" w14:textId="77777777" w:rsidTr="00CF774B">
        <w:trPr>
          <w:trHeight w:val="275"/>
        </w:trPr>
        <w:tc>
          <w:tcPr>
            <w:tcW w:w="6096" w:type="dxa"/>
            <w:tcBorders>
              <w:top w:val="nil"/>
              <w:left w:val="nil"/>
              <w:bottom w:val="single" w:sz="4" w:space="0" w:color="13B5EA"/>
              <w:right w:val="nil"/>
            </w:tcBorders>
            <w:shd w:val="clear" w:color="000000" w:fill="13B5EA"/>
            <w:noWrap/>
            <w:vAlign w:val="center"/>
            <w:hideMark/>
          </w:tcPr>
          <w:p w14:paraId="50215479" w14:textId="77777777" w:rsidR="00C45D5B" w:rsidRPr="00D420C9" w:rsidRDefault="00C45D5B" w:rsidP="00CF774B">
            <w:pPr>
              <w:rPr>
                <w:rFonts w:cs="Calibri"/>
                <w:b/>
                <w:bCs/>
                <w:color w:val="000000"/>
                <w:sz w:val="18"/>
                <w:szCs w:val="18"/>
              </w:rPr>
            </w:pPr>
            <w:r w:rsidRPr="00D420C9">
              <w:rPr>
                <w:rFonts w:cs="Calibri"/>
                <w:b/>
                <w:bCs/>
                <w:color w:val="000000"/>
                <w:sz w:val="18"/>
                <w:szCs w:val="18"/>
              </w:rPr>
              <w:t>Cielené saldo (% HDP)</w:t>
            </w:r>
          </w:p>
        </w:tc>
        <w:tc>
          <w:tcPr>
            <w:tcW w:w="1559" w:type="dxa"/>
            <w:tcBorders>
              <w:top w:val="nil"/>
              <w:left w:val="nil"/>
              <w:bottom w:val="single" w:sz="4" w:space="0" w:color="13B5EA"/>
              <w:right w:val="nil"/>
            </w:tcBorders>
            <w:shd w:val="clear" w:color="000000" w:fill="13B5EA"/>
            <w:noWrap/>
            <w:vAlign w:val="center"/>
            <w:hideMark/>
          </w:tcPr>
          <w:p w14:paraId="29B27755" w14:textId="77777777" w:rsidR="00C45D5B" w:rsidRPr="00634F5E" w:rsidRDefault="00C45D5B" w:rsidP="00CF774B">
            <w:pPr>
              <w:jc w:val="right"/>
              <w:rPr>
                <w:rFonts w:cs="Calibri"/>
                <w:b/>
                <w:bCs/>
                <w:color w:val="000000"/>
                <w:sz w:val="18"/>
                <w:szCs w:val="18"/>
              </w:rPr>
            </w:pPr>
            <w:r w:rsidRPr="00634F5E">
              <w:rPr>
                <w:rFonts w:cs="Calibri"/>
                <w:b/>
                <w:bCs/>
                <w:color w:val="000000"/>
                <w:sz w:val="18"/>
                <w:szCs w:val="18"/>
              </w:rPr>
              <w:t>-2,40</w:t>
            </w:r>
          </w:p>
        </w:tc>
        <w:tc>
          <w:tcPr>
            <w:tcW w:w="1518" w:type="dxa"/>
            <w:tcBorders>
              <w:top w:val="nil"/>
              <w:left w:val="nil"/>
              <w:bottom w:val="single" w:sz="4" w:space="0" w:color="13B5EA"/>
              <w:right w:val="nil"/>
            </w:tcBorders>
            <w:shd w:val="clear" w:color="000000" w:fill="13B5EA"/>
            <w:noWrap/>
            <w:vAlign w:val="center"/>
            <w:hideMark/>
          </w:tcPr>
          <w:p w14:paraId="3E98B565" w14:textId="77777777" w:rsidR="00C45D5B" w:rsidRPr="00634F5E" w:rsidRDefault="00C45D5B" w:rsidP="00CF774B">
            <w:pPr>
              <w:jc w:val="right"/>
              <w:rPr>
                <w:rFonts w:cs="Calibri"/>
                <w:b/>
                <w:bCs/>
                <w:color w:val="000000"/>
                <w:sz w:val="18"/>
                <w:szCs w:val="18"/>
              </w:rPr>
            </w:pPr>
            <w:r w:rsidRPr="00634F5E">
              <w:rPr>
                <w:rFonts w:cs="Calibri"/>
                <w:b/>
                <w:bCs/>
                <w:color w:val="000000"/>
                <w:sz w:val="18"/>
                <w:szCs w:val="18"/>
              </w:rPr>
              <w:t>-2,32</w:t>
            </w:r>
          </w:p>
        </w:tc>
        <w:tc>
          <w:tcPr>
            <w:tcW w:w="207" w:type="dxa"/>
            <w:gridSpan w:val="2"/>
            <w:vAlign w:val="center"/>
            <w:hideMark/>
          </w:tcPr>
          <w:p w14:paraId="0373C268" w14:textId="77777777" w:rsidR="00C45D5B" w:rsidRPr="00D420C9" w:rsidRDefault="00C45D5B" w:rsidP="00CF774B">
            <w:pPr>
              <w:rPr>
                <w:rFonts w:cs="Times New Roman"/>
                <w:sz w:val="20"/>
                <w:szCs w:val="20"/>
              </w:rPr>
            </w:pPr>
          </w:p>
        </w:tc>
      </w:tr>
    </w:tbl>
    <w:p w14:paraId="0EFAA78D" w14:textId="77777777" w:rsidR="00C45D5B" w:rsidRPr="00636109" w:rsidRDefault="00C45D5B" w:rsidP="00C45D5B">
      <w:pPr>
        <w:jc w:val="right"/>
        <w:rPr>
          <w:i/>
          <w:sz w:val="16"/>
          <w:szCs w:val="16"/>
        </w:rPr>
      </w:pPr>
      <w:r w:rsidRPr="00636109">
        <w:rPr>
          <w:i/>
          <w:sz w:val="16"/>
          <w:szCs w:val="16"/>
        </w:rPr>
        <w:t>Zdroj: MF SR, RRZ</w:t>
      </w:r>
    </w:p>
    <w:p w14:paraId="40FA8C70" w14:textId="7398272B" w:rsidR="00C45D5B" w:rsidRDefault="00C45D5B">
      <w:pPr>
        <w:rPr>
          <w:rFonts w:eastAsia="Calibri" w:cs="Arial"/>
        </w:rPr>
      </w:pPr>
      <w:r>
        <w:rPr>
          <w:rFonts w:eastAsia="Calibri" w:cs="Arial"/>
        </w:rPr>
        <w:br w:type="page"/>
      </w:r>
    </w:p>
    <w:p w14:paraId="604F5F14" w14:textId="2CF41639" w:rsidR="00C45D5B" w:rsidRPr="00267BEA" w:rsidRDefault="005E57FA" w:rsidP="00C45D5B">
      <w:pPr>
        <w:pStyle w:val="Nadpis3"/>
        <w:rPr>
          <w:color w:val="2C9ADC" w:themeColor="accent1"/>
          <w:sz w:val="24"/>
          <w:szCs w:val="24"/>
        </w:rPr>
      </w:pPr>
      <w:r>
        <w:rPr>
          <w:color w:val="2C9ADC" w:themeColor="accent1"/>
          <w:sz w:val="24"/>
          <w:szCs w:val="24"/>
        </w:rPr>
        <w:t>Príloha 7</w:t>
      </w:r>
      <w:r w:rsidR="00C45D5B" w:rsidRPr="00267BEA">
        <w:rPr>
          <w:color w:val="2C9ADC" w:themeColor="accent1"/>
          <w:sz w:val="24"/>
          <w:szCs w:val="24"/>
        </w:rPr>
        <w:t xml:space="preserve"> </w:t>
      </w:r>
      <w:r w:rsidR="00C45D5B">
        <w:rPr>
          <w:color w:val="2C9ADC" w:themeColor="accent1"/>
          <w:sz w:val="24"/>
          <w:szCs w:val="24"/>
        </w:rPr>
        <w:t>–</w:t>
      </w:r>
      <w:r w:rsidR="00C45D5B" w:rsidRPr="00267BEA">
        <w:rPr>
          <w:color w:val="2C9ADC" w:themeColor="accent1"/>
          <w:sz w:val="24"/>
          <w:szCs w:val="24"/>
        </w:rPr>
        <w:t xml:space="preserve"> </w:t>
      </w:r>
      <w:r w:rsidR="00C45D5B">
        <w:rPr>
          <w:color w:val="2C9ADC" w:themeColor="accent1"/>
          <w:sz w:val="24"/>
          <w:szCs w:val="24"/>
        </w:rPr>
        <w:t>MANDÁT REVÍZIE VÝDAVKOV NA DOTÁCIE</w:t>
      </w:r>
    </w:p>
    <w:p w14:paraId="42B35E14" w14:textId="1F155D67" w:rsidR="00231C77" w:rsidRDefault="00231C77" w:rsidP="000A33E7"/>
    <w:p w14:paraId="05202C74" w14:textId="77777777" w:rsidR="000D69FF" w:rsidRPr="00470585" w:rsidRDefault="000D69FF" w:rsidP="000D69FF">
      <w:pPr>
        <w:jc w:val="both"/>
        <w:rPr>
          <w:b/>
          <w:bCs/>
        </w:rPr>
      </w:pPr>
      <w:r w:rsidRPr="0DCD6E8B">
        <w:rPr>
          <w:b/>
          <w:bCs/>
        </w:rPr>
        <w:t xml:space="preserve">Úlohou </w:t>
      </w:r>
      <w:r>
        <w:rPr>
          <w:b/>
          <w:bCs/>
        </w:rPr>
        <w:t xml:space="preserve">a motiváciou využívania </w:t>
      </w:r>
      <w:r w:rsidRPr="0DCD6E8B">
        <w:rPr>
          <w:b/>
          <w:bCs/>
        </w:rPr>
        <w:t>dotácií je</w:t>
      </w:r>
      <w:r>
        <w:rPr>
          <w:b/>
          <w:bCs/>
        </w:rPr>
        <w:t xml:space="preserve"> adresovať externality a nedokonalosti trhu. </w:t>
      </w:r>
      <w:r w:rsidRPr="0DCD6E8B">
        <w:rPr>
          <w:b/>
          <w:bCs/>
        </w:rPr>
        <w:t>Štát</w:t>
      </w:r>
      <w:r>
        <w:rPr>
          <w:b/>
          <w:bCs/>
        </w:rPr>
        <w:t xml:space="preserve"> na Slovensku </w:t>
      </w:r>
      <w:r w:rsidRPr="0DCD6E8B">
        <w:rPr>
          <w:b/>
          <w:bCs/>
        </w:rPr>
        <w:t>podporuje vybrané subj</w:t>
      </w:r>
      <w:r>
        <w:rPr>
          <w:b/>
          <w:bCs/>
        </w:rPr>
        <w:t>ekty a odvetvia dotáciami za 1,3</w:t>
      </w:r>
      <w:r w:rsidRPr="0DCD6E8B">
        <w:rPr>
          <w:b/>
          <w:bCs/>
        </w:rPr>
        <w:t xml:space="preserve"> mld. eur ročne (1,</w:t>
      </w:r>
      <w:r>
        <w:rPr>
          <w:b/>
          <w:bCs/>
        </w:rPr>
        <w:t>3</w:t>
      </w:r>
      <w:r w:rsidRPr="0DCD6E8B">
        <w:rPr>
          <w:b/>
          <w:bCs/>
        </w:rPr>
        <w:t xml:space="preserve"> % </w:t>
      </w:r>
      <w:r w:rsidRPr="00317E11">
        <w:rPr>
          <w:b/>
          <w:bCs/>
        </w:rPr>
        <w:t>HDP</w:t>
      </w:r>
      <w:r w:rsidRPr="00D6085F">
        <w:rPr>
          <w:b/>
          <w:bCs/>
        </w:rPr>
        <w:t xml:space="preserve">). </w:t>
      </w:r>
      <w:r w:rsidRPr="00317E11">
        <w:rPr>
          <w:b/>
          <w:bCs/>
        </w:rPr>
        <w:t>Dopad</w:t>
      </w:r>
      <w:r>
        <w:rPr>
          <w:b/>
          <w:bCs/>
        </w:rPr>
        <w:t xml:space="preserve"> dotácií nie je možné merať plošne, keďže </w:t>
      </w:r>
      <w:r w:rsidRPr="0018138B">
        <w:rPr>
          <w:b/>
          <w:bCs/>
        </w:rPr>
        <w:t xml:space="preserve">kvôli širokému rozptylu tém a foriem jednotlivých </w:t>
      </w:r>
      <w:r>
        <w:rPr>
          <w:b/>
          <w:bCs/>
        </w:rPr>
        <w:t>nástrojov</w:t>
      </w:r>
      <w:r w:rsidRPr="0018138B">
        <w:rPr>
          <w:b/>
          <w:bCs/>
        </w:rPr>
        <w:t xml:space="preserve"> neexistuje </w:t>
      </w:r>
      <w:r>
        <w:rPr>
          <w:b/>
          <w:bCs/>
        </w:rPr>
        <w:t xml:space="preserve">jednotný nástroj merania ich </w:t>
      </w:r>
      <w:r w:rsidRPr="0018138B">
        <w:rPr>
          <w:b/>
          <w:bCs/>
        </w:rPr>
        <w:t>efektívnosti</w:t>
      </w:r>
      <w:r>
        <w:rPr>
          <w:b/>
          <w:bCs/>
        </w:rPr>
        <w:t xml:space="preserve">. </w:t>
      </w:r>
      <w:r w:rsidRPr="002D36C9">
        <w:rPr>
          <w:b/>
          <w:bCs/>
        </w:rPr>
        <w:t xml:space="preserve">Revízia zmapuje dotácie štátu, vyhodnotí jednotlivé schémy samostatne a navrhne ich optimalizáciu ako príspevok </w:t>
      </w:r>
      <w:r>
        <w:rPr>
          <w:b/>
          <w:bCs/>
        </w:rPr>
        <w:t>ku</w:t>
      </w:r>
      <w:r w:rsidRPr="002D36C9">
        <w:rPr>
          <w:b/>
          <w:bCs/>
        </w:rPr>
        <w:t xml:space="preserve"> konsolidáci</w:t>
      </w:r>
      <w:r>
        <w:rPr>
          <w:b/>
          <w:bCs/>
        </w:rPr>
        <w:t>i</w:t>
      </w:r>
      <w:r w:rsidRPr="002D36C9">
        <w:rPr>
          <w:b/>
          <w:bCs/>
        </w:rPr>
        <w:t xml:space="preserve"> verejných financií alebo z hľadiska väčších prínosov, ktoré môžu poskytovať.</w:t>
      </w:r>
    </w:p>
    <w:p w14:paraId="3E560FAB" w14:textId="77777777" w:rsidR="000D69FF" w:rsidRDefault="000D69FF" w:rsidP="000D69FF">
      <w:pPr>
        <w:spacing w:after="120"/>
        <w:jc w:val="both"/>
      </w:pPr>
      <w:r>
        <w:t>Dotáciami</w:t>
      </w:r>
      <w:r>
        <w:rPr>
          <w:rStyle w:val="Odkaznapoznmkupodiarou"/>
        </w:rPr>
        <w:footnoteReference w:id="89"/>
      </w:r>
      <w:r>
        <w:t xml:space="preserve"> sa n</w:t>
      </w:r>
      <w:r w:rsidRPr="00AC0621">
        <w:t>ajčastejšie</w:t>
      </w:r>
      <w:r w:rsidRPr="0DCD6E8B">
        <w:t xml:space="preserve"> naprávajú </w:t>
      </w:r>
      <w:r>
        <w:t>externality</w:t>
      </w:r>
      <w:r w:rsidRPr="0DCD6E8B">
        <w:t xml:space="preserve"> a nedokonalosti trhu presmerovaním zdrojov do oblastí, ktoré trh nevie efektívne poskytovať. Príkladom sú investície do zelenej energie, ktoré sú pre súkromný sektor </w:t>
      </w:r>
      <w:r>
        <w:t xml:space="preserve">stále často </w:t>
      </w:r>
      <w:r w:rsidRPr="0DCD6E8B">
        <w:t>finančne nenávratné, ale môžu mať vysoké spoločenské prínosy. Dotácie môžu slúžiť aj na podporu</w:t>
      </w:r>
      <w:r>
        <w:t xml:space="preserve"> domácich</w:t>
      </w:r>
      <w:r w:rsidRPr="0DCD6E8B">
        <w:t xml:space="preserve"> </w:t>
      </w:r>
      <w:r>
        <w:t>odvetví (napr. podpora startupov).</w:t>
      </w:r>
    </w:p>
    <w:p w14:paraId="06A3EF70" w14:textId="77777777" w:rsidR="000D69FF" w:rsidRPr="00470585" w:rsidRDefault="000D69FF" w:rsidP="000D69FF">
      <w:pPr>
        <w:spacing w:after="120"/>
        <w:jc w:val="both"/>
      </w:pPr>
      <w:r>
        <w:t xml:space="preserve">Dotácie zvyšujú mieru prerozdelenia v ekonomike, čím otvárajú otázky férovosti najmä s ohľadom na konkrétny výber podporených oblastí a subjektov v ekonomike. </w:t>
      </w:r>
      <w:r w:rsidRPr="2D11991B">
        <w:t xml:space="preserve">Dotácie </w:t>
      </w:r>
      <w:r>
        <w:t xml:space="preserve">môžu </w:t>
      </w:r>
      <w:r w:rsidRPr="2D11991B">
        <w:t>často v</w:t>
      </w:r>
      <w:r>
        <w:t>iesť k</w:t>
      </w:r>
      <w:r w:rsidRPr="2D11991B">
        <w:t xml:space="preserve"> neefektívnej alokácii zdrojov, ak sú poskytované na konkurenčnom trhu</w:t>
      </w:r>
      <w:r>
        <w:t>, nezasahujú želanú skupinu alebo ak ich efektívnosť nie je pravidelne prehodnocovaná.</w:t>
      </w:r>
    </w:p>
    <w:p w14:paraId="5A2546C5" w14:textId="77777777" w:rsidR="000D69FF" w:rsidRPr="00470585" w:rsidRDefault="000D69FF" w:rsidP="000D69FF">
      <w:pPr>
        <w:tabs>
          <w:tab w:val="left" w:pos="3040"/>
        </w:tabs>
        <w:spacing w:after="120"/>
        <w:rPr>
          <w:b/>
          <w:bCs/>
        </w:rPr>
      </w:pPr>
      <w:r w:rsidRPr="14D9CBC0">
        <w:rPr>
          <w:b/>
          <w:bCs/>
        </w:rPr>
        <w:t>Výsledky</w:t>
      </w:r>
      <w:r>
        <w:tab/>
      </w:r>
    </w:p>
    <w:p w14:paraId="6318DE6A" w14:textId="77777777" w:rsidR="000D69FF" w:rsidRDefault="000D69FF" w:rsidP="000D69FF">
      <w:pPr>
        <w:spacing w:after="120"/>
        <w:jc w:val="both"/>
      </w:pPr>
      <w:r w:rsidRPr="0DCD6E8B">
        <w:t xml:space="preserve">Komplexné výstupy mapujúce efektivitu subvencií a vybraných transferov poskytovaných na Slovensku neexistujú. </w:t>
      </w:r>
      <w:r>
        <w:t>Pre dotácie neexistuje kompozitný indikátor, ako napríklad DESI pre digitálnu ekonomiku, ktorý pokrýva viacero podoblastí ani ukazovatele, ktoré by vyjadrovali stav bez intervencie, ako napríklad ohrozenie chudobou pred a po poskytnutí sociálnych transferov. V</w:t>
      </w:r>
      <w:r w:rsidRPr="00B43248">
        <w:t xml:space="preserve"> </w:t>
      </w:r>
      <w:r>
        <w:t>rozpočte verejnej správy</w:t>
      </w:r>
      <w:r w:rsidRPr="00B43248">
        <w:t xml:space="preserve"> nie sú pre dotácie sledované žiadne </w:t>
      </w:r>
      <w:r>
        <w:t xml:space="preserve">merateľné ukazovatele, pre </w:t>
      </w:r>
      <w:r w:rsidRPr="00B43248">
        <w:t xml:space="preserve">vybrané transfery sú sledované len kvalitatívne </w:t>
      </w:r>
      <w:r>
        <w:t>ukazovatele v programovom rozpočte</w:t>
      </w:r>
      <w:r w:rsidRPr="00B43248">
        <w:t xml:space="preserve">. </w:t>
      </w:r>
      <w:r w:rsidRPr="00470585">
        <w:t>Existujúce materiály hodnotia</w:t>
      </w:r>
      <w:r>
        <w:t xml:space="preserve"> najmä transparentnosť podľa špecifických tém</w:t>
      </w:r>
      <w:r w:rsidRPr="00470585">
        <w:t xml:space="preserve"> (napr. </w:t>
      </w:r>
      <w:r>
        <w:t xml:space="preserve">transparentnosť </w:t>
      </w:r>
      <w:r w:rsidRPr="00470585">
        <w:t>transfer</w:t>
      </w:r>
      <w:r>
        <w:t>ov</w:t>
      </w:r>
      <w:r w:rsidRPr="00470585">
        <w:t xml:space="preserve"> pre neziskové organizácie</w:t>
      </w:r>
      <w:r>
        <w:rPr>
          <w:rStyle w:val="Odkaznapoznmkupodiarou"/>
        </w:rPr>
        <w:footnoteReference w:id="90"/>
      </w:r>
      <w:r>
        <w:t xml:space="preserve"> a transferov pre rozvoj športu</w:t>
      </w:r>
      <w:r>
        <w:rPr>
          <w:rStyle w:val="Odkaznapoznmkupodiarou"/>
        </w:rPr>
        <w:footnoteReference w:id="91"/>
      </w:r>
      <w:r w:rsidRPr="00470585">
        <w:t xml:space="preserve"> a pod.). </w:t>
      </w:r>
    </w:p>
    <w:p w14:paraId="4C196319" w14:textId="77777777" w:rsidR="000D69FF" w:rsidRPr="00470585" w:rsidRDefault="000D69FF" w:rsidP="000D69FF">
      <w:pPr>
        <w:keepNext/>
        <w:jc w:val="both"/>
        <w:rPr>
          <w:b/>
        </w:rPr>
      </w:pPr>
      <w:r w:rsidRPr="00470585">
        <w:rPr>
          <w:b/>
        </w:rPr>
        <w:t>Ciele a prístupy</w:t>
      </w:r>
    </w:p>
    <w:p w14:paraId="04FB80B7" w14:textId="77777777" w:rsidR="000D69FF" w:rsidRDefault="000D69FF" w:rsidP="000D69FF">
      <w:pPr>
        <w:spacing w:before="120" w:after="120"/>
        <w:jc w:val="both"/>
        <w:rPr>
          <w:b/>
        </w:rPr>
      </w:pPr>
      <w:r w:rsidRPr="00470585">
        <w:t>Základným cieľom revízie bude posúdenie opodstatnenosti a</w:t>
      </w:r>
      <w:r>
        <w:t> </w:t>
      </w:r>
      <w:r w:rsidRPr="00470585">
        <w:t>efektivity</w:t>
      </w:r>
      <w:r>
        <w:t xml:space="preserve"> dotačných schém </w:t>
      </w:r>
      <w:r w:rsidRPr="00470585">
        <w:t xml:space="preserve">a návrhy pre zvýšenie </w:t>
      </w:r>
      <w:r>
        <w:t xml:space="preserve">ich </w:t>
      </w:r>
      <w:r w:rsidRPr="00470585">
        <w:t xml:space="preserve">efektivity. Hlavným prístupom bude identifikácia ekonomických problémov, </w:t>
      </w:r>
      <w:r>
        <w:t xml:space="preserve">posúdenie </w:t>
      </w:r>
      <w:r w:rsidRPr="00470585">
        <w:t>vhodnos</w:t>
      </w:r>
      <w:r>
        <w:t>ti</w:t>
      </w:r>
      <w:r w:rsidRPr="00470585">
        <w:t xml:space="preserve"> dotácií ako ich riešenia a následná detailnejšia analýza efektivity jednotlivých schém. </w:t>
      </w:r>
      <w:r w:rsidRPr="00D43ADE">
        <w:t>V</w:t>
      </w:r>
      <w:r w:rsidRPr="00470585">
        <w:t xml:space="preserve">yhodnotenie sa okrem vyššie spomenutého </w:t>
      </w:r>
      <w:r>
        <w:t>sústredí</w:t>
      </w:r>
      <w:r w:rsidRPr="00470585">
        <w:t xml:space="preserve"> aj na ciele jednotlivých schém, stanovenie a vyhodnocovanie merateľných ukazovateľov, porovnanie so zahraničím a alternatívne spôsoby naplnenia cieľov</w:t>
      </w:r>
      <w:r>
        <w:t xml:space="preserve">. </w:t>
      </w:r>
    </w:p>
    <w:p w14:paraId="3F859CA9" w14:textId="77777777" w:rsidR="000D69FF" w:rsidRPr="00470585" w:rsidRDefault="000D69FF" w:rsidP="000D69FF">
      <w:pPr>
        <w:spacing w:after="120"/>
        <w:jc w:val="both"/>
        <w:rPr>
          <w:b/>
        </w:rPr>
      </w:pPr>
      <w:r w:rsidRPr="00470585">
        <w:rPr>
          <w:b/>
        </w:rPr>
        <w:t>Oblasti revízie</w:t>
      </w:r>
    </w:p>
    <w:p w14:paraId="03D7D15F" w14:textId="77777777" w:rsidR="000D69FF" w:rsidRDefault="000D69FF" w:rsidP="000D69FF">
      <w:pPr>
        <w:jc w:val="both"/>
      </w:pPr>
      <w:r w:rsidRPr="00101621">
        <w:rPr>
          <w:b/>
        </w:rPr>
        <w:t xml:space="preserve">Revízia zhodnotí </w:t>
      </w:r>
      <w:r>
        <w:rPr>
          <w:b/>
        </w:rPr>
        <w:t xml:space="preserve">dotácie za </w:t>
      </w:r>
      <w:r w:rsidRPr="00101621">
        <w:rPr>
          <w:b/>
        </w:rPr>
        <w:t>1,3 mld. eur ročne (z toho subvencie za 840 mil. eur, vybrané daňové výdavky za 320 mil. eur a súťaživé transfery tretiemu sektoru za 136 mil. eur)</w:t>
      </w:r>
      <w:r>
        <w:t>, rámcovo môže posúdiť aj iné vybrané veľké výdavkové tituly. V</w:t>
      </w:r>
      <w:r w:rsidRPr="000277E4">
        <w:t>ýdavky</w:t>
      </w:r>
      <w:r>
        <w:t xml:space="preserve"> verejnej správy</w:t>
      </w:r>
      <w:r w:rsidRPr="000277E4">
        <w:t xml:space="preserve"> uskutočňované bez toho, aby za n</w:t>
      </w:r>
      <w:r>
        <w:t>ich</w:t>
      </w:r>
      <w:r w:rsidRPr="000277E4">
        <w:t xml:space="preserve"> ich príjemcovia poskytovali nejaké protislužby alebo tovary</w:t>
      </w:r>
      <w:r>
        <w:t xml:space="preserve"> (transfery) sú ročne priemerne 15 mld. eur. </w:t>
      </w:r>
      <w:r w:rsidRPr="003C6429">
        <w:t>Okrem priamych výdavkov podporuje štát</w:t>
      </w:r>
      <w:r>
        <w:t xml:space="preserve"> jednotlivcov a</w:t>
      </w:r>
      <w:r w:rsidRPr="003C6429">
        <w:t xml:space="preserve"> súkromný sektor aj formou daňových výdavkov v celkovej výške 1,5 mld. eur</w:t>
      </w:r>
      <w:r>
        <w:t>.</w:t>
      </w:r>
    </w:p>
    <w:p w14:paraId="0987D20D" w14:textId="4FC115DA" w:rsidR="000D69FF" w:rsidRDefault="000D69FF" w:rsidP="000D69FF">
      <w:pPr>
        <w:jc w:val="both"/>
      </w:pPr>
    </w:p>
    <w:p w14:paraId="3D701AF2" w14:textId="338708B6" w:rsidR="000D69FF" w:rsidRDefault="000D69FF" w:rsidP="000D69FF">
      <w:pPr>
        <w:jc w:val="both"/>
      </w:pPr>
    </w:p>
    <w:p w14:paraId="5E65FAC4" w14:textId="06E13F4B" w:rsidR="000D69FF" w:rsidRDefault="000D69FF" w:rsidP="000D69FF">
      <w:pPr>
        <w:jc w:val="both"/>
      </w:pPr>
    </w:p>
    <w:p w14:paraId="0A45C3FE" w14:textId="2457F0EC" w:rsidR="000D69FF" w:rsidRDefault="000D69FF" w:rsidP="000D69FF">
      <w:pPr>
        <w:jc w:val="both"/>
      </w:pPr>
    </w:p>
    <w:p w14:paraId="5CC264E0" w14:textId="3EC86D1B" w:rsidR="000D69FF" w:rsidRDefault="000D69FF" w:rsidP="000D69FF">
      <w:pPr>
        <w:jc w:val="both"/>
      </w:pPr>
    </w:p>
    <w:p w14:paraId="2A0E8C5C" w14:textId="6DB6F090" w:rsidR="000D69FF" w:rsidRDefault="000D69FF" w:rsidP="000D69FF">
      <w:pPr>
        <w:jc w:val="both"/>
      </w:pPr>
    </w:p>
    <w:p w14:paraId="1E37B9BA" w14:textId="20A6BAE5" w:rsidR="000D69FF" w:rsidRDefault="000D69FF" w:rsidP="000D69FF">
      <w:pPr>
        <w:jc w:val="both"/>
      </w:pPr>
    </w:p>
    <w:p w14:paraId="375CB9CF" w14:textId="77777777" w:rsidR="000D69FF" w:rsidRDefault="000D69FF" w:rsidP="000D69FF">
      <w:pPr>
        <w:jc w:val="both"/>
      </w:pPr>
    </w:p>
    <w:tbl>
      <w:tblPr>
        <w:tblStyle w:val="Mriekatabu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0"/>
      </w:tblGrid>
      <w:tr w:rsidR="000D69FF" w14:paraId="0D42747C" w14:textId="77777777" w:rsidTr="00CF774B">
        <w:tc>
          <w:tcPr>
            <w:tcW w:w="9072" w:type="dxa"/>
          </w:tcPr>
          <w:p w14:paraId="3A91FA77" w14:textId="277BE1F3" w:rsidR="000D69FF" w:rsidRPr="00A273DA" w:rsidRDefault="000D69FF" w:rsidP="00CF774B">
            <w:pPr>
              <w:jc w:val="both"/>
              <w:rPr>
                <w:b/>
                <w:sz w:val="20"/>
                <w:szCs w:val="20"/>
              </w:rPr>
            </w:pPr>
            <w:bookmarkStart w:id="320" w:name="_Toc101881964"/>
            <w:r w:rsidRPr="000D69FF">
              <w:rPr>
                <w:rFonts w:cs="Arial"/>
                <w:b/>
                <w:color w:val="2C9ADC"/>
                <w:sz w:val="20"/>
                <w:szCs w:val="20"/>
              </w:rPr>
              <w:t xml:space="preserve">GRAF </w:t>
            </w:r>
            <w:r w:rsidRPr="000D69FF">
              <w:rPr>
                <w:rFonts w:cs="Arial"/>
                <w:b/>
                <w:color w:val="2C9ADC"/>
                <w:sz w:val="20"/>
                <w:szCs w:val="20"/>
              </w:rPr>
              <w:fldChar w:fldCharType="begin"/>
            </w:r>
            <w:r w:rsidRPr="000D69FF">
              <w:rPr>
                <w:rFonts w:cs="Arial"/>
                <w:b/>
                <w:color w:val="2C9ADC"/>
                <w:sz w:val="20"/>
                <w:szCs w:val="20"/>
              </w:rPr>
              <w:instrText xml:space="preserve"> SEQ GRAF \* ARABIC </w:instrText>
            </w:r>
            <w:r w:rsidRPr="000D69FF">
              <w:rPr>
                <w:rFonts w:cs="Arial"/>
                <w:b/>
                <w:color w:val="2C9ADC"/>
                <w:sz w:val="20"/>
                <w:szCs w:val="20"/>
              </w:rPr>
              <w:fldChar w:fldCharType="separate"/>
            </w:r>
            <w:r w:rsidR="005D3280">
              <w:rPr>
                <w:rFonts w:cs="Arial"/>
                <w:b/>
                <w:noProof/>
                <w:color w:val="2C9ADC"/>
                <w:sz w:val="20"/>
                <w:szCs w:val="20"/>
              </w:rPr>
              <w:t>40</w:t>
            </w:r>
            <w:r w:rsidRPr="000D69FF">
              <w:rPr>
                <w:rFonts w:cs="Arial"/>
                <w:b/>
                <w:color w:val="2C9ADC"/>
                <w:sz w:val="20"/>
                <w:szCs w:val="20"/>
              </w:rPr>
              <w:fldChar w:fldCharType="end"/>
            </w:r>
            <w:r w:rsidRPr="000D69FF">
              <w:rPr>
                <w:rFonts w:cs="Arial"/>
                <w:b/>
                <w:color w:val="2C9ADC"/>
                <w:sz w:val="20"/>
                <w:szCs w:val="20"/>
              </w:rPr>
              <w:t xml:space="preserve"> –</w:t>
            </w:r>
            <w:r>
              <w:rPr>
                <w:rFonts w:cs="Arial"/>
                <w:b/>
                <w:color w:val="2C9ADC"/>
                <w:sz w:val="20"/>
                <w:szCs w:val="20"/>
              </w:rPr>
              <w:t xml:space="preserve"> </w:t>
            </w:r>
            <w:r w:rsidRPr="000D69FF">
              <w:rPr>
                <w:rFonts w:cs="Arial"/>
                <w:b/>
                <w:color w:val="2C9ADC"/>
                <w:sz w:val="20"/>
                <w:szCs w:val="20"/>
              </w:rPr>
              <w:t>Transfery verejnej správy, daňové výdavky a vybrané oblasti revízie (modrou) (priemer 2018 – 2021, mil. eur)</w:t>
            </w:r>
            <w:bookmarkEnd w:id="320"/>
          </w:p>
        </w:tc>
      </w:tr>
      <w:tr w:rsidR="000D69FF" w14:paraId="208EB061" w14:textId="77777777" w:rsidTr="00CF774B">
        <w:tblPrEx>
          <w:tblCellMar>
            <w:left w:w="70" w:type="dxa"/>
            <w:right w:w="70" w:type="dxa"/>
          </w:tblCellMar>
        </w:tblPrEx>
        <w:trPr>
          <w:trHeight w:val="4217"/>
        </w:trPr>
        <w:tc>
          <w:tcPr>
            <w:tcW w:w="9072" w:type="dxa"/>
          </w:tcPr>
          <w:p w14:paraId="497B76F0" w14:textId="77777777" w:rsidR="000D69FF" w:rsidRDefault="000D69FF" w:rsidP="00CF774B">
            <w:pPr>
              <w:jc w:val="both"/>
              <w:rPr>
                <w:b/>
              </w:rPr>
            </w:pPr>
            <w:r>
              <w:rPr>
                <w:noProof/>
              </w:rPr>
              <mc:AlternateContent>
                <mc:Choice Requires="wps">
                  <w:drawing>
                    <wp:anchor distT="0" distB="0" distL="114300" distR="114300" simplePos="0" relativeHeight="251677696" behindDoc="0" locked="0" layoutInCell="1" allowOverlap="1" wp14:anchorId="346BE857" wp14:editId="2ABD1378">
                      <wp:simplePos x="0" y="0"/>
                      <wp:positionH relativeFrom="column">
                        <wp:posOffset>770255</wp:posOffset>
                      </wp:positionH>
                      <wp:positionV relativeFrom="paragraph">
                        <wp:posOffset>1456691</wp:posOffset>
                      </wp:positionV>
                      <wp:extent cx="2019300" cy="342900"/>
                      <wp:effectExtent l="0" t="0" r="19050" b="19050"/>
                      <wp:wrapNone/>
                      <wp:docPr id="10" name="Obdĺžnik 1"/>
                      <wp:cNvGraphicFramePr/>
                      <a:graphic xmlns:a="http://schemas.openxmlformats.org/drawingml/2006/main">
                        <a:graphicData uri="http://schemas.microsoft.com/office/word/2010/wordprocessingShape">
                          <wps:wsp>
                            <wps:cNvSpPr/>
                            <wps:spPr>
                              <a:xfrm>
                                <a:off x="0" y="0"/>
                                <a:ext cx="2019300" cy="342900"/>
                              </a:xfrm>
                              <a:prstGeom prst="rect">
                                <a:avLst/>
                              </a:prstGeom>
                              <a:solidFill>
                                <a:srgbClr val="00B0F0">
                                  <a:alpha val="25000"/>
                                </a:srgb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F2390F" w14:textId="77777777" w:rsidR="00CF774B" w:rsidRDefault="00CF774B" w:rsidP="000D69FF">
                                  <w:pPr>
                                    <w:pStyle w:val="Normlnywebov"/>
                                    <w:spacing w:before="0" w:beforeAutospacing="0" w:after="0" w:afterAutospacing="0"/>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6BE857" id="Obdĺžnik 1" o:spid="_x0000_s1030" style="position:absolute;left:0;text-align:left;margin-left:60.65pt;margin-top:114.7pt;width:159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" fillcolor="#00b0f0" strokecolor="#00b0f0" strokeweight="2pt">
                      <v:fill opacity="16448f"/>
                      <v:textbox>
                        <w:txbxContent>
                          <w:p w14:paraId="55F2390F" w14:textId="77777777" w:rsidR="00CF774B" w:rsidRDefault="00CF774B" w:rsidP="000D69FF">
                            <w:pPr>
                              <w:pStyle w:val="Normlnywebov"/>
                              <w:spacing w:before="0" w:beforeAutospacing="0" w:after="0" w:afterAutospacing="0"/>
                            </w:pPr>
                          </w:p>
                        </w:txbxContent>
                      </v:textbox>
                    </v:rect>
                  </w:pict>
                </mc:Fallback>
              </mc:AlternateContent>
            </w:r>
            <w:r>
              <w:rPr>
                <w:noProof/>
              </w:rPr>
              <w:drawing>
                <wp:inline distT="0" distB="0" distL="0" distR="0" wp14:anchorId="32A0AF79" wp14:editId="5978765E">
                  <wp:extent cx="5760720" cy="25908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r>
      <w:tr w:rsidR="000D69FF" w14:paraId="37409667" w14:textId="77777777" w:rsidTr="00CF774B">
        <w:tc>
          <w:tcPr>
            <w:tcW w:w="9072" w:type="dxa"/>
          </w:tcPr>
          <w:p w14:paraId="1D112EE4" w14:textId="77777777" w:rsidR="000D69FF" w:rsidRPr="00A273DA" w:rsidRDefault="000D69FF" w:rsidP="00CF774B">
            <w:pPr>
              <w:jc w:val="right"/>
              <w:rPr>
                <w:i/>
                <w:sz w:val="20"/>
                <w:szCs w:val="20"/>
              </w:rPr>
            </w:pPr>
            <w:r w:rsidRPr="00A273DA">
              <w:rPr>
                <w:i/>
                <w:sz w:val="20"/>
                <w:szCs w:val="20"/>
              </w:rPr>
              <w:t>Zdroj: RIS, Hlavná kniha, MF SR</w:t>
            </w:r>
          </w:p>
        </w:tc>
      </w:tr>
    </w:tbl>
    <w:p w14:paraId="43D6C263" w14:textId="77777777" w:rsidR="000D69FF" w:rsidRDefault="000D69FF" w:rsidP="000D69FF">
      <w:pPr>
        <w:spacing w:before="240"/>
        <w:jc w:val="both"/>
      </w:pPr>
      <w:r w:rsidRPr="00470585">
        <w:rPr>
          <w:b/>
        </w:rPr>
        <w:t xml:space="preserve">Štátna správa poskytla v rokoch 2018 – 2020 ročne priemerne 0,8 mld. eur vo forme priamych </w:t>
      </w:r>
      <w:r w:rsidRPr="00B05DB3">
        <w:rPr>
          <w:b/>
        </w:rPr>
        <w:t>subvencií</w:t>
      </w:r>
      <w:r w:rsidRPr="00470585">
        <w:rPr>
          <w:b/>
        </w:rPr>
        <w:t>.</w:t>
      </w:r>
      <w:r>
        <w:rPr>
          <w:b/>
        </w:rPr>
        <w:t xml:space="preserve"> </w:t>
      </w:r>
      <w:r>
        <w:t xml:space="preserve">Revízia posúdi viac ako 80 % z celkového balíka subvencií a zameria sa najmä na posúdenie najväčších schém podľa alokácie zdrojov (Podpora OZE, Podpora zníženia koncovej ceny elektriny pre podniky, Zelená nafta, Ochrana pred povodňami, Podpora MSP a pod.). </w:t>
      </w:r>
      <w:r w:rsidRPr="00DD4D23">
        <w:t>Výdavky na mimoriadne COVID-19 opatrenia v rokoch 2020 a 2021 nie sú súčasťou revízie.</w:t>
      </w:r>
    </w:p>
    <w:p w14:paraId="20EC290F" w14:textId="77777777" w:rsidR="000D69FF" w:rsidRDefault="000D69FF" w:rsidP="000D69FF">
      <w:pPr>
        <w:spacing w:before="120" w:after="120"/>
        <w:jc w:val="both"/>
      </w:pPr>
      <w:r>
        <w:rPr>
          <w:b/>
        </w:rPr>
        <w:t xml:space="preserve">Z celkových </w:t>
      </w:r>
      <w:r w:rsidRPr="00B05DB3">
        <w:rPr>
          <w:b/>
        </w:rPr>
        <w:t>daňových výdavkov</w:t>
      </w:r>
      <w:r>
        <w:rPr>
          <w:b/>
        </w:rPr>
        <w:t xml:space="preserve"> (1,5 mld. eur ročne) sa revízia zameria na 0,3 mld. eur, ktoré sú určené najmä ako podpora podnikov resp. súkromného sektora. </w:t>
      </w:r>
      <w:r w:rsidRPr="00D16199">
        <w:t xml:space="preserve">Medzi najväčšie patria </w:t>
      </w:r>
      <w:r w:rsidRPr="00903481">
        <w:t>fakultatívne oslobodenie od spotrebných daní zo zemného plynu a uhlia (46 mil. eur ročne)</w:t>
      </w:r>
      <w:r>
        <w:t xml:space="preserve">, </w:t>
      </w:r>
      <w:r w:rsidRPr="00D16199">
        <w:t xml:space="preserve">podpora rekreácie a ubytovania (41 mil. eur ročne), </w:t>
      </w:r>
      <w:r w:rsidRPr="00903481">
        <w:t>podpora výskumu a vývoja (</w:t>
      </w:r>
      <w:r>
        <w:t>35 mil. eur ročne) a</w:t>
      </w:r>
      <w:r w:rsidRPr="00D16199">
        <w:t xml:space="preserve"> znížená sadzba spotrebnej dane z vína a piva (31 mil. eur)</w:t>
      </w:r>
      <w:r>
        <w:t>.</w:t>
      </w:r>
      <w:r w:rsidRPr="00D16199">
        <w:t xml:space="preserve"> Revízia tiež posúdi asignácia 2 % zo zaplatenej dane. Revízia sa nebude venovať daňovým výdavkom, ktoré sú určené podpore jednotlivcov.</w:t>
      </w:r>
      <w:r>
        <w:t xml:space="preserve"> </w:t>
      </w:r>
    </w:p>
    <w:p w14:paraId="1EEFD6CE" w14:textId="77777777" w:rsidR="000D69FF" w:rsidRPr="004D0A69" w:rsidRDefault="000D69FF" w:rsidP="000D69FF">
      <w:pPr>
        <w:spacing w:after="120"/>
        <w:jc w:val="both"/>
      </w:pPr>
      <w:r w:rsidRPr="00B05DB3">
        <w:rPr>
          <w:b/>
        </w:rPr>
        <w:t xml:space="preserve">Revízia zhodnotí najmä súťaživé transfery (0,1 mld. eur) na rozvoj športu, občianskym združeniam, neziskovým organizáciám a pod. </w:t>
      </w:r>
      <w:r w:rsidRPr="00B05DB3">
        <w:t>Vo forme ostatných bežných transferov je ročne poskytnutých v priemere 0,5 mld. eur,</w:t>
      </w:r>
      <w:r w:rsidRPr="00B05DB3">
        <w:rPr>
          <w:b/>
        </w:rPr>
        <w:t xml:space="preserve"> </w:t>
      </w:r>
      <w:r w:rsidRPr="00B05DB3">
        <w:t>súčasťou revízie však nie sú nesúťaživé transfery 3. sektoru - normatívy pre žiakov v neštátnych školách (211 mil. eur), transfery neštátnym zariadeniam sociálnych</w:t>
      </w:r>
      <w:r w:rsidRPr="00D324E8">
        <w:t xml:space="preserve"> služieb (10</w:t>
      </w:r>
      <w:r>
        <w:t>6</w:t>
      </w:r>
      <w:r w:rsidRPr="00D324E8">
        <w:t xml:space="preserve"> mil. eur), </w:t>
      </w:r>
      <w:r>
        <w:t>príspevky politickým stranám (17 mil. eur) a pod</w:t>
      </w:r>
      <w:r w:rsidRPr="00D324E8">
        <w:t>.</w:t>
      </w:r>
    </w:p>
    <w:p w14:paraId="721052B5" w14:textId="77777777" w:rsidR="000D69FF" w:rsidRPr="004D0A69" w:rsidRDefault="000D69FF" w:rsidP="000D69FF">
      <w:pPr>
        <w:jc w:val="both"/>
        <w:rPr>
          <w:b/>
        </w:rPr>
      </w:pPr>
      <w:r w:rsidRPr="004D0A69">
        <w:rPr>
          <w:b/>
        </w:rPr>
        <w:t>Zodpovednosť a termíny</w:t>
      </w:r>
    </w:p>
    <w:p w14:paraId="11AD018D" w14:textId="7741DA98" w:rsidR="00231C77" w:rsidRDefault="000D69FF" w:rsidP="000D69FF">
      <w:r>
        <w:t>Priebežnú správu r</w:t>
      </w:r>
      <w:r w:rsidRPr="004D0A69">
        <w:t>evízi</w:t>
      </w:r>
      <w:r>
        <w:t>e</w:t>
      </w:r>
      <w:r w:rsidRPr="004D0A69">
        <w:t xml:space="preserve"> výdavkov vypracuje</w:t>
      </w:r>
      <w:r>
        <w:t xml:space="preserve"> a zverejní MF SR do konca augusta 2022. Záverečnú správu zverejní MF SR a predloží na schválenie Vláde SR do konca februára 2023.</w:t>
      </w:r>
    </w:p>
    <w:p w14:paraId="3EC05EB9" w14:textId="46F37CF5" w:rsidR="00231C77" w:rsidRDefault="00231C77" w:rsidP="000A33E7"/>
    <w:p w14:paraId="060DA2EA" w14:textId="6CBAF306" w:rsidR="00231C77" w:rsidRDefault="00231C77" w:rsidP="000A33E7"/>
    <w:p w14:paraId="5B0A1B66" w14:textId="77777777" w:rsidR="00231C77" w:rsidRPr="00521479" w:rsidRDefault="00231C77" w:rsidP="000A33E7"/>
    <w:p w14:paraId="48AC4100" w14:textId="77777777" w:rsidR="000A33E7" w:rsidRDefault="000A33E7" w:rsidP="000A33E7">
      <w:pPr>
        <w:pStyle w:val="Nadpis3"/>
        <w:rPr>
          <w:color w:val="2C9ADC" w:themeColor="accent1"/>
          <w:sz w:val="24"/>
          <w:szCs w:val="24"/>
        </w:rPr>
      </w:pPr>
      <w:bookmarkStart w:id="321" w:name="_Toc449430203"/>
      <w:bookmarkStart w:id="322" w:name="_Toc416885945"/>
      <w:bookmarkStart w:id="323" w:name="_Toc416944093"/>
      <w:bookmarkStart w:id="324" w:name="_Ref6313713"/>
    </w:p>
    <w:bookmarkEnd w:id="321"/>
    <w:bookmarkEnd w:id="322"/>
    <w:bookmarkEnd w:id="323"/>
    <w:bookmarkEnd w:id="324"/>
    <w:p w14:paraId="795B5FBE" w14:textId="7E8C8335" w:rsidR="0043462C" w:rsidRDefault="0043462C" w:rsidP="0043462C">
      <w:pPr>
        <w:jc w:val="both"/>
        <w:rPr>
          <w:rFonts w:eastAsia="Calibri" w:cs="Arial"/>
        </w:rPr>
      </w:pPr>
    </w:p>
    <w:p w14:paraId="6F928DB3" w14:textId="483B85D7" w:rsidR="0043462C" w:rsidRDefault="0043462C" w:rsidP="0043462C">
      <w:pPr>
        <w:jc w:val="both"/>
        <w:rPr>
          <w:rFonts w:eastAsia="Calibri" w:cs="Arial"/>
        </w:rPr>
      </w:pPr>
    </w:p>
    <w:p w14:paraId="2E8A6724" w14:textId="748736D7" w:rsidR="0043462C" w:rsidRDefault="0043462C" w:rsidP="0043462C">
      <w:pPr>
        <w:jc w:val="both"/>
        <w:rPr>
          <w:rFonts w:eastAsia="Calibri" w:cs="Arial"/>
        </w:rPr>
      </w:pPr>
    </w:p>
    <w:p w14:paraId="024FC381" w14:textId="56A89D36" w:rsidR="0043462C" w:rsidRDefault="0043462C" w:rsidP="0043462C">
      <w:pPr>
        <w:jc w:val="both"/>
        <w:rPr>
          <w:rFonts w:eastAsia="Calibri" w:cs="Arial"/>
        </w:rPr>
      </w:pPr>
    </w:p>
    <w:p w14:paraId="1DA3F4EA" w14:textId="1C84E1FE" w:rsidR="0043462C" w:rsidRDefault="0043462C" w:rsidP="0043462C">
      <w:pPr>
        <w:jc w:val="both"/>
        <w:rPr>
          <w:rFonts w:eastAsia="Calibri" w:cs="Arial"/>
        </w:rPr>
      </w:pPr>
    </w:p>
    <w:p w14:paraId="30DE91FC" w14:textId="16015979" w:rsidR="0043462C" w:rsidRDefault="0043462C" w:rsidP="0043462C">
      <w:pPr>
        <w:jc w:val="both"/>
        <w:rPr>
          <w:rFonts w:eastAsia="Calibri" w:cs="Arial"/>
        </w:rPr>
      </w:pPr>
    </w:p>
    <w:p w14:paraId="4CD232AD" w14:textId="41823721" w:rsidR="0043462C" w:rsidRDefault="0043462C" w:rsidP="0043462C">
      <w:pPr>
        <w:jc w:val="both"/>
        <w:rPr>
          <w:rFonts w:eastAsia="Calibri" w:cs="Arial"/>
        </w:rPr>
      </w:pPr>
    </w:p>
    <w:p w14:paraId="3B89B9DE" w14:textId="65010D19" w:rsidR="0043462C" w:rsidRDefault="0043462C" w:rsidP="0043462C">
      <w:pPr>
        <w:jc w:val="both"/>
        <w:rPr>
          <w:rFonts w:eastAsia="Calibri" w:cs="Arial"/>
        </w:rPr>
      </w:pPr>
    </w:p>
    <w:p w14:paraId="1DDC64D8" w14:textId="68B0A4E5" w:rsidR="0043462C" w:rsidRDefault="0043462C" w:rsidP="0043462C">
      <w:pPr>
        <w:jc w:val="both"/>
        <w:rPr>
          <w:rFonts w:eastAsia="Calibri" w:cs="Arial"/>
        </w:rPr>
      </w:pPr>
    </w:p>
    <w:p w14:paraId="5BB2D090" w14:textId="447C3ADD" w:rsidR="0043462C" w:rsidRDefault="0043462C" w:rsidP="0043462C">
      <w:pPr>
        <w:jc w:val="both"/>
        <w:rPr>
          <w:rFonts w:eastAsia="Calibri" w:cs="Arial"/>
        </w:rPr>
      </w:pPr>
    </w:p>
    <w:sectPr w:rsidR="0043462C" w:rsidSect="00070E82">
      <w:pgSz w:w="11906" w:h="16838" w:code="9"/>
      <w:pgMar w:top="1276" w:right="1418" w:bottom="1418" w:left="1418" w:header="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9CDA9" w14:textId="77777777" w:rsidR="0047025F" w:rsidRDefault="0047025F" w:rsidP="001543E7">
      <w:r>
        <w:separator/>
      </w:r>
    </w:p>
  </w:endnote>
  <w:endnote w:type="continuationSeparator" w:id="0">
    <w:p w14:paraId="1E93BB04" w14:textId="77777777" w:rsidR="0047025F" w:rsidRDefault="0047025F" w:rsidP="001543E7">
      <w:r>
        <w:continuationSeparator/>
      </w:r>
    </w:p>
  </w:endnote>
  <w:endnote w:type="continuationNotice" w:id="1">
    <w:p w14:paraId="000C4EA1" w14:textId="77777777" w:rsidR="0047025F" w:rsidRDefault="00470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Narrow">
    <w:altName w:val="Century Gothic"/>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NeueHaasGroteskText W02">
    <w:altName w:val="Arial"/>
    <w:panose1 w:val="020B0504020202020204"/>
    <w:charset w:val="EE"/>
    <w:family w:val="swiss"/>
    <w:pitch w:val="variable"/>
    <w:sig w:usb0="800000AF" w:usb1="4000204A" w:usb2="00000000" w:usb3="00000000" w:csb0="00000093" w:csb1="00000000"/>
  </w:font>
  <w:font w:name="NeueHaasGroteskDisp W02 Bd">
    <w:altName w:val="Arial"/>
    <w:panose1 w:val="020B0804020202020204"/>
    <w:charset w:val="EE"/>
    <w:family w:val="swiss"/>
    <w:pitch w:val="variable"/>
    <w:sig w:usb0="800000AF" w:usb1="4000204A"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39428"/>
      <w:docPartObj>
        <w:docPartGallery w:val="Page Numbers (Bottom of Page)"/>
        <w:docPartUnique/>
      </w:docPartObj>
    </w:sdtPr>
    <w:sdtEndPr/>
    <w:sdtContent>
      <w:p w14:paraId="6F4C93DD" w14:textId="16D4A388" w:rsidR="00CF774B" w:rsidRDefault="00CF774B">
        <w:pPr>
          <w:pStyle w:val="Pta"/>
          <w:jc w:val="center"/>
        </w:pPr>
        <w:r>
          <w:fldChar w:fldCharType="begin"/>
        </w:r>
        <w:r>
          <w:instrText>PAGE   \* MERGEFORMAT</w:instrText>
        </w:r>
        <w:r>
          <w:fldChar w:fldCharType="separate"/>
        </w:r>
        <w:r w:rsidR="0033368C">
          <w:rPr>
            <w:noProof/>
          </w:rPr>
          <w:t>28</w:t>
        </w:r>
        <w:r>
          <w:fldChar w:fldCharType="end"/>
        </w:r>
      </w:p>
    </w:sdtContent>
  </w:sdt>
  <w:p w14:paraId="67D16664" w14:textId="77777777" w:rsidR="00CF774B" w:rsidRPr="008D4615" w:rsidRDefault="00CF774B" w:rsidP="008D4615">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C5407" w14:textId="77777777" w:rsidR="0047025F" w:rsidRDefault="0047025F" w:rsidP="001543E7">
      <w:r>
        <w:separator/>
      </w:r>
    </w:p>
  </w:footnote>
  <w:footnote w:type="continuationSeparator" w:id="0">
    <w:p w14:paraId="6862756F" w14:textId="77777777" w:rsidR="0047025F" w:rsidRDefault="0047025F" w:rsidP="001543E7">
      <w:r>
        <w:continuationSeparator/>
      </w:r>
    </w:p>
  </w:footnote>
  <w:footnote w:type="continuationNotice" w:id="1">
    <w:p w14:paraId="47A9115E" w14:textId="77777777" w:rsidR="0047025F" w:rsidRDefault="0047025F"/>
  </w:footnote>
  <w:footnote w:id="2">
    <w:p w14:paraId="6723D811" w14:textId="77777777" w:rsidR="00CF774B" w:rsidRPr="00B64B02" w:rsidRDefault="00CF774B" w:rsidP="00403613">
      <w:pPr>
        <w:pStyle w:val="Textpoznmkypodiarou"/>
        <w:jc w:val="both"/>
        <w:rPr>
          <w:sz w:val="16"/>
          <w:szCs w:val="16"/>
        </w:rPr>
      </w:pPr>
      <w:r w:rsidRPr="00713AE8">
        <w:rPr>
          <w:rStyle w:val="Odkaznapoznmkupodiarou"/>
          <w:sz w:val="16"/>
          <w:szCs w:val="16"/>
        </w:rPr>
        <w:footnoteRef/>
      </w:r>
      <w:r w:rsidRPr="00713AE8">
        <w:rPr>
          <w:sz w:val="16"/>
          <w:szCs w:val="16"/>
        </w:rPr>
        <w:t xml:space="preserve"> </w:t>
      </w:r>
      <w:hyperlink r:id="rId1" w:history="1">
        <w:r w:rsidRPr="00713AE8">
          <w:rPr>
            <w:rStyle w:val="Hypertextovprepojenie"/>
            <w:color w:val="2C9ADC" w:themeColor="accent1"/>
            <w:sz w:val="16"/>
            <w:szCs w:val="16"/>
            <w:u w:val="none"/>
          </w:rPr>
          <w:t>Prognóza Výboru pre makroekonomické prognózy.</w:t>
        </w:r>
      </w:hyperlink>
    </w:p>
  </w:footnote>
  <w:footnote w:id="3">
    <w:p w14:paraId="6524E129" w14:textId="77777777" w:rsidR="00CF774B" w:rsidRPr="00CC363F" w:rsidRDefault="00CF774B" w:rsidP="00490255">
      <w:pPr>
        <w:ind w:left="170" w:hanging="170"/>
        <w:jc w:val="both"/>
        <w:rPr>
          <w:sz w:val="16"/>
          <w:szCs w:val="16"/>
        </w:rPr>
      </w:pPr>
      <w:r w:rsidRPr="00713AE8">
        <w:rPr>
          <w:rStyle w:val="Odkaznapoznmkupodiarou"/>
          <w:sz w:val="16"/>
          <w:szCs w:val="16"/>
        </w:rPr>
        <w:footnoteRef/>
      </w:r>
      <w:r w:rsidRPr="00713AE8">
        <w:rPr>
          <w:sz w:val="16"/>
          <w:szCs w:val="16"/>
        </w:rPr>
        <w:t xml:space="preserve"> </w:t>
      </w:r>
      <w:r w:rsidRPr="00CC363F">
        <w:rPr>
          <w:sz w:val="16"/>
          <w:szCs w:val="16"/>
        </w:rPr>
        <w:t>Prognóza pre roky 202</w:t>
      </w:r>
      <w:r>
        <w:rPr>
          <w:sz w:val="16"/>
          <w:szCs w:val="16"/>
        </w:rPr>
        <w:t>2 až 2025</w:t>
      </w:r>
      <w:r w:rsidRPr="00CC363F">
        <w:rPr>
          <w:sz w:val="16"/>
          <w:szCs w:val="16"/>
        </w:rPr>
        <w:t xml:space="preserve"> bola schválená Výborom pre makro</w:t>
      </w:r>
      <w:r>
        <w:rPr>
          <w:sz w:val="16"/>
          <w:szCs w:val="16"/>
        </w:rPr>
        <w:t>ekonomické prognózy v marci 2022</w:t>
      </w:r>
      <w:r w:rsidRPr="00CC363F">
        <w:rPr>
          <w:sz w:val="16"/>
          <w:szCs w:val="16"/>
        </w:rPr>
        <w:t>.</w:t>
      </w:r>
    </w:p>
  </w:footnote>
  <w:footnote w:id="4">
    <w:p w14:paraId="52DECBB1" w14:textId="77777777" w:rsidR="00CF774B" w:rsidRPr="00A4622D" w:rsidRDefault="00CF774B" w:rsidP="00490255">
      <w:pPr>
        <w:ind w:left="170" w:hanging="170"/>
        <w:jc w:val="both"/>
        <w:rPr>
          <w:sz w:val="16"/>
          <w:szCs w:val="16"/>
        </w:rPr>
      </w:pPr>
      <w:r w:rsidRPr="00713AE8">
        <w:rPr>
          <w:rStyle w:val="Odkaznapoznmkupodiarou"/>
          <w:sz w:val="16"/>
          <w:szCs w:val="16"/>
        </w:rPr>
        <w:footnoteRef/>
      </w:r>
      <w:r w:rsidRPr="00A4622D">
        <w:rPr>
          <w:i/>
          <w:sz w:val="16"/>
          <w:szCs w:val="16"/>
        </w:rPr>
        <w:t xml:space="preserve"> </w:t>
      </w:r>
      <w:r w:rsidRPr="00A4622D">
        <w:rPr>
          <w:sz w:val="16"/>
          <w:szCs w:val="16"/>
        </w:rPr>
        <w:t>V nasledujúcom texte budeme pod spotrebou domácností rozumieť spotrebu domácností a </w:t>
      </w:r>
      <w:r>
        <w:rPr>
          <w:sz w:val="16"/>
          <w:szCs w:val="16"/>
        </w:rPr>
        <w:t>neziskových inštitúcií slúžiacich</w:t>
      </w:r>
      <w:r w:rsidRPr="00A4622D">
        <w:rPr>
          <w:sz w:val="16"/>
          <w:szCs w:val="16"/>
        </w:rPr>
        <w:t xml:space="preserve"> domácnostiam (NISD).</w:t>
      </w:r>
    </w:p>
  </w:footnote>
  <w:footnote w:id="5">
    <w:p w14:paraId="477DEE0E" w14:textId="77777777" w:rsidR="00CF774B" w:rsidRPr="00403613" w:rsidRDefault="00CF774B" w:rsidP="00403613">
      <w:pPr>
        <w:pStyle w:val="Textpoznmkypodiarou"/>
        <w:jc w:val="both"/>
        <w:rPr>
          <w:sz w:val="16"/>
          <w:szCs w:val="16"/>
        </w:rPr>
      </w:pPr>
      <w:r w:rsidRPr="00403613">
        <w:rPr>
          <w:rStyle w:val="Odkaznapoznmkupodiarou"/>
          <w:rFonts w:eastAsiaTheme="majorEastAsia"/>
          <w:sz w:val="16"/>
          <w:szCs w:val="16"/>
        </w:rPr>
        <w:footnoteRef/>
      </w:r>
      <w:r w:rsidRPr="00403613">
        <w:rPr>
          <w:sz w:val="16"/>
          <w:szCs w:val="16"/>
        </w:rPr>
        <w:t xml:space="preserve"> Pri tvorbe rozpočtu sa vytvorila rezerva na tento účel vo výške 1 041 mil. eur. </w:t>
      </w:r>
    </w:p>
  </w:footnote>
  <w:footnote w:id="6">
    <w:p w14:paraId="45226CD2" w14:textId="77777777" w:rsidR="00CF774B" w:rsidRPr="00403613" w:rsidRDefault="00CF774B" w:rsidP="00403613">
      <w:pPr>
        <w:pStyle w:val="Textpoznmkypodiarou"/>
        <w:jc w:val="both"/>
        <w:rPr>
          <w:sz w:val="16"/>
          <w:szCs w:val="16"/>
        </w:rPr>
      </w:pPr>
      <w:r w:rsidRPr="00403613">
        <w:rPr>
          <w:rStyle w:val="Odkaznapoznmkupodiarou"/>
          <w:rFonts w:eastAsiaTheme="majorEastAsia"/>
          <w:sz w:val="16"/>
          <w:szCs w:val="16"/>
        </w:rPr>
        <w:footnoteRef/>
      </w:r>
      <w:r w:rsidRPr="00403613">
        <w:rPr>
          <w:sz w:val="16"/>
          <w:szCs w:val="16"/>
        </w:rPr>
        <w:t xml:space="preserve"> V tomto odhade je zahrnuté financovanie časti výdavkov z EÚ fondov. Ide o financovanie v objeme 338 mil. eur (0,4 % HDP), toto prefinancovanie nemá vplyv na deficit.</w:t>
      </w:r>
    </w:p>
  </w:footnote>
  <w:footnote w:id="7">
    <w:p w14:paraId="54B5970B"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Ide o príjmy prognózované výborom pre daňové prognózy</w:t>
      </w:r>
    </w:p>
  </w:footnote>
  <w:footnote w:id="8">
    <w:p w14:paraId="55706A45" w14:textId="77777777" w:rsidR="00CF774B" w:rsidRPr="002C69C7"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Kedy došlo k medziročnému prepadu korporátnej dane o cca 24 %</w:t>
      </w:r>
    </w:p>
  </w:footnote>
  <w:footnote w:id="9">
    <w:p w14:paraId="0E6F1261" w14:textId="77777777" w:rsidR="00CF774B" w:rsidRPr="00403613" w:rsidRDefault="00CF774B" w:rsidP="00490255">
      <w:pPr>
        <w:jc w:val="both"/>
        <w:rPr>
          <w:rFonts w:cs="Times New Roman"/>
          <w:b/>
          <w:bCs/>
          <w:sz w:val="16"/>
          <w:szCs w:val="16"/>
        </w:rPr>
      </w:pPr>
      <w:r w:rsidRPr="00403613">
        <w:rPr>
          <w:rStyle w:val="Odkaznapoznmkupodiarou"/>
          <w:sz w:val="16"/>
          <w:szCs w:val="16"/>
        </w:rPr>
        <w:footnoteRef/>
      </w:r>
      <w:r w:rsidRPr="00403613">
        <w:rPr>
          <w:sz w:val="16"/>
          <w:szCs w:val="16"/>
        </w:rPr>
        <w:t xml:space="preserve"> Na pokles výdavkov na štandardné nemocenské dávky má vplyv aj rast výdavkov na pandemické dávky (PN a OČR), ktoré sú zobrazené v rámci zúčtovania pandemickej pomoci. Ľudia, ktorí by aj počas bežného roka ochoreli na inú chorobu a následne poberali štandardnú PN či OČR, sú tak zobrazení v pandemických výdavkoch a štandardné výdavky na ostatné nemocenské preto klesnú.</w:t>
      </w:r>
    </w:p>
  </w:footnote>
  <w:footnote w:id="10">
    <w:p w14:paraId="5620BB8C" w14:textId="64219999" w:rsidR="00CF774B" w:rsidRPr="003C6DA7" w:rsidRDefault="00CF774B" w:rsidP="00490255">
      <w:pPr>
        <w:pStyle w:val="Textpoznmkypodiarou"/>
        <w:jc w:val="both"/>
        <w:rPr>
          <w:sz w:val="16"/>
          <w:szCs w:val="16"/>
        </w:rPr>
      </w:pPr>
      <w:r w:rsidRPr="00403613">
        <w:rPr>
          <w:rStyle w:val="Odkaznapoznmkupodiarou"/>
          <w:sz w:val="16"/>
          <w:szCs w:val="16"/>
        </w:rPr>
        <w:footnoteRef/>
      </w:r>
      <w:r w:rsidRPr="00403613">
        <w:rPr>
          <w:sz w:val="16"/>
          <w:szCs w:val="16"/>
        </w:rPr>
        <w:t xml:space="preserve"> </w:t>
      </w:r>
      <w:r w:rsidRPr="00403613">
        <w:rPr>
          <w:rFonts w:cs="Segoe UI"/>
          <w:bCs/>
          <w:color w:val="242424"/>
          <w:sz w:val="16"/>
          <w:szCs w:val="16"/>
          <w:shd w:val="clear" w:color="auto" w:fill="FFFFFF"/>
        </w:rPr>
        <w:t>Cieľovou skupinou boli úradníci – zamestnanci kapitol ŠR v štátnej službe a verejnom záujme. </w:t>
      </w:r>
      <w:r w:rsidRPr="00146E2C">
        <w:rPr>
          <w:rFonts w:cs="Segoe UI"/>
          <w:color w:val="242424"/>
          <w:sz w:val="16"/>
          <w:szCs w:val="16"/>
          <w:shd w:val="clear" w:color="auto" w:fill="FFFFFF"/>
        </w:rPr>
        <w:t>Plošné 10 % zníženie počtu zamestnancov sa nedotklo</w:t>
      </w:r>
      <w:r>
        <w:rPr>
          <w:rFonts w:cs="Segoe UI"/>
          <w:color w:val="242424"/>
          <w:sz w:val="16"/>
          <w:szCs w:val="16"/>
          <w:shd w:val="clear" w:color="auto" w:fill="FFFFFF"/>
        </w:rPr>
        <w:t xml:space="preserve"> najmä</w:t>
      </w:r>
      <w:r w:rsidRPr="00146E2C">
        <w:rPr>
          <w:rFonts w:cs="Segoe UI"/>
          <w:color w:val="242424"/>
          <w:sz w:val="16"/>
          <w:szCs w:val="16"/>
          <w:shd w:val="clear" w:color="auto" w:fill="FFFFFF"/>
        </w:rPr>
        <w:t xml:space="preserve">  zamestnancov regionálneho školstva, úradov verejného zdravotníctva, zdravotníckych zamestnancov, zamestnancov centier pre deti a rodiny, profesionálnych rodičov, zamestnancov Slovenského národného divadla a Slovenskej filharmónie, zamest</w:t>
      </w:r>
      <w:r>
        <w:rPr>
          <w:rFonts w:cs="Segoe UI"/>
          <w:color w:val="242424"/>
          <w:sz w:val="16"/>
          <w:szCs w:val="16"/>
          <w:shd w:val="clear" w:color="auto" w:fill="FFFFFF"/>
        </w:rPr>
        <w:t>nancov verejných vysokých škôl</w:t>
      </w:r>
      <w:r w:rsidRPr="00146E2C">
        <w:rPr>
          <w:rFonts w:cs="Segoe UI"/>
          <w:color w:val="242424"/>
          <w:sz w:val="16"/>
          <w:szCs w:val="16"/>
          <w:shd w:val="clear" w:color="auto" w:fill="FFFFFF"/>
        </w:rPr>
        <w:t>, zamestnancov vykonávajúcich činnosti v cudzine, štátnych zamestnancov vo verejnej funkcii, justičných čakateľov a právnych čakateľov prokuratúry. Zo znižovania boli súčasne vyňatí štátni zamestnanci v služobnom pomere, t. j. policajti, profesionálni vojaci, príslušníci Hasičského a záchranného zboru, príslušníci  Horskej záchrannej služby  a ozbrojení a neozbrojení príslušníci finančnej správy.</w:t>
      </w:r>
    </w:p>
  </w:footnote>
  <w:footnote w:id="11">
    <w:p w14:paraId="40C7DF6C" w14:textId="77777777" w:rsidR="00CF774B" w:rsidRPr="00403613" w:rsidRDefault="00CF774B" w:rsidP="00490255">
      <w:pPr>
        <w:pStyle w:val="Textpoznmkypodiarou"/>
        <w:jc w:val="both"/>
        <w:rPr>
          <w:sz w:val="16"/>
          <w:szCs w:val="16"/>
        </w:rPr>
      </w:pPr>
      <w:r w:rsidRPr="00403613">
        <w:rPr>
          <w:rStyle w:val="Odkaznapoznmkupodiarou"/>
          <w:sz w:val="16"/>
          <w:szCs w:val="16"/>
        </w:rPr>
        <w:footnoteRef/>
      </w:r>
      <w:r w:rsidRPr="00403613">
        <w:rPr>
          <w:sz w:val="16"/>
          <w:szCs w:val="16"/>
        </w:rPr>
        <w:t xml:space="preserve"> Pri medziročnom porovnaní rokov 2020 a 2021 nedochádza takmer k žiadnej zmene počtu štátnych zamestnancov a zamestnancov vykonávajúcich prácu vo verejnom záujme pracujúcich v štátnych ústredných orgánoch.</w:t>
      </w:r>
    </w:p>
  </w:footnote>
  <w:footnote w:id="12">
    <w:p w14:paraId="5D0D0BC7" w14:textId="77777777" w:rsidR="00CF774B" w:rsidRPr="00403613" w:rsidRDefault="00CF774B" w:rsidP="00490255">
      <w:pPr>
        <w:pStyle w:val="Textpoznmkypodiarou"/>
        <w:jc w:val="both"/>
        <w:rPr>
          <w:sz w:val="16"/>
          <w:szCs w:val="16"/>
        </w:rPr>
      </w:pPr>
      <w:r w:rsidRPr="00403613">
        <w:rPr>
          <w:rStyle w:val="Odkaznapoznmkupodiarou"/>
          <w:sz w:val="16"/>
          <w:szCs w:val="16"/>
        </w:rPr>
        <w:footnoteRef/>
      </w:r>
      <w:r w:rsidRPr="00403613">
        <w:rPr>
          <w:sz w:val="16"/>
          <w:szCs w:val="16"/>
        </w:rPr>
        <w:t xml:space="preserve"> Pri tvorbe rozpočtu sa na tento účel vyčlenených 768 mil. eur. </w:t>
      </w:r>
    </w:p>
  </w:footnote>
  <w:footnote w:id="13">
    <w:p w14:paraId="5889C8F4" w14:textId="17AEA9BE" w:rsidR="00CF774B" w:rsidRPr="00386578" w:rsidRDefault="00CF774B" w:rsidP="00490255">
      <w:pPr>
        <w:pStyle w:val="Textpoznmkypodiarou"/>
        <w:jc w:val="both"/>
        <w:rPr>
          <w:sz w:val="16"/>
          <w:szCs w:val="16"/>
        </w:rPr>
      </w:pPr>
      <w:r w:rsidRPr="00403613">
        <w:rPr>
          <w:rStyle w:val="Odkaznapoznmkupodiarou"/>
          <w:sz w:val="16"/>
          <w:szCs w:val="16"/>
        </w:rPr>
        <w:footnoteRef/>
      </w:r>
      <w:r w:rsidRPr="00403613">
        <w:rPr>
          <w:sz w:val="16"/>
          <w:szCs w:val="16"/>
        </w:rPr>
        <w:t xml:space="preserve"> Objem prenesených prostriedkov bol 0,5 % HDP. Keďže doterajšie čerpanie výdavkov určených na opatrenia proti pandémii neindikuje, že by sa na tento účel minula celá pôvodne rozpočtovaná rezerva aj prenesené výdavky, dochádza k poníženiu pôvodne určenej rezervy o 201,6 mil. eur. Zároveň akrualizácia výdavkov určených na „Prvú pomoc“ znižuje vplyv na tohtoročný deficit o 109 mil. eur.</w:t>
      </w:r>
    </w:p>
  </w:footnote>
  <w:footnote w:id="14">
    <w:p w14:paraId="38EF158D"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Aj v prípade ochorenia na koronavírus vzniká nárok na dávku nemocenské. Sociálna poisťovňa však od decembra 2021 vypláca dávku až od 11.dňa práceneschopnosti, tak ako pri všetkých ostatných chorobách. Do decembra SP vyplácala dávku pandemické nemocenské od 1.dňa práceneschopnosti.</w:t>
      </w:r>
    </w:p>
  </w:footnote>
  <w:footnote w:id="15">
    <w:p w14:paraId="471AA50E" w14:textId="77777777" w:rsidR="00CF774B" w:rsidRPr="00403613" w:rsidRDefault="00CF774B" w:rsidP="00403613">
      <w:pPr>
        <w:pStyle w:val="Textpoznmkypodiarou"/>
        <w:jc w:val="both"/>
        <w:rPr>
          <w:sz w:val="16"/>
          <w:szCs w:val="16"/>
        </w:rPr>
      </w:pPr>
      <w:r w:rsidRPr="00403613">
        <w:rPr>
          <w:rStyle w:val="Odkaznapoznmkupodiarou"/>
          <w:rFonts w:eastAsiaTheme="majorEastAsia"/>
          <w:sz w:val="16"/>
          <w:szCs w:val="16"/>
        </w:rPr>
        <w:footnoteRef/>
      </w:r>
      <w:r w:rsidRPr="00403613">
        <w:rPr>
          <w:rStyle w:val="Odkaznapoznmkupodiarou"/>
          <w:rFonts w:eastAsiaTheme="majorEastAsia"/>
          <w:sz w:val="16"/>
          <w:szCs w:val="16"/>
        </w:rPr>
        <w:t xml:space="preserve"> </w:t>
      </w:r>
      <w:r w:rsidRPr="00403613">
        <w:rPr>
          <w:sz w:val="16"/>
          <w:szCs w:val="16"/>
        </w:rPr>
        <w:t xml:space="preserve">V časti sociálnych odvodov predpokladáme akruálny vplyv -4,8 mil. eur v 2020, resp. -6,7 mil. eur v roku 2021 z dôvodu nesplatenia odložených odvodov vo vybraných rizikových sektoroch. V roku 2022 očakávame vplyv na akruálne saldo vo výške -1,7 mil. eur. </w:t>
      </w:r>
    </w:p>
  </w:footnote>
  <w:footnote w:id="16">
    <w:p w14:paraId="643AD3F7" w14:textId="77777777" w:rsidR="00CF774B" w:rsidRPr="00403613" w:rsidRDefault="00CF774B" w:rsidP="00403613">
      <w:pPr>
        <w:pStyle w:val="Textpoznmkypodiarou"/>
        <w:jc w:val="both"/>
        <w:rPr>
          <w:sz w:val="16"/>
          <w:szCs w:val="16"/>
        </w:rPr>
      </w:pPr>
      <w:r w:rsidRPr="00403613">
        <w:rPr>
          <w:rStyle w:val="Odkaznapoznmkupodiarou"/>
          <w:rFonts w:eastAsiaTheme="majorEastAsia"/>
          <w:sz w:val="16"/>
          <w:szCs w:val="16"/>
        </w:rPr>
        <w:footnoteRef/>
      </w:r>
      <w:r w:rsidRPr="00403613">
        <w:rPr>
          <w:sz w:val="16"/>
          <w:szCs w:val="16"/>
        </w:rPr>
        <w:t xml:space="preserve"> Negatívny vplyv zo záruk poskytnutých v roku 2020 je vo výške 25 mil. eur, resp. 23 mil. eur zo záruk poskytnutých v roku 2021.</w:t>
      </w:r>
    </w:p>
  </w:footnote>
  <w:footnote w:id="17">
    <w:p w14:paraId="3FE28851" w14:textId="77777777" w:rsidR="00CF774B" w:rsidRPr="00403613" w:rsidRDefault="00CF774B" w:rsidP="00403613">
      <w:pPr>
        <w:pStyle w:val="Textpoznmkypodiarou"/>
        <w:jc w:val="both"/>
        <w:rPr>
          <w:sz w:val="16"/>
          <w:szCs w:val="16"/>
        </w:rPr>
      </w:pPr>
      <w:r w:rsidRPr="00403613">
        <w:rPr>
          <w:rStyle w:val="Odkaznapoznmkupodiarou"/>
          <w:rFonts w:eastAsiaTheme="majorEastAsia"/>
          <w:sz w:val="16"/>
          <w:szCs w:val="16"/>
        </w:rPr>
        <w:footnoteRef/>
      </w:r>
      <w:r w:rsidRPr="00403613">
        <w:rPr>
          <w:sz w:val="16"/>
          <w:szCs w:val="16"/>
        </w:rPr>
        <w:t xml:space="preserve"> Napríklad Sociálna poisťovňa dostáva transfer zo ŠR, ktorý je do veľkej miery využitý na krytie pandemických OČR a PN.</w:t>
      </w:r>
    </w:p>
  </w:footnote>
  <w:footnote w:id="18">
    <w:p w14:paraId="7094603E" w14:textId="77777777" w:rsidR="00CF774B" w:rsidRPr="003820F0"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Ide o daňové príjmy prognózované Výborom pre daňové prognózy.</w:t>
      </w:r>
    </w:p>
  </w:footnote>
  <w:footnote w:id="19">
    <w:p w14:paraId="073D1C0B" w14:textId="77777777" w:rsidR="00CF774B" w:rsidRPr="00403613" w:rsidRDefault="00CF774B" w:rsidP="00490255">
      <w:pPr>
        <w:pStyle w:val="Textpoznmkypodiarou"/>
        <w:jc w:val="both"/>
        <w:rPr>
          <w:sz w:val="16"/>
          <w:szCs w:val="16"/>
        </w:rPr>
      </w:pPr>
      <w:r w:rsidRPr="00403613">
        <w:rPr>
          <w:rStyle w:val="Odkaznapoznmkupodiarou"/>
          <w:sz w:val="16"/>
          <w:szCs w:val="16"/>
        </w:rPr>
        <w:footnoteRef/>
      </w:r>
      <w:r w:rsidRPr="00403613">
        <w:rPr>
          <w:sz w:val="16"/>
          <w:szCs w:val="16"/>
        </w:rPr>
        <w:t xml:space="preserve"> </w:t>
      </w:r>
      <w:r w:rsidRPr="00403613">
        <w:rPr>
          <w:bCs/>
          <w:sz w:val="16"/>
          <w:szCs w:val="16"/>
        </w:rPr>
        <w:t xml:space="preserve">Meraná efektívnou sadzbou DPH. Pri tvorbe rozpočtu nebola známa skutočnosť za rok 2021. Skutočný výnos za rok 2021  bol vyšší nielen z dôvodu vyššej makrobázy, ale aj vyššej efektívnej daňovej sadzby (EDS). EDS zvýšila aktuálny odhad o 233 mil. eur.  </w:t>
      </w:r>
    </w:p>
  </w:footnote>
  <w:footnote w:id="20">
    <w:p w14:paraId="4E698CAA" w14:textId="77777777" w:rsidR="00CF774B" w:rsidRPr="00403613" w:rsidRDefault="00CF774B" w:rsidP="00490255">
      <w:pPr>
        <w:pStyle w:val="Textpoznmkypodiarou"/>
        <w:jc w:val="both"/>
        <w:rPr>
          <w:sz w:val="16"/>
          <w:szCs w:val="16"/>
        </w:rPr>
      </w:pPr>
      <w:r w:rsidRPr="00403613">
        <w:rPr>
          <w:rStyle w:val="Odkaznapoznmkupodiarou"/>
          <w:sz w:val="16"/>
          <w:szCs w:val="16"/>
        </w:rPr>
        <w:footnoteRef/>
      </w:r>
      <w:r w:rsidRPr="00403613">
        <w:rPr>
          <w:sz w:val="16"/>
          <w:szCs w:val="16"/>
        </w:rPr>
        <w:t xml:space="preserve"> Korekcie sú očistené o príjmy platobnej jednotky. </w:t>
      </w:r>
      <w:r w:rsidRPr="00403613">
        <w:rPr>
          <w:bCs/>
          <w:sz w:val="16"/>
          <w:szCs w:val="16"/>
        </w:rPr>
        <w:t>Z titulu korekcií platieb z EÚ fondov (zhoršenie schodku) sa upravovala pohľadávka voči EÚ. Výdavky boli realizované pod kódom zdroja EÚ. Avšak Európska komisia prostriedky nepreplatila. Namiesto nej štát vysporiadal nezrovnalosti, ktoré sa následne použili na úhradu súhrnných žiadostí o platby do príjmov ŠR pod kódom zdroja EÚ. Vzhľadom k tomu, že dochádzalo k duplicitnému dopadu na ESA schodok bolo potrebné zaviesť upravujúcu položku - očistenie vplyvu príjmov za prostriedky EÚ z dôvodu úhrady korekcií na náklady štátu. Dôvodom tejto úpravy je, že v prípade, ak bola v minulosti upravená (znížená) pohľadávka voči EÚ z titulu rozhodnutia korekcií a následne došlo k naplneniu príjmov (vo výške korekcií) z nákladov štátu, je potrebné eliminovať túto skutočnosť z výpočtu pohľadávky.</w:t>
      </w:r>
      <w:r w:rsidRPr="00403613">
        <w:rPr>
          <w:b/>
          <w:bCs/>
          <w:sz w:val="16"/>
          <w:szCs w:val="16"/>
        </w:rPr>
        <w:t xml:space="preserve"> </w:t>
      </w:r>
    </w:p>
  </w:footnote>
  <w:footnote w:id="21">
    <w:p w14:paraId="42463837" w14:textId="77777777" w:rsidR="00CF774B" w:rsidRPr="00403613" w:rsidRDefault="00CF774B" w:rsidP="00490255">
      <w:pPr>
        <w:pStyle w:val="Textpoznmkypodiarou"/>
        <w:jc w:val="both"/>
        <w:rPr>
          <w:sz w:val="16"/>
          <w:szCs w:val="16"/>
        </w:rPr>
      </w:pPr>
      <w:r w:rsidRPr="00403613">
        <w:rPr>
          <w:rStyle w:val="Odkaznapoznmkupodiarou"/>
          <w:sz w:val="16"/>
          <w:szCs w:val="16"/>
        </w:rPr>
        <w:footnoteRef/>
      </w:r>
      <w:r w:rsidRPr="00403613">
        <w:rPr>
          <w:sz w:val="16"/>
          <w:szCs w:val="16"/>
        </w:rPr>
        <w:t xml:space="preserve"> Prídavok na dieťa sa má jednorazovo zvýšiť na 100 eur. 100 eurovú podporu dostanú aj domácnosti v hmotnej núdzi, nízkopríjmoví seniori, opatrovatelia ťažko-zdravotne postihnutých ľudí ako aj profesionálni rodičia starajúci sa o deti z detských domovov.</w:t>
      </w:r>
    </w:p>
  </w:footnote>
  <w:footnote w:id="22">
    <w:p w14:paraId="1AE76362" w14:textId="77777777" w:rsidR="00CF774B" w:rsidRPr="00403613" w:rsidRDefault="00CF774B" w:rsidP="00403613">
      <w:pPr>
        <w:jc w:val="both"/>
        <w:rPr>
          <w:rFonts w:cs="Arial Narrow"/>
          <w:sz w:val="16"/>
          <w:szCs w:val="16"/>
        </w:rPr>
      </w:pPr>
      <w:r w:rsidRPr="00403613">
        <w:rPr>
          <w:rStyle w:val="Odkaznapoznmkupodiarou"/>
          <w:sz w:val="16"/>
          <w:szCs w:val="16"/>
        </w:rPr>
        <w:footnoteRef/>
      </w:r>
      <w:r w:rsidRPr="00403613">
        <w:rPr>
          <w:sz w:val="16"/>
          <w:szCs w:val="16"/>
        </w:rPr>
        <w:t xml:space="preserve"> Vyššie výdavky zdravotníctva sa dejú cez tri kanály. </w:t>
      </w:r>
      <w:r w:rsidRPr="00403613">
        <w:rPr>
          <w:rFonts w:cs="Arial Narrow"/>
          <w:sz w:val="16"/>
          <w:szCs w:val="16"/>
        </w:rPr>
        <w:t>Vyššie zdravotné odvody z ekonomicky aktívneho obyvateľstva (0,1 % HDP) sa v rovnakom objeme presúvajú aj do vyšších výdavkov zdravotníctva. Ďalším zdrojom dofinancovania zdravotníctva je zvýšenie platby štátu za svojich poistencov, tiež za 0,1 p. b HDP. Zároveň došlo aj k navýšeniu základného imania Všeobecne zdravotnej poisťovne (0,2 % HDP). Vplyv na deficit je nižší, keďže navýšenie výdavkov</w:t>
      </w:r>
      <w:r w:rsidRPr="0084066F">
        <w:rPr>
          <w:rFonts w:cs="Arial Narrow"/>
          <w:sz w:val="16"/>
          <w:szCs w:val="16"/>
        </w:rPr>
        <w:t xml:space="preserve"> v zdravotníctve bolo z časti kryté vytvorenými rezervami v rozpočte. Avšak </w:t>
      </w:r>
      <w:r>
        <w:rPr>
          <w:rFonts w:cs="Arial Narrow"/>
          <w:sz w:val="16"/>
          <w:szCs w:val="16"/>
        </w:rPr>
        <w:t xml:space="preserve">zároveň </w:t>
      </w:r>
      <w:r w:rsidRPr="0084066F">
        <w:rPr>
          <w:rFonts w:cs="Arial Narrow"/>
          <w:sz w:val="16"/>
          <w:szCs w:val="16"/>
        </w:rPr>
        <w:t xml:space="preserve">nedošlo k celkovému čerpaniu rezervy určenej na vyššie výdavky </w:t>
      </w:r>
      <w:r w:rsidRPr="00403613">
        <w:rPr>
          <w:rFonts w:cs="Arial Narrow"/>
          <w:sz w:val="16"/>
          <w:szCs w:val="16"/>
        </w:rPr>
        <w:t>v zdravotníctve (v rozpočte na úrovni 0,2 % HDP). Očakáva sa, že zvyšná časť rezervy nebude do konca roka použitá (0,1 % HDP). Vplyv vyšších výdavkov do zdravotníctva s vplyvom na deficit je teda jeho dofinancovanie (0,3 % HDP) mínus nevyužitá rezerva na tento účel (0,1 % HDP).</w:t>
      </w:r>
    </w:p>
  </w:footnote>
  <w:footnote w:id="23">
    <w:p w14:paraId="39DC726E"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Ide o tri podniky NDS, ŽSSK a ŽSR a vplyv financovania zo štátneho rozpočtu bez EU fondov a spolufinancovania.</w:t>
      </w:r>
    </w:p>
  </w:footnote>
  <w:footnote w:id="24">
    <w:p w14:paraId="591EB8E8"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Ide o nedaňové príjmy prognózované Výborom pre daňové prognózy.</w:t>
      </w:r>
    </w:p>
  </w:footnote>
  <w:footnote w:id="25">
    <w:p w14:paraId="0AA8790C"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w:t>
      </w:r>
      <w:r w:rsidRPr="00403613">
        <w:rPr>
          <w:bCs/>
          <w:sz w:val="16"/>
          <w:szCs w:val="16"/>
        </w:rPr>
        <w:t>Pri zostavovaní rozpočtu sa uvažovalo s nižším počtom dávok, ktorý vychádzal z predbežných údajov roka 2021. V skutočnosti došlo koncom roka 2021 k dodatočnému nárastu počtu starobných dôchodkov. Ten bol zapríčinený oneskoreným priznávaním nárokov na dávky. Oneskorené priznávanie dávok bolo spôsobené výpadkom zamestnancov Sociálnej poisťovne okrem iného kvôli pandémii. Následne sa zvýšený počet priznaných dôchodkov v roku 2021 prejavuje aj v tomto roku pokračovaním vyplácania priznaných dávok.</w:t>
      </w:r>
    </w:p>
  </w:footnote>
  <w:footnote w:id="26">
    <w:p w14:paraId="7C386FE3" w14:textId="5B6A2F4D" w:rsidR="00CF774B" w:rsidRPr="0078069E" w:rsidRDefault="00CF774B" w:rsidP="00403613">
      <w:pPr>
        <w:pStyle w:val="Textpoznmkypodiarou"/>
        <w:jc w:val="both"/>
        <w:rPr>
          <w:sz w:val="16"/>
          <w:szCs w:val="16"/>
        </w:rPr>
      </w:pPr>
      <w:r w:rsidRPr="0078069E">
        <w:rPr>
          <w:rStyle w:val="Odkaznapoznmkupodiarou"/>
          <w:sz w:val="16"/>
          <w:szCs w:val="16"/>
        </w:rPr>
        <w:footnoteRef/>
      </w:r>
      <w:r w:rsidRPr="0078069E">
        <w:rPr>
          <w:sz w:val="16"/>
          <w:szCs w:val="16"/>
        </w:rPr>
        <w:t xml:space="preserve"> Proporčne znamená, že ak sa schvália iba dve určené reformy, bude p</w:t>
      </w:r>
      <w:r>
        <w:rPr>
          <w:sz w:val="16"/>
          <w:szCs w:val="16"/>
        </w:rPr>
        <w:t>oužitých iba dve tretiny financií</w:t>
      </w:r>
      <w:r w:rsidRPr="0078069E">
        <w:rPr>
          <w:sz w:val="16"/>
          <w:szCs w:val="16"/>
        </w:rPr>
        <w:t xml:space="preserve"> a pod (ide o schválenie výdavkových limitov, novely dlhovej brzdy a dôchodkovej reformy formou ústaveného zákona).</w:t>
      </w:r>
    </w:p>
  </w:footnote>
  <w:footnote w:id="27">
    <w:p w14:paraId="1C294FF4" w14:textId="77777777" w:rsidR="00CF774B" w:rsidRPr="0078069E" w:rsidRDefault="00CF774B" w:rsidP="00403613">
      <w:pPr>
        <w:pStyle w:val="Textpoznmkypodiarou"/>
        <w:jc w:val="both"/>
        <w:rPr>
          <w:sz w:val="16"/>
          <w:szCs w:val="16"/>
        </w:rPr>
      </w:pPr>
      <w:r w:rsidRPr="0078069E">
        <w:rPr>
          <w:rStyle w:val="Odkaznapoznmkupodiarou"/>
          <w:sz w:val="16"/>
          <w:szCs w:val="16"/>
        </w:rPr>
        <w:footnoteRef/>
      </w:r>
      <w:r w:rsidRPr="0078069E">
        <w:rPr>
          <w:sz w:val="16"/>
          <w:szCs w:val="16"/>
        </w:rPr>
        <w:t xml:space="preserve"> Tieto výdavky sú zarátané už v očakávanom deficite.</w:t>
      </w:r>
    </w:p>
  </w:footnote>
  <w:footnote w:id="28">
    <w:p w14:paraId="77ECFA1C" w14:textId="77777777" w:rsidR="00CF774B" w:rsidRPr="0078069E" w:rsidRDefault="00CF774B" w:rsidP="00403613">
      <w:pPr>
        <w:pStyle w:val="Textpoznmkypodiarou"/>
        <w:jc w:val="both"/>
        <w:rPr>
          <w:sz w:val="16"/>
          <w:szCs w:val="16"/>
        </w:rPr>
      </w:pPr>
      <w:r w:rsidRPr="0078069E">
        <w:rPr>
          <w:rStyle w:val="Odkaznapoznmkupodiarou"/>
          <w:sz w:val="16"/>
          <w:szCs w:val="16"/>
        </w:rPr>
        <w:footnoteRef/>
      </w:r>
      <w:r w:rsidRPr="0078069E">
        <w:rPr>
          <w:sz w:val="16"/>
          <w:szCs w:val="16"/>
        </w:rPr>
        <w:t xml:space="preserve"> Skúsenosti z Nemecka po utečeneckej vlne zo Sýrie ukazujú, že tieto výdavky sa začínajú uplatňovať až po pol roku po vypuknutí utečeneckej vlny. Zároveň sa predpokladá, že časť Ukrajincov nebude chcieť zostať na Slovensku dlhodobo a po skončení konfliktu sa vráti späť na Ukrajinu.</w:t>
      </w:r>
    </w:p>
  </w:footnote>
  <w:footnote w:id="29">
    <w:p w14:paraId="59440665" w14:textId="77777777" w:rsidR="00CF774B" w:rsidRPr="00403613" w:rsidRDefault="00CF774B" w:rsidP="00403613">
      <w:pPr>
        <w:pStyle w:val="Textpoznmkypodiarou"/>
        <w:jc w:val="both"/>
        <w:rPr>
          <w:sz w:val="16"/>
          <w:szCs w:val="16"/>
        </w:rPr>
      </w:pPr>
      <w:r w:rsidRPr="0078069E">
        <w:rPr>
          <w:rStyle w:val="Odkaznapoznmkupodiarou"/>
          <w:sz w:val="16"/>
          <w:szCs w:val="16"/>
        </w:rPr>
        <w:footnoteRef/>
      </w:r>
      <w:r w:rsidRPr="0078069E">
        <w:rPr>
          <w:sz w:val="16"/>
          <w:szCs w:val="16"/>
        </w:rPr>
        <w:t xml:space="preserve"> Kvantifikácia predpokladá, že ľudia, ktorí požiadajú o dočasné útočisko</w:t>
      </w:r>
      <w:r w:rsidRPr="00403613">
        <w:rPr>
          <w:sz w:val="16"/>
          <w:szCs w:val="16"/>
        </w:rPr>
        <w:t xml:space="preserve"> zostanú na území Slovenska do konca tohto roka.</w:t>
      </w:r>
    </w:p>
  </w:footnote>
  <w:footnote w:id="30">
    <w:p w14:paraId="21B64535" w14:textId="77777777" w:rsidR="00CF774B" w:rsidRPr="00653366"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Konzervatívne sa predpokladá, že štát bude poskytovať tieto príspevky do konca tohto roka a aj tým, ktorí sa zamestnajú.</w:t>
      </w:r>
    </w:p>
  </w:footnote>
  <w:footnote w:id="31">
    <w:p w14:paraId="36396DE1" w14:textId="77777777" w:rsidR="00CF774B" w:rsidRPr="004D68FC" w:rsidRDefault="00CF774B" w:rsidP="000C6444">
      <w:pPr>
        <w:pStyle w:val="Textpoznmkypodiarou"/>
        <w:jc w:val="both"/>
        <w:rPr>
          <w:sz w:val="16"/>
          <w:szCs w:val="16"/>
        </w:rPr>
      </w:pPr>
      <w:r w:rsidRPr="004D68FC">
        <w:rPr>
          <w:rStyle w:val="Odkaznapoznmkupodiarou"/>
          <w:sz w:val="16"/>
          <w:szCs w:val="16"/>
        </w:rPr>
        <w:footnoteRef/>
      </w:r>
      <w:r w:rsidRPr="004D68FC">
        <w:rPr>
          <w:sz w:val="16"/>
          <w:szCs w:val="16"/>
        </w:rPr>
        <w:t xml:space="preserve"> Podľa zákona 523/2004 o rozpočtových pravidlách, § 30aa odsek 8: </w:t>
      </w:r>
      <w:r w:rsidRPr="004D68FC">
        <w:rPr>
          <w:rFonts w:cs="Arial"/>
          <w:color w:val="000000"/>
          <w:sz w:val="16"/>
          <w:szCs w:val="16"/>
          <w:shd w:val="clear" w:color="auto" w:fill="FFFFFF"/>
        </w:rPr>
        <w:t>Vláda je povinná zosúladiť návrh rozpočtu verejnej správy s platným limitom verejných výdavkov. Ak vláda predložila národnej rade návrh rozpočtu verejnej správy, ktorý prekračuje platný limit verejných výdavkov, a na rokovaní národnej rady sa neschváli pozmeňujúci návrh alebo doplňujúci návrh, ktorým sa zosúladí návrh rozpočtu verejnej správy s platným limitom verejných výdavkov, vláda je povinná ho vziať späť a do 30 dní predložiť návrh rozpočtu verejnej správy, ktorý neprekračuje platný limit verejných výdavkov.</w:t>
      </w:r>
    </w:p>
  </w:footnote>
  <w:footnote w:id="32">
    <w:p w14:paraId="543915D2" w14:textId="77777777" w:rsidR="00CF774B" w:rsidRPr="004F5B30" w:rsidRDefault="00CF774B" w:rsidP="000C6444">
      <w:pPr>
        <w:pStyle w:val="Textpoznmkypodiarou"/>
        <w:jc w:val="both"/>
        <w:rPr>
          <w:sz w:val="16"/>
          <w:szCs w:val="16"/>
        </w:rPr>
      </w:pPr>
      <w:r w:rsidRPr="004F5B30">
        <w:rPr>
          <w:rStyle w:val="Odkaznapoznmkupodiarou"/>
          <w:sz w:val="16"/>
          <w:szCs w:val="16"/>
        </w:rPr>
        <w:footnoteRef/>
      </w:r>
      <w:r w:rsidRPr="004F5B30">
        <w:rPr>
          <w:sz w:val="16"/>
          <w:szCs w:val="16"/>
        </w:rPr>
        <w:t xml:space="preserve"> Jeho cieľom je počas obdobia deaktivovaných pravidiel kvantifikovať vplyv fiškálnej politiky na ekonomiku financovanej formou národných, ale aj európskych zdrojov. Indikátor je vzhľadom na dočasné výdavkové a príjmové opatrenia súvisiace s COVID-19 o tieto vplyvy očistený.</w:t>
      </w:r>
    </w:p>
  </w:footnote>
  <w:footnote w:id="33">
    <w:p w14:paraId="2D070543" w14:textId="77777777" w:rsidR="00CF774B" w:rsidRPr="009637BB" w:rsidRDefault="00CF774B" w:rsidP="000C6444">
      <w:pPr>
        <w:pStyle w:val="Textpoznmkypodiarou"/>
        <w:jc w:val="both"/>
        <w:rPr>
          <w:sz w:val="16"/>
          <w:szCs w:val="16"/>
        </w:rPr>
      </w:pPr>
      <w:r w:rsidRPr="005415E3">
        <w:rPr>
          <w:rStyle w:val="Odkaznapoznmkupodiarou"/>
          <w:sz w:val="16"/>
        </w:rPr>
        <w:footnoteRef/>
      </w:r>
      <w:r w:rsidRPr="009637BB">
        <w:rPr>
          <w:sz w:val="16"/>
          <w:szCs w:val="16"/>
        </w:rPr>
        <w:t xml:space="preserve"> Tabuľka s jednorazovými vplyvmi je uvedená v </w:t>
      </w:r>
      <w:r w:rsidRPr="00A46ECA">
        <w:rPr>
          <w:color w:val="2C9ADC" w:themeColor="accent1"/>
          <w:sz w:val="16"/>
          <w:szCs w:val="16"/>
        </w:rPr>
        <w:t>Prílohe 3</w:t>
      </w:r>
      <w:r w:rsidRPr="00A46ECA">
        <w:rPr>
          <w:sz w:val="16"/>
          <w:szCs w:val="16"/>
        </w:rPr>
        <w:t>.</w:t>
      </w:r>
    </w:p>
  </w:footnote>
  <w:footnote w:id="34">
    <w:p w14:paraId="0161AB5E"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Rada ho vypočíta v júli rovnako ako aj aktualizuje limity na roky 2023 a 2024.</w:t>
      </w:r>
    </w:p>
  </w:footnote>
  <w:footnote w:id="35">
    <w:p w14:paraId="198160A5" w14:textId="34FB270A" w:rsidR="00CF774B" w:rsidRPr="00395A7F" w:rsidRDefault="00CF774B">
      <w:pPr>
        <w:pStyle w:val="Textpoznmkypodiarou"/>
        <w:rPr>
          <w:sz w:val="16"/>
          <w:szCs w:val="16"/>
        </w:rPr>
      </w:pPr>
      <w:r w:rsidRPr="00395A7F">
        <w:rPr>
          <w:rStyle w:val="Odkaznapoznmkupodiarou"/>
          <w:sz w:val="16"/>
          <w:szCs w:val="16"/>
        </w:rPr>
        <w:footnoteRef/>
      </w:r>
      <w:r w:rsidRPr="00395A7F">
        <w:rPr>
          <w:sz w:val="16"/>
          <w:szCs w:val="16"/>
        </w:rPr>
        <w:t xml:space="preserve">  Vzhľadom na to Ministerstvo financií SR v čase výpočtu</w:t>
      </w:r>
      <w:r>
        <w:rPr>
          <w:sz w:val="16"/>
          <w:szCs w:val="16"/>
        </w:rPr>
        <w:t xml:space="preserve"> výdavkových limitov zo strany RRZ</w:t>
      </w:r>
      <w:r w:rsidRPr="00395A7F">
        <w:rPr>
          <w:sz w:val="16"/>
          <w:szCs w:val="16"/>
        </w:rPr>
        <w:t xml:space="preserve"> nedisponovalo údajmi na výpčet limitov na rok 2025 , Rada pre rozpočtovú zodpovednosť zatiaľ </w:t>
      </w:r>
      <w:r>
        <w:rPr>
          <w:sz w:val="16"/>
          <w:szCs w:val="16"/>
        </w:rPr>
        <w:t>v</w:t>
      </w:r>
      <w:r w:rsidRPr="00395A7F">
        <w:rPr>
          <w:sz w:val="16"/>
          <w:szCs w:val="16"/>
        </w:rPr>
        <w:t>ypočítala výdavkový limit len na roky 2023 a 2024 a</w:t>
      </w:r>
      <w:r>
        <w:rPr>
          <w:sz w:val="16"/>
          <w:szCs w:val="16"/>
        </w:rPr>
        <w:t xml:space="preserve">nominálny  cieľ na </w:t>
      </w:r>
      <w:r w:rsidRPr="00395A7F">
        <w:rPr>
          <w:sz w:val="16"/>
          <w:szCs w:val="16"/>
        </w:rPr>
        <w:t>rok 2025 je dopočí</w:t>
      </w:r>
      <w:r>
        <w:rPr>
          <w:sz w:val="16"/>
          <w:szCs w:val="16"/>
        </w:rPr>
        <w:t xml:space="preserve">taný zjendodušeným predpokladom, </w:t>
      </w:r>
      <w:r w:rsidRPr="00395A7F">
        <w:rPr>
          <w:sz w:val="16"/>
          <w:szCs w:val="16"/>
        </w:rPr>
        <w:t>znížením štrukturálneho deficitu o 0,5  % HDP</w:t>
      </w:r>
    </w:p>
  </w:footnote>
  <w:footnote w:id="36">
    <w:p w14:paraId="1AF7E854"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Strednodobý cieľ na úrovni štrukturálneho prebytku 0,5 % HDP platí za predpokladu, že nedôjde k zmene udržateľnosti verejných financií spôsobenou reformou dôchodkového systému, prípadne inej reformy, ktorá ovplyvní dlhodobý rast slovenskej ekonomiky.</w:t>
      </w:r>
    </w:p>
  </w:footnote>
  <w:footnote w:id="37">
    <w:p w14:paraId="3FD904D0" w14:textId="2FF33058" w:rsidR="00CF774B" w:rsidRPr="00403613" w:rsidRDefault="00CF774B" w:rsidP="00403613">
      <w:pPr>
        <w:pStyle w:val="Textpoznmkypodiarou"/>
        <w:jc w:val="both"/>
        <w:rPr>
          <w:sz w:val="16"/>
          <w:szCs w:val="16"/>
        </w:rPr>
      </w:pPr>
      <w:r w:rsidRPr="00403613">
        <w:rPr>
          <w:rStyle w:val="Odkaznapoznmkupodiarou"/>
          <w:sz w:val="16"/>
          <w:szCs w:val="16"/>
        </w:rPr>
        <w:footnoteRef/>
      </w:r>
      <w:r>
        <w:rPr>
          <w:sz w:val="16"/>
          <w:szCs w:val="16"/>
        </w:rPr>
        <w:t xml:space="preserve"> Technicky vzaté ide o s</w:t>
      </w:r>
      <w:r w:rsidRPr="00403613">
        <w:rPr>
          <w:sz w:val="16"/>
          <w:szCs w:val="16"/>
        </w:rPr>
        <w:t xml:space="preserve">trednodobé tempo rastu nominálneho potenciálneho produktu, ktoré zodpovedá 10-ročnému priemernému tempu rastu reálneho potenciálneho produktu plus deflátoru za daný rok. Strednodobý horizont reálneho rastu potenciálu v čase </w:t>
      </w:r>
      <w:r w:rsidRPr="00403613">
        <w:rPr>
          <w:i/>
          <w:sz w:val="16"/>
          <w:szCs w:val="16"/>
        </w:rPr>
        <w:t xml:space="preserve">t </w:t>
      </w:r>
      <w:r w:rsidRPr="00403613">
        <w:rPr>
          <w:sz w:val="16"/>
          <w:szCs w:val="16"/>
        </w:rPr>
        <w:t xml:space="preserve">je kvantifikovaný ako priemer v období </w:t>
      </w:r>
      <w:r w:rsidRPr="00403613">
        <w:rPr>
          <w:i/>
          <w:sz w:val="16"/>
          <w:szCs w:val="16"/>
        </w:rPr>
        <w:t>t</w:t>
      </w:r>
      <w:r w:rsidRPr="00403613">
        <w:rPr>
          <w:sz w:val="16"/>
          <w:szCs w:val="16"/>
        </w:rPr>
        <w:t xml:space="preserve">-5, </w:t>
      </w:r>
      <w:r w:rsidRPr="00403613">
        <w:rPr>
          <w:i/>
          <w:sz w:val="16"/>
          <w:szCs w:val="16"/>
        </w:rPr>
        <w:t xml:space="preserve">t </w:t>
      </w:r>
      <w:r w:rsidRPr="00403613">
        <w:rPr>
          <w:sz w:val="16"/>
          <w:szCs w:val="16"/>
        </w:rPr>
        <w:t xml:space="preserve">a projekcia </w:t>
      </w:r>
      <w:r w:rsidRPr="00403613">
        <w:rPr>
          <w:i/>
          <w:sz w:val="16"/>
          <w:szCs w:val="16"/>
        </w:rPr>
        <w:t>t</w:t>
      </w:r>
      <w:r w:rsidRPr="00403613">
        <w:rPr>
          <w:sz w:val="16"/>
          <w:szCs w:val="16"/>
        </w:rPr>
        <w:t>+4. Európska komisia v odporúčaní dokonca povoľuje rýchlejší rast národných investícií, ale prioritne smerovaných na tzv. dvojitú transformáciu – do zelenej a digitálnej ekonomiky.</w:t>
      </w:r>
    </w:p>
  </w:footnote>
  <w:footnote w:id="38">
    <w:p w14:paraId="4C06BA1A"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Odporúčania Európskej komisie členským štátom pre prípravu rozpočtových rámcov pre rok 2023 sú súčasťou </w:t>
      </w:r>
      <w:hyperlink r:id="rId2" w:history="1">
        <w:r w:rsidRPr="00403613">
          <w:rPr>
            <w:rStyle w:val="Hypertextovprepojenie"/>
            <w:sz w:val="16"/>
            <w:szCs w:val="16"/>
          </w:rPr>
          <w:t>Fiscal policy guidance for 2023</w:t>
        </w:r>
      </w:hyperlink>
      <w:r w:rsidRPr="00403613">
        <w:rPr>
          <w:sz w:val="16"/>
          <w:szCs w:val="16"/>
        </w:rPr>
        <w:t>.</w:t>
      </w:r>
    </w:p>
  </w:footnote>
  <w:footnote w:id="39">
    <w:p w14:paraId="30439F26" w14:textId="1568119D" w:rsidR="00CF774B" w:rsidRPr="00636109" w:rsidRDefault="00CF774B">
      <w:pPr>
        <w:pStyle w:val="Textpoznmkypodiarou"/>
        <w:rPr>
          <w:sz w:val="16"/>
          <w:szCs w:val="16"/>
        </w:rPr>
      </w:pPr>
      <w:r w:rsidRPr="00636109">
        <w:rPr>
          <w:rStyle w:val="Odkaznapoznmkupodiarou"/>
          <w:sz w:val="16"/>
          <w:szCs w:val="16"/>
        </w:rPr>
        <w:footnoteRef/>
      </w:r>
      <w:r w:rsidRPr="00636109">
        <w:rPr>
          <w:sz w:val="16"/>
          <w:szCs w:val="16"/>
        </w:rPr>
        <w:t xml:space="preserve"> Táto rezerva je z 2/3 alokovaná na kompenzáciách a z 1/3 na ostatných bežných transferoch.</w:t>
      </w:r>
    </w:p>
  </w:footnote>
  <w:footnote w:id="40">
    <w:p w14:paraId="696F626C" w14:textId="5684620B" w:rsidR="00CF774B" w:rsidRPr="00E84056" w:rsidRDefault="00CF774B">
      <w:pPr>
        <w:pStyle w:val="Textpoznmkypodiarou"/>
        <w:rPr>
          <w:sz w:val="16"/>
          <w:szCs w:val="16"/>
        </w:rPr>
      </w:pPr>
      <w:r w:rsidRPr="00E84056">
        <w:rPr>
          <w:rStyle w:val="Odkaznapoznmkupodiarou"/>
          <w:sz w:val="16"/>
          <w:szCs w:val="16"/>
        </w:rPr>
        <w:footnoteRef/>
      </w:r>
      <w:r w:rsidRPr="00E84056">
        <w:rPr>
          <w:sz w:val="16"/>
          <w:szCs w:val="16"/>
        </w:rPr>
        <w:t xml:space="preserve"> Strany OĽANO, Sme Rodina a Za ľudí, </w:t>
      </w:r>
    </w:p>
  </w:footnote>
  <w:footnote w:id="41">
    <w:p w14:paraId="5A6C1756" w14:textId="77777777" w:rsidR="00CF774B" w:rsidRPr="00403613" w:rsidRDefault="00CF774B" w:rsidP="000C6444">
      <w:pPr>
        <w:pStyle w:val="Textpoznmkypodiarou"/>
        <w:jc w:val="both"/>
        <w:rPr>
          <w:sz w:val="16"/>
          <w:szCs w:val="16"/>
        </w:rPr>
      </w:pPr>
      <w:r w:rsidRPr="00403613">
        <w:rPr>
          <w:rStyle w:val="Odkaznapoznmkupodiarou"/>
          <w:sz w:val="16"/>
          <w:szCs w:val="16"/>
        </w:rPr>
        <w:footnoteRef/>
      </w:r>
      <w:r w:rsidRPr="00403613">
        <w:rPr>
          <w:sz w:val="16"/>
          <w:szCs w:val="16"/>
        </w:rPr>
        <w:t xml:space="preserve"> Zároveň sa navrhuje zrušenie podmienky dosiahnutia minimálneho príjmu vo výške polovice minimálnej mzdy, ktorá je určujúca pre vznik nároku na daňový bonus. Tá sa navrhuje nahradiť stropom na výšku daňového bonusu, ktorý bude predstavovať percento (29 %) základu dane zamestnanca a SZČO (základ dane podľa § 5 a § 6 ods. 1 a 2 Zákona 595/2003 Z.z. o dani z príjmov).</w:t>
      </w:r>
    </w:p>
  </w:footnote>
  <w:footnote w:id="42">
    <w:p w14:paraId="09DAFD15" w14:textId="24CE3C69" w:rsidR="00CF774B" w:rsidRPr="00636109" w:rsidRDefault="00CF774B">
      <w:pPr>
        <w:pStyle w:val="Textpoznmkypodiarou"/>
        <w:rPr>
          <w:sz w:val="16"/>
          <w:szCs w:val="16"/>
        </w:rPr>
      </w:pPr>
      <w:r w:rsidRPr="00636109">
        <w:rPr>
          <w:rStyle w:val="Odkaznapoznmkupodiarou"/>
          <w:sz w:val="16"/>
          <w:szCs w:val="16"/>
        </w:rPr>
        <w:footnoteRef/>
      </w:r>
      <w:r w:rsidRPr="00636109">
        <w:rPr>
          <w:sz w:val="16"/>
          <w:szCs w:val="16"/>
        </w:rPr>
        <w:t xml:space="preserve"> Podľa údajov EUROSTAT-u a EU SILC.</w:t>
      </w:r>
    </w:p>
  </w:footnote>
  <w:footnote w:id="43">
    <w:p w14:paraId="0E2FC11B" w14:textId="54460D9D" w:rsidR="00CF774B" w:rsidRPr="0048684E" w:rsidRDefault="00CF774B" w:rsidP="00403613">
      <w:pPr>
        <w:pStyle w:val="Textpoznmkypodiarou"/>
        <w:jc w:val="both"/>
        <w:rPr>
          <w:sz w:val="16"/>
          <w:szCs w:val="16"/>
        </w:rPr>
      </w:pPr>
      <w:r w:rsidRPr="0048684E">
        <w:rPr>
          <w:rStyle w:val="Odkaznapoznmkupodiarou"/>
          <w:sz w:val="16"/>
          <w:szCs w:val="16"/>
        </w:rPr>
        <w:footnoteRef/>
      </w:r>
      <w:r w:rsidRPr="0048684E">
        <w:rPr>
          <w:sz w:val="16"/>
          <w:szCs w:val="16"/>
        </w:rPr>
        <w:t xml:space="preserve"> Notifikovaný hrubý dlh VS v roku 2020 na úrovni 60,6 % HDP bol po jesennej notifikácii </w:t>
      </w:r>
      <w:r>
        <w:rPr>
          <w:sz w:val="16"/>
          <w:szCs w:val="16"/>
        </w:rPr>
        <w:t xml:space="preserve">Eurostatu </w:t>
      </w:r>
      <w:r w:rsidRPr="0048684E">
        <w:rPr>
          <w:sz w:val="16"/>
          <w:szCs w:val="16"/>
        </w:rPr>
        <w:t>revidovaný nadol pod 60 %-nú hranicu na 59,7 % HDP.</w:t>
      </w:r>
    </w:p>
  </w:footnote>
  <w:footnote w:id="44">
    <w:p w14:paraId="1967B35E" w14:textId="3673F4CA" w:rsidR="00CF774B" w:rsidRPr="00FC5F31" w:rsidRDefault="00CF774B" w:rsidP="00FC5F31">
      <w:pPr>
        <w:pStyle w:val="Textpoznmkypodiarou"/>
        <w:jc w:val="both"/>
        <w:rPr>
          <w:sz w:val="16"/>
          <w:szCs w:val="16"/>
        </w:rPr>
      </w:pPr>
      <w:r w:rsidRPr="00FC5F31">
        <w:rPr>
          <w:rStyle w:val="Odkaznapoznmkupodiarou"/>
          <w:sz w:val="16"/>
          <w:szCs w:val="16"/>
        </w:rPr>
        <w:footnoteRef/>
      </w:r>
      <w:r w:rsidRPr="00FC5F31">
        <w:rPr>
          <w:sz w:val="16"/>
          <w:szCs w:val="16"/>
        </w:rPr>
        <w:t xml:space="preserve"> Najvyššie sankčné pásmo </w:t>
      </w:r>
      <w:r>
        <w:rPr>
          <w:sz w:val="16"/>
          <w:szCs w:val="16"/>
        </w:rPr>
        <w:t xml:space="preserve">na rok 2021 </w:t>
      </w:r>
      <w:r w:rsidRPr="00FC5F31">
        <w:rPr>
          <w:sz w:val="16"/>
          <w:szCs w:val="16"/>
        </w:rPr>
        <w:t xml:space="preserve">aktuálne platnej dlhovej brzdy </w:t>
      </w:r>
      <w:r>
        <w:rPr>
          <w:sz w:val="16"/>
          <w:szCs w:val="16"/>
        </w:rPr>
        <w:t>predstavovalo hranicu</w:t>
      </w:r>
      <w:r w:rsidRPr="00FC5F31">
        <w:rPr>
          <w:sz w:val="16"/>
          <w:szCs w:val="16"/>
        </w:rPr>
        <w:t xml:space="preserve"> 56 % HDP.</w:t>
      </w:r>
    </w:p>
  </w:footnote>
  <w:footnote w:id="45">
    <w:p w14:paraId="590FEC8B" w14:textId="77777777" w:rsidR="00CF774B" w:rsidRDefault="00CF774B" w:rsidP="00403613">
      <w:pPr>
        <w:pStyle w:val="Textpoznmkypodiarou"/>
        <w:jc w:val="both"/>
      </w:pPr>
      <w:r w:rsidRPr="0048684E">
        <w:rPr>
          <w:rStyle w:val="Odkaznapoznmkupodiarou"/>
          <w:sz w:val="16"/>
          <w:szCs w:val="16"/>
        </w:rPr>
        <w:footnoteRef/>
      </w:r>
      <w:r w:rsidRPr="0048684E">
        <w:rPr>
          <w:sz w:val="16"/>
          <w:szCs w:val="16"/>
        </w:rPr>
        <w:t xml:space="preserve"> Celkový objem výdavkov alokovaných na opatrenia súvisiace s pandémiou dosiahol v 2021 </w:t>
      </w:r>
      <w:r w:rsidRPr="00F26701">
        <w:rPr>
          <w:sz w:val="16"/>
          <w:szCs w:val="16"/>
        </w:rPr>
        <w:t xml:space="preserve">až </w:t>
      </w:r>
      <w:r w:rsidRPr="00636109">
        <w:rPr>
          <w:sz w:val="16"/>
          <w:szCs w:val="16"/>
        </w:rPr>
        <w:t>3,1 % HDP</w:t>
      </w:r>
      <w:r w:rsidRPr="00F26701">
        <w:rPr>
          <w:sz w:val="16"/>
          <w:szCs w:val="16"/>
        </w:rPr>
        <w:t>.</w:t>
      </w:r>
    </w:p>
  </w:footnote>
  <w:footnote w:id="46">
    <w:p w14:paraId="52F27220" w14:textId="77777777" w:rsidR="00CF774B" w:rsidRPr="00427BD7" w:rsidRDefault="00CF774B" w:rsidP="00403613">
      <w:pPr>
        <w:pStyle w:val="Textpoznmkypodiarou"/>
        <w:jc w:val="both"/>
        <w:rPr>
          <w:sz w:val="16"/>
          <w:szCs w:val="16"/>
        </w:rPr>
      </w:pPr>
      <w:r w:rsidRPr="00C74AE2">
        <w:rPr>
          <w:rStyle w:val="Odkaznapoznmkupodiarou"/>
          <w:sz w:val="16"/>
          <w:szCs w:val="16"/>
        </w:rPr>
        <w:footnoteRef/>
      </w:r>
      <w:r w:rsidRPr="00C74AE2">
        <w:rPr>
          <w:sz w:val="16"/>
          <w:szCs w:val="16"/>
        </w:rPr>
        <w:t xml:space="preserve"> Vzhľadom na povahu vkladov </w:t>
      </w:r>
      <w:r>
        <w:rPr>
          <w:sz w:val="16"/>
          <w:szCs w:val="16"/>
        </w:rPr>
        <w:t xml:space="preserve">vo forme </w:t>
      </w:r>
      <w:r w:rsidRPr="00C74AE2">
        <w:rPr>
          <w:sz w:val="16"/>
          <w:szCs w:val="16"/>
        </w:rPr>
        <w:t xml:space="preserve">pasív ide o záväzok Štátnej pokladnice ako subjektu verejnej správy voči subjektom mimo sektora, ktorý je súčasťou </w:t>
      </w:r>
      <w:r w:rsidRPr="00427BD7">
        <w:rPr>
          <w:sz w:val="16"/>
          <w:szCs w:val="16"/>
        </w:rPr>
        <w:t>hrubého dlhu.</w:t>
      </w:r>
    </w:p>
  </w:footnote>
  <w:footnote w:id="47">
    <w:p w14:paraId="3A112977" w14:textId="421FCF88" w:rsidR="00CF774B" w:rsidRPr="00427BD7" w:rsidRDefault="00CF774B" w:rsidP="00403613">
      <w:pPr>
        <w:pStyle w:val="Textpoznmkypodiarou"/>
        <w:jc w:val="both"/>
        <w:rPr>
          <w:sz w:val="16"/>
          <w:szCs w:val="16"/>
        </w:rPr>
      </w:pPr>
      <w:r w:rsidRPr="00427BD7">
        <w:rPr>
          <w:rStyle w:val="Odkaznapoznmkupodiarou"/>
          <w:sz w:val="16"/>
          <w:szCs w:val="16"/>
        </w:rPr>
        <w:footnoteRef/>
      </w:r>
      <w:r w:rsidRPr="00427BD7">
        <w:rPr>
          <w:sz w:val="16"/>
          <w:szCs w:val="16"/>
        </w:rPr>
        <w:t xml:space="preserve"> Dôvodom rastu vkladov v Štátnej pokladnici bol</w:t>
      </w:r>
      <w:r>
        <w:rPr>
          <w:sz w:val="16"/>
          <w:szCs w:val="16"/>
        </w:rPr>
        <w:t>a</w:t>
      </w:r>
      <w:r w:rsidRPr="00427BD7">
        <w:rPr>
          <w:sz w:val="16"/>
          <w:szCs w:val="16"/>
        </w:rPr>
        <w:t xml:space="preserve"> menej </w:t>
      </w:r>
      <w:r>
        <w:rPr>
          <w:sz w:val="16"/>
          <w:szCs w:val="16"/>
        </w:rPr>
        <w:t>nepriaznivá poplatková politika pre bežné vklady v porovnaní so súkromnými finančnými inštitúciami, kde podľa NBS priemerné ročné úrokové miery ku koncu roka 2021 dosahovali záporné úrovne.</w:t>
      </w:r>
    </w:p>
  </w:footnote>
  <w:footnote w:id="48">
    <w:p w14:paraId="181D3749" w14:textId="448BF775" w:rsidR="00CF774B" w:rsidRPr="00EA02B9" w:rsidRDefault="00CF774B" w:rsidP="003B2A65">
      <w:pPr>
        <w:pStyle w:val="Textpoznmkypodiarou"/>
        <w:jc w:val="both"/>
        <w:rPr>
          <w:sz w:val="16"/>
          <w:szCs w:val="16"/>
        </w:rPr>
      </w:pPr>
      <w:r w:rsidRPr="00EA02B9">
        <w:rPr>
          <w:rStyle w:val="Odkaznapoznmkupodiarou"/>
          <w:sz w:val="16"/>
          <w:szCs w:val="16"/>
        </w:rPr>
        <w:footnoteRef/>
      </w:r>
      <w:r w:rsidRPr="00EA02B9">
        <w:rPr>
          <w:sz w:val="16"/>
          <w:szCs w:val="16"/>
        </w:rPr>
        <w:t xml:space="preserve"> S1 (strednodobý horizont 15 rokov) - prezentuje hodnotu, o ktorú sa musí trvalo zmeniť aktuálne primárne štrukturálne saldo, aby hrubý dlh verejnej správy </w:t>
      </w:r>
      <w:r>
        <w:rPr>
          <w:sz w:val="16"/>
          <w:szCs w:val="16"/>
        </w:rPr>
        <w:t>na horizonte 15 rokov</w:t>
      </w:r>
      <w:r w:rsidRPr="00EA02B9">
        <w:rPr>
          <w:sz w:val="16"/>
          <w:szCs w:val="16"/>
        </w:rPr>
        <w:t xml:space="preserve"> nepresiahol úroveň 60 % HDP (po zohľadnení očakávaných budúcich výdavkov súvisiacich so starnutím obyvateľstva). Kalkulácia súčasne predpokladá aj vplyv druhého piliera na </w:t>
      </w:r>
      <w:r>
        <w:rPr>
          <w:sz w:val="16"/>
          <w:szCs w:val="16"/>
        </w:rPr>
        <w:t xml:space="preserve">príjmovej aj výdavkovej strane. </w:t>
      </w:r>
      <w:r w:rsidRPr="00EA02B9">
        <w:rPr>
          <w:sz w:val="16"/>
          <w:szCs w:val="16"/>
        </w:rPr>
        <w:t>S2 (dlhodobý horizont) - prezentuje hodnotu, o ktorú sa musí trvalo zmeniť primárne štrukturálne saldo, aby sa súčasná hodnota budúcich primárnych sáld (po zohľadnení očakávaných budúcich výdavkov súvisiacich so starnutím obyvateľstva) rovnala súčasnej úrovni hrubého dlhu. Na rozdiel od S1, indikátor S2 berie do úvahy projekcie súvisiace so starnutím populácie v nekonečnom horizonte, pričom požadovaná zmena salda má zabezpečiť stabilizáciu aktuálnej úrovne dlhu. MF SR pri svojich kvantifikáciách aj pri tomto indikátore uvažuje s vplyvom druhého piliera na príjmovej aj výdavkovej strane.</w:t>
      </w:r>
    </w:p>
  </w:footnote>
  <w:footnote w:id="49">
    <w:p w14:paraId="33DEBCE5" w14:textId="77777777" w:rsidR="00CF774B" w:rsidRPr="00EA02B9" w:rsidRDefault="00CF774B" w:rsidP="003B2A65">
      <w:pPr>
        <w:pStyle w:val="Textpoznmkypodiarou"/>
        <w:jc w:val="both"/>
        <w:rPr>
          <w:sz w:val="16"/>
          <w:szCs w:val="16"/>
        </w:rPr>
      </w:pPr>
      <w:r w:rsidRPr="00EA02B9">
        <w:rPr>
          <w:rStyle w:val="Odkaznapoznmkupodiarou"/>
          <w:sz w:val="16"/>
          <w:szCs w:val="16"/>
        </w:rPr>
        <w:footnoteRef/>
      </w:r>
      <w:r w:rsidRPr="00EA02B9">
        <w:rPr>
          <w:sz w:val="16"/>
          <w:szCs w:val="16"/>
        </w:rPr>
        <w:t xml:space="preserve"> Ide o aktuálnu rozpočtovú pozíciu resp. jej krátkodobý cieľ, a dlhodobé prognózy dôchodkovému systému, zdravotnej a dlhodobej starostlivosti a systému vzdelávania.</w:t>
      </w:r>
    </w:p>
  </w:footnote>
  <w:footnote w:id="50">
    <w:p w14:paraId="6601B076"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Zákon č. 422/2020 Z. z., </w:t>
      </w:r>
      <w:hyperlink r:id="rId3" w:history="1">
        <w:r w:rsidRPr="00403613">
          <w:rPr>
            <w:rStyle w:val="Hypertextovprepojenie"/>
            <w:sz w:val="16"/>
            <w:szCs w:val="16"/>
          </w:rPr>
          <w:t>https://www.slov-lex.sk/pravne-predpisy/SK/ZZ/2020/422/20250101.html</w:t>
        </w:r>
      </w:hyperlink>
    </w:p>
  </w:footnote>
  <w:footnote w:id="51">
    <w:p w14:paraId="69DB8F7C"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Upravené v článku 55a.</w:t>
      </w:r>
    </w:p>
  </w:footnote>
  <w:footnote w:id="52">
    <w:p w14:paraId="271C791E"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Dávka bude krátená tak, aby bola dôchodcovi vyplatená v úhrne rovnaká suma bez ohľadu na to, kedy sa rozhodne začať dôchodok čerpať.</w:t>
      </w:r>
    </w:p>
  </w:footnote>
  <w:footnote w:id="53">
    <w:p w14:paraId="0A5F2B0D"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Zákon č. 460/1992 Z. z., čl. 39, ods. 3 v znení účinnom od 1. 1. 2023, </w:t>
      </w:r>
      <w:hyperlink r:id="rId4" w:history="1">
        <w:r w:rsidRPr="00403613">
          <w:rPr>
            <w:rStyle w:val="Hypertextovprepojenie"/>
            <w:sz w:val="16"/>
            <w:szCs w:val="16"/>
          </w:rPr>
          <w:t>https://www.slov-lex.sk/pravne-predpisy/SK/ZZ/1992/460/20230101.html</w:t>
        </w:r>
      </w:hyperlink>
    </w:p>
  </w:footnote>
  <w:footnote w:id="54">
    <w:p w14:paraId="00033937"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Ústavný princíp, podľa ktorého starostlivosť o dieťa nemôže mať negatívny vplyv na výšku priznaného dôchodku nie je v danej reforme riešený. Jeho zavedenie bude rovnako potrebné v tomto kalendárnom roku.</w:t>
      </w:r>
    </w:p>
  </w:footnote>
  <w:footnote w:id="55">
    <w:p w14:paraId="16B69BE5"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w:t>
      </w:r>
      <w:hyperlink r:id="rId5" w:history="1">
        <w:r w:rsidRPr="00403613">
          <w:rPr>
            <w:rStyle w:val="Hypertextovprepojenie"/>
            <w:sz w:val="16"/>
            <w:szCs w:val="16"/>
          </w:rPr>
          <w:t>https://rokovania.gov.sk/RVL/Material/27091/1</w:t>
        </w:r>
      </w:hyperlink>
    </w:p>
  </w:footnote>
  <w:footnote w:id="56">
    <w:p w14:paraId="76875A69"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V závislosti od počtu vychovaných detí o 6/12/18 mesiacov v prípade výchovy 1/2/3+ detí.</w:t>
      </w:r>
    </w:p>
  </w:footnote>
  <w:footnote w:id="57">
    <w:p w14:paraId="41A45AFA"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Pôvodné znenie návrhu hovorilo o rodičovskom bonuse vo výške 2,5 % z vymeriavacieho základu dieťaťa pre každého rodiča. Výdavky by v takom prípade dosiahli 0,5 % HDP. Nové znenie znížilo sumu dávky na 1,5 % vymeriavacieho základu, pričom sa berie do úvahy maximálny vymeriavací základ vo výške 1,2-násobku priemernej mzdy v hospodárstve.</w:t>
      </w:r>
    </w:p>
  </w:footnote>
  <w:footnote w:id="58">
    <w:p w14:paraId="59430F8C" w14:textId="77777777" w:rsidR="00CF774B" w:rsidRPr="001315E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Novela zároveň ponecháva aktuálne platné krátenie sumy predčasného dôchodku o 0,5 % za každých 30 začatých dní v prípade, ak osoba nezíska 40 odpracovaných rokov. Podľa </w:t>
      </w:r>
      <w:hyperlink r:id="rId6" w:history="1">
        <w:r w:rsidRPr="00403613">
          <w:rPr>
            <w:rStyle w:val="Hypertextovprepojenie"/>
            <w:sz w:val="16"/>
            <w:szCs w:val="16"/>
          </w:rPr>
          <w:t>OECD Ekonomického prehľadu pre Slovenskú republiku 2022</w:t>
        </w:r>
      </w:hyperlink>
      <w:r w:rsidRPr="00403613">
        <w:rPr>
          <w:sz w:val="16"/>
          <w:szCs w:val="16"/>
        </w:rPr>
        <w:t xml:space="preserve"> by mal byť aktuárne neutrálny malus za predčasný odchod do dôchodku na úrovni približne 5,5 % za rok (resp. cca 0,46 % za mesiac) v prípade dôchodkového veku na úrovni 64 rokov, pričom s rastom dôchodkového veku by mala rásť aj výška malusu.</w:t>
      </w:r>
      <w:r w:rsidRPr="001315E3">
        <w:rPr>
          <w:sz w:val="16"/>
          <w:szCs w:val="16"/>
        </w:rPr>
        <w:t xml:space="preserve"> </w:t>
      </w:r>
    </w:p>
  </w:footnote>
  <w:footnote w:id="59">
    <w:p w14:paraId="7CB848D2" w14:textId="77777777" w:rsidR="00CF774B" w:rsidRPr="00403613" w:rsidRDefault="00CF774B" w:rsidP="003B2A65">
      <w:pPr>
        <w:pStyle w:val="Textpoznmkypodiarou"/>
        <w:rPr>
          <w:sz w:val="16"/>
          <w:szCs w:val="16"/>
        </w:rPr>
      </w:pPr>
      <w:r w:rsidRPr="00403613">
        <w:rPr>
          <w:rStyle w:val="Odkaznapoznmkupodiarou"/>
          <w:sz w:val="16"/>
          <w:szCs w:val="16"/>
        </w:rPr>
        <w:footnoteRef/>
      </w:r>
      <w:r w:rsidRPr="00403613">
        <w:rPr>
          <w:sz w:val="16"/>
          <w:szCs w:val="16"/>
        </w:rPr>
        <w:t xml:space="preserve"> Zákon č. 43/2004 Z. z., </w:t>
      </w:r>
      <w:hyperlink r:id="rId7" w:history="1">
        <w:r w:rsidRPr="00403613">
          <w:rPr>
            <w:rStyle w:val="Hypertextovprepojenie"/>
            <w:sz w:val="16"/>
            <w:szCs w:val="16"/>
          </w:rPr>
          <w:t>https://www.slov-lex.sk/legislativne-procesy/SK/PI/2021/122</w:t>
        </w:r>
      </w:hyperlink>
    </w:p>
  </w:footnote>
  <w:footnote w:id="60">
    <w:p w14:paraId="44CE8DC2" w14:textId="77777777" w:rsidR="00CF774B" w:rsidRPr="00737278" w:rsidRDefault="00CF774B" w:rsidP="003B2A65">
      <w:pPr>
        <w:pStyle w:val="Textpoznmkypodiarou"/>
        <w:rPr>
          <w:sz w:val="16"/>
          <w:szCs w:val="16"/>
        </w:rPr>
      </w:pPr>
      <w:r w:rsidRPr="00403613">
        <w:rPr>
          <w:rStyle w:val="Odkaznapoznmkupodiarou"/>
          <w:sz w:val="16"/>
          <w:szCs w:val="16"/>
        </w:rPr>
        <w:footnoteRef/>
      </w:r>
      <w:r w:rsidRPr="00403613">
        <w:rPr>
          <w:sz w:val="16"/>
          <w:szCs w:val="16"/>
        </w:rPr>
        <w:t xml:space="preserve"> </w:t>
      </w:r>
      <w:hyperlink r:id="rId8" w:history="1">
        <w:r w:rsidRPr="00403613">
          <w:rPr>
            <w:rStyle w:val="Hypertextovprepojenie"/>
            <w:sz w:val="16"/>
            <w:szCs w:val="16"/>
          </w:rPr>
          <w:t>https://www.nrsr.sk/web/Default.aspx?sid=zakony/zakon&amp;ZakZborID=13&amp;CisObdobia=8&amp;CPT=486</w:t>
        </w:r>
      </w:hyperlink>
      <w:r w:rsidRPr="00737278">
        <w:rPr>
          <w:sz w:val="16"/>
          <w:szCs w:val="16"/>
        </w:rPr>
        <w:t xml:space="preserve"> </w:t>
      </w:r>
    </w:p>
  </w:footnote>
  <w:footnote w:id="61">
    <w:p w14:paraId="14DE91E3" w14:textId="77777777" w:rsidR="00CF774B" w:rsidRPr="00403613" w:rsidRDefault="00CF774B" w:rsidP="006D0D3B">
      <w:pPr>
        <w:pStyle w:val="Textpoznmkypodiarou"/>
        <w:rPr>
          <w:sz w:val="16"/>
          <w:szCs w:val="16"/>
        </w:rPr>
      </w:pPr>
      <w:r w:rsidRPr="00403613">
        <w:rPr>
          <w:rStyle w:val="Odkaznapoznmkupodiarou"/>
          <w:sz w:val="16"/>
          <w:szCs w:val="16"/>
        </w:rPr>
        <w:footnoteRef/>
      </w:r>
      <w:r w:rsidRPr="00403613">
        <w:rPr>
          <w:sz w:val="16"/>
          <w:szCs w:val="16"/>
        </w:rPr>
        <w:t xml:space="preserve"> Hodnotenie finančnej správy cez projekt Medzinárodného menového fondu. Dostupné z </w:t>
      </w:r>
      <w:hyperlink r:id="rId9" w:history="1">
        <w:r w:rsidRPr="00403613">
          <w:rPr>
            <w:rStyle w:val="Hypertextovprepojenie"/>
            <w:sz w:val="16"/>
            <w:szCs w:val="16"/>
          </w:rPr>
          <w:t>https://www.tadat.org/assets/files/Slovak_Republic_FINAL_PAR.pdf</w:t>
        </w:r>
      </w:hyperlink>
    </w:p>
  </w:footnote>
  <w:footnote w:id="62">
    <w:p w14:paraId="398F6E89" w14:textId="77777777" w:rsidR="00CF774B" w:rsidRPr="00403613" w:rsidRDefault="00CF774B" w:rsidP="006D0D3B">
      <w:pPr>
        <w:pStyle w:val="Textpoznmkypodiarou"/>
        <w:rPr>
          <w:sz w:val="16"/>
          <w:szCs w:val="16"/>
        </w:rPr>
      </w:pPr>
      <w:r w:rsidRPr="00403613">
        <w:rPr>
          <w:rStyle w:val="Odkaznapoznmkupodiarou"/>
          <w:sz w:val="16"/>
          <w:szCs w:val="16"/>
        </w:rPr>
        <w:footnoteRef/>
      </w:r>
      <w:r w:rsidRPr="00403613">
        <w:rPr>
          <w:sz w:val="16"/>
          <w:szCs w:val="16"/>
        </w:rPr>
        <w:t xml:space="preserve"> Medziročný rast DPH v e-shopoch dosiahol 13 %.</w:t>
      </w:r>
    </w:p>
  </w:footnote>
  <w:footnote w:id="63">
    <w:p w14:paraId="4E9049AC" w14:textId="77777777" w:rsidR="00CF774B" w:rsidRDefault="00CF774B" w:rsidP="006D0D3B">
      <w:pPr>
        <w:pStyle w:val="Textpoznmkypodiarou"/>
      </w:pPr>
      <w:r w:rsidRPr="00403613">
        <w:rPr>
          <w:rStyle w:val="Odkaznapoznmkupodiarou"/>
          <w:sz w:val="16"/>
          <w:szCs w:val="16"/>
        </w:rPr>
        <w:footnoteRef/>
      </w:r>
      <w:r w:rsidRPr="00403613">
        <w:rPr>
          <w:sz w:val="16"/>
          <w:szCs w:val="16"/>
        </w:rPr>
        <w:t xml:space="preserve"> Ide o rozdielnu metodiku, ktorá je ale jednotná pre všetky krajiny EÚ. </w:t>
      </w:r>
      <w:hyperlink r:id="rId10" w:history="1">
        <w:r w:rsidRPr="00403613">
          <w:rPr>
            <w:rStyle w:val="Hypertextovprepojenie"/>
            <w:sz w:val="16"/>
            <w:szCs w:val="16"/>
          </w:rPr>
          <w:t>Publikuje</w:t>
        </w:r>
      </w:hyperlink>
      <w:r w:rsidRPr="00403613">
        <w:rPr>
          <w:sz w:val="16"/>
          <w:szCs w:val="16"/>
        </w:rPr>
        <w:t xml:space="preserve"> sa s dvojročným oneskorením.</w:t>
      </w:r>
      <w:r w:rsidRPr="0006133B">
        <w:rPr>
          <w:sz w:val="16"/>
        </w:rPr>
        <w:t xml:space="preserve"> </w:t>
      </w:r>
    </w:p>
  </w:footnote>
  <w:footnote w:id="64">
    <w:p w14:paraId="601292B1" w14:textId="77777777" w:rsidR="00CF774B" w:rsidRPr="00403613" w:rsidRDefault="00CF774B" w:rsidP="006D0D3B">
      <w:pPr>
        <w:pStyle w:val="Textpoznmkypodiarou"/>
        <w:jc w:val="both"/>
        <w:rPr>
          <w:sz w:val="16"/>
          <w:szCs w:val="16"/>
        </w:rPr>
      </w:pPr>
      <w:r w:rsidRPr="00403613">
        <w:rPr>
          <w:rStyle w:val="Odkaznapoznmkupodiarou"/>
          <w:sz w:val="16"/>
          <w:szCs w:val="16"/>
        </w:rPr>
        <w:footnoteRef/>
      </w:r>
      <w:r w:rsidRPr="00403613">
        <w:rPr>
          <w:sz w:val="16"/>
          <w:szCs w:val="16"/>
        </w:rPr>
        <w:t xml:space="preserve"> Oblasť 01.1 – výkonné a zákonodárne orgány, finančné a rozpočtové záležitosti, zahraničné vzťahy. Oblasť 01.3 – všeobecné služby.</w:t>
      </w:r>
    </w:p>
  </w:footnote>
  <w:footnote w:id="65">
    <w:p w14:paraId="067EF8D9" w14:textId="5976C9C8" w:rsidR="00CF774B" w:rsidRDefault="00CF774B">
      <w:pPr>
        <w:pStyle w:val="Textpoznmkypodiarou"/>
      </w:pPr>
      <w:r w:rsidRPr="00360EBA">
        <w:rPr>
          <w:rStyle w:val="Odkaznapoznmkupodiarou"/>
          <w:sz w:val="16"/>
        </w:rPr>
        <w:footnoteRef/>
      </w:r>
      <w:r w:rsidRPr="00360EBA">
        <w:rPr>
          <w:sz w:val="16"/>
        </w:rPr>
        <w:t xml:space="preserve"> Podľa revízie výdavkov ÚHP na Vnútro je podiel skutočne vynakladaných zdrojov na políciu mierne vyšší, až na úrovni 1,27 % HDP.</w:t>
      </w:r>
    </w:p>
  </w:footnote>
  <w:footnote w:id="66">
    <w:p w14:paraId="43928BEF" w14:textId="77777777" w:rsidR="00CF774B" w:rsidRDefault="00CF774B" w:rsidP="006D0D3B">
      <w:pPr>
        <w:pStyle w:val="Textpoznmkypodiarou"/>
        <w:jc w:val="both"/>
      </w:pPr>
      <w:r w:rsidRPr="00403613">
        <w:rPr>
          <w:rStyle w:val="Odkaznapoznmkupodiarou"/>
          <w:sz w:val="16"/>
          <w:szCs w:val="16"/>
        </w:rPr>
        <w:footnoteRef/>
      </w:r>
      <w:r w:rsidRPr="00403613">
        <w:rPr>
          <w:sz w:val="16"/>
          <w:szCs w:val="16"/>
        </w:rPr>
        <w:t xml:space="preserve"> Oblasť 04.5 – doprava. Oblasť 04.3. – palivá a energia. Oblasť 04.8. – výskum a vývoj v ekonomickej oblasti. Oblasť 04.1 – všeobecná ekonomická, obchodná a pracovná oblasť.</w:t>
      </w:r>
    </w:p>
  </w:footnote>
  <w:footnote w:id="67">
    <w:p w14:paraId="680F1E6C" w14:textId="77777777" w:rsidR="00CF774B" w:rsidRPr="00403613" w:rsidRDefault="00CF774B" w:rsidP="006D0D3B">
      <w:pPr>
        <w:pStyle w:val="Textpoznmkypodiarou"/>
        <w:rPr>
          <w:sz w:val="16"/>
          <w:szCs w:val="16"/>
        </w:rPr>
      </w:pPr>
      <w:r w:rsidRPr="00403613">
        <w:rPr>
          <w:rStyle w:val="Odkaznapoznmkupodiarou"/>
          <w:sz w:val="16"/>
          <w:szCs w:val="16"/>
        </w:rPr>
        <w:footnoteRef/>
      </w:r>
      <w:r w:rsidRPr="00403613">
        <w:rPr>
          <w:sz w:val="16"/>
          <w:szCs w:val="16"/>
        </w:rPr>
        <w:t xml:space="preserve"> </w:t>
      </w:r>
      <w:r w:rsidRPr="00403613">
        <w:rPr>
          <w:rFonts w:cs="Segoe UI"/>
          <w:color w:val="242424"/>
          <w:sz w:val="16"/>
          <w:szCs w:val="16"/>
          <w:shd w:val="clear" w:color="auto" w:fill="FFFFFF"/>
        </w:rPr>
        <w:t>Povinnosť bola schválená v </w:t>
      </w:r>
      <w:hyperlink r:id="rId11" w:anchor="poznamky.poznamka-24ae" w:tgtFrame="_blank" w:tooltip="https://www.slov-lex.sk/pravne-predpisy/sk/zz/2004/523/#poznamky.poznamka-24ae" w:history="1">
        <w:r w:rsidRPr="00403613">
          <w:rPr>
            <w:rStyle w:val="Hypertextovprepojenie"/>
            <w:rFonts w:cs="Segoe UI"/>
            <w:color w:val="5B5FC7"/>
            <w:sz w:val="16"/>
            <w:szCs w:val="16"/>
          </w:rPr>
          <w:t>§ 19a  zákona č. 523/2004 Z. z. o rozpočtových pravidlách verejnej správy v znení neskorších predpisov v znení</w:t>
        </w:r>
      </w:hyperlink>
      <w:r w:rsidRPr="00403613">
        <w:rPr>
          <w:rFonts w:cs="Segoe UI"/>
          <w:color w:val="242424"/>
          <w:sz w:val="16"/>
          <w:szCs w:val="16"/>
          <w:u w:val="single"/>
          <w:shd w:val="clear" w:color="auto" w:fill="FFFFFF"/>
        </w:rPr>
        <w:t>.</w:t>
      </w:r>
    </w:p>
  </w:footnote>
  <w:footnote w:id="68">
    <w:p w14:paraId="270F03D5" w14:textId="77777777" w:rsidR="00CF774B" w:rsidRDefault="00CF774B" w:rsidP="006D0D3B">
      <w:pPr>
        <w:pStyle w:val="Textpoznmkypodiarou"/>
      </w:pPr>
      <w:r w:rsidRPr="00403613">
        <w:rPr>
          <w:rStyle w:val="Odkaznapoznmkupodiarou"/>
          <w:sz w:val="16"/>
          <w:szCs w:val="16"/>
        </w:rPr>
        <w:footnoteRef/>
      </w:r>
      <w:r w:rsidRPr="00403613">
        <w:rPr>
          <w:sz w:val="16"/>
          <w:szCs w:val="16"/>
        </w:rPr>
        <w:t xml:space="preserve"> </w:t>
      </w:r>
      <w:r w:rsidRPr="00403613">
        <w:rPr>
          <w:rFonts w:cs="Segoe UI"/>
          <w:color w:val="242424"/>
          <w:sz w:val="16"/>
          <w:szCs w:val="16"/>
          <w:shd w:val="clear" w:color="auto" w:fill="FFFFFF"/>
        </w:rPr>
        <w:t>Povinnosť bola schválená </w:t>
      </w:r>
      <w:hyperlink r:id="rId12" w:tgtFrame="_blank" w:tooltip="https://rokovania.gov.sk/rvl/resolution/18792/1" w:history="1">
        <w:r w:rsidRPr="00403613">
          <w:rPr>
            <w:rStyle w:val="Hypertextovprepojenie"/>
            <w:rFonts w:cs="Segoe UI"/>
            <w:color w:val="5B5FC7"/>
            <w:sz w:val="16"/>
            <w:szCs w:val="16"/>
          </w:rPr>
          <w:t>Uznesením vlády č. 649/2020</w:t>
        </w:r>
      </w:hyperlink>
      <w:r w:rsidRPr="00403613">
        <w:rPr>
          <w:rFonts w:cs="Segoe UI"/>
          <w:color w:val="242424"/>
          <w:sz w:val="16"/>
          <w:szCs w:val="16"/>
          <w:shd w:val="clear" w:color="auto" w:fill="FFFFFF"/>
        </w:rPr>
        <w:t> v úlohe C.5 a C.6.</w:t>
      </w:r>
    </w:p>
  </w:footnote>
  <w:footnote w:id="69">
    <w:p w14:paraId="0612B9C1" w14:textId="77777777" w:rsidR="00CF774B" w:rsidRPr="00403613" w:rsidRDefault="00CF774B" w:rsidP="006D0D3B">
      <w:pPr>
        <w:pStyle w:val="Textpoznmkypodiarou"/>
        <w:rPr>
          <w:sz w:val="16"/>
          <w:szCs w:val="16"/>
        </w:rPr>
      </w:pPr>
      <w:r w:rsidRPr="00403613">
        <w:rPr>
          <w:rStyle w:val="Odkaznapoznmkupodiarou"/>
          <w:sz w:val="16"/>
          <w:szCs w:val="16"/>
        </w:rPr>
        <w:footnoteRef/>
      </w:r>
      <w:r w:rsidRPr="00403613">
        <w:rPr>
          <w:sz w:val="16"/>
          <w:szCs w:val="16"/>
        </w:rPr>
        <w:t xml:space="preserve"> Metodika bola schválená </w:t>
      </w:r>
      <w:hyperlink r:id="rId13" w:history="1">
        <w:r w:rsidRPr="00403613">
          <w:rPr>
            <w:rStyle w:val="Hypertextovprepojenie"/>
            <w:sz w:val="16"/>
            <w:szCs w:val="16"/>
          </w:rPr>
          <w:t>Uznesením vlády SR č. 181/2022</w:t>
        </w:r>
      </w:hyperlink>
      <w:r w:rsidRPr="00403613">
        <w:rPr>
          <w:sz w:val="16"/>
          <w:szCs w:val="16"/>
        </w:rPr>
        <w:t xml:space="preserve">  a je dostupná online na </w:t>
      </w:r>
      <w:hyperlink r:id="rId14" w:history="1">
        <w:r w:rsidRPr="00403613">
          <w:rPr>
            <w:rStyle w:val="Hypertextovprepojenie"/>
            <w:sz w:val="16"/>
            <w:szCs w:val="16"/>
          </w:rPr>
          <w:t>stránkach MF SR.</w:t>
        </w:r>
      </w:hyperlink>
    </w:p>
  </w:footnote>
  <w:footnote w:id="70">
    <w:p w14:paraId="0F438D66" w14:textId="0CD2EA8A" w:rsidR="00CF774B" w:rsidRPr="009848D0" w:rsidRDefault="00CF774B" w:rsidP="00082431">
      <w:pPr>
        <w:pStyle w:val="Textpoznmkypodiarou"/>
        <w:jc w:val="both"/>
        <w:rPr>
          <w:sz w:val="16"/>
          <w:szCs w:val="16"/>
        </w:rPr>
      </w:pPr>
      <w:r w:rsidRPr="009848D0">
        <w:rPr>
          <w:rStyle w:val="Odkaznapoznmkupodiarou"/>
          <w:sz w:val="16"/>
          <w:szCs w:val="16"/>
        </w:rPr>
        <w:footnoteRef/>
      </w:r>
      <w:r w:rsidRPr="009848D0">
        <w:rPr>
          <w:sz w:val="16"/>
          <w:szCs w:val="16"/>
        </w:rPr>
        <w:t xml:space="preserve"> </w:t>
      </w:r>
      <w:r>
        <w:rPr>
          <w:sz w:val="16"/>
          <w:szCs w:val="16"/>
        </w:rPr>
        <w:t>Viac informácií o implementácii výdavkových limitov v kapitole 3</w:t>
      </w:r>
      <w:r w:rsidRPr="009848D0">
        <w:rPr>
          <w:sz w:val="16"/>
          <w:szCs w:val="16"/>
        </w:rPr>
        <w:t>.</w:t>
      </w:r>
    </w:p>
  </w:footnote>
  <w:footnote w:id="71">
    <w:p w14:paraId="2D9442F2" w14:textId="77777777" w:rsidR="00CF774B" w:rsidRPr="009848D0" w:rsidRDefault="00CF774B" w:rsidP="00082431">
      <w:pPr>
        <w:pStyle w:val="Textpoznmkypodiarou"/>
        <w:jc w:val="both"/>
        <w:rPr>
          <w:sz w:val="16"/>
          <w:szCs w:val="16"/>
        </w:rPr>
      </w:pPr>
      <w:r w:rsidRPr="009848D0">
        <w:rPr>
          <w:rStyle w:val="Odkaznapoznmkupodiarou"/>
          <w:sz w:val="16"/>
          <w:szCs w:val="16"/>
        </w:rPr>
        <w:footnoteRef/>
      </w:r>
      <w:r w:rsidRPr="009848D0">
        <w:rPr>
          <w:sz w:val="16"/>
          <w:szCs w:val="16"/>
        </w:rPr>
        <w:t xml:space="preserve"> Štrukturálne saldo sa pri kvantifikácii výdavkového limitu upravuje o výdavky samospráv, výdavky súvisiace s financovaním spoločných programov EÚ (vrátane Plánu obnovy), odvod do rozpočtu EÚ a výdavky na obsluhu verejného dlhu.</w:t>
      </w:r>
    </w:p>
  </w:footnote>
  <w:footnote w:id="72">
    <w:p w14:paraId="2BD8FCEE" w14:textId="77777777" w:rsidR="00CF774B" w:rsidRPr="00B360EA" w:rsidRDefault="00CF774B" w:rsidP="00082431">
      <w:pPr>
        <w:pStyle w:val="Textpoznmkypodiarou"/>
        <w:jc w:val="both"/>
        <w:rPr>
          <w:sz w:val="16"/>
          <w:szCs w:val="16"/>
        </w:rPr>
      </w:pPr>
      <w:r w:rsidRPr="00B360EA">
        <w:rPr>
          <w:rStyle w:val="Odkaznapoznmkupodiarou"/>
          <w:sz w:val="16"/>
          <w:szCs w:val="16"/>
        </w:rPr>
        <w:footnoteRef/>
      </w:r>
      <w:r w:rsidRPr="00B360EA">
        <w:rPr>
          <w:sz w:val="16"/>
          <w:szCs w:val="16"/>
        </w:rPr>
        <w:t xml:space="preserve"> Ukazovateľ dlhodobej udržateľnosti </w:t>
      </w:r>
      <w:r w:rsidRPr="00062636">
        <w:rPr>
          <w:sz w:val="16"/>
          <w:szCs w:val="16"/>
        </w:rPr>
        <w:t xml:space="preserve">GAP </w:t>
      </w:r>
      <w:r w:rsidRPr="00B360EA">
        <w:rPr>
          <w:sz w:val="16"/>
          <w:szCs w:val="16"/>
        </w:rPr>
        <w:t>je indikátor národných fiškálnych pravidiel používaný Radou pre rozpočtovú zodpovednosť, ktorý indikuje o koľko by sa dnes muselo znížiť primárne štrukturálne saldo (schodok verejných financií očistený o úrokové náklady, vplyv cyklického vývoja ekonomiky a jednorazové vplyvy), aby sa hrubý dlh o 50 rokov udržal na úrovni 50 % HDP. Jeho súčasťou sú aj projekcie vývoja výdavkov súvisiacich so starnutím populácie.</w:t>
      </w:r>
    </w:p>
  </w:footnote>
  <w:footnote w:id="73">
    <w:p w14:paraId="3E6C0716" w14:textId="77777777" w:rsidR="00CF774B" w:rsidRPr="002C26E0" w:rsidRDefault="00CF774B" w:rsidP="00082431">
      <w:pPr>
        <w:pStyle w:val="Textpoznmkypodiarou"/>
        <w:jc w:val="both"/>
        <w:rPr>
          <w:sz w:val="16"/>
          <w:szCs w:val="16"/>
        </w:rPr>
      </w:pPr>
      <w:r w:rsidRPr="00062636">
        <w:rPr>
          <w:rStyle w:val="Odkaznapoznmkupodiarou"/>
          <w:sz w:val="16"/>
          <w:szCs w:val="16"/>
        </w:rPr>
        <w:footnoteRef/>
      </w:r>
      <w:r w:rsidRPr="00062636">
        <w:rPr>
          <w:sz w:val="16"/>
          <w:szCs w:val="16"/>
        </w:rPr>
        <w:t xml:space="preserve"> Aktualizácia limitov počíta aj s legislatívnymi zmenami, ktoré </w:t>
      </w:r>
      <w:r w:rsidRPr="004D2005">
        <w:rPr>
          <w:sz w:val="16"/>
          <w:szCs w:val="16"/>
        </w:rPr>
        <w:t xml:space="preserve">ovplyvňujú dlhodobú udržateľnosť. Ich </w:t>
      </w:r>
      <w:r w:rsidRPr="0058790B">
        <w:rPr>
          <w:sz w:val="16"/>
          <w:szCs w:val="16"/>
        </w:rPr>
        <w:t>pozitívny vplyv na štrukturálne saldo sa zohľadní maximálne do výšky 0,5 % HDP za celé volebné obdobie</w:t>
      </w:r>
      <w:r w:rsidRPr="009848D0">
        <w:rPr>
          <w:sz w:val="16"/>
          <w:szCs w:val="16"/>
        </w:rPr>
        <w:t>, v prípade že dlh sa nachádza nad sankčnými pásmami.</w:t>
      </w:r>
    </w:p>
  </w:footnote>
  <w:footnote w:id="74">
    <w:p w14:paraId="51589B8D" w14:textId="77777777" w:rsidR="00CF774B" w:rsidRDefault="00CF774B" w:rsidP="00082431">
      <w:pPr>
        <w:pStyle w:val="Textpoznmkypodiarou"/>
        <w:jc w:val="both"/>
      </w:pPr>
      <w:r w:rsidRPr="002C26E0">
        <w:rPr>
          <w:rStyle w:val="Odkaznapoznmkupodiarou"/>
          <w:sz w:val="16"/>
          <w:szCs w:val="16"/>
        </w:rPr>
        <w:footnoteRef/>
      </w:r>
      <w:r w:rsidRPr="002C26E0">
        <w:rPr>
          <w:sz w:val="16"/>
          <w:szCs w:val="16"/>
        </w:rPr>
        <w:t xml:space="preserve"> V prípade požiadavky na vyslovenie dôvery vláde v NR SR sa sankcia neuplatní v roku, v ktorom bolo schválené programové vyhlásenie vlády a v roku nasledujúcom.</w:t>
      </w:r>
    </w:p>
  </w:footnote>
  <w:footnote w:id="75">
    <w:p w14:paraId="7C36DF86" w14:textId="1C422ED5" w:rsidR="00CF774B" w:rsidRPr="004F4DE0" w:rsidRDefault="00CF774B" w:rsidP="004F4DE0">
      <w:pPr>
        <w:pStyle w:val="Textpoznmkypodiarou"/>
        <w:jc w:val="both"/>
        <w:rPr>
          <w:sz w:val="16"/>
          <w:szCs w:val="16"/>
        </w:rPr>
      </w:pPr>
      <w:r w:rsidRPr="004F4DE0">
        <w:rPr>
          <w:rStyle w:val="Odkaznapoznmkupodiarou"/>
          <w:sz w:val="16"/>
          <w:szCs w:val="16"/>
        </w:rPr>
        <w:footnoteRef/>
      </w:r>
      <w:r w:rsidRPr="004F4DE0">
        <w:rPr>
          <w:sz w:val="16"/>
          <w:szCs w:val="16"/>
        </w:rPr>
        <w:t xml:space="preserve"> Vláda môže vyhlásiť mimoriadnu okolnosť </w:t>
      </w:r>
      <w:r>
        <w:rPr>
          <w:sz w:val="16"/>
          <w:szCs w:val="16"/>
        </w:rPr>
        <w:t>ak</w:t>
      </w:r>
      <w:r w:rsidRPr="004F4DE0">
        <w:rPr>
          <w:sz w:val="16"/>
          <w:szCs w:val="16"/>
        </w:rPr>
        <w:t xml:space="preserve"> Štatistický úrad Slovenskej republiky zverejní, že </w:t>
      </w:r>
      <w:r>
        <w:rPr>
          <w:sz w:val="16"/>
          <w:szCs w:val="16"/>
        </w:rPr>
        <w:t xml:space="preserve">reálny HDP </w:t>
      </w:r>
      <w:r w:rsidRPr="004F4DE0">
        <w:rPr>
          <w:sz w:val="16"/>
          <w:szCs w:val="16"/>
        </w:rPr>
        <w:t xml:space="preserve">za predchádzajúci štvrťrok </w:t>
      </w:r>
      <w:r>
        <w:rPr>
          <w:sz w:val="16"/>
          <w:szCs w:val="16"/>
        </w:rPr>
        <w:t>medziročne klesol a nasledujúca prognóza</w:t>
      </w:r>
      <w:r w:rsidRPr="004F4DE0">
        <w:rPr>
          <w:sz w:val="16"/>
          <w:szCs w:val="16"/>
        </w:rPr>
        <w:t xml:space="preserve"> Výboru pre makroekonomické prognózy </w:t>
      </w:r>
      <w:r>
        <w:rPr>
          <w:sz w:val="16"/>
          <w:szCs w:val="16"/>
        </w:rPr>
        <w:t xml:space="preserve">potvrdí, že </w:t>
      </w:r>
      <w:r w:rsidRPr="004F4DE0">
        <w:rPr>
          <w:sz w:val="16"/>
          <w:szCs w:val="16"/>
        </w:rPr>
        <w:t xml:space="preserve">ročný </w:t>
      </w:r>
      <w:r>
        <w:rPr>
          <w:sz w:val="16"/>
          <w:szCs w:val="16"/>
        </w:rPr>
        <w:t>reálny HDP medziročne poklesne.</w:t>
      </w:r>
    </w:p>
  </w:footnote>
  <w:footnote w:id="76">
    <w:p w14:paraId="4F5451C7" w14:textId="77777777" w:rsidR="00CF774B" w:rsidRPr="00311EFD" w:rsidRDefault="00CF774B" w:rsidP="00082431">
      <w:pPr>
        <w:pStyle w:val="Textpoznmkypodiarou"/>
        <w:jc w:val="both"/>
        <w:rPr>
          <w:sz w:val="16"/>
          <w:szCs w:val="16"/>
        </w:rPr>
      </w:pPr>
      <w:r w:rsidRPr="00311EFD">
        <w:rPr>
          <w:rStyle w:val="Odkaznapoznmkupodiarou"/>
          <w:sz w:val="16"/>
          <w:szCs w:val="16"/>
        </w:rPr>
        <w:footnoteRef/>
      </w:r>
      <w:r w:rsidRPr="00311EFD">
        <w:rPr>
          <w:sz w:val="16"/>
          <w:szCs w:val="16"/>
        </w:rPr>
        <w:t xml:space="preserve"> Zákon 523/2004 o rozpočtových pravidlách verejnej správy stanovuje ako strednodobý rozpočtový cieľ SR vyrovnaného rozpočtu štrukturálny deficit na úrovni 0,5 % HDP. Vláda v Programe stability SR na roky 2021 až 2024 predstavila novú úroveň strednodobého cieľa – štrukturálny prebytok 0,5 % HDP, ktorý reflektuje stav verejných financií po pandémii COVID-19, vysokú úroveň zadlženia a riziká udržateľnosti spojené s nákladmi na starnutie populácie.</w:t>
      </w:r>
    </w:p>
  </w:footnote>
  <w:footnote w:id="77">
    <w:p w14:paraId="70D22C29"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Hotovostná rezerva štátu je súčasťou likvidných finančných aktív verejnej správy. V roku 2020 hrubý dlh SR medziročne vzrástol o 11,6 p. b., z toho 5,1 p. b. tvoril vplyv nárastu hotovostných aktív ako výsledok vysokých očakávaných deficitov a snahy predzásobiť sa v čase vysokej miery neistoty ďalšieho vývoja pandémie COVID-19. Prechodom na ukazovateľ čistého dlhu by likvidné finančné aktíva verejnej správy boli od hrubého dlhu očistené.</w:t>
      </w:r>
    </w:p>
  </w:footnote>
  <w:footnote w:id="78">
    <w:p w14:paraId="49F51E2D"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Súčasné znenie ústavného zákona 493/2011 navyše cieli nominálny deficit verejnej správy, ktorý nie je očistený o vplyvy hospodárskeho cyklu a jednorazové vplyvy. Novela zákona už počíta so štrukturálnym saldom, ktoré objektívnejšie hodnotí príspevok vlády k deficitu verejnej správy.</w:t>
      </w:r>
    </w:p>
  </w:footnote>
  <w:footnote w:id="79">
    <w:p w14:paraId="5B9372CC" w14:textId="77777777"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V takom prípade je maximálne požadované zlepšenie štrukturálneho salda 1 % HDP za rok.</w:t>
      </w:r>
    </w:p>
  </w:footnote>
  <w:footnote w:id="80">
    <w:p w14:paraId="42A7DCC4" w14:textId="4F780FC3" w:rsidR="00CF774B" w:rsidRPr="00403613" w:rsidRDefault="00CF774B" w:rsidP="00403613">
      <w:pPr>
        <w:pStyle w:val="Textpoznmkypodiarou"/>
        <w:jc w:val="both"/>
        <w:rPr>
          <w:sz w:val="16"/>
          <w:szCs w:val="16"/>
        </w:rPr>
      </w:pPr>
      <w:r w:rsidRPr="00403613">
        <w:rPr>
          <w:rStyle w:val="Odkaznapoznmkupodiarou"/>
          <w:sz w:val="16"/>
          <w:szCs w:val="16"/>
        </w:rPr>
        <w:footnoteRef/>
      </w:r>
      <w:r w:rsidRPr="00403613">
        <w:rPr>
          <w:sz w:val="16"/>
          <w:szCs w:val="16"/>
        </w:rPr>
        <w:t xml:space="preserve"> </w:t>
      </w:r>
      <w:r w:rsidR="00C037F7">
        <w:rPr>
          <w:sz w:val="16"/>
          <w:szCs w:val="16"/>
        </w:rPr>
        <w:t xml:space="preserve">Aktuálne návrhy </w:t>
      </w:r>
      <w:hyperlink r:id="rId15" w:history="1">
        <w:r w:rsidR="00C037F7">
          <w:rPr>
            <w:rStyle w:val="Hypertextovprepojenie"/>
            <w:sz w:val="16"/>
            <w:szCs w:val="16"/>
          </w:rPr>
          <w:t>z</w:t>
        </w:r>
        <w:r w:rsidR="00C037F7" w:rsidRPr="00403613">
          <w:rPr>
            <w:rStyle w:val="Hypertextovprepojenie"/>
            <w:sz w:val="16"/>
            <w:szCs w:val="16"/>
          </w:rPr>
          <w:t>m</w:t>
        </w:r>
        <w:r w:rsidR="00C037F7">
          <w:rPr>
            <w:rStyle w:val="Hypertextovprepojenie"/>
            <w:sz w:val="16"/>
            <w:szCs w:val="16"/>
          </w:rPr>
          <w:t>ien</w:t>
        </w:r>
        <w:r w:rsidR="00C037F7" w:rsidRPr="00403613">
          <w:rPr>
            <w:rStyle w:val="Hypertextovprepojenie"/>
            <w:sz w:val="16"/>
            <w:szCs w:val="16"/>
          </w:rPr>
          <w:t xml:space="preserve"> sú súčasťou vládou schválenej novely ústavného zákona o rozpočtovej zodpovednosti 493/2011.</w:t>
        </w:r>
      </w:hyperlink>
    </w:p>
  </w:footnote>
  <w:footnote w:id="81">
    <w:p w14:paraId="3CCD312E" w14:textId="77777777" w:rsidR="00CF774B" w:rsidRDefault="00CF774B" w:rsidP="00403613">
      <w:pPr>
        <w:pStyle w:val="Textpoznmkypodiarou"/>
        <w:jc w:val="both"/>
      </w:pPr>
      <w:r w:rsidRPr="00403613">
        <w:rPr>
          <w:rStyle w:val="Odkaznapoznmkupodiarou"/>
          <w:sz w:val="16"/>
          <w:szCs w:val="16"/>
        </w:rPr>
        <w:footnoteRef/>
      </w:r>
      <w:r w:rsidRPr="00403613">
        <w:rPr>
          <w:sz w:val="16"/>
          <w:szCs w:val="16"/>
        </w:rPr>
        <w:t xml:space="preserve"> </w:t>
      </w:r>
      <w:hyperlink r:id="rId16" w:history="1">
        <w:r w:rsidRPr="00403613">
          <w:rPr>
            <w:rStyle w:val="Hypertextovprepojenie"/>
            <w:sz w:val="16"/>
            <w:szCs w:val="16"/>
          </w:rPr>
          <w:t>https://www.mfsr.sk/files/archiv/83/Priebeznaimplementacnasprava2021.pdf</w:t>
        </w:r>
      </w:hyperlink>
    </w:p>
  </w:footnote>
  <w:footnote w:id="82">
    <w:p w14:paraId="5FFF5FC6" w14:textId="77777777" w:rsidR="00CF774B" w:rsidRPr="00381915" w:rsidRDefault="00CF774B" w:rsidP="00C45D5B">
      <w:pPr>
        <w:jc w:val="both"/>
        <w:rPr>
          <w:sz w:val="16"/>
          <w:szCs w:val="16"/>
        </w:rPr>
      </w:pPr>
      <w:r w:rsidRPr="00381915">
        <w:rPr>
          <w:rStyle w:val="Odkaznapoznmkupodiarou"/>
          <w:sz w:val="16"/>
          <w:szCs w:val="16"/>
        </w:rPr>
        <w:footnoteRef/>
      </w:r>
      <w:r w:rsidRPr="00381915">
        <w:rPr>
          <w:sz w:val="16"/>
          <w:szCs w:val="16"/>
        </w:rPr>
        <w:t xml:space="preserve"> </w:t>
      </w:r>
      <w:r w:rsidRPr="00381915">
        <w:rPr>
          <w:rFonts w:cs="Arial"/>
          <w:color w:val="000000" w:themeColor="text1"/>
          <w:sz w:val="16"/>
          <w:szCs w:val="16"/>
        </w:rPr>
        <w:t>Pakt stability a rastu vychádza z premisy, že členské štáty by mali dosiahnuť symetrický prístup k fiškálnej politike v súlade s cyklickým vývojom ekonomiky.</w:t>
      </w:r>
    </w:p>
  </w:footnote>
  <w:footnote w:id="83">
    <w:p w14:paraId="630A2324" w14:textId="77777777" w:rsidR="00CF774B" w:rsidRPr="00381915" w:rsidRDefault="00CF774B" w:rsidP="00C45D5B">
      <w:pPr>
        <w:pStyle w:val="Textpoznmkypodiarou"/>
        <w:jc w:val="both"/>
        <w:rPr>
          <w:sz w:val="16"/>
          <w:szCs w:val="16"/>
        </w:rPr>
      </w:pPr>
      <w:r w:rsidRPr="00381915">
        <w:rPr>
          <w:rStyle w:val="Odkaznapoznmkupodiarou"/>
          <w:sz w:val="16"/>
          <w:szCs w:val="16"/>
        </w:rPr>
        <w:footnoteRef/>
      </w:r>
      <w:r w:rsidRPr="00381915">
        <w:rPr>
          <w:sz w:val="16"/>
          <w:szCs w:val="16"/>
        </w:rPr>
        <w:t xml:space="preserve"> Odhadovaných pomocou produkčnej medzery ako rozdiel medzi skutočnou a potenciálnou úrovňou HDP.</w:t>
      </w:r>
    </w:p>
  </w:footnote>
  <w:footnote w:id="84">
    <w:p w14:paraId="16F311B8" w14:textId="77777777" w:rsidR="00CF774B" w:rsidRPr="00851B85" w:rsidRDefault="00CF774B" w:rsidP="00C45D5B">
      <w:pPr>
        <w:jc w:val="both"/>
        <w:rPr>
          <w:sz w:val="16"/>
          <w:szCs w:val="16"/>
        </w:rPr>
      </w:pPr>
      <w:r w:rsidRPr="00851B85">
        <w:rPr>
          <w:sz w:val="16"/>
          <w:szCs w:val="16"/>
          <w:vertAlign w:val="superscript"/>
        </w:rPr>
        <w:footnoteRef/>
      </w:r>
      <w:r w:rsidRPr="00851B85">
        <w:rPr>
          <w:sz w:val="16"/>
          <w:szCs w:val="16"/>
        </w:rPr>
        <w:t xml:space="preserve"> Pôvodná metodika bola prezentovaná v Girouard, N., André, Ch. (2005): Measuring cyclically-adjusted budget balances for OECD countries. V roku 2014</w:t>
      </w:r>
      <w:r>
        <w:rPr>
          <w:sz w:val="16"/>
          <w:szCs w:val="16"/>
        </w:rPr>
        <w:t xml:space="preserve"> </w:t>
      </w:r>
      <w:r w:rsidRPr="00851B85">
        <w:rPr>
          <w:sz w:val="16"/>
          <w:szCs w:val="16"/>
        </w:rPr>
        <w:t>prebehol proces aktualizácie metodiky a zahrnutia nových údajov pre výpočet elasticít. Metodika bola schválená členskými štátmi v septembri 2014.</w:t>
      </w:r>
    </w:p>
  </w:footnote>
  <w:footnote w:id="85">
    <w:p w14:paraId="05FB7A11" w14:textId="77777777" w:rsidR="00CF774B" w:rsidRPr="00605148" w:rsidRDefault="00CF774B" w:rsidP="00C45D5B">
      <w:pPr>
        <w:jc w:val="both"/>
        <w:rPr>
          <w:sz w:val="16"/>
          <w:szCs w:val="16"/>
        </w:rPr>
      </w:pPr>
      <w:r w:rsidRPr="00605148">
        <w:rPr>
          <w:rStyle w:val="Odkaznapoznmkupodiarou"/>
          <w:sz w:val="16"/>
          <w:szCs w:val="16"/>
        </w:rPr>
        <w:footnoteRef/>
      </w:r>
      <w:r w:rsidRPr="00605148">
        <w:rPr>
          <w:sz w:val="16"/>
          <w:szCs w:val="16"/>
        </w:rPr>
        <w:t xml:space="preserve"> </w:t>
      </w:r>
      <w:r w:rsidRPr="00605148">
        <w:rPr>
          <w:rFonts w:cs="Times New Roman"/>
          <w:sz w:val="16"/>
          <w:szCs w:val="16"/>
        </w:rPr>
        <w:t>Metodika Európskej komisie (EK)</w:t>
      </w:r>
      <w:r w:rsidRPr="00352162">
        <w:rPr>
          <w:rStyle w:val="Odkaznapoznmkupodiarou"/>
          <w:sz w:val="16"/>
          <w:szCs w:val="16"/>
          <w:lang w:val="sk-SK"/>
        </w:rPr>
        <w:t xml:space="preserve"> </w:t>
      </w:r>
      <w:r w:rsidRPr="00605148">
        <w:rPr>
          <w:rFonts w:cs="Times New Roman"/>
          <w:sz w:val="16"/>
          <w:szCs w:val="16"/>
        </w:rPr>
        <w:t xml:space="preserve">charakterizuje jednorazové opatrenie ako dočasné opatrenie, ktoré nemá trvalý charakter a vzniklo nezávisle od vládnych rozhodnutí. EK vytvorila direktíva postupu klasifikácie jednorazových opatrení - </w:t>
      </w:r>
      <w:hyperlink r:id="rId17" w:history="1">
        <w:r w:rsidRPr="00605148">
          <w:rPr>
            <w:rStyle w:val="Hypertextovprepojenie"/>
            <w:color w:val="2C9ADC" w:themeColor="accent1"/>
            <w:sz w:val="16"/>
            <w:szCs w:val="16"/>
          </w:rPr>
          <w:t>Vade Mecum on the Stability and Growth Pact – 2018 Edition – Guiding principles str.28</w:t>
        </w:r>
      </w:hyperlink>
      <w:r w:rsidRPr="00605148">
        <w:rPr>
          <w:rStyle w:val="Hypertextovprepojenie"/>
          <w:color w:val="2C9ADC" w:themeColor="accent1"/>
          <w:sz w:val="16"/>
          <w:szCs w:val="16"/>
        </w:rPr>
        <w:t>.</w:t>
      </w:r>
    </w:p>
  </w:footnote>
  <w:footnote w:id="86">
    <w:p w14:paraId="1B8696D3" w14:textId="77777777" w:rsidR="00CF774B" w:rsidRPr="00381915" w:rsidRDefault="00CF774B" w:rsidP="00C45D5B">
      <w:pPr>
        <w:pStyle w:val="Textpoznmkypodiarou"/>
        <w:jc w:val="both"/>
        <w:rPr>
          <w:sz w:val="16"/>
          <w:szCs w:val="16"/>
        </w:rPr>
      </w:pPr>
      <w:r w:rsidRPr="00381915">
        <w:rPr>
          <w:rStyle w:val="Odkaznapoznmkupodiarou"/>
          <w:sz w:val="16"/>
          <w:szCs w:val="16"/>
        </w:rPr>
        <w:footnoteRef/>
      </w:r>
      <w:r w:rsidRPr="00381915">
        <w:rPr>
          <w:sz w:val="16"/>
          <w:szCs w:val="16"/>
        </w:rPr>
        <w:t xml:space="preserve"> </w:t>
      </w:r>
      <w:r w:rsidRPr="00381915">
        <w:rPr>
          <w:rFonts w:cs="Times New Roman"/>
          <w:sz w:val="16"/>
          <w:szCs w:val="16"/>
        </w:rPr>
        <w:t>Všetky typické jednorazové opatrenia sú popísané v 2015 Report of Public Finances in EMU</w:t>
      </w:r>
      <w:r w:rsidRPr="00381915">
        <w:rPr>
          <w:rStyle w:val="Odkaznapoznmkupodiarou"/>
          <w:sz w:val="16"/>
          <w:szCs w:val="16"/>
        </w:rPr>
        <w:footnoteRef/>
      </w:r>
      <w:r w:rsidRPr="00381915">
        <w:rPr>
          <w:rFonts w:cs="Times New Roman"/>
          <w:sz w:val="16"/>
          <w:szCs w:val="16"/>
        </w:rPr>
        <w:t>, kapitola 3.3. EK navyše určila špecifické výnimky a postupy k nim, kedy sa za jednorazové opatrenie môže považovať aj vplyv, ktorý narušuje vyššie uvedené princípy, tieto prípady sú rovnako uvedené v danej kapitole.</w:t>
      </w:r>
    </w:p>
  </w:footnote>
  <w:footnote w:id="87">
    <w:p w14:paraId="1554DC6B" w14:textId="77777777" w:rsidR="00CF774B" w:rsidRPr="00986BBB" w:rsidRDefault="00CF774B" w:rsidP="00C45D5B">
      <w:pPr>
        <w:pStyle w:val="Textpoznmkypodiarou"/>
        <w:jc w:val="both"/>
        <w:rPr>
          <w:sz w:val="16"/>
          <w:szCs w:val="16"/>
        </w:rPr>
      </w:pPr>
      <w:r w:rsidRPr="00986BBB">
        <w:rPr>
          <w:rStyle w:val="Odkaznapoznmkupodiarou"/>
          <w:sz w:val="16"/>
          <w:szCs w:val="16"/>
        </w:rPr>
        <w:footnoteRef/>
      </w:r>
      <w:r>
        <w:rPr>
          <w:sz w:val="16"/>
          <w:szCs w:val="16"/>
        </w:rPr>
        <w:t xml:space="preserve"> Ilustrácia vplyvu marginálnych zmien:</w:t>
      </w:r>
      <w:r w:rsidRPr="00986BBB">
        <w:rPr>
          <w:sz w:val="16"/>
          <w:szCs w:val="16"/>
        </w:rPr>
        <w:t xml:space="preserve"> Celkový vplyv opatrenia je 200. Keďže je zavedené v polovici roka ma vplyv v danom roku 100. V ďa</w:t>
      </w:r>
      <w:r>
        <w:rPr>
          <w:sz w:val="16"/>
          <w:szCs w:val="16"/>
        </w:rPr>
        <w:t>lšom roku narastie vplyv na sumu 200,</w:t>
      </w:r>
      <w:r w:rsidRPr="00986BBB">
        <w:rPr>
          <w:sz w:val="16"/>
          <w:szCs w:val="16"/>
        </w:rPr>
        <w:t xml:space="preserve"> marginálne sa zaznamená len rozdiel týchto dvoch vplyvov, t.j. 100. Kumulatívne je celkový vplyv 200, len je rozložený do dvoch rokov.</w:t>
      </w:r>
    </w:p>
  </w:footnote>
  <w:footnote w:id="88">
    <w:p w14:paraId="7398BE73" w14:textId="77777777" w:rsidR="00CF774B" w:rsidRPr="00874145" w:rsidRDefault="00CF774B" w:rsidP="00C45D5B">
      <w:pPr>
        <w:pStyle w:val="Textpoznmkypodiarou"/>
        <w:jc w:val="both"/>
        <w:rPr>
          <w:sz w:val="16"/>
          <w:szCs w:val="16"/>
        </w:rPr>
      </w:pPr>
      <w:r w:rsidRPr="00874145">
        <w:rPr>
          <w:rStyle w:val="Odkaznapoznmkupodiarou"/>
          <w:sz w:val="16"/>
          <w:szCs w:val="16"/>
        </w:rPr>
        <w:footnoteRef/>
      </w:r>
      <w:r w:rsidRPr="00874145">
        <w:rPr>
          <w:sz w:val="16"/>
          <w:szCs w:val="16"/>
        </w:rPr>
        <w:t xml:space="preserve"> Celkový vplyv príjmov do II. piliera na hodnoten</w:t>
      </w:r>
      <w:r>
        <w:rPr>
          <w:sz w:val="16"/>
          <w:szCs w:val="16"/>
        </w:rPr>
        <w:t>ie udržateľnosti je do roku 2032</w:t>
      </w:r>
      <w:r w:rsidRPr="00874145">
        <w:rPr>
          <w:sz w:val="16"/>
          <w:szCs w:val="16"/>
        </w:rPr>
        <w:t xml:space="preserve"> mierne negatívny. V dlhodobom horizonte sa prejavuje mierne pozitívne. MF SR považuje tento prístup za správnejší, pretože zmeny kapitalizačných systémov majú vplyv nielen na výdavky aj príjmy dôchodkového systému.</w:t>
      </w:r>
    </w:p>
  </w:footnote>
  <w:footnote w:id="89">
    <w:p w14:paraId="7D61E3F0" w14:textId="77777777" w:rsidR="00CF774B" w:rsidRPr="00C7166D" w:rsidRDefault="00CF774B" w:rsidP="000D69FF">
      <w:pPr>
        <w:pStyle w:val="Textpoznmkypodiarou"/>
      </w:pPr>
      <w:r w:rsidRPr="00C7166D">
        <w:rPr>
          <w:rStyle w:val="Odkaznapoznmkupodiarou"/>
        </w:rPr>
        <w:footnoteRef/>
      </w:r>
      <w:r w:rsidRPr="00C7166D">
        <w:t xml:space="preserve"> </w:t>
      </w:r>
      <w:r w:rsidRPr="00C7166D">
        <w:rPr>
          <w:sz w:val="18"/>
        </w:rPr>
        <w:t>Za dotácie možno považovať akúkoľvek vládnu pomoc, ktorá umožňuje spotrebiteľom nakupovať tovary a služby za ceny nižšie, ako ponúka dokonale konkurenčný súkromný sektor alebo zvyšuje príjmy výrobcov nad tie, ktoré by dosiahli bez tohto zásahu. Táto vládna pomoc môže byť buď vo forme vládnych výdavkov (subvencií), daňových úľav, pôžičiek či regulácií. Naopak, za dotácie sa zvyčajne nepovažujú transfery domácnostiam, keďže tie nezahŕňajú predaj tovarov a služieb a ani neupravujú ich ceny (Schwartz a Clements, 1999).</w:t>
      </w:r>
    </w:p>
  </w:footnote>
  <w:footnote w:id="90">
    <w:p w14:paraId="2F726EB1" w14:textId="77777777" w:rsidR="00CF774B" w:rsidRPr="00C7166D" w:rsidRDefault="00CF774B" w:rsidP="000D69FF">
      <w:pPr>
        <w:pStyle w:val="Textpoznmkypodiarou"/>
        <w:rPr>
          <w:sz w:val="18"/>
        </w:rPr>
      </w:pPr>
      <w:r w:rsidRPr="00C7166D">
        <w:rPr>
          <w:rStyle w:val="Odkaznapoznmkupodiarou"/>
          <w:sz w:val="18"/>
        </w:rPr>
        <w:footnoteRef/>
      </w:r>
      <w:r w:rsidRPr="00C7166D">
        <w:rPr>
          <w:sz w:val="18"/>
        </w:rPr>
        <w:t xml:space="preserve"> Existujúce postupy a metodiky dotácií poskytovaných zo štátneho rozpočtu z pohľadu efektívnosti, transparentnosti a účelnosti, MV SR 2020</w:t>
      </w:r>
    </w:p>
  </w:footnote>
  <w:footnote w:id="91">
    <w:p w14:paraId="540D438F" w14:textId="77777777" w:rsidR="00CF774B" w:rsidRDefault="00CF774B" w:rsidP="000D69FF">
      <w:pPr>
        <w:pStyle w:val="Textpoznmkypodiarou"/>
      </w:pPr>
      <w:r w:rsidRPr="00C7166D">
        <w:rPr>
          <w:rStyle w:val="Odkaznapoznmkupodiarou"/>
          <w:sz w:val="18"/>
        </w:rPr>
        <w:footnoteRef/>
      </w:r>
      <w:r w:rsidRPr="00C7166D">
        <w:rPr>
          <w:sz w:val="18"/>
        </w:rPr>
        <w:t xml:space="preserve"> Finančné prostriedky poskytnuté z vybraných rozpočtových kapitol na rozvoj športu, NKÚ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97CB" w14:textId="77777777" w:rsidR="00CF774B" w:rsidRDefault="00CF774B" w:rsidP="00CA5604">
    <w:pPr>
      <w:pStyle w:val="Hlavika"/>
      <w:tabs>
        <w:tab w:val="clear" w:pos="9072"/>
        <w:tab w:val="right" w:pos="9540"/>
      </w:tabs>
      <w:rPr>
        <w:rFonts w:cs="Arial Narrow"/>
        <w:b/>
        <w:bCs/>
      </w:rPr>
    </w:pPr>
  </w:p>
  <w:p w14:paraId="586818A4" w14:textId="77777777" w:rsidR="00CF774B" w:rsidRPr="009C03E3" w:rsidRDefault="00CF774B" w:rsidP="00CA5604">
    <w:pPr>
      <w:pStyle w:val="Hlavika"/>
      <w:tabs>
        <w:tab w:val="clear" w:pos="9072"/>
        <w:tab w:val="right" w:pos="9540"/>
      </w:tabs>
      <w:rPr>
        <w:rFonts w:cs="Arial Narrow"/>
        <w:b/>
        <w:bCs/>
      </w:rPr>
    </w:pPr>
  </w:p>
  <w:p w14:paraId="2C8639E0" w14:textId="77777777" w:rsidR="00CF774B" w:rsidRPr="00F46CC1" w:rsidRDefault="00CF774B" w:rsidP="00CA5604">
    <w:pPr>
      <w:pStyle w:val="Hlavika"/>
      <w:tabs>
        <w:tab w:val="clear" w:pos="9072"/>
        <w:tab w:val="left" w:pos="567"/>
        <w:tab w:val="left" w:pos="6660"/>
      </w:tabs>
      <w:rPr>
        <w:rFonts w:cs="Arial Narrow"/>
        <w:b/>
        <w:bCs/>
        <w:color w:val="7F7F7F" w:themeColor="text1" w:themeTint="80"/>
      </w:rPr>
    </w:pPr>
    <w:r w:rsidRPr="003A6131">
      <w:rPr>
        <w:rFonts w:cs="Arial Narrow"/>
        <w:b/>
        <w:bCs/>
        <w:color w:val="7F7F7F" w:themeColor="text1" w:themeTint="80"/>
      </w:rPr>
      <w:t xml:space="preserve">      </w:t>
    </w:r>
    <w:r w:rsidRPr="003A6131">
      <w:rPr>
        <w:noProof/>
        <w:color w:val="7F7F7F" w:themeColor="text1" w:themeTint="80"/>
        <w:lang w:eastAsia="sk-SK"/>
      </w:rPr>
      <w:drawing>
        <wp:anchor distT="0" distB="0" distL="114300" distR="114300" simplePos="0" relativeHeight="251649024" behindDoc="0" locked="1" layoutInCell="1" allowOverlap="0" wp14:anchorId="0E5369C2" wp14:editId="310CF512">
          <wp:simplePos x="0" y="0"/>
          <wp:positionH relativeFrom="column">
            <wp:posOffset>-8255</wp:posOffset>
          </wp:positionH>
          <wp:positionV relativeFrom="paragraph">
            <wp:posOffset>-10160</wp:posOffset>
          </wp:positionV>
          <wp:extent cx="318770" cy="375285"/>
          <wp:effectExtent l="0" t="0" r="5080" b="5715"/>
          <wp:wrapNone/>
          <wp:docPr id="31"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
                  <a:srcRect/>
                  <a:stretch>
                    <a:fillRect/>
                  </a:stretch>
                </pic:blipFill>
                <pic:spPr bwMode="auto">
                  <a:xfrm>
                    <a:off x="0" y="0"/>
                    <a:ext cx="318770" cy="375285"/>
                  </a:xfrm>
                  <a:prstGeom prst="rect">
                    <a:avLst/>
                  </a:prstGeom>
                  <a:noFill/>
                  <a:ln w="9525">
                    <a:noFill/>
                    <a:miter lim="800000"/>
                    <a:headEnd/>
                    <a:tailEnd/>
                  </a:ln>
                </pic:spPr>
              </pic:pic>
            </a:graphicData>
          </a:graphic>
        </wp:anchor>
      </w:drawing>
    </w:r>
    <w:r w:rsidRPr="003A6131">
      <w:rPr>
        <w:rFonts w:cs="Arial Narrow"/>
        <w:b/>
        <w:bCs/>
        <w:color w:val="7F7F7F" w:themeColor="text1" w:themeTint="80"/>
      </w:rPr>
      <w:t xml:space="preserve">      </w:t>
    </w:r>
    <w:r w:rsidRPr="00F46CC1">
      <w:rPr>
        <w:rFonts w:cs="Arial Narrow"/>
        <w:b/>
        <w:bCs/>
        <w:color w:val="7F7F7F" w:themeColor="text1" w:themeTint="80"/>
        <w:spacing w:val="6"/>
      </w:rPr>
      <w:t>Ministerstvo financií</w:t>
    </w:r>
  </w:p>
  <w:p w14:paraId="3467083D" w14:textId="77777777" w:rsidR="00CF774B" w:rsidRPr="00F46CC1" w:rsidRDefault="00CF774B" w:rsidP="00CA5604">
    <w:pPr>
      <w:pStyle w:val="Hlavika"/>
      <w:tabs>
        <w:tab w:val="clear" w:pos="9072"/>
        <w:tab w:val="left" w:pos="567"/>
        <w:tab w:val="left" w:pos="6660"/>
      </w:tabs>
      <w:rPr>
        <w:rFonts w:cs="Arial Narrow"/>
        <w:b/>
        <w:bCs/>
        <w:color w:val="7F7F7F" w:themeColor="text1" w:themeTint="80"/>
      </w:rPr>
    </w:pPr>
    <w:r w:rsidRPr="00F46CC1">
      <w:rPr>
        <w:rFonts w:cs="Arial Narrow"/>
        <w:b/>
        <w:bCs/>
        <w:color w:val="7F7F7F" w:themeColor="text1" w:themeTint="80"/>
      </w:rPr>
      <w:t xml:space="preserve">            Slovenskej republiky</w:t>
    </w:r>
  </w:p>
  <w:p w14:paraId="6FB3D909" w14:textId="77777777" w:rsidR="00CF774B" w:rsidRPr="009C03E3" w:rsidRDefault="00CF774B" w:rsidP="00CA5604">
    <w:pPr>
      <w:pStyle w:val="Hlavika"/>
      <w:rPr>
        <w:rFonts w:cs="Arial Narrow"/>
      </w:rPr>
    </w:pPr>
    <w:r>
      <w:rPr>
        <w:noProof/>
        <w:lang w:eastAsia="sk-SK"/>
      </w:rPr>
      <mc:AlternateContent>
        <mc:Choice Requires="wps">
          <w:drawing>
            <wp:anchor distT="4294967291" distB="4294967291" distL="114300" distR="114300" simplePos="0" relativeHeight="251657216" behindDoc="0" locked="1" layoutInCell="1" allowOverlap="1" wp14:anchorId="592272DA" wp14:editId="199D01B2">
              <wp:simplePos x="0" y="0"/>
              <wp:positionH relativeFrom="column">
                <wp:posOffset>0</wp:posOffset>
              </wp:positionH>
              <wp:positionV relativeFrom="paragraph">
                <wp:posOffset>108584</wp:posOffset>
              </wp:positionV>
              <wp:extent cx="5715000" cy="0"/>
              <wp:effectExtent l="0" t="0" r="19050" b="19050"/>
              <wp:wrapNone/>
              <wp:docPr id="6" name="Rovná spojnic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03833A" id="Rovná spojnica 1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55pt" to="450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" strokecolor="gray [1629]">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0FC65" w14:textId="77777777" w:rsidR="00CF774B" w:rsidRPr="009C03E3" w:rsidRDefault="00CF774B" w:rsidP="00663B80">
    <w:pPr>
      <w:pStyle w:val="Hlavika"/>
      <w:tabs>
        <w:tab w:val="clear" w:pos="9072"/>
        <w:tab w:val="right" w:pos="9540"/>
      </w:tabs>
      <w:rPr>
        <w:rFonts w:cs="Arial Narrow"/>
        <w:b/>
        <w:bCs/>
      </w:rPr>
    </w:pPr>
  </w:p>
  <w:p w14:paraId="16DF7AE5" w14:textId="77777777" w:rsidR="00CF774B" w:rsidRPr="009C03E3" w:rsidRDefault="00CF774B" w:rsidP="00663B80">
    <w:pPr>
      <w:pStyle w:val="Hlavika"/>
      <w:tabs>
        <w:tab w:val="clear" w:pos="9072"/>
        <w:tab w:val="right" w:pos="9540"/>
      </w:tabs>
      <w:rPr>
        <w:rFonts w:cs="Arial Narrow"/>
        <w:b/>
        <w:bCs/>
      </w:rPr>
    </w:pPr>
  </w:p>
  <w:p w14:paraId="167A729E" w14:textId="77777777" w:rsidR="00CF774B" w:rsidRPr="009C03E3" w:rsidRDefault="00CF774B" w:rsidP="00CA5604">
    <w:pPr>
      <w:pStyle w:val="Hlavika"/>
      <w:tabs>
        <w:tab w:val="clear" w:pos="9072"/>
        <w:tab w:val="left" w:pos="567"/>
        <w:tab w:val="left" w:pos="6660"/>
      </w:tabs>
      <w:rPr>
        <w:rFonts w:cs="Arial Narrow"/>
        <w:b/>
        <w:bCs/>
      </w:rPr>
    </w:pPr>
    <w:r w:rsidRPr="009C03E3">
      <w:rPr>
        <w:rFonts w:cs="Arial Narrow"/>
        <w:b/>
        <w:bCs/>
      </w:rPr>
      <w:t xml:space="preserve">            </w:t>
    </w:r>
  </w:p>
  <w:p w14:paraId="728BDF8D" w14:textId="77777777" w:rsidR="00CF774B" w:rsidRPr="009C03E3" w:rsidRDefault="00CF774B" w:rsidP="00663B80">
    <w:pPr>
      <w:pStyle w:val="Hlavika"/>
      <w:rPr>
        <w:rFonts w:cs="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805"/>
    <w:multiLevelType w:val="hybridMultilevel"/>
    <w:tmpl w:val="92B0DD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805A07"/>
    <w:multiLevelType w:val="hybridMultilevel"/>
    <w:tmpl w:val="07B858A2"/>
    <w:lvl w:ilvl="0" w:tplc="67441D44">
      <w:start w:val="16"/>
      <w:numFmt w:val="bullet"/>
      <w:lvlText w:val=""/>
      <w:lvlJc w:val="left"/>
      <w:pPr>
        <w:ind w:left="720" w:hanging="360"/>
      </w:pPr>
      <w:rPr>
        <w:rFonts w:ascii="Symbol" w:eastAsia="Times New Roman" w:hAnsi="Symbol" w:cs="Book Antiqu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CB06B8"/>
    <w:multiLevelType w:val="hybridMultilevel"/>
    <w:tmpl w:val="0B2C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B5C57"/>
    <w:multiLevelType w:val="hybridMultilevel"/>
    <w:tmpl w:val="8140D874"/>
    <w:lvl w:ilvl="0" w:tplc="AA60D832">
      <w:start w:val="1"/>
      <w:numFmt w:val="bullet"/>
      <w:lvlText w:val=""/>
      <w:lvlJc w:val="left"/>
      <w:pPr>
        <w:ind w:left="720" w:hanging="360"/>
      </w:pPr>
      <w:rPr>
        <w:rFonts w:ascii="Symbol" w:hAnsi="Symbol" w:hint="default"/>
        <w:color w:val="2C9ADC"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11308E"/>
    <w:multiLevelType w:val="hybridMultilevel"/>
    <w:tmpl w:val="CE1E0A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2F44BF"/>
    <w:multiLevelType w:val="hybridMultilevel"/>
    <w:tmpl w:val="0A860BC4"/>
    <w:lvl w:ilvl="0" w:tplc="1974FE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321648"/>
    <w:multiLevelType w:val="hybridMultilevel"/>
    <w:tmpl w:val="D478B2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F129DC"/>
    <w:multiLevelType w:val="hybridMultilevel"/>
    <w:tmpl w:val="2438D22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 w15:restartNumberingAfterBreak="0">
    <w:nsid w:val="1A597AA8"/>
    <w:multiLevelType w:val="hybridMultilevel"/>
    <w:tmpl w:val="BCBCFFC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E2A777D"/>
    <w:multiLevelType w:val="multilevel"/>
    <w:tmpl w:val="FDC87672"/>
    <w:lvl w:ilvl="0">
      <w:start w:val="1"/>
      <w:numFmt w:val="upperRoman"/>
      <w:lvlText w:val="%1."/>
      <w:lvlJc w:val="left"/>
      <w:pPr>
        <w:tabs>
          <w:tab w:val="num" w:pos="0"/>
        </w:tabs>
        <w:ind w:left="680" w:hanging="680"/>
      </w:pPr>
      <w:rPr>
        <w:rFonts w:ascii="Arial Narrow" w:hAnsi="Arial Narrow" w:cs="Arial Narrow" w:hint="default"/>
        <w:b/>
        <w:bCs/>
        <w:i w:val="0"/>
        <w:iCs w:val="0"/>
        <w:sz w:val="24"/>
        <w:szCs w:val="24"/>
      </w:rPr>
    </w:lvl>
    <w:lvl w:ilvl="1">
      <w:start w:val="1"/>
      <w:numFmt w:val="decimal"/>
      <w:lvlText w:val="%1.%2."/>
      <w:lvlJc w:val="left"/>
      <w:pPr>
        <w:tabs>
          <w:tab w:val="num" w:pos="567"/>
        </w:tabs>
        <w:ind w:left="1304" w:hanging="1304"/>
      </w:pPr>
      <w:rPr>
        <w:rFonts w:ascii="Arial Narrow" w:hAnsi="Arial Narrow" w:cs="Arial Narrow" w:hint="default"/>
        <w:b/>
        <w:bCs/>
        <w:i w:val="0"/>
        <w:iCs w:val="0"/>
        <w:sz w:val="24"/>
        <w:szCs w:val="24"/>
      </w:rPr>
    </w:lvl>
    <w:lvl w:ilvl="2">
      <w:start w:val="1"/>
      <w:numFmt w:val="decimal"/>
      <w:lvlText w:val="%1.%2.%3."/>
      <w:lvlJc w:val="left"/>
      <w:pPr>
        <w:tabs>
          <w:tab w:val="num" w:pos="6816"/>
        </w:tabs>
        <w:ind w:left="660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03A00E3"/>
    <w:multiLevelType w:val="hybridMultilevel"/>
    <w:tmpl w:val="16261224"/>
    <w:lvl w:ilvl="0" w:tplc="381AC794">
      <w:start w:val="1"/>
      <w:numFmt w:val="bullet"/>
      <w:lvlText w:val=""/>
      <w:lvlJc w:val="left"/>
      <w:pPr>
        <w:ind w:left="720" w:hanging="360"/>
      </w:pPr>
      <w:rPr>
        <w:rFonts w:ascii="Wingdings" w:hAnsi="Wingdings" w:hint="default"/>
        <w:color w:val="2C9ADC"/>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8C2496"/>
    <w:multiLevelType w:val="hybridMultilevel"/>
    <w:tmpl w:val="677221DC"/>
    <w:lvl w:ilvl="0" w:tplc="0DCA621C">
      <w:start w:val="16"/>
      <w:numFmt w:val="bullet"/>
      <w:lvlText w:val=""/>
      <w:lvlJc w:val="left"/>
      <w:pPr>
        <w:ind w:left="720" w:hanging="360"/>
      </w:pPr>
      <w:rPr>
        <w:rFonts w:ascii="Symbol" w:eastAsia="Times New Roman" w:hAnsi="Symbol" w:cs="Book Antiqu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73D7C33"/>
    <w:multiLevelType w:val="hybridMultilevel"/>
    <w:tmpl w:val="350C6802"/>
    <w:lvl w:ilvl="0" w:tplc="AA60D832">
      <w:start w:val="1"/>
      <w:numFmt w:val="bullet"/>
      <w:lvlText w:val=""/>
      <w:lvlJc w:val="left"/>
      <w:pPr>
        <w:ind w:left="720" w:hanging="360"/>
      </w:pPr>
      <w:rPr>
        <w:rFonts w:ascii="Symbol" w:hAnsi="Symbol" w:hint="default"/>
        <w:color w:val="2C9ADC" w:themeColor="accen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1B94882"/>
    <w:multiLevelType w:val="hybridMultilevel"/>
    <w:tmpl w:val="A984A076"/>
    <w:lvl w:ilvl="0" w:tplc="3EC45408">
      <w:start w:val="1"/>
      <w:numFmt w:val="bullet"/>
      <w:lvlText w:val="•"/>
      <w:lvlJc w:val="left"/>
      <w:pPr>
        <w:tabs>
          <w:tab w:val="num" w:pos="720"/>
        </w:tabs>
        <w:ind w:left="720" w:hanging="360"/>
      </w:pPr>
      <w:rPr>
        <w:rFonts w:ascii="Arial" w:hAnsi="Arial" w:hint="default"/>
      </w:rPr>
    </w:lvl>
    <w:lvl w:ilvl="1" w:tplc="2A4271CA">
      <w:start w:val="1"/>
      <w:numFmt w:val="bullet"/>
      <w:lvlText w:val="•"/>
      <w:lvlJc w:val="left"/>
      <w:pPr>
        <w:tabs>
          <w:tab w:val="num" w:pos="1440"/>
        </w:tabs>
        <w:ind w:left="1440" w:hanging="360"/>
      </w:pPr>
      <w:rPr>
        <w:rFonts w:ascii="Arial" w:hAnsi="Arial" w:hint="default"/>
      </w:rPr>
    </w:lvl>
    <w:lvl w:ilvl="2" w:tplc="AAB4688E" w:tentative="1">
      <w:start w:val="1"/>
      <w:numFmt w:val="bullet"/>
      <w:lvlText w:val="•"/>
      <w:lvlJc w:val="left"/>
      <w:pPr>
        <w:tabs>
          <w:tab w:val="num" w:pos="2160"/>
        </w:tabs>
        <w:ind w:left="2160" w:hanging="360"/>
      </w:pPr>
      <w:rPr>
        <w:rFonts w:ascii="Arial" w:hAnsi="Arial" w:hint="default"/>
      </w:rPr>
    </w:lvl>
    <w:lvl w:ilvl="3" w:tplc="8E909E28" w:tentative="1">
      <w:start w:val="1"/>
      <w:numFmt w:val="bullet"/>
      <w:lvlText w:val="•"/>
      <w:lvlJc w:val="left"/>
      <w:pPr>
        <w:tabs>
          <w:tab w:val="num" w:pos="2880"/>
        </w:tabs>
        <w:ind w:left="2880" w:hanging="360"/>
      </w:pPr>
      <w:rPr>
        <w:rFonts w:ascii="Arial" w:hAnsi="Arial" w:hint="default"/>
      </w:rPr>
    </w:lvl>
    <w:lvl w:ilvl="4" w:tplc="D548D484" w:tentative="1">
      <w:start w:val="1"/>
      <w:numFmt w:val="bullet"/>
      <w:lvlText w:val="•"/>
      <w:lvlJc w:val="left"/>
      <w:pPr>
        <w:tabs>
          <w:tab w:val="num" w:pos="3600"/>
        </w:tabs>
        <w:ind w:left="3600" w:hanging="360"/>
      </w:pPr>
      <w:rPr>
        <w:rFonts w:ascii="Arial" w:hAnsi="Arial" w:hint="default"/>
      </w:rPr>
    </w:lvl>
    <w:lvl w:ilvl="5" w:tplc="697AFDBC" w:tentative="1">
      <w:start w:val="1"/>
      <w:numFmt w:val="bullet"/>
      <w:lvlText w:val="•"/>
      <w:lvlJc w:val="left"/>
      <w:pPr>
        <w:tabs>
          <w:tab w:val="num" w:pos="4320"/>
        </w:tabs>
        <w:ind w:left="4320" w:hanging="360"/>
      </w:pPr>
      <w:rPr>
        <w:rFonts w:ascii="Arial" w:hAnsi="Arial" w:hint="default"/>
      </w:rPr>
    </w:lvl>
    <w:lvl w:ilvl="6" w:tplc="E34EA586" w:tentative="1">
      <w:start w:val="1"/>
      <w:numFmt w:val="bullet"/>
      <w:lvlText w:val="•"/>
      <w:lvlJc w:val="left"/>
      <w:pPr>
        <w:tabs>
          <w:tab w:val="num" w:pos="5040"/>
        </w:tabs>
        <w:ind w:left="5040" w:hanging="360"/>
      </w:pPr>
      <w:rPr>
        <w:rFonts w:ascii="Arial" w:hAnsi="Arial" w:hint="default"/>
      </w:rPr>
    </w:lvl>
    <w:lvl w:ilvl="7" w:tplc="B78AB158" w:tentative="1">
      <w:start w:val="1"/>
      <w:numFmt w:val="bullet"/>
      <w:lvlText w:val="•"/>
      <w:lvlJc w:val="left"/>
      <w:pPr>
        <w:tabs>
          <w:tab w:val="num" w:pos="5760"/>
        </w:tabs>
        <w:ind w:left="5760" w:hanging="360"/>
      </w:pPr>
      <w:rPr>
        <w:rFonts w:ascii="Arial" w:hAnsi="Arial" w:hint="default"/>
      </w:rPr>
    </w:lvl>
    <w:lvl w:ilvl="8" w:tplc="EE70D0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D2112F"/>
    <w:multiLevelType w:val="hybridMultilevel"/>
    <w:tmpl w:val="13A401CE"/>
    <w:lvl w:ilvl="0" w:tplc="381AC794">
      <w:start w:val="1"/>
      <w:numFmt w:val="bullet"/>
      <w:lvlText w:val=""/>
      <w:lvlJc w:val="left"/>
      <w:pPr>
        <w:ind w:left="720" w:hanging="360"/>
      </w:pPr>
      <w:rPr>
        <w:rFonts w:ascii="Wingdings" w:hAnsi="Wingdings" w:hint="default"/>
        <w:color w:val="2C9ADC"/>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BAB4F09"/>
    <w:multiLevelType w:val="hybridMultilevel"/>
    <w:tmpl w:val="83C23FF2"/>
    <w:lvl w:ilvl="0" w:tplc="0782807C">
      <w:start w:val="1"/>
      <w:numFmt w:val="decimal"/>
      <w:lvlText w:val="%1"/>
      <w:lvlJc w:val="left"/>
      <w:pPr>
        <w:ind w:left="720" w:hanging="360"/>
      </w:pPr>
      <w:rPr>
        <w:rFonts w:hint="default"/>
        <w:b/>
        <w:i w:val="0"/>
        <w:color w:val="2C9ADC"/>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C81587C"/>
    <w:multiLevelType w:val="hybridMultilevel"/>
    <w:tmpl w:val="B332FB02"/>
    <w:lvl w:ilvl="0" w:tplc="381AC794">
      <w:start w:val="1"/>
      <w:numFmt w:val="bullet"/>
      <w:lvlText w:val=""/>
      <w:lvlJc w:val="left"/>
      <w:pPr>
        <w:ind w:left="720" w:hanging="360"/>
      </w:pPr>
      <w:rPr>
        <w:rFonts w:ascii="Wingdings" w:hAnsi="Wingdings" w:hint="default"/>
        <w:color w:val="2C9ADC"/>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F974367"/>
    <w:multiLevelType w:val="hybridMultilevel"/>
    <w:tmpl w:val="8E6A033E"/>
    <w:lvl w:ilvl="0" w:tplc="381AC794">
      <w:start w:val="1"/>
      <w:numFmt w:val="bullet"/>
      <w:lvlText w:val=""/>
      <w:lvlJc w:val="left"/>
      <w:pPr>
        <w:ind w:left="720" w:hanging="360"/>
      </w:pPr>
      <w:rPr>
        <w:rFonts w:ascii="Wingdings" w:hAnsi="Wingdings" w:hint="default"/>
        <w:color w:val="2C9ADC"/>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05A73DD"/>
    <w:multiLevelType w:val="hybridMultilevel"/>
    <w:tmpl w:val="AF54E0C0"/>
    <w:lvl w:ilvl="0" w:tplc="381AC794">
      <w:start w:val="1"/>
      <w:numFmt w:val="bullet"/>
      <w:lvlText w:val=""/>
      <w:lvlJc w:val="left"/>
      <w:pPr>
        <w:ind w:left="360" w:hanging="360"/>
      </w:pPr>
      <w:rPr>
        <w:rFonts w:ascii="Wingdings" w:hAnsi="Wingdings" w:hint="default"/>
        <w:color w:val="2C9ADC"/>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381AC794">
      <w:start w:val="1"/>
      <w:numFmt w:val="bullet"/>
      <w:lvlText w:val=""/>
      <w:lvlJc w:val="left"/>
      <w:pPr>
        <w:ind w:left="2520" w:hanging="360"/>
      </w:pPr>
      <w:rPr>
        <w:rFonts w:ascii="Wingdings" w:hAnsi="Wingdings" w:hint="default"/>
        <w:color w:val="2C9ADC"/>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1B33735"/>
    <w:multiLevelType w:val="hybridMultilevel"/>
    <w:tmpl w:val="50927732"/>
    <w:lvl w:ilvl="0" w:tplc="64CC5E48">
      <w:numFmt w:val="bullet"/>
      <w:lvlText w:val="-"/>
      <w:lvlJc w:val="left"/>
      <w:pPr>
        <w:ind w:left="720" w:hanging="360"/>
      </w:pPr>
      <w:rPr>
        <w:rFonts w:ascii="Arial Narrow" w:eastAsia="Times New Roman" w:hAnsi="Arial Narrow" w:cs="Book Antiqu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1858C8"/>
    <w:multiLevelType w:val="hybridMultilevel"/>
    <w:tmpl w:val="AD5E77AE"/>
    <w:lvl w:ilvl="0" w:tplc="381AC794">
      <w:start w:val="1"/>
      <w:numFmt w:val="bullet"/>
      <w:lvlText w:val=""/>
      <w:lvlJc w:val="left"/>
      <w:pPr>
        <w:ind w:left="360" w:hanging="360"/>
      </w:pPr>
      <w:rPr>
        <w:rFonts w:ascii="Wingdings" w:hAnsi="Wingdings" w:hint="default"/>
        <w:color w:val="2C9ADC"/>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3137D84"/>
    <w:multiLevelType w:val="hybridMultilevel"/>
    <w:tmpl w:val="C2AE1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F36E9F"/>
    <w:multiLevelType w:val="hybridMultilevel"/>
    <w:tmpl w:val="4FC6B04E"/>
    <w:lvl w:ilvl="0" w:tplc="108E6C7C">
      <w:start w:val="1"/>
      <w:numFmt w:val="decimal"/>
      <w:lvlText w:val="%1."/>
      <w:lvlJc w:val="left"/>
      <w:pPr>
        <w:ind w:left="720" w:hanging="360"/>
      </w:pPr>
      <w:rPr>
        <w:rFonts w:hint="default"/>
        <w:b/>
        <w:i w:val="0"/>
        <w:color w:val="2C9ADC"/>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9184EDD"/>
    <w:multiLevelType w:val="multilevel"/>
    <w:tmpl w:val="94C4D012"/>
    <w:lvl w:ilvl="0">
      <w:start w:val="1"/>
      <w:numFmt w:val="upperRoman"/>
      <w:lvlText w:val="%1."/>
      <w:lvlJc w:val="left"/>
      <w:pPr>
        <w:tabs>
          <w:tab w:val="num" w:pos="0"/>
        </w:tabs>
        <w:ind w:left="680" w:hanging="680"/>
      </w:pPr>
      <w:rPr>
        <w:rFonts w:ascii="Arial Narrow" w:hAnsi="Arial Narrow" w:cs="Arial Narrow" w:hint="default"/>
        <w:b/>
        <w:bCs/>
        <w:i w:val="0"/>
        <w:iCs w:val="0"/>
        <w:sz w:val="28"/>
        <w:szCs w:val="28"/>
      </w:rPr>
    </w:lvl>
    <w:lvl w:ilvl="1">
      <w:start w:val="1"/>
      <w:numFmt w:val="decimal"/>
      <w:pStyle w:val="NRP2uroven"/>
      <w:lvlText w:val="%1.%2."/>
      <w:lvlJc w:val="left"/>
      <w:pPr>
        <w:tabs>
          <w:tab w:val="num" w:pos="567"/>
        </w:tabs>
        <w:ind w:left="1304" w:hanging="1304"/>
      </w:pPr>
      <w:rPr>
        <w:rFonts w:ascii="Arial Narrow" w:hAnsi="Arial Narrow" w:cs="Arial Narrow" w:hint="default"/>
        <w:b/>
        <w:bCs/>
        <w:i w:val="0"/>
        <w:iCs w:val="0"/>
        <w:sz w:val="24"/>
        <w:szCs w:val="24"/>
      </w:rPr>
    </w:lvl>
    <w:lvl w:ilvl="2">
      <w:start w:val="1"/>
      <w:numFmt w:val="decimal"/>
      <w:lvlText w:val="%1.%2.%3."/>
      <w:lvlJc w:val="left"/>
      <w:pPr>
        <w:tabs>
          <w:tab w:val="num" w:pos="900"/>
        </w:tabs>
        <w:ind w:left="68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BAF4829"/>
    <w:multiLevelType w:val="hybridMultilevel"/>
    <w:tmpl w:val="3F809E52"/>
    <w:lvl w:ilvl="0" w:tplc="381AC794">
      <w:start w:val="1"/>
      <w:numFmt w:val="bullet"/>
      <w:lvlText w:val=""/>
      <w:lvlJc w:val="left"/>
      <w:pPr>
        <w:ind w:left="360" w:hanging="360"/>
      </w:pPr>
      <w:rPr>
        <w:rFonts w:ascii="Wingdings" w:hAnsi="Wingdings" w:hint="default"/>
        <w:color w:val="2C9ADC"/>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4BCC1150"/>
    <w:multiLevelType w:val="hybridMultilevel"/>
    <w:tmpl w:val="98FC6524"/>
    <w:lvl w:ilvl="0" w:tplc="540E1290">
      <w:start w:val="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BF82AEA"/>
    <w:multiLevelType w:val="hybridMultilevel"/>
    <w:tmpl w:val="0D362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14342D3"/>
    <w:multiLevelType w:val="multilevel"/>
    <w:tmpl w:val="76E259EC"/>
    <w:lvl w:ilvl="0">
      <w:start w:val="1"/>
      <w:numFmt w:val="decimal"/>
      <w:lvlText w:val="%1"/>
      <w:lvlJc w:val="left"/>
      <w:pPr>
        <w:ind w:left="720" w:hanging="720"/>
      </w:pPr>
      <w:rPr>
        <w:rFonts w:hint="default"/>
        <w:color w:val="2C9ADC"/>
      </w:rPr>
    </w:lvl>
    <w:lvl w:ilvl="1">
      <w:start w:val="1"/>
      <w:numFmt w:val="decimal"/>
      <w:lvlText w:val="%1.%2"/>
      <w:lvlJc w:val="left"/>
      <w:pPr>
        <w:ind w:left="720" w:hanging="720"/>
      </w:pPr>
      <w:rPr>
        <w:rFonts w:ascii="Arial Narrow" w:hAnsi="Arial Narrow" w:hint="default"/>
        <w:b/>
        <w:i w:val="0"/>
        <w:color w:val="2C9ADC"/>
        <w:sz w:val="24"/>
        <w:szCs w:val="28"/>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A31372"/>
    <w:multiLevelType w:val="hybridMultilevel"/>
    <w:tmpl w:val="8CEA746E"/>
    <w:lvl w:ilvl="0" w:tplc="A35436FA">
      <w:start w:val="2"/>
      <w:numFmt w:val="decimal"/>
      <w:lvlText w:val="%1"/>
      <w:lvlJc w:val="left"/>
      <w:pPr>
        <w:ind w:left="720" w:hanging="360"/>
      </w:pPr>
      <w:rPr>
        <w:rFonts w:hint="default"/>
        <w:b/>
        <w:i w:val="0"/>
        <w:color w:val="2C9ADC"/>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2C336C2"/>
    <w:multiLevelType w:val="hybridMultilevel"/>
    <w:tmpl w:val="DD326E52"/>
    <w:lvl w:ilvl="0" w:tplc="DC3204A0">
      <w:start w:val="1"/>
      <w:numFmt w:val="bullet"/>
      <w:lvlText w:val="•"/>
      <w:lvlJc w:val="left"/>
      <w:pPr>
        <w:tabs>
          <w:tab w:val="num" w:pos="720"/>
        </w:tabs>
        <w:ind w:left="720" w:hanging="360"/>
      </w:pPr>
      <w:rPr>
        <w:rFonts w:ascii="Arial" w:hAnsi="Arial" w:hint="default"/>
      </w:rPr>
    </w:lvl>
    <w:lvl w:ilvl="1" w:tplc="C67AD29C" w:tentative="1">
      <w:start w:val="1"/>
      <w:numFmt w:val="bullet"/>
      <w:lvlText w:val="•"/>
      <w:lvlJc w:val="left"/>
      <w:pPr>
        <w:tabs>
          <w:tab w:val="num" w:pos="1440"/>
        </w:tabs>
        <w:ind w:left="1440" w:hanging="360"/>
      </w:pPr>
      <w:rPr>
        <w:rFonts w:ascii="Arial" w:hAnsi="Arial" w:hint="default"/>
      </w:rPr>
    </w:lvl>
    <w:lvl w:ilvl="2" w:tplc="315E65A8">
      <w:start w:val="1"/>
      <w:numFmt w:val="bullet"/>
      <w:lvlText w:val="•"/>
      <w:lvlJc w:val="left"/>
      <w:pPr>
        <w:tabs>
          <w:tab w:val="num" w:pos="2160"/>
        </w:tabs>
        <w:ind w:left="2160" w:hanging="360"/>
      </w:pPr>
      <w:rPr>
        <w:rFonts w:ascii="Arial" w:hAnsi="Arial" w:hint="default"/>
      </w:rPr>
    </w:lvl>
    <w:lvl w:ilvl="3" w:tplc="32ECF274" w:tentative="1">
      <w:start w:val="1"/>
      <w:numFmt w:val="bullet"/>
      <w:lvlText w:val="•"/>
      <w:lvlJc w:val="left"/>
      <w:pPr>
        <w:tabs>
          <w:tab w:val="num" w:pos="2880"/>
        </w:tabs>
        <w:ind w:left="2880" w:hanging="360"/>
      </w:pPr>
      <w:rPr>
        <w:rFonts w:ascii="Arial" w:hAnsi="Arial" w:hint="default"/>
      </w:rPr>
    </w:lvl>
    <w:lvl w:ilvl="4" w:tplc="14821B3A" w:tentative="1">
      <w:start w:val="1"/>
      <w:numFmt w:val="bullet"/>
      <w:lvlText w:val="•"/>
      <w:lvlJc w:val="left"/>
      <w:pPr>
        <w:tabs>
          <w:tab w:val="num" w:pos="3600"/>
        </w:tabs>
        <w:ind w:left="3600" w:hanging="360"/>
      </w:pPr>
      <w:rPr>
        <w:rFonts w:ascii="Arial" w:hAnsi="Arial" w:hint="default"/>
      </w:rPr>
    </w:lvl>
    <w:lvl w:ilvl="5" w:tplc="06CC1C40" w:tentative="1">
      <w:start w:val="1"/>
      <w:numFmt w:val="bullet"/>
      <w:lvlText w:val="•"/>
      <w:lvlJc w:val="left"/>
      <w:pPr>
        <w:tabs>
          <w:tab w:val="num" w:pos="4320"/>
        </w:tabs>
        <w:ind w:left="4320" w:hanging="360"/>
      </w:pPr>
      <w:rPr>
        <w:rFonts w:ascii="Arial" w:hAnsi="Arial" w:hint="default"/>
      </w:rPr>
    </w:lvl>
    <w:lvl w:ilvl="6" w:tplc="282EEAC8" w:tentative="1">
      <w:start w:val="1"/>
      <w:numFmt w:val="bullet"/>
      <w:lvlText w:val="•"/>
      <w:lvlJc w:val="left"/>
      <w:pPr>
        <w:tabs>
          <w:tab w:val="num" w:pos="5040"/>
        </w:tabs>
        <w:ind w:left="5040" w:hanging="360"/>
      </w:pPr>
      <w:rPr>
        <w:rFonts w:ascii="Arial" w:hAnsi="Arial" w:hint="default"/>
      </w:rPr>
    </w:lvl>
    <w:lvl w:ilvl="7" w:tplc="90E0441C" w:tentative="1">
      <w:start w:val="1"/>
      <w:numFmt w:val="bullet"/>
      <w:lvlText w:val="•"/>
      <w:lvlJc w:val="left"/>
      <w:pPr>
        <w:tabs>
          <w:tab w:val="num" w:pos="5760"/>
        </w:tabs>
        <w:ind w:left="5760" w:hanging="360"/>
      </w:pPr>
      <w:rPr>
        <w:rFonts w:ascii="Arial" w:hAnsi="Arial" w:hint="default"/>
      </w:rPr>
    </w:lvl>
    <w:lvl w:ilvl="8" w:tplc="345C2D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3970C2"/>
    <w:multiLevelType w:val="hybridMultilevel"/>
    <w:tmpl w:val="813A3754"/>
    <w:lvl w:ilvl="0" w:tplc="7F38FE46">
      <w:start w:val="3"/>
      <w:numFmt w:val="bullet"/>
      <w:lvlText w:val="-"/>
      <w:lvlJc w:val="left"/>
      <w:pPr>
        <w:ind w:left="720" w:hanging="360"/>
      </w:pPr>
      <w:rPr>
        <w:rFonts w:ascii="Arial Narrow" w:eastAsia="Times New Roman" w:hAnsi="Arial Narrow" w:cs="Book Antiqua"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B30C2E"/>
    <w:multiLevelType w:val="hybridMultilevel"/>
    <w:tmpl w:val="1452162E"/>
    <w:lvl w:ilvl="0" w:tplc="381AC794">
      <w:start w:val="1"/>
      <w:numFmt w:val="bullet"/>
      <w:lvlText w:val=""/>
      <w:lvlJc w:val="left"/>
      <w:pPr>
        <w:ind w:left="720" w:hanging="360"/>
      </w:pPr>
      <w:rPr>
        <w:rFonts w:ascii="Wingdings" w:hAnsi="Wingdings" w:hint="default"/>
        <w:color w:val="2C9AD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333C05"/>
    <w:multiLevelType w:val="hybridMultilevel"/>
    <w:tmpl w:val="ACE43A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7B60447"/>
    <w:multiLevelType w:val="hybridMultilevel"/>
    <w:tmpl w:val="79E23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E3824A6"/>
    <w:multiLevelType w:val="hybridMultilevel"/>
    <w:tmpl w:val="EB56EF0A"/>
    <w:lvl w:ilvl="0" w:tplc="381AC794">
      <w:start w:val="1"/>
      <w:numFmt w:val="bullet"/>
      <w:lvlText w:val=""/>
      <w:lvlJc w:val="left"/>
      <w:pPr>
        <w:ind w:left="720" w:hanging="360"/>
      </w:pPr>
      <w:rPr>
        <w:rFonts w:ascii="Wingdings" w:hAnsi="Wingdings" w:hint="default"/>
        <w:color w:val="2C9ADC"/>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3DF03D0"/>
    <w:multiLevelType w:val="hybridMultilevel"/>
    <w:tmpl w:val="F61AEBB8"/>
    <w:lvl w:ilvl="0" w:tplc="1974FE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3B4F47"/>
    <w:multiLevelType w:val="hybridMultilevel"/>
    <w:tmpl w:val="417A41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8"/>
  </w:num>
  <w:num w:numId="4">
    <w:abstractNumId w:val="2"/>
  </w:num>
  <w:num w:numId="5">
    <w:abstractNumId w:val="36"/>
  </w:num>
  <w:num w:numId="6">
    <w:abstractNumId w:val="26"/>
  </w:num>
  <w:num w:numId="7">
    <w:abstractNumId w:val="21"/>
  </w:num>
  <w:num w:numId="8">
    <w:abstractNumId w:val="12"/>
  </w:num>
  <w:num w:numId="9">
    <w:abstractNumId w:val="24"/>
  </w:num>
  <w:num w:numId="10">
    <w:abstractNumId w:val="14"/>
  </w:num>
  <w:num w:numId="11">
    <w:abstractNumId w:val="25"/>
  </w:num>
  <w:num w:numId="12">
    <w:abstractNumId w:val="20"/>
  </w:num>
  <w:num w:numId="13">
    <w:abstractNumId w:val="3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2"/>
  </w:num>
  <w:num w:numId="17">
    <w:abstractNumId w:val="3"/>
  </w:num>
  <w:num w:numId="18">
    <w:abstractNumId w:val="16"/>
  </w:num>
  <w:num w:numId="19">
    <w:abstractNumId w:val="18"/>
  </w:num>
  <w:num w:numId="20">
    <w:abstractNumId w:val="17"/>
  </w:num>
  <w:num w:numId="21">
    <w:abstractNumId w:val="30"/>
  </w:num>
  <w:num w:numId="22">
    <w:abstractNumId w:val="33"/>
  </w:num>
  <w:num w:numId="23">
    <w:abstractNumId w:val="6"/>
  </w:num>
  <w:num w:numId="24">
    <w:abstractNumId w:val="4"/>
  </w:num>
  <w:num w:numId="25">
    <w:abstractNumId w:val="0"/>
  </w:num>
  <w:num w:numId="26">
    <w:abstractNumId w:val="29"/>
  </w:num>
  <w:num w:numId="27">
    <w:abstractNumId w:val="1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0"/>
  </w:num>
  <w:num w:numId="31">
    <w:abstractNumId w:val="19"/>
  </w:num>
  <w:num w:numId="32">
    <w:abstractNumId w:val="7"/>
  </w:num>
  <w:num w:numId="33">
    <w:abstractNumId w:val="35"/>
  </w:num>
  <w:num w:numId="34">
    <w:abstractNumId w:val="5"/>
  </w:num>
  <w:num w:numId="35">
    <w:abstractNumId w:val="1"/>
  </w:num>
  <w:num w:numId="36">
    <w:abstractNumId w:val="11"/>
  </w:num>
  <w:num w:numId="37">
    <w:abstractNumId w:val="22"/>
  </w:num>
  <w:num w:numId="38">
    <w:abstractNumId w:val="28"/>
  </w:num>
  <w:num w:numId="3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savePreviewPicture/>
  <w:hdrShapeDefaults>
    <o:shapedefaults v:ext="edit" spidmax="2049" style="mso-position-horizontal:left" o:allowincell="f" fillcolor="none [2412]">
      <v:fill color="none [2412]"/>
      <v:stroke weight=".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6B"/>
    <w:rsid w:val="000003DC"/>
    <w:rsid w:val="00000453"/>
    <w:rsid w:val="00000796"/>
    <w:rsid w:val="00000A02"/>
    <w:rsid w:val="000010E8"/>
    <w:rsid w:val="00001106"/>
    <w:rsid w:val="000013DA"/>
    <w:rsid w:val="000013EC"/>
    <w:rsid w:val="000014D4"/>
    <w:rsid w:val="000017C7"/>
    <w:rsid w:val="0000187A"/>
    <w:rsid w:val="000018A9"/>
    <w:rsid w:val="000024ED"/>
    <w:rsid w:val="00002683"/>
    <w:rsid w:val="00002A1A"/>
    <w:rsid w:val="00002C25"/>
    <w:rsid w:val="00002CBB"/>
    <w:rsid w:val="00002D96"/>
    <w:rsid w:val="00002F29"/>
    <w:rsid w:val="000031AC"/>
    <w:rsid w:val="000032FE"/>
    <w:rsid w:val="00003F14"/>
    <w:rsid w:val="00004574"/>
    <w:rsid w:val="00004955"/>
    <w:rsid w:val="0000525F"/>
    <w:rsid w:val="00005C4D"/>
    <w:rsid w:val="00005ECA"/>
    <w:rsid w:val="00006440"/>
    <w:rsid w:val="00006534"/>
    <w:rsid w:val="000068C5"/>
    <w:rsid w:val="000078C0"/>
    <w:rsid w:val="00007C33"/>
    <w:rsid w:val="000102B0"/>
    <w:rsid w:val="00010736"/>
    <w:rsid w:val="0001101C"/>
    <w:rsid w:val="000112F6"/>
    <w:rsid w:val="00011423"/>
    <w:rsid w:val="000114A5"/>
    <w:rsid w:val="00011642"/>
    <w:rsid w:val="00011EE3"/>
    <w:rsid w:val="00011FCE"/>
    <w:rsid w:val="00012335"/>
    <w:rsid w:val="0001239C"/>
    <w:rsid w:val="0001272B"/>
    <w:rsid w:val="000127E0"/>
    <w:rsid w:val="00012D77"/>
    <w:rsid w:val="000130F4"/>
    <w:rsid w:val="00013718"/>
    <w:rsid w:val="00013B99"/>
    <w:rsid w:val="00013F59"/>
    <w:rsid w:val="00014EFF"/>
    <w:rsid w:val="00014F36"/>
    <w:rsid w:val="0001520C"/>
    <w:rsid w:val="000154B1"/>
    <w:rsid w:val="00015C0D"/>
    <w:rsid w:val="00015DEB"/>
    <w:rsid w:val="00016421"/>
    <w:rsid w:val="00016615"/>
    <w:rsid w:val="0001668E"/>
    <w:rsid w:val="000168CD"/>
    <w:rsid w:val="00016B20"/>
    <w:rsid w:val="000171A7"/>
    <w:rsid w:val="000177E8"/>
    <w:rsid w:val="000178C5"/>
    <w:rsid w:val="00017B27"/>
    <w:rsid w:val="00017BFC"/>
    <w:rsid w:val="00020059"/>
    <w:rsid w:val="000200E7"/>
    <w:rsid w:val="0002101F"/>
    <w:rsid w:val="0002104D"/>
    <w:rsid w:val="00021327"/>
    <w:rsid w:val="0002139A"/>
    <w:rsid w:val="00021BDE"/>
    <w:rsid w:val="000223A8"/>
    <w:rsid w:val="00022450"/>
    <w:rsid w:val="000224CF"/>
    <w:rsid w:val="00022783"/>
    <w:rsid w:val="00022C73"/>
    <w:rsid w:val="000231C4"/>
    <w:rsid w:val="00023675"/>
    <w:rsid w:val="000236DF"/>
    <w:rsid w:val="00023F48"/>
    <w:rsid w:val="00023F63"/>
    <w:rsid w:val="00024142"/>
    <w:rsid w:val="000241E8"/>
    <w:rsid w:val="000245E2"/>
    <w:rsid w:val="00024BC4"/>
    <w:rsid w:val="000254B2"/>
    <w:rsid w:val="000254F6"/>
    <w:rsid w:val="00025C07"/>
    <w:rsid w:val="00025C45"/>
    <w:rsid w:val="00026149"/>
    <w:rsid w:val="000264CA"/>
    <w:rsid w:val="000265D7"/>
    <w:rsid w:val="00027424"/>
    <w:rsid w:val="000274A8"/>
    <w:rsid w:val="000274C1"/>
    <w:rsid w:val="000278DD"/>
    <w:rsid w:val="00027CF1"/>
    <w:rsid w:val="0003017A"/>
    <w:rsid w:val="000301E3"/>
    <w:rsid w:val="00030553"/>
    <w:rsid w:val="000305F2"/>
    <w:rsid w:val="00030690"/>
    <w:rsid w:val="00030E7D"/>
    <w:rsid w:val="0003177D"/>
    <w:rsid w:val="00031F31"/>
    <w:rsid w:val="0003217E"/>
    <w:rsid w:val="000323CA"/>
    <w:rsid w:val="00032977"/>
    <w:rsid w:val="000329B4"/>
    <w:rsid w:val="00032AC7"/>
    <w:rsid w:val="00032EAE"/>
    <w:rsid w:val="0003311A"/>
    <w:rsid w:val="000336AB"/>
    <w:rsid w:val="00033A21"/>
    <w:rsid w:val="00033FDA"/>
    <w:rsid w:val="0003435D"/>
    <w:rsid w:val="00034471"/>
    <w:rsid w:val="000344F1"/>
    <w:rsid w:val="00034CCB"/>
    <w:rsid w:val="00035482"/>
    <w:rsid w:val="00035552"/>
    <w:rsid w:val="00035BE2"/>
    <w:rsid w:val="00036668"/>
    <w:rsid w:val="0003740D"/>
    <w:rsid w:val="0003766E"/>
    <w:rsid w:val="0004029A"/>
    <w:rsid w:val="00040614"/>
    <w:rsid w:val="00040829"/>
    <w:rsid w:val="00040A72"/>
    <w:rsid w:val="00040E0F"/>
    <w:rsid w:val="0004126A"/>
    <w:rsid w:val="00041422"/>
    <w:rsid w:val="0004167D"/>
    <w:rsid w:val="00041976"/>
    <w:rsid w:val="00041C92"/>
    <w:rsid w:val="00041DAA"/>
    <w:rsid w:val="00042258"/>
    <w:rsid w:val="00042391"/>
    <w:rsid w:val="00042548"/>
    <w:rsid w:val="000429DA"/>
    <w:rsid w:val="00042BD7"/>
    <w:rsid w:val="00042D39"/>
    <w:rsid w:val="000430C5"/>
    <w:rsid w:val="00043F90"/>
    <w:rsid w:val="000442B6"/>
    <w:rsid w:val="00044464"/>
    <w:rsid w:val="000449FC"/>
    <w:rsid w:val="00044BEC"/>
    <w:rsid w:val="0004507F"/>
    <w:rsid w:val="00045296"/>
    <w:rsid w:val="0004532B"/>
    <w:rsid w:val="0004541D"/>
    <w:rsid w:val="0004569B"/>
    <w:rsid w:val="00045795"/>
    <w:rsid w:val="00045AF4"/>
    <w:rsid w:val="00045E2A"/>
    <w:rsid w:val="00045ED0"/>
    <w:rsid w:val="00045FCD"/>
    <w:rsid w:val="000464F6"/>
    <w:rsid w:val="00046831"/>
    <w:rsid w:val="00046E3B"/>
    <w:rsid w:val="00047328"/>
    <w:rsid w:val="00047419"/>
    <w:rsid w:val="00047761"/>
    <w:rsid w:val="00047BE6"/>
    <w:rsid w:val="00047CC6"/>
    <w:rsid w:val="000502EB"/>
    <w:rsid w:val="0005039F"/>
    <w:rsid w:val="0005066C"/>
    <w:rsid w:val="00050894"/>
    <w:rsid w:val="00050B0E"/>
    <w:rsid w:val="00050BA1"/>
    <w:rsid w:val="000511A2"/>
    <w:rsid w:val="000512EC"/>
    <w:rsid w:val="00051358"/>
    <w:rsid w:val="00051536"/>
    <w:rsid w:val="0005164E"/>
    <w:rsid w:val="00051824"/>
    <w:rsid w:val="00051D1F"/>
    <w:rsid w:val="00051E32"/>
    <w:rsid w:val="00051EBC"/>
    <w:rsid w:val="00051ED5"/>
    <w:rsid w:val="00052113"/>
    <w:rsid w:val="000521C2"/>
    <w:rsid w:val="00052398"/>
    <w:rsid w:val="000527B7"/>
    <w:rsid w:val="000527E6"/>
    <w:rsid w:val="00052800"/>
    <w:rsid w:val="000528B0"/>
    <w:rsid w:val="00052E39"/>
    <w:rsid w:val="00052F2A"/>
    <w:rsid w:val="00053256"/>
    <w:rsid w:val="00053393"/>
    <w:rsid w:val="000534B6"/>
    <w:rsid w:val="00053566"/>
    <w:rsid w:val="000536C6"/>
    <w:rsid w:val="000538AC"/>
    <w:rsid w:val="00053D16"/>
    <w:rsid w:val="0005445E"/>
    <w:rsid w:val="00054586"/>
    <w:rsid w:val="0005491D"/>
    <w:rsid w:val="00054E94"/>
    <w:rsid w:val="00054F1E"/>
    <w:rsid w:val="000556BA"/>
    <w:rsid w:val="0005574A"/>
    <w:rsid w:val="00055F09"/>
    <w:rsid w:val="00055FC2"/>
    <w:rsid w:val="000570B1"/>
    <w:rsid w:val="000577CC"/>
    <w:rsid w:val="0005796F"/>
    <w:rsid w:val="00057A38"/>
    <w:rsid w:val="00057E11"/>
    <w:rsid w:val="00060A73"/>
    <w:rsid w:val="00060C05"/>
    <w:rsid w:val="00060DDC"/>
    <w:rsid w:val="0006112C"/>
    <w:rsid w:val="00061395"/>
    <w:rsid w:val="00061405"/>
    <w:rsid w:val="00062314"/>
    <w:rsid w:val="00062D4E"/>
    <w:rsid w:val="00062F86"/>
    <w:rsid w:val="00063049"/>
    <w:rsid w:val="000630E3"/>
    <w:rsid w:val="0006352E"/>
    <w:rsid w:val="0006355D"/>
    <w:rsid w:val="00063F5F"/>
    <w:rsid w:val="000641ED"/>
    <w:rsid w:val="00064497"/>
    <w:rsid w:val="00064536"/>
    <w:rsid w:val="00064977"/>
    <w:rsid w:val="00064D75"/>
    <w:rsid w:val="000650AD"/>
    <w:rsid w:val="00065A6B"/>
    <w:rsid w:val="000660BB"/>
    <w:rsid w:val="000661A7"/>
    <w:rsid w:val="00066423"/>
    <w:rsid w:val="00066453"/>
    <w:rsid w:val="000665B1"/>
    <w:rsid w:val="00066606"/>
    <w:rsid w:val="00066C3C"/>
    <w:rsid w:val="00066D0E"/>
    <w:rsid w:val="00066D10"/>
    <w:rsid w:val="00066DC5"/>
    <w:rsid w:val="00066FCC"/>
    <w:rsid w:val="0006760C"/>
    <w:rsid w:val="00067B6D"/>
    <w:rsid w:val="00067B86"/>
    <w:rsid w:val="000700FC"/>
    <w:rsid w:val="000701AD"/>
    <w:rsid w:val="000705AA"/>
    <w:rsid w:val="0007085C"/>
    <w:rsid w:val="0007095B"/>
    <w:rsid w:val="00070E0E"/>
    <w:rsid w:val="00070E82"/>
    <w:rsid w:val="00071260"/>
    <w:rsid w:val="000717F5"/>
    <w:rsid w:val="00071B1A"/>
    <w:rsid w:val="0007218E"/>
    <w:rsid w:val="00072ADC"/>
    <w:rsid w:val="00072B81"/>
    <w:rsid w:val="00072C3F"/>
    <w:rsid w:val="00072C62"/>
    <w:rsid w:val="00073289"/>
    <w:rsid w:val="00073B21"/>
    <w:rsid w:val="00073E3E"/>
    <w:rsid w:val="00073EB4"/>
    <w:rsid w:val="000740E2"/>
    <w:rsid w:val="000741B8"/>
    <w:rsid w:val="0007429D"/>
    <w:rsid w:val="00074627"/>
    <w:rsid w:val="00074BA1"/>
    <w:rsid w:val="00075544"/>
    <w:rsid w:val="000759E8"/>
    <w:rsid w:val="000763E2"/>
    <w:rsid w:val="00076E15"/>
    <w:rsid w:val="0007738F"/>
    <w:rsid w:val="00077674"/>
    <w:rsid w:val="0008239F"/>
    <w:rsid w:val="00082431"/>
    <w:rsid w:val="0008295A"/>
    <w:rsid w:val="00082F98"/>
    <w:rsid w:val="0008307D"/>
    <w:rsid w:val="0008350D"/>
    <w:rsid w:val="000837BD"/>
    <w:rsid w:val="00084456"/>
    <w:rsid w:val="00084D85"/>
    <w:rsid w:val="000850DF"/>
    <w:rsid w:val="00085178"/>
    <w:rsid w:val="0008528C"/>
    <w:rsid w:val="000855BC"/>
    <w:rsid w:val="00085855"/>
    <w:rsid w:val="00086829"/>
    <w:rsid w:val="000868E2"/>
    <w:rsid w:val="000875C5"/>
    <w:rsid w:val="00087673"/>
    <w:rsid w:val="00087A30"/>
    <w:rsid w:val="00087B5E"/>
    <w:rsid w:val="00087C70"/>
    <w:rsid w:val="00087CDA"/>
    <w:rsid w:val="00090050"/>
    <w:rsid w:val="00090A86"/>
    <w:rsid w:val="000910F5"/>
    <w:rsid w:val="0009185B"/>
    <w:rsid w:val="00091C32"/>
    <w:rsid w:val="00092439"/>
    <w:rsid w:val="00092F32"/>
    <w:rsid w:val="0009350E"/>
    <w:rsid w:val="00093662"/>
    <w:rsid w:val="0009411B"/>
    <w:rsid w:val="000947AB"/>
    <w:rsid w:val="000948FF"/>
    <w:rsid w:val="00094910"/>
    <w:rsid w:val="00094FA3"/>
    <w:rsid w:val="0009575C"/>
    <w:rsid w:val="000957AA"/>
    <w:rsid w:val="000958FB"/>
    <w:rsid w:val="00095900"/>
    <w:rsid w:val="00095AF3"/>
    <w:rsid w:val="00096699"/>
    <w:rsid w:val="00096BA1"/>
    <w:rsid w:val="00096C92"/>
    <w:rsid w:val="0009701E"/>
    <w:rsid w:val="00097504"/>
    <w:rsid w:val="0009759D"/>
    <w:rsid w:val="0009793B"/>
    <w:rsid w:val="00097BAC"/>
    <w:rsid w:val="00097CF2"/>
    <w:rsid w:val="000A014E"/>
    <w:rsid w:val="000A02CE"/>
    <w:rsid w:val="000A031E"/>
    <w:rsid w:val="000A0376"/>
    <w:rsid w:val="000A04BD"/>
    <w:rsid w:val="000A09FB"/>
    <w:rsid w:val="000A1036"/>
    <w:rsid w:val="000A1BF4"/>
    <w:rsid w:val="000A1C7D"/>
    <w:rsid w:val="000A2093"/>
    <w:rsid w:val="000A2293"/>
    <w:rsid w:val="000A273E"/>
    <w:rsid w:val="000A2C7B"/>
    <w:rsid w:val="000A33E7"/>
    <w:rsid w:val="000A383E"/>
    <w:rsid w:val="000A384E"/>
    <w:rsid w:val="000A3B47"/>
    <w:rsid w:val="000A4124"/>
    <w:rsid w:val="000A45CC"/>
    <w:rsid w:val="000A48E6"/>
    <w:rsid w:val="000A4BF3"/>
    <w:rsid w:val="000A4C31"/>
    <w:rsid w:val="000A4F47"/>
    <w:rsid w:val="000A5663"/>
    <w:rsid w:val="000A58D8"/>
    <w:rsid w:val="000A5A49"/>
    <w:rsid w:val="000A5D5A"/>
    <w:rsid w:val="000A5DAD"/>
    <w:rsid w:val="000A5E6A"/>
    <w:rsid w:val="000A632A"/>
    <w:rsid w:val="000A638F"/>
    <w:rsid w:val="000A67C4"/>
    <w:rsid w:val="000A68AD"/>
    <w:rsid w:val="000A6902"/>
    <w:rsid w:val="000A6CF3"/>
    <w:rsid w:val="000A70C2"/>
    <w:rsid w:val="000A7752"/>
    <w:rsid w:val="000B00DC"/>
    <w:rsid w:val="000B01B6"/>
    <w:rsid w:val="000B049E"/>
    <w:rsid w:val="000B0877"/>
    <w:rsid w:val="000B0903"/>
    <w:rsid w:val="000B0D5A"/>
    <w:rsid w:val="000B0E26"/>
    <w:rsid w:val="000B1633"/>
    <w:rsid w:val="000B1660"/>
    <w:rsid w:val="000B1880"/>
    <w:rsid w:val="000B19D8"/>
    <w:rsid w:val="000B1C5A"/>
    <w:rsid w:val="000B1ECF"/>
    <w:rsid w:val="000B222D"/>
    <w:rsid w:val="000B261F"/>
    <w:rsid w:val="000B2B1E"/>
    <w:rsid w:val="000B3539"/>
    <w:rsid w:val="000B35A2"/>
    <w:rsid w:val="000B381C"/>
    <w:rsid w:val="000B3BAA"/>
    <w:rsid w:val="000B3FD6"/>
    <w:rsid w:val="000B4467"/>
    <w:rsid w:val="000B4B3C"/>
    <w:rsid w:val="000B4E0D"/>
    <w:rsid w:val="000B5236"/>
    <w:rsid w:val="000B572D"/>
    <w:rsid w:val="000B57C2"/>
    <w:rsid w:val="000B57D6"/>
    <w:rsid w:val="000B5819"/>
    <w:rsid w:val="000B5EE7"/>
    <w:rsid w:val="000B65C8"/>
    <w:rsid w:val="000B6DCF"/>
    <w:rsid w:val="000B723A"/>
    <w:rsid w:val="000B7480"/>
    <w:rsid w:val="000B7539"/>
    <w:rsid w:val="000B75C5"/>
    <w:rsid w:val="000B7757"/>
    <w:rsid w:val="000B7E0D"/>
    <w:rsid w:val="000C02F6"/>
    <w:rsid w:val="000C0873"/>
    <w:rsid w:val="000C1C0B"/>
    <w:rsid w:val="000C1F20"/>
    <w:rsid w:val="000C2383"/>
    <w:rsid w:val="000C24AD"/>
    <w:rsid w:val="000C281F"/>
    <w:rsid w:val="000C30AE"/>
    <w:rsid w:val="000C3186"/>
    <w:rsid w:val="000C337B"/>
    <w:rsid w:val="000C3420"/>
    <w:rsid w:val="000C35B2"/>
    <w:rsid w:val="000C3AF1"/>
    <w:rsid w:val="000C3D96"/>
    <w:rsid w:val="000C4287"/>
    <w:rsid w:val="000C4323"/>
    <w:rsid w:val="000C45AA"/>
    <w:rsid w:val="000C4864"/>
    <w:rsid w:val="000C4BE9"/>
    <w:rsid w:val="000C4C6B"/>
    <w:rsid w:val="000C5115"/>
    <w:rsid w:val="000C5B15"/>
    <w:rsid w:val="000C5CBA"/>
    <w:rsid w:val="000C6444"/>
    <w:rsid w:val="000C6542"/>
    <w:rsid w:val="000C67AF"/>
    <w:rsid w:val="000C6842"/>
    <w:rsid w:val="000C6E47"/>
    <w:rsid w:val="000C6EBD"/>
    <w:rsid w:val="000C7234"/>
    <w:rsid w:val="000C74DD"/>
    <w:rsid w:val="000C7523"/>
    <w:rsid w:val="000C7635"/>
    <w:rsid w:val="000D0E2B"/>
    <w:rsid w:val="000D1010"/>
    <w:rsid w:val="000D1242"/>
    <w:rsid w:val="000D1718"/>
    <w:rsid w:val="000D1952"/>
    <w:rsid w:val="000D1BC4"/>
    <w:rsid w:val="000D1CB9"/>
    <w:rsid w:val="000D1E96"/>
    <w:rsid w:val="000D1F76"/>
    <w:rsid w:val="000D2178"/>
    <w:rsid w:val="000D2910"/>
    <w:rsid w:val="000D29B5"/>
    <w:rsid w:val="000D2B08"/>
    <w:rsid w:val="000D310B"/>
    <w:rsid w:val="000D34DB"/>
    <w:rsid w:val="000D38A7"/>
    <w:rsid w:val="000D39F4"/>
    <w:rsid w:val="000D3EB4"/>
    <w:rsid w:val="000D4A52"/>
    <w:rsid w:val="000D4DFB"/>
    <w:rsid w:val="000D5095"/>
    <w:rsid w:val="000D51FD"/>
    <w:rsid w:val="000D57C9"/>
    <w:rsid w:val="000D5E25"/>
    <w:rsid w:val="000D60A1"/>
    <w:rsid w:val="000D69FF"/>
    <w:rsid w:val="000D6A3C"/>
    <w:rsid w:val="000D7383"/>
    <w:rsid w:val="000D7B23"/>
    <w:rsid w:val="000E0634"/>
    <w:rsid w:val="000E0691"/>
    <w:rsid w:val="000E0902"/>
    <w:rsid w:val="000E0CDC"/>
    <w:rsid w:val="000E0F36"/>
    <w:rsid w:val="000E10A1"/>
    <w:rsid w:val="000E10A6"/>
    <w:rsid w:val="000E10AF"/>
    <w:rsid w:val="000E1B0A"/>
    <w:rsid w:val="000E1CD3"/>
    <w:rsid w:val="000E2A1A"/>
    <w:rsid w:val="000E2BC1"/>
    <w:rsid w:val="000E2D70"/>
    <w:rsid w:val="000E323D"/>
    <w:rsid w:val="000E38E1"/>
    <w:rsid w:val="000E3FBF"/>
    <w:rsid w:val="000E424F"/>
    <w:rsid w:val="000E4269"/>
    <w:rsid w:val="000E42B6"/>
    <w:rsid w:val="000E432A"/>
    <w:rsid w:val="000E4745"/>
    <w:rsid w:val="000E4C83"/>
    <w:rsid w:val="000E4D54"/>
    <w:rsid w:val="000E50AF"/>
    <w:rsid w:val="000E5317"/>
    <w:rsid w:val="000E55F6"/>
    <w:rsid w:val="000E5D3E"/>
    <w:rsid w:val="000E5E77"/>
    <w:rsid w:val="000E64AC"/>
    <w:rsid w:val="000E64DB"/>
    <w:rsid w:val="000E6592"/>
    <w:rsid w:val="000E6721"/>
    <w:rsid w:val="000E6741"/>
    <w:rsid w:val="000E6A2B"/>
    <w:rsid w:val="000E6A30"/>
    <w:rsid w:val="000E6CCC"/>
    <w:rsid w:val="000E6D10"/>
    <w:rsid w:val="000E70C6"/>
    <w:rsid w:val="000E78D4"/>
    <w:rsid w:val="000E793C"/>
    <w:rsid w:val="000F0161"/>
    <w:rsid w:val="000F0338"/>
    <w:rsid w:val="000F06B9"/>
    <w:rsid w:val="000F0786"/>
    <w:rsid w:val="000F0D44"/>
    <w:rsid w:val="000F14F5"/>
    <w:rsid w:val="000F1C73"/>
    <w:rsid w:val="000F1C79"/>
    <w:rsid w:val="000F1EF9"/>
    <w:rsid w:val="000F2260"/>
    <w:rsid w:val="000F23AA"/>
    <w:rsid w:val="000F24B7"/>
    <w:rsid w:val="000F2969"/>
    <w:rsid w:val="000F29D2"/>
    <w:rsid w:val="000F2B04"/>
    <w:rsid w:val="000F3195"/>
    <w:rsid w:val="000F3470"/>
    <w:rsid w:val="000F39BC"/>
    <w:rsid w:val="000F3F2F"/>
    <w:rsid w:val="000F40F2"/>
    <w:rsid w:val="000F46D5"/>
    <w:rsid w:val="000F4E65"/>
    <w:rsid w:val="000F4F48"/>
    <w:rsid w:val="000F5850"/>
    <w:rsid w:val="000F5A90"/>
    <w:rsid w:val="000F5CC6"/>
    <w:rsid w:val="000F5EA2"/>
    <w:rsid w:val="000F5F21"/>
    <w:rsid w:val="000F5FF6"/>
    <w:rsid w:val="000F6146"/>
    <w:rsid w:val="000F6492"/>
    <w:rsid w:val="000F662E"/>
    <w:rsid w:val="000F673B"/>
    <w:rsid w:val="000F6A93"/>
    <w:rsid w:val="000F6D77"/>
    <w:rsid w:val="000F6DED"/>
    <w:rsid w:val="000F7E8C"/>
    <w:rsid w:val="001003B7"/>
    <w:rsid w:val="00100520"/>
    <w:rsid w:val="00100B0E"/>
    <w:rsid w:val="00101D4E"/>
    <w:rsid w:val="00102026"/>
    <w:rsid w:val="001024A9"/>
    <w:rsid w:val="0010351A"/>
    <w:rsid w:val="00103557"/>
    <w:rsid w:val="00103755"/>
    <w:rsid w:val="00103BA3"/>
    <w:rsid w:val="00104212"/>
    <w:rsid w:val="00104216"/>
    <w:rsid w:val="001047E7"/>
    <w:rsid w:val="00104B85"/>
    <w:rsid w:val="00104CCB"/>
    <w:rsid w:val="00104E95"/>
    <w:rsid w:val="00104EBF"/>
    <w:rsid w:val="00104F4E"/>
    <w:rsid w:val="00104FE9"/>
    <w:rsid w:val="00105DD2"/>
    <w:rsid w:val="001063B1"/>
    <w:rsid w:val="00106714"/>
    <w:rsid w:val="0010713E"/>
    <w:rsid w:val="0010744C"/>
    <w:rsid w:val="00107585"/>
    <w:rsid w:val="00107C58"/>
    <w:rsid w:val="001103BA"/>
    <w:rsid w:val="00110ABB"/>
    <w:rsid w:val="00110C0E"/>
    <w:rsid w:val="0011107F"/>
    <w:rsid w:val="001113C5"/>
    <w:rsid w:val="001114F4"/>
    <w:rsid w:val="0011179D"/>
    <w:rsid w:val="0011193E"/>
    <w:rsid w:val="00111979"/>
    <w:rsid w:val="00112865"/>
    <w:rsid w:val="00113273"/>
    <w:rsid w:val="001132BE"/>
    <w:rsid w:val="00114072"/>
    <w:rsid w:val="00114151"/>
    <w:rsid w:val="00114A07"/>
    <w:rsid w:val="00114B26"/>
    <w:rsid w:val="00114BB7"/>
    <w:rsid w:val="00114E4B"/>
    <w:rsid w:val="001150E1"/>
    <w:rsid w:val="0011545C"/>
    <w:rsid w:val="00115C64"/>
    <w:rsid w:val="00116390"/>
    <w:rsid w:val="00116517"/>
    <w:rsid w:val="0011667B"/>
    <w:rsid w:val="001166F8"/>
    <w:rsid w:val="00117A5B"/>
    <w:rsid w:val="00117BE9"/>
    <w:rsid w:val="00117F08"/>
    <w:rsid w:val="00120783"/>
    <w:rsid w:val="00121065"/>
    <w:rsid w:val="001218D8"/>
    <w:rsid w:val="00121C9C"/>
    <w:rsid w:val="00121F42"/>
    <w:rsid w:val="00122479"/>
    <w:rsid w:val="00122900"/>
    <w:rsid w:val="001232EE"/>
    <w:rsid w:val="0012371B"/>
    <w:rsid w:val="001238A4"/>
    <w:rsid w:val="00123D0F"/>
    <w:rsid w:val="00123D90"/>
    <w:rsid w:val="001241C5"/>
    <w:rsid w:val="0012445C"/>
    <w:rsid w:val="001247CF"/>
    <w:rsid w:val="00124DB0"/>
    <w:rsid w:val="00124F57"/>
    <w:rsid w:val="0012574E"/>
    <w:rsid w:val="0012584E"/>
    <w:rsid w:val="00125ECB"/>
    <w:rsid w:val="0012621D"/>
    <w:rsid w:val="001263C4"/>
    <w:rsid w:val="0012650A"/>
    <w:rsid w:val="0012664C"/>
    <w:rsid w:val="00126A27"/>
    <w:rsid w:val="00126C95"/>
    <w:rsid w:val="00126D8A"/>
    <w:rsid w:val="00126F33"/>
    <w:rsid w:val="0012742C"/>
    <w:rsid w:val="00127A2B"/>
    <w:rsid w:val="00127B39"/>
    <w:rsid w:val="00127DBD"/>
    <w:rsid w:val="00127DE7"/>
    <w:rsid w:val="0013026B"/>
    <w:rsid w:val="00130325"/>
    <w:rsid w:val="00130A96"/>
    <w:rsid w:val="00130BCB"/>
    <w:rsid w:val="0013133E"/>
    <w:rsid w:val="0013143F"/>
    <w:rsid w:val="0013156E"/>
    <w:rsid w:val="001316F2"/>
    <w:rsid w:val="00131D15"/>
    <w:rsid w:val="00132474"/>
    <w:rsid w:val="00132773"/>
    <w:rsid w:val="00133236"/>
    <w:rsid w:val="001334DD"/>
    <w:rsid w:val="0013378E"/>
    <w:rsid w:val="00133865"/>
    <w:rsid w:val="0013416E"/>
    <w:rsid w:val="001344C4"/>
    <w:rsid w:val="00134554"/>
    <w:rsid w:val="00135081"/>
    <w:rsid w:val="00135EC2"/>
    <w:rsid w:val="00135EFB"/>
    <w:rsid w:val="001366C4"/>
    <w:rsid w:val="00136CB3"/>
    <w:rsid w:val="00137F4F"/>
    <w:rsid w:val="00137F60"/>
    <w:rsid w:val="001400B4"/>
    <w:rsid w:val="00140163"/>
    <w:rsid w:val="001401C5"/>
    <w:rsid w:val="00140724"/>
    <w:rsid w:val="00140D94"/>
    <w:rsid w:val="001412F4"/>
    <w:rsid w:val="00141398"/>
    <w:rsid w:val="001413A6"/>
    <w:rsid w:val="00141931"/>
    <w:rsid w:val="00141EC4"/>
    <w:rsid w:val="0014253B"/>
    <w:rsid w:val="001426C0"/>
    <w:rsid w:val="00142807"/>
    <w:rsid w:val="00142AC7"/>
    <w:rsid w:val="0014375E"/>
    <w:rsid w:val="00143812"/>
    <w:rsid w:val="00143A58"/>
    <w:rsid w:val="0014436A"/>
    <w:rsid w:val="00144753"/>
    <w:rsid w:val="001447A2"/>
    <w:rsid w:val="00144D15"/>
    <w:rsid w:val="00145689"/>
    <w:rsid w:val="00145736"/>
    <w:rsid w:val="00145A68"/>
    <w:rsid w:val="00145EE7"/>
    <w:rsid w:val="00146176"/>
    <w:rsid w:val="0014625B"/>
    <w:rsid w:val="0014667B"/>
    <w:rsid w:val="00146A9C"/>
    <w:rsid w:val="00146E2C"/>
    <w:rsid w:val="0014712A"/>
    <w:rsid w:val="001473B9"/>
    <w:rsid w:val="00147693"/>
    <w:rsid w:val="00147749"/>
    <w:rsid w:val="00147CA9"/>
    <w:rsid w:val="0015088A"/>
    <w:rsid w:val="00150A5F"/>
    <w:rsid w:val="00150C62"/>
    <w:rsid w:val="00150EFE"/>
    <w:rsid w:val="0015104F"/>
    <w:rsid w:val="001510B8"/>
    <w:rsid w:val="0015185C"/>
    <w:rsid w:val="00151A78"/>
    <w:rsid w:val="00152128"/>
    <w:rsid w:val="0015214D"/>
    <w:rsid w:val="00152D03"/>
    <w:rsid w:val="00152F99"/>
    <w:rsid w:val="00153288"/>
    <w:rsid w:val="00153ACE"/>
    <w:rsid w:val="001542D6"/>
    <w:rsid w:val="00154351"/>
    <w:rsid w:val="001543DE"/>
    <w:rsid w:val="001543E7"/>
    <w:rsid w:val="0015458D"/>
    <w:rsid w:val="00154F40"/>
    <w:rsid w:val="0015513D"/>
    <w:rsid w:val="00155393"/>
    <w:rsid w:val="00155525"/>
    <w:rsid w:val="00155AD0"/>
    <w:rsid w:val="00155B77"/>
    <w:rsid w:val="00155C32"/>
    <w:rsid w:val="00156601"/>
    <w:rsid w:val="0015688E"/>
    <w:rsid w:val="00156C7D"/>
    <w:rsid w:val="0015712D"/>
    <w:rsid w:val="001575B9"/>
    <w:rsid w:val="001577FB"/>
    <w:rsid w:val="001579B8"/>
    <w:rsid w:val="001609AD"/>
    <w:rsid w:val="00160A9C"/>
    <w:rsid w:val="00160B43"/>
    <w:rsid w:val="00160C87"/>
    <w:rsid w:val="00160F26"/>
    <w:rsid w:val="00160FD4"/>
    <w:rsid w:val="0016124F"/>
    <w:rsid w:val="001612F4"/>
    <w:rsid w:val="00161701"/>
    <w:rsid w:val="001617D1"/>
    <w:rsid w:val="001621C8"/>
    <w:rsid w:val="001627D1"/>
    <w:rsid w:val="00162878"/>
    <w:rsid w:val="00162C6C"/>
    <w:rsid w:val="00162CDF"/>
    <w:rsid w:val="00162FCC"/>
    <w:rsid w:val="0016325B"/>
    <w:rsid w:val="00163767"/>
    <w:rsid w:val="00163949"/>
    <w:rsid w:val="00163B99"/>
    <w:rsid w:val="00164D8A"/>
    <w:rsid w:val="00164FAA"/>
    <w:rsid w:val="00165022"/>
    <w:rsid w:val="00165094"/>
    <w:rsid w:val="00165165"/>
    <w:rsid w:val="00165884"/>
    <w:rsid w:val="00165DE0"/>
    <w:rsid w:val="00165DFB"/>
    <w:rsid w:val="00166684"/>
    <w:rsid w:val="001673A6"/>
    <w:rsid w:val="0017006D"/>
    <w:rsid w:val="001701C0"/>
    <w:rsid w:val="0017049D"/>
    <w:rsid w:val="00170E3B"/>
    <w:rsid w:val="00170F33"/>
    <w:rsid w:val="00171121"/>
    <w:rsid w:val="001711C1"/>
    <w:rsid w:val="0017128E"/>
    <w:rsid w:val="00171AEB"/>
    <w:rsid w:val="00171E14"/>
    <w:rsid w:val="0017204B"/>
    <w:rsid w:val="00172077"/>
    <w:rsid w:val="0017224E"/>
    <w:rsid w:val="00172DC9"/>
    <w:rsid w:val="00172F63"/>
    <w:rsid w:val="00173522"/>
    <w:rsid w:val="00173C8A"/>
    <w:rsid w:val="00174C8D"/>
    <w:rsid w:val="00174EA1"/>
    <w:rsid w:val="0017520B"/>
    <w:rsid w:val="0017528B"/>
    <w:rsid w:val="001756A8"/>
    <w:rsid w:val="00175708"/>
    <w:rsid w:val="0017580D"/>
    <w:rsid w:val="00176E72"/>
    <w:rsid w:val="0017750E"/>
    <w:rsid w:val="001777A7"/>
    <w:rsid w:val="00177C5E"/>
    <w:rsid w:val="00177F14"/>
    <w:rsid w:val="001805C8"/>
    <w:rsid w:val="00180E14"/>
    <w:rsid w:val="00181396"/>
    <w:rsid w:val="001817C9"/>
    <w:rsid w:val="001819B1"/>
    <w:rsid w:val="00181E95"/>
    <w:rsid w:val="00182272"/>
    <w:rsid w:val="00182B1B"/>
    <w:rsid w:val="00183124"/>
    <w:rsid w:val="00183976"/>
    <w:rsid w:val="00183B79"/>
    <w:rsid w:val="00183F96"/>
    <w:rsid w:val="00183FF9"/>
    <w:rsid w:val="001844E1"/>
    <w:rsid w:val="0018454F"/>
    <w:rsid w:val="00184987"/>
    <w:rsid w:val="001849D1"/>
    <w:rsid w:val="00184A1B"/>
    <w:rsid w:val="00184E84"/>
    <w:rsid w:val="00185B67"/>
    <w:rsid w:val="00185B7E"/>
    <w:rsid w:val="00185C41"/>
    <w:rsid w:val="00185F1F"/>
    <w:rsid w:val="00186006"/>
    <w:rsid w:val="00186286"/>
    <w:rsid w:val="001867E4"/>
    <w:rsid w:val="00187831"/>
    <w:rsid w:val="00187A84"/>
    <w:rsid w:val="00190E7D"/>
    <w:rsid w:val="00191833"/>
    <w:rsid w:val="00191AAC"/>
    <w:rsid w:val="00191D59"/>
    <w:rsid w:val="00192233"/>
    <w:rsid w:val="001922FA"/>
    <w:rsid w:val="00192BD0"/>
    <w:rsid w:val="00192EC5"/>
    <w:rsid w:val="001930D5"/>
    <w:rsid w:val="001931D0"/>
    <w:rsid w:val="00193396"/>
    <w:rsid w:val="00193449"/>
    <w:rsid w:val="00193AD4"/>
    <w:rsid w:val="00193C25"/>
    <w:rsid w:val="00193F77"/>
    <w:rsid w:val="00194168"/>
    <w:rsid w:val="00194A4D"/>
    <w:rsid w:val="001953B4"/>
    <w:rsid w:val="001955D8"/>
    <w:rsid w:val="00195E7E"/>
    <w:rsid w:val="00196CF3"/>
    <w:rsid w:val="00196D96"/>
    <w:rsid w:val="00197C3F"/>
    <w:rsid w:val="00197C9C"/>
    <w:rsid w:val="00197D1F"/>
    <w:rsid w:val="00197F2C"/>
    <w:rsid w:val="001A03F4"/>
    <w:rsid w:val="001A083E"/>
    <w:rsid w:val="001A095A"/>
    <w:rsid w:val="001A0E28"/>
    <w:rsid w:val="001A10DC"/>
    <w:rsid w:val="001A1165"/>
    <w:rsid w:val="001A12B1"/>
    <w:rsid w:val="001A1B29"/>
    <w:rsid w:val="001A1EAC"/>
    <w:rsid w:val="001A25D0"/>
    <w:rsid w:val="001A299F"/>
    <w:rsid w:val="001A3E7B"/>
    <w:rsid w:val="001A3F49"/>
    <w:rsid w:val="001A4173"/>
    <w:rsid w:val="001A42C0"/>
    <w:rsid w:val="001A4E7E"/>
    <w:rsid w:val="001A54E6"/>
    <w:rsid w:val="001A558D"/>
    <w:rsid w:val="001A5749"/>
    <w:rsid w:val="001A5CBE"/>
    <w:rsid w:val="001A65EF"/>
    <w:rsid w:val="001A6A04"/>
    <w:rsid w:val="001A6CE7"/>
    <w:rsid w:val="001A79C3"/>
    <w:rsid w:val="001A7D00"/>
    <w:rsid w:val="001B006E"/>
    <w:rsid w:val="001B02ED"/>
    <w:rsid w:val="001B088F"/>
    <w:rsid w:val="001B0C68"/>
    <w:rsid w:val="001B0D34"/>
    <w:rsid w:val="001B1D8C"/>
    <w:rsid w:val="001B22B6"/>
    <w:rsid w:val="001B25F8"/>
    <w:rsid w:val="001B286B"/>
    <w:rsid w:val="001B2E67"/>
    <w:rsid w:val="001B30F6"/>
    <w:rsid w:val="001B3B82"/>
    <w:rsid w:val="001B3DA7"/>
    <w:rsid w:val="001B435D"/>
    <w:rsid w:val="001B4885"/>
    <w:rsid w:val="001B4E1C"/>
    <w:rsid w:val="001B4F3E"/>
    <w:rsid w:val="001B5063"/>
    <w:rsid w:val="001B51AD"/>
    <w:rsid w:val="001B5239"/>
    <w:rsid w:val="001B5416"/>
    <w:rsid w:val="001B5800"/>
    <w:rsid w:val="001B58A7"/>
    <w:rsid w:val="001B5E5E"/>
    <w:rsid w:val="001B61F9"/>
    <w:rsid w:val="001B6851"/>
    <w:rsid w:val="001B68BF"/>
    <w:rsid w:val="001B6948"/>
    <w:rsid w:val="001B6953"/>
    <w:rsid w:val="001B6E09"/>
    <w:rsid w:val="001B76D5"/>
    <w:rsid w:val="001B78F8"/>
    <w:rsid w:val="001B7DA7"/>
    <w:rsid w:val="001C0575"/>
    <w:rsid w:val="001C07CC"/>
    <w:rsid w:val="001C0B6E"/>
    <w:rsid w:val="001C0C51"/>
    <w:rsid w:val="001C0DAB"/>
    <w:rsid w:val="001C0DD1"/>
    <w:rsid w:val="001C13E4"/>
    <w:rsid w:val="001C175D"/>
    <w:rsid w:val="001C1D46"/>
    <w:rsid w:val="001C1D48"/>
    <w:rsid w:val="001C2A1B"/>
    <w:rsid w:val="001C2CBF"/>
    <w:rsid w:val="001C2E1D"/>
    <w:rsid w:val="001C300F"/>
    <w:rsid w:val="001C3440"/>
    <w:rsid w:val="001C36D4"/>
    <w:rsid w:val="001C36E8"/>
    <w:rsid w:val="001C3B0D"/>
    <w:rsid w:val="001C421B"/>
    <w:rsid w:val="001C441D"/>
    <w:rsid w:val="001C4944"/>
    <w:rsid w:val="001C4F7E"/>
    <w:rsid w:val="001C52B8"/>
    <w:rsid w:val="001C54A9"/>
    <w:rsid w:val="001C58EA"/>
    <w:rsid w:val="001C5CB2"/>
    <w:rsid w:val="001C5F4F"/>
    <w:rsid w:val="001C618B"/>
    <w:rsid w:val="001C6547"/>
    <w:rsid w:val="001C6640"/>
    <w:rsid w:val="001C6AAF"/>
    <w:rsid w:val="001C6D5C"/>
    <w:rsid w:val="001C6D92"/>
    <w:rsid w:val="001C6E56"/>
    <w:rsid w:val="001C6E86"/>
    <w:rsid w:val="001C72AE"/>
    <w:rsid w:val="001C7EF9"/>
    <w:rsid w:val="001D09C3"/>
    <w:rsid w:val="001D0C06"/>
    <w:rsid w:val="001D102F"/>
    <w:rsid w:val="001D13E1"/>
    <w:rsid w:val="001D1F49"/>
    <w:rsid w:val="001D1F88"/>
    <w:rsid w:val="001D22E0"/>
    <w:rsid w:val="001D257A"/>
    <w:rsid w:val="001D2701"/>
    <w:rsid w:val="001D299B"/>
    <w:rsid w:val="001D2B22"/>
    <w:rsid w:val="001D2CDE"/>
    <w:rsid w:val="001D34B9"/>
    <w:rsid w:val="001D35A3"/>
    <w:rsid w:val="001D3A24"/>
    <w:rsid w:val="001D3BFF"/>
    <w:rsid w:val="001D3C7A"/>
    <w:rsid w:val="001D430C"/>
    <w:rsid w:val="001D454D"/>
    <w:rsid w:val="001D45E8"/>
    <w:rsid w:val="001D47BC"/>
    <w:rsid w:val="001D4B43"/>
    <w:rsid w:val="001D5457"/>
    <w:rsid w:val="001D598E"/>
    <w:rsid w:val="001D5A1C"/>
    <w:rsid w:val="001D5B22"/>
    <w:rsid w:val="001D5CE1"/>
    <w:rsid w:val="001D5EA7"/>
    <w:rsid w:val="001D6041"/>
    <w:rsid w:val="001D6068"/>
    <w:rsid w:val="001D6788"/>
    <w:rsid w:val="001D67B0"/>
    <w:rsid w:val="001D6B4C"/>
    <w:rsid w:val="001D6E89"/>
    <w:rsid w:val="001D6F71"/>
    <w:rsid w:val="001D72D0"/>
    <w:rsid w:val="001D7BF3"/>
    <w:rsid w:val="001D7C2A"/>
    <w:rsid w:val="001D7E96"/>
    <w:rsid w:val="001D7FBD"/>
    <w:rsid w:val="001E012C"/>
    <w:rsid w:val="001E05A8"/>
    <w:rsid w:val="001E0802"/>
    <w:rsid w:val="001E0E57"/>
    <w:rsid w:val="001E1347"/>
    <w:rsid w:val="001E1530"/>
    <w:rsid w:val="001E163B"/>
    <w:rsid w:val="001E16FB"/>
    <w:rsid w:val="001E1780"/>
    <w:rsid w:val="001E1A18"/>
    <w:rsid w:val="001E21FF"/>
    <w:rsid w:val="001E2596"/>
    <w:rsid w:val="001E259B"/>
    <w:rsid w:val="001E2847"/>
    <w:rsid w:val="001E2B42"/>
    <w:rsid w:val="001E3018"/>
    <w:rsid w:val="001E3C9E"/>
    <w:rsid w:val="001E3D5D"/>
    <w:rsid w:val="001E3E78"/>
    <w:rsid w:val="001E41B8"/>
    <w:rsid w:val="001E4A94"/>
    <w:rsid w:val="001E4B2D"/>
    <w:rsid w:val="001E545E"/>
    <w:rsid w:val="001E54F7"/>
    <w:rsid w:val="001E56F9"/>
    <w:rsid w:val="001E5764"/>
    <w:rsid w:val="001E5778"/>
    <w:rsid w:val="001E5945"/>
    <w:rsid w:val="001E5A36"/>
    <w:rsid w:val="001E5A4F"/>
    <w:rsid w:val="001E5FCA"/>
    <w:rsid w:val="001E6249"/>
    <w:rsid w:val="001E63A7"/>
    <w:rsid w:val="001E63B4"/>
    <w:rsid w:val="001E6419"/>
    <w:rsid w:val="001E6C79"/>
    <w:rsid w:val="001E6F8B"/>
    <w:rsid w:val="001E7720"/>
    <w:rsid w:val="001E7C68"/>
    <w:rsid w:val="001F01C5"/>
    <w:rsid w:val="001F0318"/>
    <w:rsid w:val="001F07A4"/>
    <w:rsid w:val="001F1206"/>
    <w:rsid w:val="001F13D7"/>
    <w:rsid w:val="001F1563"/>
    <w:rsid w:val="001F1948"/>
    <w:rsid w:val="001F19A9"/>
    <w:rsid w:val="001F207C"/>
    <w:rsid w:val="001F20CF"/>
    <w:rsid w:val="001F2279"/>
    <w:rsid w:val="001F2846"/>
    <w:rsid w:val="001F2EA3"/>
    <w:rsid w:val="001F2F3D"/>
    <w:rsid w:val="001F313F"/>
    <w:rsid w:val="001F3740"/>
    <w:rsid w:val="001F37F2"/>
    <w:rsid w:val="001F383F"/>
    <w:rsid w:val="001F3AD5"/>
    <w:rsid w:val="001F444E"/>
    <w:rsid w:val="001F445E"/>
    <w:rsid w:val="001F481A"/>
    <w:rsid w:val="001F4AFB"/>
    <w:rsid w:val="001F4C2A"/>
    <w:rsid w:val="001F50B3"/>
    <w:rsid w:val="001F5110"/>
    <w:rsid w:val="001F54FD"/>
    <w:rsid w:val="001F5514"/>
    <w:rsid w:val="001F68FE"/>
    <w:rsid w:val="001F6992"/>
    <w:rsid w:val="001F6B19"/>
    <w:rsid w:val="001F6CC6"/>
    <w:rsid w:val="001F6DAA"/>
    <w:rsid w:val="001F6DF6"/>
    <w:rsid w:val="001F6E46"/>
    <w:rsid w:val="001F727C"/>
    <w:rsid w:val="001F7417"/>
    <w:rsid w:val="001F7B1C"/>
    <w:rsid w:val="002004FB"/>
    <w:rsid w:val="00200A6F"/>
    <w:rsid w:val="00201333"/>
    <w:rsid w:val="002014D7"/>
    <w:rsid w:val="002017D9"/>
    <w:rsid w:val="00201D89"/>
    <w:rsid w:val="00201F56"/>
    <w:rsid w:val="0020220B"/>
    <w:rsid w:val="002022DE"/>
    <w:rsid w:val="00202654"/>
    <w:rsid w:val="00203045"/>
    <w:rsid w:val="00203AF9"/>
    <w:rsid w:val="00203DE3"/>
    <w:rsid w:val="002040D7"/>
    <w:rsid w:val="002041C8"/>
    <w:rsid w:val="0020446D"/>
    <w:rsid w:val="00204588"/>
    <w:rsid w:val="00204772"/>
    <w:rsid w:val="002052BE"/>
    <w:rsid w:val="0020532F"/>
    <w:rsid w:val="0020547D"/>
    <w:rsid w:val="0020559F"/>
    <w:rsid w:val="0020599E"/>
    <w:rsid w:val="00205B3A"/>
    <w:rsid w:val="00205D39"/>
    <w:rsid w:val="00205D8D"/>
    <w:rsid w:val="00205F13"/>
    <w:rsid w:val="002062C9"/>
    <w:rsid w:val="00206585"/>
    <w:rsid w:val="002067A9"/>
    <w:rsid w:val="00206B5F"/>
    <w:rsid w:val="00206E5B"/>
    <w:rsid w:val="00206F61"/>
    <w:rsid w:val="00206F75"/>
    <w:rsid w:val="002074EB"/>
    <w:rsid w:val="0020768E"/>
    <w:rsid w:val="00207797"/>
    <w:rsid w:val="00207B31"/>
    <w:rsid w:val="00207F33"/>
    <w:rsid w:val="00210935"/>
    <w:rsid w:val="00210A62"/>
    <w:rsid w:val="00210F79"/>
    <w:rsid w:val="00211158"/>
    <w:rsid w:val="00211F7F"/>
    <w:rsid w:val="00212361"/>
    <w:rsid w:val="00212658"/>
    <w:rsid w:val="00212A32"/>
    <w:rsid w:val="00212DA5"/>
    <w:rsid w:val="00213012"/>
    <w:rsid w:val="002134CD"/>
    <w:rsid w:val="00213B72"/>
    <w:rsid w:val="00213F27"/>
    <w:rsid w:val="00213F38"/>
    <w:rsid w:val="00214226"/>
    <w:rsid w:val="0021455A"/>
    <w:rsid w:val="00214801"/>
    <w:rsid w:val="002149A1"/>
    <w:rsid w:val="002158BE"/>
    <w:rsid w:val="00216D9B"/>
    <w:rsid w:val="00216E22"/>
    <w:rsid w:val="002176AE"/>
    <w:rsid w:val="00217D51"/>
    <w:rsid w:val="00217F3F"/>
    <w:rsid w:val="00220650"/>
    <w:rsid w:val="00220701"/>
    <w:rsid w:val="00220783"/>
    <w:rsid w:val="002207C2"/>
    <w:rsid w:val="00220A22"/>
    <w:rsid w:val="00220DEF"/>
    <w:rsid w:val="002212B4"/>
    <w:rsid w:val="002213A8"/>
    <w:rsid w:val="00221554"/>
    <w:rsid w:val="00221916"/>
    <w:rsid w:val="0022198F"/>
    <w:rsid w:val="002223EF"/>
    <w:rsid w:val="0022275E"/>
    <w:rsid w:val="00222AFA"/>
    <w:rsid w:val="00222BFF"/>
    <w:rsid w:val="0022316F"/>
    <w:rsid w:val="002233BE"/>
    <w:rsid w:val="00223A81"/>
    <w:rsid w:val="00223C88"/>
    <w:rsid w:val="00223D5E"/>
    <w:rsid w:val="00224524"/>
    <w:rsid w:val="00224607"/>
    <w:rsid w:val="0022477F"/>
    <w:rsid w:val="0022487A"/>
    <w:rsid w:val="00225452"/>
    <w:rsid w:val="002255D3"/>
    <w:rsid w:val="00225DD7"/>
    <w:rsid w:val="00225FFE"/>
    <w:rsid w:val="00226461"/>
    <w:rsid w:val="00226494"/>
    <w:rsid w:val="00226705"/>
    <w:rsid w:val="00227379"/>
    <w:rsid w:val="0022751C"/>
    <w:rsid w:val="002275B4"/>
    <w:rsid w:val="00227A0F"/>
    <w:rsid w:val="00227A5A"/>
    <w:rsid w:val="002300C8"/>
    <w:rsid w:val="00230582"/>
    <w:rsid w:val="00231115"/>
    <w:rsid w:val="00231394"/>
    <w:rsid w:val="00231A5A"/>
    <w:rsid w:val="00231C77"/>
    <w:rsid w:val="00231CC6"/>
    <w:rsid w:val="00231E05"/>
    <w:rsid w:val="00232839"/>
    <w:rsid w:val="00232DE9"/>
    <w:rsid w:val="00232F25"/>
    <w:rsid w:val="002331F8"/>
    <w:rsid w:val="002338CF"/>
    <w:rsid w:val="00233C89"/>
    <w:rsid w:val="00233DB5"/>
    <w:rsid w:val="002341E3"/>
    <w:rsid w:val="002345F4"/>
    <w:rsid w:val="00234A05"/>
    <w:rsid w:val="00234E0F"/>
    <w:rsid w:val="00235031"/>
    <w:rsid w:val="00235179"/>
    <w:rsid w:val="0023540F"/>
    <w:rsid w:val="002354BA"/>
    <w:rsid w:val="00235575"/>
    <w:rsid w:val="00235BFE"/>
    <w:rsid w:val="00235E70"/>
    <w:rsid w:val="00236133"/>
    <w:rsid w:val="00236378"/>
    <w:rsid w:val="0023643C"/>
    <w:rsid w:val="002364BA"/>
    <w:rsid w:val="00236514"/>
    <w:rsid w:val="0023687A"/>
    <w:rsid w:val="0023724C"/>
    <w:rsid w:val="00237880"/>
    <w:rsid w:val="00237AA9"/>
    <w:rsid w:val="0024132F"/>
    <w:rsid w:val="00241896"/>
    <w:rsid w:val="00241904"/>
    <w:rsid w:val="00241944"/>
    <w:rsid w:val="00241D47"/>
    <w:rsid w:val="00242586"/>
    <w:rsid w:val="00243015"/>
    <w:rsid w:val="002430EB"/>
    <w:rsid w:val="0024315F"/>
    <w:rsid w:val="002433ED"/>
    <w:rsid w:val="002436F3"/>
    <w:rsid w:val="00243AFE"/>
    <w:rsid w:val="00243BEF"/>
    <w:rsid w:val="00243EF7"/>
    <w:rsid w:val="002446FF"/>
    <w:rsid w:val="00244F0B"/>
    <w:rsid w:val="00244F42"/>
    <w:rsid w:val="00245198"/>
    <w:rsid w:val="0024549C"/>
    <w:rsid w:val="0024553B"/>
    <w:rsid w:val="002456FC"/>
    <w:rsid w:val="00245B70"/>
    <w:rsid w:val="00245E03"/>
    <w:rsid w:val="00245F3D"/>
    <w:rsid w:val="002462A9"/>
    <w:rsid w:val="0024659C"/>
    <w:rsid w:val="002467A4"/>
    <w:rsid w:val="002467B5"/>
    <w:rsid w:val="00246B98"/>
    <w:rsid w:val="002475E6"/>
    <w:rsid w:val="00247B70"/>
    <w:rsid w:val="00247BDD"/>
    <w:rsid w:val="00247E78"/>
    <w:rsid w:val="0025011D"/>
    <w:rsid w:val="0025018C"/>
    <w:rsid w:val="00250856"/>
    <w:rsid w:val="00250A56"/>
    <w:rsid w:val="00250D4A"/>
    <w:rsid w:val="002510EC"/>
    <w:rsid w:val="00251528"/>
    <w:rsid w:val="00251534"/>
    <w:rsid w:val="00251DD8"/>
    <w:rsid w:val="002524E4"/>
    <w:rsid w:val="002525D9"/>
    <w:rsid w:val="00252C62"/>
    <w:rsid w:val="00252CAA"/>
    <w:rsid w:val="00253CF1"/>
    <w:rsid w:val="00253E92"/>
    <w:rsid w:val="0025409E"/>
    <w:rsid w:val="0025471C"/>
    <w:rsid w:val="002547D5"/>
    <w:rsid w:val="00254966"/>
    <w:rsid w:val="00254ABB"/>
    <w:rsid w:val="002553D7"/>
    <w:rsid w:val="00255686"/>
    <w:rsid w:val="00255FC9"/>
    <w:rsid w:val="00256606"/>
    <w:rsid w:val="00256677"/>
    <w:rsid w:val="002566E4"/>
    <w:rsid w:val="00256865"/>
    <w:rsid w:val="00256977"/>
    <w:rsid w:val="00256C3F"/>
    <w:rsid w:val="00256F47"/>
    <w:rsid w:val="002572A7"/>
    <w:rsid w:val="00257822"/>
    <w:rsid w:val="002578F6"/>
    <w:rsid w:val="00257D27"/>
    <w:rsid w:val="00257E31"/>
    <w:rsid w:val="00257F6A"/>
    <w:rsid w:val="00260045"/>
    <w:rsid w:val="0026053A"/>
    <w:rsid w:val="00261175"/>
    <w:rsid w:val="002614BD"/>
    <w:rsid w:val="0026192E"/>
    <w:rsid w:val="0026231F"/>
    <w:rsid w:val="002640B8"/>
    <w:rsid w:val="0026414D"/>
    <w:rsid w:val="002641B6"/>
    <w:rsid w:val="002642CA"/>
    <w:rsid w:val="00264337"/>
    <w:rsid w:val="00264D04"/>
    <w:rsid w:val="00265692"/>
    <w:rsid w:val="00265C2A"/>
    <w:rsid w:val="00265D7B"/>
    <w:rsid w:val="00266192"/>
    <w:rsid w:val="00266348"/>
    <w:rsid w:val="00266D6E"/>
    <w:rsid w:val="00267341"/>
    <w:rsid w:val="00267351"/>
    <w:rsid w:val="00267367"/>
    <w:rsid w:val="002675AA"/>
    <w:rsid w:val="002675C1"/>
    <w:rsid w:val="002675D6"/>
    <w:rsid w:val="00267749"/>
    <w:rsid w:val="002678CC"/>
    <w:rsid w:val="00267C3F"/>
    <w:rsid w:val="00270191"/>
    <w:rsid w:val="002707A9"/>
    <w:rsid w:val="00270B16"/>
    <w:rsid w:val="00270B8C"/>
    <w:rsid w:val="00270DAA"/>
    <w:rsid w:val="00270F92"/>
    <w:rsid w:val="00271233"/>
    <w:rsid w:val="0027171A"/>
    <w:rsid w:val="00271C5E"/>
    <w:rsid w:val="00271DDB"/>
    <w:rsid w:val="00271E6C"/>
    <w:rsid w:val="0027218C"/>
    <w:rsid w:val="002721A8"/>
    <w:rsid w:val="0027220C"/>
    <w:rsid w:val="00272740"/>
    <w:rsid w:val="00272C5D"/>
    <w:rsid w:val="00272E95"/>
    <w:rsid w:val="0027304B"/>
    <w:rsid w:val="0027321C"/>
    <w:rsid w:val="002732FA"/>
    <w:rsid w:val="00274181"/>
    <w:rsid w:val="0027450B"/>
    <w:rsid w:val="00274545"/>
    <w:rsid w:val="00274FFC"/>
    <w:rsid w:val="002760A1"/>
    <w:rsid w:val="002762C1"/>
    <w:rsid w:val="00276413"/>
    <w:rsid w:val="002765B0"/>
    <w:rsid w:val="0027668A"/>
    <w:rsid w:val="00276828"/>
    <w:rsid w:val="00276C35"/>
    <w:rsid w:val="00276CB2"/>
    <w:rsid w:val="00276DD8"/>
    <w:rsid w:val="0027770C"/>
    <w:rsid w:val="00277988"/>
    <w:rsid w:val="00277EB5"/>
    <w:rsid w:val="002801CE"/>
    <w:rsid w:val="002806D3"/>
    <w:rsid w:val="002807EA"/>
    <w:rsid w:val="00281529"/>
    <w:rsid w:val="002819BA"/>
    <w:rsid w:val="00281A04"/>
    <w:rsid w:val="00282030"/>
    <w:rsid w:val="00282260"/>
    <w:rsid w:val="0028255E"/>
    <w:rsid w:val="0028256A"/>
    <w:rsid w:val="0028263C"/>
    <w:rsid w:val="00282E78"/>
    <w:rsid w:val="00282FF0"/>
    <w:rsid w:val="0028377F"/>
    <w:rsid w:val="00283879"/>
    <w:rsid w:val="00283A36"/>
    <w:rsid w:val="00283BF6"/>
    <w:rsid w:val="00283D3C"/>
    <w:rsid w:val="00283FDC"/>
    <w:rsid w:val="0028429A"/>
    <w:rsid w:val="00284436"/>
    <w:rsid w:val="00284902"/>
    <w:rsid w:val="00285464"/>
    <w:rsid w:val="00285AAF"/>
    <w:rsid w:val="00285AB1"/>
    <w:rsid w:val="00285AD4"/>
    <w:rsid w:val="00285DEC"/>
    <w:rsid w:val="00285F28"/>
    <w:rsid w:val="00286276"/>
    <w:rsid w:val="00286A52"/>
    <w:rsid w:val="00287582"/>
    <w:rsid w:val="00287A79"/>
    <w:rsid w:val="00287EDC"/>
    <w:rsid w:val="002901BB"/>
    <w:rsid w:val="00290A26"/>
    <w:rsid w:val="00290B39"/>
    <w:rsid w:val="00290E4B"/>
    <w:rsid w:val="0029127C"/>
    <w:rsid w:val="00291423"/>
    <w:rsid w:val="00291470"/>
    <w:rsid w:val="002919E7"/>
    <w:rsid w:val="00291C1E"/>
    <w:rsid w:val="00291C31"/>
    <w:rsid w:val="0029255E"/>
    <w:rsid w:val="00292606"/>
    <w:rsid w:val="00292A22"/>
    <w:rsid w:val="00292C02"/>
    <w:rsid w:val="00292CC5"/>
    <w:rsid w:val="0029326B"/>
    <w:rsid w:val="00293640"/>
    <w:rsid w:val="00293B20"/>
    <w:rsid w:val="00293DD6"/>
    <w:rsid w:val="00293EA7"/>
    <w:rsid w:val="0029404A"/>
    <w:rsid w:val="002940E0"/>
    <w:rsid w:val="00294390"/>
    <w:rsid w:val="00294477"/>
    <w:rsid w:val="002948DB"/>
    <w:rsid w:val="00294C29"/>
    <w:rsid w:val="00294F84"/>
    <w:rsid w:val="002952FF"/>
    <w:rsid w:val="002954A7"/>
    <w:rsid w:val="002958C3"/>
    <w:rsid w:val="00295A0E"/>
    <w:rsid w:val="00295D3D"/>
    <w:rsid w:val="00296940"/>
    <w:rsid w:val="00296AE6"/>
    <w:rsid w:val="00297004"/>
    <w:rsid w:val="002978AE"/>
    <w:rsid w:val="00297F0C"/>
    <w:rsid w:val="002A0223"/>
    <w:rsid w:val="002A0487"/>
    <w:rsid w:val="002A0492"/>
    <w:rsid w:val="002A05B1"/>
    <w:rsid w:val="002A0874"/>
    <w:rsid w:val="002A087D"/>
    <w:rsid w:val="002A19D9"/>
    <w:rsid w:val="002A1BF1"/>
    <w:rsid w:val="002A1DCB"/>
    <w:rsid w:val="002A1F71"/>
    <w:rsid w:val="002A250F"/>
    <w:rsid w:val="002A288A"/>
    <w:rsid w:val="002A28C2"/>
    <w:rsid w:val="002A2A64"/>
    <w:rsid w:val="002A2E4A"/>
    <w:rsid w:val="002A3967"/>
    <w:rsid w:val="002A39A0"/>
    <w:rsid w:val="002A3C1C"/>
    <w:rsid w:val="002A4B0C"/>
    <w:rsid w:val="002A4DB3"/>
    <w:rsid w:val="002A4F27"/>
    <w:rsid w:val="002A4FA3"/>
    <w:rsid w:val="002A50D0"/>
    <w:rsid w:val="002A5303"/>
    <w:rsid w:val="002A5E6D"/>
    <w:rsid w:val="002A62D2"/>
    <w:rsid w:val="002A6373"/>
    <w:rsid w:val="002A64DB"/>
    <w:rsid w:val="002A68BA"/>
    <w:rsid w:val="002A6979"/>
    <w:rsid w:val="002A6B6F"/>
    <w:rsid w:val="002A6DD8"/>
    <w:rsid w:val="002A7A7D"/>
    <w:rsid w:val="002A7B65"/>
    <w:rsid w:val="002A7DFB"/>
    <w:rsid w:val="002B04A5"/>
    <w:rsid w:val="002B05F1"/>
    <w:rsid w:val="002B09AA"/>
    <w:rsid w:val="002B0B8B"/>
    <w:rsid w:val="002B0DC9"/>
    <w:rsid w:val="002B0FBF"/>
    <w:rsid w:val="002B1722"/>
    <w:rsid w:val="002B1960"/>
    <w:rsid w:val="002B196F"/>
    <w:rsid w:val="002B199A"/>
    <w:rsid w:val="002B1C4F"/>
    <w:rsid w:val="002B1D4D"/>
    <w:rsid w:val="002B28D7"/>
    <w:rsid w:val="002B2A64"/>
    <w:rsid w:val="002B2BD4"/>
    <w:rsid w:val="002B2F43"/>
    <w:rsid w:val="002B3448"/>
    <w:rsid w:val="002B3752"/>
    <w:rsid w:val="002B38A3"/>
    <w:rsid w:val="002B3C64"/>
    <w:rsid w:val="002B4714"/>
    <w:rsid w:val="002B51D0"/>
    <w:rsid w:val="002B563A"/>
    <w:rsid w:val="002B59E4"/>
    <w:rsid w:val="002B5F56"/>
    <w:rsid w:val="002B663C"/>
    <w:rsid w:val="002B71FB"/>
    <w:rsid w:val="002B75BA"/>
    <w:rsid w:val="002B7690"/>
    <w:rsid w:val="002B77E7"/>
    <w:rsid w:val="002B7978"/>
    <w:rsid w:val="002B7B2A"/>
    <w:rsid w:val="002B7B45"/>
    <w:rsid w:val="002C0050"/>
    <w:rsid w:val="002C0296"/>
    <w:rsid w:val="002C0624"/>
    <w:rsid w:val="002C068D"/>
    <w:rsid w:val="002C0714"/>
    <w:rsid w:val="002C0AE9"/>
    <w:rsid w:val="002C0B29"/>
    <w:rsid w:val="002C0B91"/>
    <w:rsid w:val="002C0EB2"/>
    <w:rsid w:val="002C192F"/>
    <w:rsid w:val="002C20D5"/>
    <w:rsid w:val="002C2696"/>
    <w:rsid w:val="002C2866"/>
    <w:rsid w:val="002C330D"/>
    <w:rsid w:val="002C3830"/>
    <w:rsid w:val="002C3A3C"/>
    <w:rsid w:val="002C3B13"/>
    <w:rsid w:val="002C3BC8"/>
    <w:rsid w:val="002C4247"/>
    <w:rsid w:val="002C4742"/>
    <w:rsid w:val="002C49E9"/>
    <w:rsid w:val="002C54D8"/>
    <w:rsid w:val="002C600B"/>
    <w:rsid w:val="002C613B"/>
    <w:rsid w:val="002C6455"/>
    <w:rsid w:val="002C6EA3"/>
    <w:rsid w:val="002C71A9"/>
    <w:rsid w:val="002C79D3"/>
    <w:rsid w:val="002C7E7E"/>
    <w:rsid w:val="002D08DB"/>
    <w:rsid w:val="002D0D17"/>
    <w:rsid w:val="002D0D60"/>
    <w:rsid w:val="002D0FBB"/>
    <w:rsid w:val="002D101F"/>
    <w:rsid w:val="002D2069"/>
    <w:rsid w:val="002D2580"/>
    <w:rsid w:val="002D290C"/>
    <w:rsid w:val="002D38C4"/>
    <w:rsid w:val="002D4227"/>
    <w:rsid w:val="002D43B0"/>
    <w:rsid w:val="002D4C40"/>
    <w:rsid w:val="002D4EE7"/>
    <w:rsid w:val="002D5538"/>
    <w:rsid w:val="002D556B"/>
    <w:rsid w:val="002D5C0F"/>
    <w:rsid w:val="002D5CB8"/>
    <w:rsid w:val="002D6080"/>
    <w:rsid w:val="002D688C"/>
    <w:rsid w:val="002D7333"/>
    <w:rsid w:val="002D75F7"/>
    <w:rsid w:val="002E057A"/>
    <w:rsid w:val="002E05CA"/>
    <w:rsid w:val="002E077C"/>
    <w:rsid w:val="002E0912"/>
    <w:rsid w:val="002E0F52"/>
    <w:rsid w:val="002E1007"/>
    <w:rsid w:val="002E1257"/>
    <w:rsid w:val="002E1CAA"/>
    <w:rsid w:val="002E2C6D"/>
    <w:rsid w:val="002E2F52"/>
    <w:rsid w:val="002E303D"/>
    <w:rsid w:val="002E4623"/>
    <w:rsid w:val="002E47E3"/>
    <w:rsid w:val="002E4A95"/>
    <w:rsid w:val="002E54AA"/>
    <w:rsid w:val="002E5846"/>
    <w:rsid w:val="002E5E56"/>
    <w:rsid w:val="002E5F4D"/>
    <w:rsid w:val="002E5F9B"/>
    <w:rsid w:val="002E6849"/>
    <w:rsid w:val="002E6984"/>
    <w:rsid w:val="002E69F1"/>
    <w:rsid w:val="002E72BE"/>
    <w:rsid w:val="002E753B"/>
    <w:rsid w:val="002E7A05"/>
    <w:rsid w:val="002E7A52"/>
    <w:rsid w:val="002E7A87"/>
    <w:rsid w:val="002E7C13"/>
    <w:rsid w:val="002F099A"/>
    <w:rsid w:val="002F0B8C"/>
    <w:rsid w:val="002F0BCC"/>
    <w:rsid w:val="002F1409"/>
    <w:rsid w:val="002F15A2"/>
    <w:rsid w:val="002F1618"/>
    <w:rsid w:val="002F1987"/>
    <w:rsid w:val="002F1E47"/>
    <w:rsid w:val="002F1EF8"/>
    <w:rsid w:val="002F2725"/>
    <w:rsid w:val="002F2A33"/>
    <w:rsid w:val="002F2AAE"/>
    <w:rsid w:val="002F2C9C"/>
    <w:rsid w:val="002F2EFD"/>
    <w:rsid w:val="002F3ADF"/>
    <w:rsid w:val="002F3D51"/>
    <w:rsid w:val="002F3F07"/>
    <w:rsid w:val="002F467A"/>
    <w:rsid w:val="002F4E7F"/>
    <w:rsid w:val="002F4FA3"/>
    <w:rsid w:val="002F4FFE"/>
    <w:rsid w:val="002F51D7"/>
    <w:rsid w:val="002F52C1"/>
    <w:rsid w:val="002F5B41"/>
    <w:rsid w:val="002F626B"/>
    <w:rsid w:val="002F626F"/>
    <w:rsid w:val="002F66E7"/>
    <w:rsid w:val="002F75B0"/>
    <w:rsid w:val="002F7624"/>
    <w:rsid w:val="002F77AF"/>
    <w:rsid w:val="002F792D"/>
    <w:rsid w:val="003009B6"/>
    <w:rsid w:val="00300FCB"/>
    <w:rsid w:val="0030100B"/>
    <w:rsid w:val="00301296"/>
    <w:rsid w:val="00301C4B"/>
    <w:rsid w:val="00301F57"/>
    <w:rsid w:val="0030249E"/>
    <w:rsid w:val="00302827"/>
    <w:rsid w:val="003029D5"/>
    <w:rsid w:val="003030A3"/>
    <w:rsid w:val="0030352A"/>
    <w:rsid w:val="00303FA8"/>
    <w:rsid w:val="00303FB9"/>
    <w:rsid w:val="00304A2F"/>
    <w:rsid w:val="00304C90"/>
    <w:rsid w:val="00304FED"/>
    <w:rsid w:val="003050D4"/>
    <w:rsid w:val="00305258"/>
    <w:rsid w:val="003054FE"/>
    <w:rsid w:val="00305756"/>
    <w:rsid w:val="00305A97"/>
    <w:rsid w:val="00305E4E"/>
    <w:rsid w:val="0030675A"/>
    <w:rsid w:val="00306A57"/>
    <w:rsid w:val="00306BD8"/>
    <w:rsid w:val="00306BE2"/>
    <w:rsid w:val="00307754"/>
    <w:rsid w:val="00307921"/>
    <w:rsid w:val="00310392"/>
    <w:rsid w:val="00311344"/>
    <w:rsid w:val="00311368"/>
    <w:rsid w:val="003113A8"/>
    <w:rsid w:val="00311CE6"/>
    <w:rsid w:val="00311D97"/>
    <w:rsid w:val="0031204E"/>
    <w:rsid w:val="003120BA"/>
    <w:rsid w:val="00312130"/>
    <w:rsid w:val="00312F8F"/>
    <w:rsid w:val="0031304F"/>
    <w:rsid w:val="0031358B"/>
    <w:rsid w:val="003137B3"/>
    <w:rsid w:val="00313F77"/>
    <w:rsid w:val="0031444B"/>
    <w:rsid w:val="003144BE"/>
    <w:rsid w:val="003144EA"/>
    <w:rsid w:val="00314A46"/>
    <w:rsid w:val="0031522C"/>
    <w:rsid w:val="00315902"/>
    <w:rsid w:val="00316431"/>
    <w:rsid w:val="003166E2"/>
    <w:rsid w:val="00316AF1"/>
    <w:rsid w:val="003177AD"/>
    <w:rsid w:val="00317A7F"/>
    <w:rsid w:val="00317BDC"/>
    <w:rsid w:val="00317DAC"/>
    <w:rsid w:val="0032040F"/>
    <w:rsid w:val="00320ACA"/>
    <w:rsid w:val="00320E7C"/>
    <w:rsid w:val="00320F17"/>
    <w:rsid w:val="00321EA7"/>
    <w:rsid w:val="00322802"/>
    <w:rsid w:val="00322960"/>
    <w:rsid w:val="00322FE3"/>
    <w:rsid w:val="00323647"/>
    <w:rsid w:val="0032398C"/>
    <w:rsid w:val="003239A6"/>
    <w:rsid w:val="003241AC"/>
    <w:rsid w:val="003241C5"/>
    <w:rsid w:val="0032473E"/>
    <w:rsid w:val="00324A75"/>
    <w:rsid w:val="00324E49"/>
    <w:rsid w:val="003251AB"/>
    <w:rsid w:val="00325256"/>
    <w:rsid w:val="00325586"/>
    <w:rsid w:val="00325826"/>
    <w:rsid w:val="00326076"/>
    <w:rsid w:val="00326266"/>
    <w:rsid w:val="00326B99"/>
    <w:rsid w:val="00326D46"/>
    <w:rsid w:val="00326E19"/>
    <w:rsid w:val="0032756B"/>
    <w:rsid w:val="0033025F"/>
    <w:rsid w:val="003302B2"/>
    <w:rsid w:val="003303C0"/>
    <w:rsid w:val="00330475"/>
    <w:rsid w:val="00330AD3"/>
    <w:rsid w:val="00331658"/>
    <w:rsid w:val="003319A5"/>
    <w:rsid w:val="003328DC"/>
    <w:rsid w:val="00333332"/>
    <w:rsid w:val="0033368C"/>
    <w:rsid w:val="00333BF6"/>
    <w:rsid w:val="00334323"/>
    <w:rsid w:val="003344ED"/>
    <w:rsid w:val="00334778"/>
    <w:rsid w:val="00334CBF"/>
    <w:rsid w:val="003356B5"/>
    <w:rsid w:val="00335856"/>
    <w:rsid w:val="00335D0A"/>
    <w:rsid w:val="00335FF6"/>
    <w:rsid w:val="0033634F"/>
    <w:rsid w:val="00336581"/>
    <w:rsid w:val="003365E8"/>
    <w:rsid w:val="003368E5"/>
    <w:rsid w:val="00336A5B"/>
    <w:rsid w:val="00336BE7"/>
    <w:rsid w:val="00336EFE"/>
    <w:rsid w:val="0033757F"/>
    <w:rsid w:val="00337781"/>
    <w:rsid w:val="003377BB"/>
    <w:rsid w:val="00337DA8"/>
    <w:rsid w:val="003402B8"/>
    <w:rsid w:val="003402FC"/>
    <w:rsid w:val="003403BA"/>
    <w:rsid w:val="00340A89"/>
    <w:rsid w:val="00340DE5"/>
    <w:rsid w:val="003410C7"/>
    <w:rsid w:val="003410F9"/>
    <w:rsid w:val="003415F3"/>
    <w:rsid w:val="00341EB7"/>
    <w:rsid w:val="003420EA"/>
    <w:rsid w:val="00342B48"/>
    <w:rsid w:val="00343554"/>
    <w:rsid w:val="00343699"/>
    <w:rsid w:val="00343B57"/>
    <w:rsid w:val="00343BB3"/>
    <w:rsid w:val="00344585"/>
    <w:rsid w:val="0034461A"/>
    <w:rsid w:val="00344635"/>
    <w:rsid w:val="00344701"/>
    <w:rsid w:val="00345145"/>
    <w:rsid w:val="003455ED"/>
    <w:rsid w:val="003456C2"/>
    <w:rsid w:val="00345E6F"/>
    <w:rsid w:val="0034601E"/>
    <w:rsid w:val="00346474"/>
    <w:rsid w:val="00346558"/>
    <w:rsid w:val="00346698"/>
    <w:rsid w:val="0034675B"/>
    <w:rsid w:val="00347F45"/>
    <w:rsid w:val="0035020C"/>
    <w:rsid w:val="00350A20"/>
    <w:rsid w:val="00351F06"/>
    <w:rsid w:val="00352162"/>
    <w:rsid w:val="00352285"/>
    <w:rsid w:val="00352AC1"/>
    <w:rsid w:val="00352D3A"/>
    <w:rsid w:val="003530F1"/>
    <w:rsid w:val="00353DA0"/>
    <w:rsid w:val="00353DB9"/>
    <w:rsid w:val="0035422D"/>
    <w:rsid w:val="0035494E"/>
    <w:rsid w:val="003549C4"/>
    <w:rsid w:val="00354D39"/>
    <w:rsid w:val="0035542E"/>
    <w:rsid w:val="00355650"/>
    <w:rsid w:val="00355C28"/>
    <w:rsid w:val="00355FCF"/>
    <w:rsid w:val="0035619F"/>
    <w:rsid w:val="00356A29"/>
    <w:rsid w:val="00356D6E"/>
    <w:rsid w:val="003575D5"/>
    <w:rsid w:val="0035765F"/>
    <w:rsid w:val="0035772F"/>
    <w:rsid w:val="00357754"/>
    <w:rsid w:val="00357C00"/>
    <w:rsid w:val="00357DFA"/>
    <w:rsid w:val="00360146"/>
    <w:rsid w:val="0036022F"/>
    <w:rsid w:val="0036032B"/>
    <w:rsid w:val="00360464"/>
    <w:rsid w:val="003605C8"/>
    <w:rsid w:val="003605D8"/>
    <w:rsid w:val="00360936"/>
    <w:rsid w:val="00360CE2"/>
    <w:rsid w:val="00360E18"/>
    <w:rsid w:val="00360E5B"/>
    <w:rsid w:val="00360EBA"/>
    <w:rsid w:val="00361575"/>
    <w:rsid w:val="00361587"/>
    <w:rsid w:val="003619F6"/>
    <w:rsid w:val="00362349"/>
    <w:rsid w:val="00363251"/>
    <w:rsid w:val="00363A9A"/>
    <w:rsid w:val="00363BE6"/>
    <w:rsid w:val="0036431C"/>
    <w:rsid w:val="003645D5"/>
    <w:rsid w:val="003646DA"/>
    <w:rsid w:val="0036535B"/>
    <w:rsid w:val="003659E8"/>
    <w:rsid w:val="00366142"/>
    <w:rsid w:val="00366645"/>
    <w:rsid w:val="00366C3A"/>
    <w:rsid w:val="00367186"/>
    <w:rsid w:val="00367B8A"/>
    <w:rsid w:val="003700CF"/>
    <w:rsid w:val="003701E1"/>
    <w:rsid w:val="00370593"/>
    <w:rsid w:val="0037070F"/>
    <w:rsid w:val="00370E23"/>
    <w:rsid w:val="003711A1"/>
    <w:rsid w:val="0037164A"/>
    <w:rsid w:val="00371CB6"/>
    <w:rsid w:val="00371ECE"/>
    <w:rsid w:val="00371F43"/>
    <w:rsid w:val="0037204D"/>
    <w:rsid w:val="0037253B"/>
    <w:rsid w:val="00372A8E"/>
    <w:rsid w:val="00372D4E"/>
    <w:rsid w:val="00372E0D"/>
    <w:rsid w:val="003732D9"/>
    <w:rsid w:val="00373C43"/>
    <w:rsid w:val="00373F06"/>
    <w:rsid w:val="0037402F"/>
    <w:rsid w:val="00374877"/>
    <w:rsid w:val="00374A9B"/>
    <w:rsid w:val="00374CF9"/>
    <w:rsid w:val="00374D36"/>
    <w:rsid w:val="003750E7"/>
    <w:rsid w:val="0037538C"/>
    <w:rsid w:val="0037580A"/>
    <w:rsid w:val="00375AD3"/>
    <w:rsid w:val="00375BBB"/>
    <w:rsid w:val="00375E99"/>
    <w:rsid w:val="00376132"/>
    <w:rsid w:val="0037639D"/>
    <w:rsid w:val="003765A3"/>
    <w:rsid w:val="003765AA"/>
    <w:rsid w:val="00376B3F"/>
    <w:rsid w:val="00376B6A"/>
    <w:rsid w:val="00376C88"/>
    <w:rsid w:val="00376DF7"/>
    <w:rsid w:val="00377AF5"/>
    <w:rsid w:val="00377C98"/>
    <w:rsid w:val="003808C8"/>
    <w:rsid w:val="00380BFD"/>
    <w:rsid w:val="00380D80"/>
    <w:rsid w:val="003814CD"/>
    <w:rsid w:val="00381DE6"/>
    <w:rsid w:val="00382231"/>
    <w:rsid w:val="003827D2"/>
    <w:rsid w:val="003827F4"/>
    <w:rsid w:val="003828C3"/>
    <w:rsid w:val="003829D4"/>
    <w:rsid w:val="00382B72"/>
    <w:rsid w:val="00382D86"/>
    <w:rsid w:val="00382DDD"/>
    <w:rsid w:val="0038307D"/>
    <w:rsid w:val="003830B7"/>
    <w:rsid w:val="00383439"/>
    <w:rsid w:val="00383AC4"/>
    <w:rsid w:val="00383C22"/>
    <w:rsid w:val="00383CD9"/>
    <w:rsid w:val="00383D2A"/>
    <w:rsid w:val="00384581"/>
    <w:rsid w:val="0038476A"/>
    <w:rsid w:val="00384908"/>
    <w:rsid w:val="00384A0D"/>
    <w:rsid w:val="00384B79"/>
    <w:rsid w:val="00384DA5"/>
    <w:rsid w:val="00385B7F"/>
    <w:rsid w:val="00385C4E"/>
    <w:rsid w:val="00385CDA"/>
    <w:rsid w:val="00385F61"/>
    <w:rsid w:val="003860AA"/>
    <w:rsid w:val="003861FF"/>
    <w:rsid w:val="00386E07"/>
    <w:rsid w:val="003870C8"/>
    <w:rsid w:val="0038720F"/>
    <w:rsid w:val="003872B4"/>
    <w:rsid w:val="003873FF"/>
    <w:rsid w:val="003877A2"/>
    <w:rsid w:val="003877C8"/>
    <w:rsid w:val="00387971"/>
    <w:rsid w:val="00387AE5"/>
    <w:rsid w:val="00387B85"/>
    <w:rsid w:val="00387CE0"/>
    <w:rsid w:val="00387D63"/>
    <w:rsid w:val="0039046A"/>
    <w:rsid w:val="003905FA"/>
    <w:rsid w:val="0039092A"/>
    <w:rsid w:val="003909F3"/>
    <w:rsid w:val="00390DB7"/>
    <w:rsid w:val="0039100C"/>
    <w:rsid w:val="00391416"/>
    <w:rsid w:val="003917E3"/>
    <w:rsid w:val="00391A0C"/>
    <w:rsid w:val="00391D4E"/>
    <w:rsid w:val="00392363"/>
    <w:rsid w:val="00392903"/>
    <w:rsid w:val="0039386F"/>
    <w:rsid w:val="00393A41"/>
    <w:rsid w:val="00393A9E"/>
    <w:rsid w:val="00393CB5"/>
    <w:rsid w:val="00393CFB"/>
    <w:rsid w:val="00393EB8"/>
    <w:rsid w:val="0039420C"/>
    <w:rsid w:val="00394BEF"/>
    <w:rsid w:val="00394CDE"/>
    <w:rsid w:val="00394D92"/>
    <w:rsid w:val="00395929"/>
    <w:rsid w:val="00395A7F"/>
    <w:rsid w:val="00395C82"/>
    <w:rsid w:val="003963DB"/>
    <w:rsid w:val="003964DC"/>
    <w:rsid w:val="0039675F"/>
    <w:rsid w:val="00396DF3"/>
    <w:rsid w:val="00396FC3"/>
    <w:rsid w:val="003973C7"/>
    <w:rsid w:val="003974CD"/>
    <w:rsid w:val="0039780F"/>
    <w:rsid w:val="00397CBC"/>
    <w:rsid w:val="00397E31"/>
    <w:rsid w:val="00397EE5"/>
    <w:rsid w:val="00397EEB"/>
    <w:rsid w:val="003A05A4"/>
    <w:rsid w:val="003A0A5D"/>
    <w:rsid w:val="003A0AB9"/>
    <w:rsid w:val="003A151D"/>
    <w:rsid w:val="003A1822"/>
    <w:rsid w:val="003A1A7A"/>
    <w:rsid w:val="003A1C0B"/>
    <w:rsid w:val="003A1D14"/>
    <w:rsid w:val="003A1D1E"/>
    <w:rsid w:val="003A2336"/>
    <w:rsid w:val="003A254B"/>
    <w:rsid w:val="003A2732"/>
    <w:rsid w:val="003A2754"/>
    <w:rsid w:val="003A27E7"/>
    <w:rsid w:val="003A284D"/>
    <w:rsid w:val="003A2F9D"/>
    <w:rsid w:val="003A3062"/>
    <w:rsid w:val="003A30BA"/>
    <w:rsid w:val="003A34A2"/>
    <w:rsid w:val="003A3CB5"/>
    <w:rsid w:val="003A4037"/>
    <w:rsid w:val="003A5190"/>
    <w:rsid w:val="003A5209"/>
    <w:rsid w:val="003A5325"/>
    <w:rsid w:val="003A5665"/>
    <w:rsid w:val="003A6131"/>
    <w:rsid w:val="003A6293"/>
    <w:rsid w:val="003A64DA"/>
    <w:rsid w:val="003A67CD"/>
    <w:rsid w:val="003A682B"/>
    <w:rsid w:val="003A77AD"/>
    <w:rsid w:val="003B02FD"/>
    <w:rsid w:val="003B0E5B"/>
    <w:rsid w:val="003B12FF"/>
    <w:rsid w:val="003B1434"/>
    <w:rsid w:val="003B14B8"/>
    <w:rsid w:val="003B1BEE"/>
    <w:rsid w:val="003B2575"/>
    <w:rsid w:val="003B28A5"/>
    <w:rsid w:val="003B2A44"/>
    <w:rsid w:val="003B2A65"/>
    <w:rsid w:val="003B310A"/>
    <w:rsid w:val="003B35DF"/>
    <w:rsid w:val="003B3C8C"/>
    <w:rsid w:val="003B3F92"/>
    <w:rsid w:val="003B4136"/>
    <w:rsid w:val="003B4473"/>
    <w:rsid w:val="003B459F"/>
    <w:rsid w:val="003B4A61"/>
    <w:rsid w:val="003B4A9A"/>
    <w:rsid w:val="003B4B8A"/>
    <w:rsid w:val="003B4BA8"/>
    <w:rsid w:val="003B577B"/>
    <w:rsid w:val="003B5E88"/>
    <w:rsid w:val="003B5FBB"/>
    <w:rsid w:val="003B5FF1"/>
    <w:rsid w:val="003B6041"/>
    <w:rsid w:val="003B60E3"/>
    <w:rsid w:val="003B6482"/>
    <w:rsid w:val="003B6682"/>
    <w:rsid w:val="003B700A"/>
    <w:rsid w:val="003B73D8"/>
    <w:rsid w:val="003B7457"/>
    <w:rsid w:val="003B7B6E"/>
    <w:rsid w:val="003B7DF9"/>
    <w:rsid w:val="003C0168"/>
    <w:rsid w:val="003C0909"/>
    <w:rsid w:val="003C0ACA"/>
    <w:rsid w:val="003C0B41"/>
    <w:rsid w:val="003C0BFB"/>
    <w:rsid w:val="003C0CAE"/>
    <w:rsid w:val="003C0CE8"/>
    <w:rsid w:val="003C0FFA"/>
    <w:rsid w:val="003C10D0"/>
    <w:rsid w:val="003C1629"/>
    <w:rsid w:val="003C189C"/>
    <w:rsid w:val="003C1E24"/>
    <w:rsid w:val="003C1EA6"/>
    <w:rsid w:val="003C1EB1"/>
    <w:rsid w:val="003C2194"/>
    <w:rsid w:val="003C301C"/>
    <w:rsid w:val="003C3089"/>
    <w:rsid w:val="003C31E0"/>
    <w:rsid w:val="003C32C5"/>
    <w:rsid w:val="003C3EA8"/>
    <w:rsid w:val="003C41C7"/>
    <w:rsid w:val="003C4229"/>
    <w:rsid w:val="003C4443"/>
    <w:rsid w:val="003C4D04"/>
    <w:rsid w:val="003C56C7"/>
    <w:rsid w:val="003C5A0A"/>
    <w:rsid w:val="003C6480"/>
    <w:rsid w:val="003C655A"/>
    <w:rsid w:val="003C66E6"/>
    <w:rsid w:val="003C6E1C"/>
    <w:rsid w:val="003C77E6"/>
    <w:rsid w:val="003C7848"/>
    <w:rsid w:val="003C7ACA"/>
    <w:rsid w:val="003C7D2F"/>
    <w:rsid w:val="003D03FF"/>
    <w:rsid w:val="003D0EFE"/>
    <w:rsid w:val="003D0FCE"/>
    <w:rsid w:val="003D11E1"/>
    <w:rsid w:val="003D1AB1"/>
    <w:rsid w:val="003D1D3D"/>
    <w:rsid w:val="003D2388"/>
    <w:rsid w:val="003D2795"/>
    <w:rsid w:val="003D2CE3"/>
    <w:rsid w:val="003D2F7A"/>
    <w:rsid w:val="003D34B8"/>
    <w:rsid w:val="003D37A4"/>
    <w:rsid w:val="003D3AEF"/>
    <w:rsid w:val="003D3AF9"/>
    <w:rsid w:val="003D3D6A"/>
    <w:rsid w:val="003D40F1"/>
    <w:rsid w:val="003D44ED"/>
    <w:rsid w:val="003D4530"/>
    <w:rsid w:val="003D50E6"/>
    <w:rsid w:val="003D5210"/>
    <w:rsid w:val="003D5224"/>
    <w:rsid w:val="003D554E"/>
    <w:rsid w:val="003D5C12"/>
    <w:rsid w:val="003D5F1C"/>
    <w:rsid w:val="003D650A"/>
    <w:rsid w:val="003D66A0"/>
    <w:rsid w:val="003D6EE9"/>
    <w:rsid w:val="003D6F2E"/>
    <w:rsid w:val="003D72B1"/>
    <w:rsid w:val="003D72BC"/>
    <w:rsid w:val="003D7330"/>
    <w:rsid w:val="003D7C84"/>
    <w:rsid w:val="003E0076"/>
    <w:rsid w:val="003E017D"/>
    <w:rsid w:val="003E041C"/>
    <w:rsid w:val="003E0539"/>
    <w:rsid w:val="003E098C"/>
    <w:rsid w:val="003E0D24"/>
    <w:rsid w:val="003E1737"/>
    <w:rsid w:val="003E18D7"/>
    <w:rsid w:val="003E1C5A"/>
    <w:rsid w:val="003E1DB5"/>
    <w:rsid w:val="003E290C"/>
    <w:rsid w:val="003E29BF"/>
    <w:rsid w:val="003E2C68"/>
    <w:rsid w:val="003E2FF2"/>
    <w:rsid w:val="003E3144"/>
    <w:rsid w:val="003E39BD"/>
    <w:rsid w:val="003E39CB"/>
    <w:rsid w:val="003E3C93"/>
    <w:rsid w:val="003E3D2B"/>
    <w:rsid w:val="003E3E07"/>
    <w:rsid w:val="003E3F79"/>
    <w:rsid w:val="003E41FF"/>
    <w:rsid w:val="003E44BC"/>
    <w:rsid w:val="003E4B82"/>
    <w:rsid w:val="003E503F"/>
    <w:rsid w:val="003E5204"/>
    <w:rsid w:val="003E5818"/>
    <w:rsid w:val="003E5D12"/>
    <w:rsid w:val="003E6597"/>
    <w:rsid w:val="003E6A46"/>
    <w:rsid w:val="003F01F1"/>
    <w:rsid w:val="003F022F"/>
    <w:rsid w:val="003F02A8"/>
    <w:rsid w:val="003F07EC"/>
    <w:rsid w:val="003F0A1E"/>
    <w:rsid w:val="003F0ECB"/>
    <w:rsid w:val="003F1038"/>
    <w:rsid w:val="003F1A0F"/>
    <w:rsid w:val="003F1D13"/>
    <w:rsid w:val="003F25A2"/>
    <w:rsid w:val="003F25B1"/>
    <w:rsid w:val="003F2614"/>
    <w:rsid w:val="003F2B19"/>
    <w:rsid w:val="003F392E"/>
    <w:rsid w:val="003F3A5A"/>
    <w:rsid w:val="003F3B25"/>
    <w:rsid w:val="003F3CE8"/>
    <w:rsid w:val="003F3DC4"/>
    <w:rsid w:val="003F3EDB"/>
    <w:rsid w:val="003F40AE"/>
    <w:rsid w:val="003F484C"/>
    <w:rsid w:val="003F51AB"/>
    <w:rsid w:val="003F5219"/>
    <w:rsid w:val="003F58A7"/>
    <w:rsid w:val="003F6502"/>
    <w:rsid w:val="003F6596"/>
    <w:rsid w:val="003F6F72"/>
    <w:rsid w:val="003F7321"/>
    <w:rsid w:val="003F736F"/>
    <w:rsid w:val="003F7908"/>
    <w:rsid w:val="003F7AC9"/>
    <w:rsid w:val="003F7CDF"/>
    <w:rsid w:val="0040019B"/>
    <w:rsid w:val="004003E6"/>
    <w:rsid w:val="0040139E"/>
    <w:rsid w:val="004027EA"/>
    <w:rsid w:val="00402AE8"/>
    <w:rsid w:val="00402DB5"/>
    <w:rsid w:val="00402EA1"/>
    <w:rsid w:val="004032C8"/>
    <w:rsid w:val="004034BC"/>
    <w:rsid w:val="00403613"/>
    <w:rsid w:val="00403816"/>
    <w:rsid w:val="00403970"/>
    <w:rsid w:val="00403A82"/>
    <w:rsid w:val="00403E79"/>
    <w:rsid w:val="00403E7B"/>
    <w:rsid w:val="00403E7C"/>
    <w:rsid w:val="00404283"/>
    <w:rsid w:val="004042D3"/>
    <w:rsid w:val="00404418"/>
    <w:rsid w:val="00404447"/>
    <w:rsid w:val="00404561"/>
    <w:rsid w:val="004048AC"/>
    <w:rsid w:val="00404BF7"/>
    <w:rsid w:val="00404DCA"/>
    <w:rsid w:val="00404F09"/>
    <w:rsid w:val="004054E4"/>
    <w:rsid w:val="00405651"/>
    <w:rsid w:val="00405D97"/>
    <w:rsid w:val="00405F88"/>
    <w:rsid w:val="00406887"/>
    <w:rsid w:val="0040695C"/>
    <w:rsid w:val="00406A40"/>
    <w:rsid w:val="00406E41"/>
    <w:rsid w:val="00406EA1"/>
    <w:rsid w:val="0040703B"/>
    <w:rsid w:val="004072AE"/>
    <w:rsid w:val="00407483"/>
    <w:rsid w:val="00407612"/>
    <w:rsid w:val="004106A2"/>
    <w:rsid w:val="00410C1A"/>
    <w:rsid w:val="00410FD5"/>
    <w:rsid w:val="00411153"/>
    <w:rsid w:val="004111F0"/>
    <w:rsid w:val="004114B7"/>
    <w:rsid w:val="0041172C"/>
    <w:rsid w:val="004119A4"/>
    <w:rsid w:val="00411CC5"/>
    <w:rsid w:val="00411D9B"/>
    <w:rsid w:val="004120FF"/>
    <w:rsid w:val="004128F0"/>
    <w:rsid w:val="00412A89"/>
    <w:rsid w:val="00412CE0"/>
    <w:rsid w:val="00412F79"/>
    <w:rsid w:val="0041307D"/>
    <w:rsid w:val="00413529"/>
    <w:rsid w:val="004136A9"/>
    <w:rsid w:val="0041378E"/>
    <w:rsid w:val="00414E84"/>
    <w:rsid w:val="00414ECD"/>
    <w:rsid w:val="00415590"/>
    <w:rsid w:val="0041566A"/>
    <w:rsid w:val="00415947"/>
    <w:rsid w:val="00415B35"/>
    <w:rsid w:val="00415E8A"/>
    <w:rsid w:val="00415ECA"/>
    <w:rsid w:val="00416281"/>
    <w:rsid w:val="004163B3"/>
    <w:rsid w:val="004166A0"/>
    <w:rsid w:val="004173B1"/>
    <w:rsid w:val="004173CE"/>
    <w:rsid w:val="004176F4"/>
    <w:rsid w:val="0042039C"/>
    <w:rsid w:val="004205A1"/>
    <w:rsid w:val="00421466"/>
    <w:rsid w:val="00421976"/>
    <w:rsid w:val="00421A42"/>
    <w:rsid w:val="00421EA2"/>
    <w:rsid w:val="0042261E"/>
    <w:rsid w:val="0042311F"/>
    <w:rsid w:val="0042317F"/>
    <w:rsid w:val="00423314"/>
    <w:rsid w:val="0042371D"/>
    <w:rsid w:val="0042374F"/>
    <w:rsid w:val="00423786"/>
    <w:rsid w:val="0042424C"/>
    <w:rsid w:val="00424350"/>
    <w:rsid w:val="00424393"/>
    <w:rsid w:val="004243AE"/>
    <w:rsid w:val="0042456B"/>
    <w:rsid w:val="004246B9"/>
    <w:rsid w:val="00424BAA"/>
    <w:rsid w:val="00424FD1"/>
    <w:rsid w:val="0042544F"/>
    <w:rsid w:val="00425844"/>
    <w:rsid w:val="004262A5"/>
    <w:rsid w:val="004262EF"/>
    <w:rsid w:val="004264C5"/>
    <w:rsid w:val="0042674B"/>
    <w:rsid w:val="00426790"/>
    <w:rsid w:val="0042682B"/>
    <w:rsid w:val="00426AA4"/>
    <w:rsid w:val="00427013"/>
    <w:rsid w:val="0042782E"/>
    <w:rsid w:val="00427AA2"/>
    <w:rsid w:val="00427BB1"/>
    <w:rsid w:val="004301AF"/>
    <w:rsid w:val="00430955"/>
    <w:rsid w:val="004311D6"/>
    <w:rsid w:val="00431E43"/>
    <w:rsid w:val="004327B6"/>
    <w:rsid w:val="00432DB1"/>
    <w:rsid w:val="004336CA"/>
    <w:rsid w:val="00433754"/>
    <w:rsid w:val="00433FA5"/>
    <w:rsid w:val="0043462C"/>
    <w:rsid w:val="00434EDF"/>
    <w:rsid w:val="0043531A"/>
    <w:rsid w:val="0043561A"/>
    <w:rsid w:val="004359AA"/>
    <w:rsid w:val="00435D70"/>
    <w:rsid w:val="00435EA0"/>
    <w:rsid w:val="00436069"/>
    <w:rsid w:val="0043644C"/>
    <w:rsid w:val="00436459"/>
    <w:rsid w:val="0043670E"/>
    <w:rsid w:val="00436805"/>
    <w:rsid w:val="00436959"/>
    <w:rsid w:val="00436A01"/>
    <w:rsid w:val="004374CC"/>
    <w:rsid w:val="00437609"/>
    <w:rsid w:val="0043764A"/>
    <w:rsid w:val="004376D8"/>
    <w:rsid w:val="00437BA8"/>
    <w:rsid w:val="00437EB4"/>
    <w:rsid w:val="0044050D"/>
    <w:rsid w:val="0044088A"/>
    <w:rsid w:val="004409BB"/>
    <w:rsid w:val="0044133B"/>
    <w:rsid w:val="0044156B"/>
    <w:rsid w:val="00441A47"/>
    <w:rsid w:val="00441ED9"/>
    <w:rsid w:val="00441F9D"/>
    <w:rsid w:val="0044271C"/>
    <w:rsid w:val="00442EEC"/>
    <w:rsid w:val="00442F31"/>
    <w:rsid w:val="0044322A"/>
    <w:rsid w:val="0044339C"/>
    <w:rsid w:val="004433C8"/>
    <w:rsid w:val="004434E9"/>
    <w:rsid w:val="004439A4"/>
    <w:rsid w:val="00443B14"/>
    <w:rsid w:val="00443DF8"/>
    <w:rsid w:val="00443F27"/>
    <w:rsid w:val="00444013"/>
    <w:rsid w:val="004440E1"/>
    <w:rsid w:val="004443DD"/>
    <w:rsid w:val="004443E9"/>
    <w:rsid w:val="00444544"/>
    <w:rsid w:val="00444800"/>
    <w:rsid w:val="00444997"/>
    <w:rsid w:val="00444BCC"/>
    <w:rsid w:val="00444CE2"/>
    <w:rsid w:val="004450F6"/>
    <w:rsid w:val="004451D2"/>
    <w:rsid w:val="004455AF"/>
    <w:rsid w:val="00445E7C"/>
    <w:rsid w:val="0044600F"/>
    <w:rsid w:val="0044608F"/>
    <w:rsid w:val="0044638E"/>
    <w:rsid w:val="00446427"/>
    <w:rsid w:val="004465AA"/>
    <w:rsid w:val="00446788"/>
    <w:rsid w:val="00446A29"/>
    <w:rsid w:val="00446E18"/>
    <w:rsid w:val="00447EAA"/>
    <w:rsid w:val="0045018E"/>
    <w:rsid w:val="004502BA"/>
    <w:rsid w:val="004505A2"/>
    <w:rsid w:val="004509A2"/>
    <w:rsid w:val="00450AEB"/>
    <w:rsid w:val="00450BCC"/>
    <w:rsid w:val="0045105C"/>
    <w:rsid w:val="0045197E"/>
    <w:rsid w:val="00451B72"/>
    <w:rsid w:val="00451BFF"/>
    <w:rsid w:val="00452365"/>
    <w:rsid w:val="004527B5"/>
    <w:rsid w:val="004529E0"/>
    <w:rsid w:val="00452A5B"/>
    <w:rsid w:val="00452E2A"/>
    <w:rsid w:val="0045306C"/>
    <w:rsid w:val="004533E4"/>
    <w:rsid w:val="00453600"/>
    <w:rsid w:val="0045395F"/>
    <w:rsid w:val="004539FC"/>
    <w:rsid w:val="00453CFB"/>
    <w:rsid w:val="00454088"/>
    <w:rsid w:val="0045496C"/>
    <w:rsid w:val="00454EE9"/>
    <w:rsid w:val="00455124"/>
    <w:rsid w:val="0045526C"/>
    <w:rsid w:val="00455272"/>
    <w:rsid w:val="00455382"/>
    <w:rsid w:val="00455655"/>
    <w:rsid w:val="00455DF6"/>
    <w:rsid w:val="00455E7B"/>
    <w:rsid w:val="004562DC"/>
    <w:rsid w:val="00456526"/>
    <w:rsid w:val="00456D4B"/>
    <w:rsid w:val="004575BA"/>
    <w:rsid w:val="00460C4D"/>
    <w:rsid w:val="00460DD4"/>
    <w:rsid w:val="00461405"/>
    <w:rsid w:val="00461788"/>
    <w:rsid w:val="00461C40"/>
    <w:rsid w:val="00461E32"/>
    <w:rsid w:val="00462823"/>
    <w:rsid w:val="00462C64"/>
    <w:rsid w:val="004635AD"/>
    <w:rsid w:val="0046395C"/>
    <w:rsid w:val="00463ACB"/>
    <w:rsid w:val="00463BE2"/>
    <w:rsid w:val="00464252"/>
    <w:rsid w:val="0046434E"/>
    <w:rsid w:val="0046444D"/>
    <w:rsid w:val="0046516E"/>
    <w:rsid w:val="0046517F"/>
    <w:rsid w:val="00466102"/>
    <w:rsid w:val="00466299"/>
    <w:rsid w:val="004665B9"/>
    <w:rsid w:val="00466C1A"/>
    <w:rsid w:val="004670A1"/>
    <w:rsid w:val="0046725F"/>
    <w:rsid w:val="004679C3"/>
    <w:rsid w:val="00467EC9"/>
    <w:rsid w:val="004701BF"/>
    <w:rsid w:val="0047025F"/>
    <w:rsid w:val="004702B9"/>
    <w:rsid w:val="004703D6"/>
    <w:rsid w:val="00470419"/>
    <w:rsid w:val="004707EC"/>
    <w:rsid w:val="00470F14"/>
    <w:rsid w:val="00470F81"/>
    <w:rsid w:val="0047148B"/>
    <w:rsid w:val="00471AE7"/>
    <w:rsid w:val="00472401"/>
    <w:rsid w:val="004724BF"/>
    <w:rsid w:val="00472F9F"/>
    <w:rsid w:val="0047370A"/>
    <w:rsid w:val="00473767"/>
    <w:rsid w:val="00473789"/>
    <w:rsid w:val="00473C4A"/>
    <w:rsid w:val="00473C59"/>
    <w:rsid w:val="00474078"/>
    <w:rsid w:val="00474109"/>
    <w:rsid w:val="00474C20"/>
    <w:rsid w:val="00474F02"/>
    <w:rsid w:val="004750DB"/>
    <w:rsid w:val="004755E2"/>
    <w:rsid w:val="0047575E"/>
    <w:rsid w:val="00475EA2"/>
    <w:rsid w:val="00475EE1"/>
    <w:rsid w:val="00476215"/>
    <w:rsid w:val="004763A3"/>
    <w:rsid w:val="0047737E"/>
    <w:rsid w:val="0047749D"/>
    <w:rsid w:val="004776B7"/>
    <w:rsid w:val="0047794C"/>
    <w:rsid w:val="00477A16"/>
    <w:rsid w:val="00480C9F"/>
    <w:rsid w:val="00481843"/>
    <w:rsid w:val="00481B55"/>
    <w:rsid w:val="00481FE9"/>
    <w:rsid w:val="004826AE"/>
    <w:rsid w:val="00482812"/>
    <w:rsid w:val="00483444"/>
    <w:rsid w:val="00483451"/>
    <w:rsid w:val="00483721"/>
    <w:rsid w:val="0048377E"/>
    <w:rsid w:val="0048381D"/>
    <w:rsid w:val="004840B6"/>
    <w:rsid w:val="00484140"/>
    <w:rsid w:val="004842DD"/>
    <w:rsid w:val="0048487F"/>
    <w:rsid w:val="00484C8F"/>
    <w:rsid w:val="00484DD9"/>
    <w:rsid w:val="004853D8"/>
    <w:rsid w:val="00485699"/>
    <w:rsid w:val="0048570D"/>
    <w:rsid w:val="00485721"/>
    <w:rsid w:val="00485D45"/>
    <w:rsid w:val="00485E23"/>
    <w:rsid w:val="00486152"/>
    <w:rsid w:val="004865C4"/>
    <w:rsid w:val="00486869"/>
    <w:rsid w:val="00486AD4"/>
    <w:rsid w:val="00486C19"/>
    <w:rsid w:val="00486C88"/>
    <w:rsid w:val="00487007"/>
    <w:rsid w:val="00490255"/>
    <w:rsid w:val="00490337"/>
    <w:rsid w:val="004903FB"/>
    <w:rsid w:val="0049044D"/>
    <w:rsid w:val="00491108"/>
    <w:rsid w:val="004913B7"/>
    <w:rsid w:val="004915F7"/>
    <w:rsid w:val="00491EAA"/>
    <w:rsid w:val="00492269"/>
    <w:rsid w:val="00492445"/>
    <w:rsid w:val="00492645"/>
    <w:rsid w:val="0049271C"/>
    <w:rsid w:val="00492D34"/>
    <w:rsid w:val="00492F5C"/>
    <w:rsid w:val="00493599"/>
    <w:rsid w:val="0049430E"/>
    <w:rsid w:val="004948DA"/>
    <w:rsid w:val="00494D51"/>
    <w:rsid w:val="00495B69"/>
    <w:rsid w:val="004963DB"/>
    <w:rsid w:val="00496AEB"/>
    <w:rsid w:val="004975D4"/>
    <w:rsid w:val="00497717"/>
    <w:rsid w:val="00497E92"/>
    <w:rsid w:val="00497F9F"/>
    <w:rsid w:val="004A032B"/>
    <w:rsid w:val="004A118B"/>
    <w:rsid w:val="004A1272"/>
    <w:rsid w:val="004A15BB"/>
    <w:rsid w:val="004A15EB"/>
    <w:rsid w:val="004A1C5C"/>
    <w:rsid w:val="004A20AB"/>
    <w:rsid w:val="004A23B3"/>
    <w:rsid w:val="004A2909"/>
    <w:rsid w:val="004A2AF9"/>
    <w:rsid w:val="004A2AFD"/>
    <w:rsid w:val="004A2BF8"/>
    <w:rsid w:val="004A2D1C"/>
    <w:rsid w:val="004A336D"/>
    <w:rsid w:val="004A3920"/>
    <w:rsid w:val="004A3D9D"/>
    <w:rsid w:val="004A4182"/>
    <w:rsid w:val="004A4A3D"/>
    <w:rsid w:val="004A522E"/>
    <w:rsid w:val="004A5729"/>
    <w:rsid w:val="004A5826"/>
    <w:rsid w:val="004A596F"/>
    <w:rsid w:val="004A5D1B"/>
    <w:rsid w:val="004A5D62"/>
    <w:rsid w:val="004A5E99"/>
    <w:rsid w:val="004A6293"/>
    <w:rsid w:val="004A6D29"/>
    <w:rsid w:val="004A6F5D"/>
    <w:rsid w:val="004A70A7"/>
    <w:rsid w:val="004A79E2"/>
    <w:rsid w:val="004A7A9B"/>
    <w:rsid w:val="004A7ABF"/>
    <w:rsid w:val="004A7AD0"/>
    <w:rsid w:val="004A7AEE"/>
    <w:rsid w:val="004A7FAA"/>
    <w:rsid w:val="004B03E4"/>
    <w:rsid w:val="004B09EC"/>
    <w:rsid w:val="004B1092"/>
    <w:rsid w:val="004B154B"/>
    <w:rsid w:val="004B1666"/>
    <w:rsid w:val="004B16A0"/>
    <w:rsid w:val="004B173E"/>
    <w:rsid w:val="004B1B8F"/>
    <w:rsid w:val="004B1BFE"/>
    <w:rsid w:val="004B1C76"/>
    <w:rsid w:val="004B21DE"/>
    <w:rsid w:val="004B2330"/>
    <w:rsid w:val="004B242B"/>
    <w:rsid w:val="004B2522"/>
    <w:rsid w:val="004B28F4"/>
    <w:rsid w:val="004B2D88"/>
    <w:rsid w:val="004B334B"/>
    <w:rsid w:val="004B40B6"/>
    <w:rsid w:val="004B4276"/>
    <w:rsid w:val="004B45DC"/>
    <w:rsid w:val="004B4732"/>
    <w:rsid w:val="004B4BA5"/>
    <w:rsid w:val="004B4E24"/>
    <w:rsid w:val="004B5328"/>
    <w:rsid w:val="004B54D3"/>
    <w:rsid w:val="004B5672"/>
    <w:rsid w:val="004B5970"/>
    <w:rsid w:val="004B5E1C"/>
    <w:rsid w:val="004B606D"/>
    <w:rsid w:val="004B6466"/>
    <w:rsid w:val="004B6496"/>
    <w:rsid w:val="004B6577"/>
    <w:rsid w:val="004B6951"/>
    <w:rsid w:val="004B6E4E"/>
    <w:rsid w:val="004B6E59"/>
    <w:rsid w:val="004B702B"/>
    <w:rsid w:val="004B7466"/>
    <w:rsid w:val="004B7885"/>
    <w:rsid w:val="004B794A"/>
    <w:rsid w:val="004C0F6E"/>
    <w:rsid w:val="004C117A"/>
    <w:rsid w:val="004C1271"/>
    <w:rsid w:val="004C13F5"/>
    <w:rsid w:val="004C188A"/>
    <w:rsid w:val="004C246A"/>
    <w:rsid w:val="004C24CC"/>
    <w:rsid w:val="004C2623"/>
    <w:rsid w:val="004C2848"/>
    <w:rsid w:val="004C2A1A"/>
    <w:rsid w:val="004C2D4D"/>
    <w:rsid w:val="004C2F98"/>
    <w:rsid w:val="004C306B"/>
    <w:rsid w:val="004C3287"/>
    <w:rsid w:val="004C32C2"/>
    <w:rsid w:val="004C354D"/>
    <w:rsid w:val="004C3660"/>
    <w:rsid w:val="004C3680"/>
    <w:rsid w:val="004C375C"/>
    <w:rsid w:val="004C3832"/>
    <w:rsid w:val="004C39A2"/>
    <w:rsid w:val="004C3CC1"/>
    <w:rsid w:val="004C3E33"/>
    <w:rsid w:val="004C4219"/>
    <w:rsid w:val="004C4564"/>
    <w:rsid w:val="004C45E2"/>
    <w:rsid w:val="004C4B17"/>
    <w:rsid w:val="004C5085"/>
    <w:rsid w:val="004C537C"/>
    <w:rsid w:val="004C5771"/>
    <w:rsid w:val="004C6F4C"/>
    <w:rsid w:val="004C73BC"/>
    <w:rsid w:val="004C74F8"/>
    <w:rsid w:val="004C77AF"/>
    <w:rsid w:val="004C787A"/>
    <w:rsid w:val="004C790B"/>
    <w:rsid w:val="004C79BF"/>
    <w:rsid w:val="004D0135"/>
    <w:rsid w:val="004D0948"/>
    <w:rsid w:val="004D0994"/>
    <w:rsid w:val="004D09F8"/>
    <w:rsid w:val="004D0A22"/>
    <w:rsid w:val="004D0A4E"/>
    <w:rsid w:val="004D0E7E"/>
    <w:rsid w:val="004D11E1"/>
    <w:rsid w:val="004D190E"/>
    <w:rsid w:val="004D19D6"/>
    <w:rsid w:val="004D1F6B"/>
    <w:rsid w:val="004D221A"/>
    <w:rsid w:val="004D2260"/>
    <w:rsid w:val="004D25A6"/>
    <w:rsid w:val="004D266C"/>
    <w:rsid w:val="004D275E"/>
    <w:rsid w:val="004D2F6B"/>
    <w:rsid w:val="004D3A4D"/>
    <w:rsid w:val="004D3C43"/>
    <w:rsid w:val="004D42CE"/>
    <w:rsid w:val="004D4A04"/>
    <w:rsid w:val="004D4BE7"/>
    <w:rsid w:val="004D4C48"/>
    <w:rsid w:val="004D51D3"/>
    <w:rsid w:val="004D5481"/>
    <w:rsid w:val="004D5A3B"/>
    <w:rsid w:val="004D5BE7"/>
    <w:rsid w:val="004D5D2D"/>
    <w:rsid w:val="004D6A21"/>
    <w:rsid w:val="004D6EEE"/>
    <w:rsid w:val="004D707E"/>
    <w:rsid w:val="004D76D2"/>
    <w:rsid w:val="004D7BFD"/>
    <w:rsid w:val="004D7F30"/>
    <w:rsid w:val="004E014F"/>
    <w:rsid w:val="004E0B12"/>
    <w:rsid w:val="004E0D33"/>
    <w:rsid w:val="004E12D7"/>
    <w:rsid w:val="004E1827"/>
    <w:rsid w:val="004E2089"/>
    <w:rsid w:val="004E20B5"/>
    <w:rsid w:val="004E2B7A"/>
    <w:rsid w:val="004E2C2C"/>
    <w:rsid w:val="004E2EAA"/>
    <w:rsid w:val="004E2EED"/>
    <w:rsid w:val="004E3F4B"/>
    <w:rsid w:val="004E43BE"/>
    <w:rsid w:val="004E53E9"/>
    <w:rsid w:val="004E54CF"/>
    <w:rsid w:val="004E5CAB"/>
    <w:rsid w:val="004E5FD8"/>
    <w:rsid w:val="004E63D4"/>
    <w:rsid w:val="004E6524"/>
    <w:rsid w:val="004E65FF"/>
    <w:rsid w:val="004E6808"/>
    <w:rsid w:val="004E690A"/>
    <w:rsid w:val="004E6955"/>
    <w:rsid w:val="004E7266"/>
    <w:rsid w:val="004E7292"/>
    <w:rsid w:val="004E78AE"/>
    <w:rsid w:val="004E7D18"/>
    <w:rsid w:val="004E7FF6"/>
    <w:rsid w:val="004F0790"/>
    <w:rsid w:val="004F0791"/>
    <w:rsid w:val="004F0995"/>
    <w:rsid w:val="004F0BE7"/>
    <w:rsid w:val="004F0E77"/>
    <w:rsid w:val="004F1265"/>
    <w:rsid w:val="004F1515"/>
    <w:rsid w:val="004F154B"/>
    <w:rsid w:val="004F1613"/>
    <w:rsid w:val="004F1932"/>
    <w:rsid w:val="004F1A88"/>
    <w:rsid w:val="004F1F18"/>
    <w:rsid w:val="004F282D"/>
    <w:rsid w:val="004F2A0E"/>
    <w:rsid w:val="004F2B75"/>
    <w:rsid w:val="004F2DB0"/>
    <w:rsid w:val="004F2EDE"/>
    <w:rsid w:val="004F2F62"/>
    <w:rsid w:val="004F3372"/>
    <w:rsid w:val="004F338C"/>
    <w:rsid w:val="004F386D"/>
    <w:rsid w:val="004F38FB"/>
    <w:rsid w:val="004F4180"/>
    <w:rsid w:val="004F4952"/>
    <w:rsid w:val="004F4986"/>
    <w:rsid w:val="004F4B58"/>
    <w:rsid w:val="004F4C8D"/>
    <w:rsid w:val="004F4DE0"/>
    <w:rsid w:val="004F4FDF"/>
    <w:rsid w:val="004F556E"/>
    <w:rsid w:val="004F6B40"/>
    <w:rsid w:val="004F6FE2"/>
    <w:rsid w:val="004F719B"/>
    <w:rsid w:val="004F7604"/>
    <w:rsid w:val="005000C7"/>
    <w:rsid w:val="00500273"/>
    <w:rsid w:val="00500776"/>
    <w:rsid w:val="00500A98"/>
    <w:rsid w:val="0050186A"/>
    <w:rsid w:val="00501A8F"/>
    <w:rsid w:val="00501BBE"/>
    <w:rsid w:val="00501D97"/>
    <w:rsid w:val="00501F6F"/>
    <w:rsid w:val="00502490"/>
    <w:rsid w:val="00502686"/>
    <w:rsid w:val="00502930"/>
    <w:rsid w:val="00502E09"/>
    <w:rsid w:val="0050347B"/>
    <w:rsid w:val="00503562"/>
    <w:rsid w:val="00503C33"/>
    <w:rsid w:val="00503F2B"/>
    <w:rsid w:val="00504AA5"/>
    <w:rsid w:val="00504BBE"/>
    <w:rsid w:val="00504CF7"/>
    <w:rsid w:val="0050508A"/>
    <w:rsid w:val="005051D6"/>
    <w:rsid w:val="00505C34"/>
    <w:rsid w:val="00506651"/>
    <w:rsid w:val="0050679D"/>
    <w:rsid w:val="005069E6"/>
    <w:rsid w:val="00506EFE"/>
    <w:rsid w:val="00506F8A"/>
    <w:rsid w:val="0050716A"/>
    <w:rsid w:val="005071F0"/>
    <w:rsid w:val="00507CF5"/>
    <w:rsid w:val="00507E62"/>
    <w:rsid w:val="00510638"/>
    <w:rsid w:val="00510916"/>
    <w:rsid w:val="00510CB8"/>
    <w:rsid w:val="005110D1"/>
    <w:rsid w:val="0051133A"/>
    <w:rsid w:val="005118D5"/>
    <w:rsid w:val="005120D7"/>
    <w:rsid w:val="00512334"/>
    <w:rsid w:val="0051257F"/>
    <w:rsid w:val="00512595"/>
    <w:rsid w:val="0051276D"/>
    <w:rsid w:val="00512982"/>
    <w:rsid w:val="0051298D"/>
    <w:rsid w:val="00512EB6"/>
    <w:rsid w:val="00513212"/>
    <w:rsid w:val="005133C6"/>
    <w:rsid w:val="0051351B"/>
    <w:rsid w:val="005136C5"/>
    <w:rsid w:val="00513DC0"/>
    <w:rsid w:val="0051404E"/>
    <w:rsid w:val="005143C5"/>
    <w:rsid w:val="005145E8"/>
    <w:rsid w:val="00514643"/>
    <w:rsid w:val="00514799"/>
    <w:rsid w:val="005147C0"/>
    <w:rsid w:val="00514D8E"/>
    <w:rsid w:val="00515D42"/>
    <w:rsid w:val="00515E91"/>
    <w:rsid w:val="00515F6C"/>
    <w:rsid w:val="00516D7D"/>
    <w:rsid w:val="00516EA8"/>
    <w:rsid w:val="00517918"/>
    <w:rsid w:val="005205BE"/>
    <w:rsid w:val="005207FA"/>
    <w:rsid w:val="00520AC6"/>
    <w:rsid w:val="00520EC8"/>
    <w:rsid w:val="0052126B"/>
    <w:rsid w:val="00521464"/>
    <w:rsid w:val="00521A1D"/>
    <w:rsid w:val="005225B2"/>
    <w:rsid w:val="0052263C"/>
    <w:rsid w:val="00522F29"/>
    <w:rsid w:val="00522F4F"/>
    <w:rsid w:val="0052327F"/>
    <w:rsid w:val="0052388A"/>
    <w:rsid w:val="00523A14"/>
    <w:rsid w:val="00523BB6"/>
    <w:rsid w:val="00523E78"/>
    <w:rsid w:val="0052439D"/>
    <w:rsid w:val="00524B23"/>
    <w:rsid w:val="0052546C"/>
    <w:rsid w:val="005258AC"/>
    <w:rsid w:val="00525C0C"/>
    <w:rsid w:val="00525CEF"/>
    <w:rsid w:val="00525DB1"/>
    <w:rsid w:val="0052655A"/>
    <w:rsid w:val="00526691"/>
    <w:rsid w:val="00526987"/>
    <w:rsid w:val="005269C6"/>
    <w:rsid w:val="0052786B"/>
    <w:rsid w:val="00527E4B"/>
    <w:rsid w:val="00530438"/>
    <w:rsid w:val="005304DD"/>
    <w:rsid w:val="00530B31"/>
    <w:rsid w:val="00530FC0"/>
    <w:rsid w:val="00531D81"/>
    <w:rsid w:val="00531DC4"/>
    <w:rsid w:val="00531F6C"/>
    <w:rsid w:val="00532510"/>
    <w:rsid w:val="00532B3E"/>
    <w:rsid w:val="00532CE8"/>
    <w:rsid w:val="0053321F"/>
    <w:rsid w:val="00533259"/>
    <w:rsid w:val="005337D0"/>
    <w:rsid w:val="00533B0C"/>
    <w:rsid w:val="00533E8B"/>
    <w:rsid w:val="005344E6"/>
    <w:rsid w:val="0053574D"/>
    <w:rsid w:val="00535BAF"/>
    <w:rsid w:val="00535D1B"/>
    <w:rsid w:val="00535D5D"/>
    <w:rsid w:val="00535E37"/>
    <w:rsid w:val="00535EAE"/>
    <w:rsid w:val="0053605D"/>
    <w:rsid w:val="005362F2"/>
    <w:rsid w:val="00536AFD"/>
    <w:rsid w:val="00536DEE"/>
    <w:rsid w:val="00536EC6"/>
    <w:rsid w:val="00537205"/>
    <w:rsid w:val="00537A7F"/>
    <w:rsid w:val="00537B26"/>
    <w:rsid w:val="00540108"/>
    <w:rsid w:val="00540247"/>
    <w:rsid w:val="005405A9"/>
    <w:rsid w:val="005408CC"/>
    <w:rsid w:val="00541438"/>
    <w:rsid w:val="00541498"/>
    <w:rsid w:val="005415E3"/>
    <w:rsid w:val="00541638"/>
    <w:rsid w:val="0054166C"/>
    <w:rsid w:val="00541825"/>
    <w:rsid w:val="00541904"/>
    <w:rsid w:val="0054190E"/>
    <w:rsid w:val="005419D2"/>
    <w:rsid w:val="005420B7"/>
    <w:rsid w:val="005420F7"/>
    <w:rsid w:val="00542B62"/>
    <w:rsid w:val="00542D14"/>
    <w:rsid w:val="00543125"/>
    <w:rsid w:val="00543400"/>
    <w:rsid w:val="005434D9"/>
    <w:rsid w:val="005435F5"/>
    <w:rsid w:val="00543A24"/>
    <w:rsid w:val="00543C89"/>
    <w:rsid w:val="0054439B"/>
    <w:rsid w:val="00544993"/>
    <w:rsid w:val="005449B5"/>
    <w:rsid w:val="00544AE4"/>
    <w:rsid w:val="00544B02"/>
    <w:rsid w:val="00544E4E"/>
    <w:rsid w:val="0054513C"/>
    <w:rsid w:val="005456C9"/>
    <w:rsid w:val="005461D6"/>
    <w:rsid w:val="005466EE"/>
    <w:rsid w:val="00546EC4"/>
    <w:rsid w:val="00547567"/>
    <w:rsid w:val="00547D7A"/>
    <w:rsid w:val="00550616"/>
    <w:rsid w:val="0055078B"/>
    <w:rsid w:val="005507E1"/>
    <w:rsid w:val="00550CE2"/>
    <w:rsid w:val="00550D5A"/>
    <w:rsid w:val="00550D91"/>
    <w:rsid w:val="005514EC"/>
    <w:rsid w:val="00552505"/>
    <w:rsid w:val="00552567"/>
    <w:rsid w:val="005527B4"/>
    <w:rsid w:val="005527D7"/>
    <w:rsid w:val="00552CDE"/>
    <w:rsid w:val="00552DC3"/>
    <w:rsid w:val="00552E24"/>
    <w:rsid w:val="00553235"/>
    <w:rsid w:val="00553278"/>
    <w:rsid w:val="005558B6"/>
    <w:rsid w:val="00555997"/>
    <w:rsid w:val="00555BFE"/>
    <w:rsid w:val="005561D4"/>
    <w:rsid w:val="00556371"/>
    <w:rsid w:val="005563E0"/>
    <w:rsid w:val="005568F6"/>
    <w:rsid w:val="00556B0C"/>
    <w:rsid w:val="00556CAF"/>
    <w:rsid w:val="00557607"/>
    <w:rsid w:val="0055770D"/>
    <w:rsid w:val="00557985"/>
    <w:rsid w:val="00557D57"/>
    <w:rsid w:val="00557D8A"/>
    <w:rsid w:val="00560039"/>
    <w:rsid w:val="0056012E"/>
    <w:rsid w:val="0056016D"/>
    <w:rsid w:val="00560462"/>
    <w:rsid w:val="005607F2"/>
    <w:rsid w:val="00560E6E"/>
    <w:rsid w:val="00560FA0"/>
    <w:rsid w:val="0056136E"/>
    <w:rsid w:val="00561BC4"/>
    <w:rsid w:val="0056237F"/>
    <w:rsid w:val="00562F2E"/>
    <w:rsid w:val="0056329C"/>
    <w:rsid w:val="00563828"/>
    <w:rsid w:val="00563E3E"/>
    <w:rsid w:val="0056415C"/>
    <w:rsid w:val="0056423A"/>
    <w:rsid w:val="00564C52"/>
    <w:rsid w:val="00564F1E"/>
    <w:rsid w:val="005654B4"/>
    <w:rsid w:val="005659C9"/>
    <w:rsid w:val="00565D94"/>
    <w:rsid w:val="00565DCE"/>
    <w:rsid w:val="005662B3"/>
    <w:rsid w:val="0056683B"/>
    <w:rsid w:val="00566BC7"/>
    <w:rsid w:val="00567153"/>
    <w:rsid w:val="00567305"/>
    <w:rsid w:val="00567B70"/>
    <w:rsid w:val="005700F3"/>
    <w:rsid w:val="0057020A"/>
    <w:rsid w:val="0057162B"/>
    <w:rsid w:val="00571760"/>
    <w:rsid w:val="00571DC2"/>
    <w:rsid w:val="00571E70"/>
    <w:rsid w:val="00571EA8"/>
    <w:rsid w:val="00572018"/>
    <w:rsid w:val="00572E30"/>
    <w:rsid w:val="00573B2A"/>
    <w:rsid w:val="00574699"/>
    <w:rsid w:val="00574ADA"/>
    <w:rsid w:val="00574B6A"/>
    <w:rsid w:val="00575273"/>
    <w:rsid w:val="0057540D"/>
    <w:rsid w:val="00575E63"/>
    <w:rsid w:val="00575F49"/>
    <w:rsid w:val="00575F91"/>
    <w:rsid w:val="00576328"/>
    <w:rsid w:val="005765F0"/>
    <w:rsid w:val="005767C9"/>
    <w:rsid w:val="0057683B"/>
    <w:rsid w:val="00576AD1"/>
    <w:rsid w:val="00577160"/>
    <w:rsid w:val="00577231"/>
    <w:rsid w:val="00577D11"/>
    <w:rsid w:val="00580241"/>
    <w:rsid w:val="005803A9"/>
    <w:rsid w:val="0058083A"/>
    <w:rsid w:val="00581192"/>
    <w:rsid w:val="00581648"/>
    <w:rsid w:val="005823E0"/>
    <w:rsid w:val="0058319F"/>
    <w:rsid w:val="005838A4"/>
    <w:rsid w:val="00583E12"/>
    <w:rsid w:val="00583FE2"/>
    <w:rsid w:val="005844E8"/>
    <w:rsid w:val="005848A0"/>
    <w:rsid w:val="005856DB"/>
    <w:rsid w:val="00586237"/>
    <w:rsid w:val="00586B87"/>
    <w:rsid w:val="00586DAD"/>
    <w:rsid w:val="00586DF0"/>
    <w:rsid w:val="00586FB6"/>
    <w:rsid w:val="0058708D"/>
    <w:rsid w:val="00587564"/>
    <w:rsid w:val="0058773B"/>
    <w:rsid w:val="00587A07"/>
    <w:rsid w:val="00587E92"/>
    <w:rsid w:val="00590425"/>
    <w:rsid w:val="00590BB4"/>
    <w:rsid w:val="00590C93"/>
    <w:rsid w:val="00590D6A"/>
    <w:rsid w:val="00591623"/>
    <w:rsid w:val="00591AEA"/>
    <w:rsid w:val="00592550"/>
    <w:rsid w:val="00592642"/>
    <w:rsid w:val="005927E3"/>
    <w:rsid w:val="00592ABA"/>
    <w:rsid w:val="00592FB8"/>
    <w:rsid w:val="005932CB"/>
    <w:rsid w:val="00593BD3"/>
    <w:rsid w:val="00594AF4"/>
    <w:rsid w:val="00594CE5"/>
    <w:rsid w:val="0059533A"/>
    <w:rsid w:val="005965F0"/>
    <w:rsid w:val="00596775"/>
    <w:rsid w:val="0059735E"/>
    <w:rsid w:val="00597525"/>
    <w:rsid w:val="005975D7"/>
    <w:rsid w:val="005977F0"/>
    <w:rsid w:val="00597E29"/>
    <w:rsid w:val="005A0361"/>
    <w:rsid w:val="005A04DC"/>
    <w:rsid w:val="005A0918"/>
    <w:rsid w:val="005A1648"/>
    <w:rsid w:val="005A1E7D"/>
    <w:rsid w:val="005A1F04"/>
    <w:rsid w:val="005A25FC"/>
    <w:rsid w:val="005A27D5"/>
    <w:rsid w:val="005A2980"/>
    <w:rsid w:val="005A2B25"/>
    <w:rsid w:val="005A355C"/>
    <w:rsid w:val="005A38D9"/>
    <w:rsid w:val="005A3DDF"/>
    <w:rsid w:val="005A3FE8"/>
    <w:rsid w:val="005A4ACC"/>
    <w:rsid w:val="005A4B8A"/>
    <w:rsid w:val="005A4DDF"/>
    <w:rsid w:val="005A4F5D"/>
    <w:rsid w:val="005A5F94"/>
    <w:rsid w:val="005A6057"/>
    <w:rsid w:val="005A785C"/>
    <w:rsid w:val="005A7F5C"/>
    <w:rsid w:val="005B0624"/>
    <w:rsid w:val="005B08ED"/>
    <w:rsid w:val="005B0C77"/>
    <w:rsid w:val="005B0E50"/>
    <w:rsid w:val="005B167E"/>
    <w:rsid w:val="005B1748"/>
    <w:rsid w:val="005B20C5"/>
    <w:rsid w:val="005B23C7"/>
    <w:rsid w:val="005B2414"/>
    <w:rsid w:val="005B24CC"/>
    <w:rsid w:val="005B27C4"/>
    <w:rsid w:val="005B2826"/>
    <w:rsid w:val="005B2C0F"/>
    <w:rsid w:val="005B345A"/>
    <w:rsid w:val="005B3ED9"/>
    <w:rsid w:val="005B3F73"/>
    <w:rsid w:val="005B4786"/>
    <w:rsid w:val="005B4DF8"/>
    <w:rsid w:val="005B4E0D"/>
    <w:rsid w:val="005B516D"/>
    <w:rsid w:val="005B540E"/>
    <w:rsid w:val="005B5432"/>
    <w:rsid w:val="005B5494"/>
    <w:rsid w:val="005B56CB"/>
    <w:rsid w:val="005B58FC"/>
    <w:rsid w:val="005B59A4"/>
    <w:rsid w:val="005B619F"/>
    <w:rsid w:val="005B6231"/>
    <w:rsid w:val="005B6462"/>
    <w:rsid w:val="005B6C19"/>
    <w:rsid w:val="005B6C5E"/>
    <w:rsid w:val="005B6D40"/>
    <w:rsid w:val="005B6D9B"/>
    <w:rsid w:val="005B73EF"/>
    <w:rsid w:val="005B76B3"/>
    <w:rsid w:val="005B7A52"/>
    <w:rsid w:val="005B7EC6"/>
    <w:rsid w:val="005C0331"/>
    <w:rsid w:val="005C076A"/>
    <w:rsid w:val="005C0ECA"/>
    <w:rsid w:val="005C0EE1"/>
    <w:rsid w:val="005C12AA"/>
    <w:rsid w:val="005C13A9"/>
    <w:rsid w:val="005C18FD"/>
    <w:rsid w:val="005C197B"/>
    <w:rsid w:val="005C1B49"/>
    <w:rsid w:val="005C1E7E"/>
    <w:rsid w:val="005C21F8"/>
    <w:rsid w:val="005C2DAF"/>
    <w:rsid w:val="005C3871"/>
    <w:rsid w:val="005C3C39"/>
    <w:rsid w:val="005C3DF0"/>
    <w:rsid w:val="005C4045"/>
    <w:rsid w:val="005C4291"/>
    <w:rsid w:val="005C4303"/>
    <w:rsid w:val="005C45D9"/>
    <w:rsid w:val="005C4E45"/>
    <w:rsid w:val="005C55BD"/>
    <w:rsid w:val="005C56C6"/>
    <w:rsid w:val="005C59C5"/>
    <w:rsid w:val="005C5B90"/>
    <w:rsid w:val="005C6279"/>
    <w:rsid w:val="005C6ED8"/>
    <w:rsid w:val="005C7540"/>
    <w:rsid w:val="005C772B"/>
    <w:rsid w:val="005C7BE7"/>
    <w:rsid w:val="005D00F7"/>
    <w:rsid w:val="005D0A0F"/>
    <w:rsid w:val="005D0AF2"/>
    <w:rsid w:val="005D15E2"/>
    <w:rsid w:val="005D1601"/>
    <w:rsid w:val="005D1D02"/>
    <w:rsid w:val="005D215E"/>
    <w:rsid w:val="005D2792"/>
    <w:rsid w:val="005D2996"/>
    <w:rsid w:val="005D2ADA"/>
    <w:rsid w:val="005D2DB9"/>
    <w:rsid w:val="005D2E8C"/>
    <w:rsid w:val="005D3280"/>
    <w:rsid w:val="005D3664"/>
    <w:rsid w:val="005D39E1"/>
    <w:rsid w:val="005D4491"/>
    <w:rsid w:val="005D4635"/>
    <w:rsid w:val="005D4689"/>
    <w:rsid w:val="005D46C6"/>
    <w:rsid w:val="005D501F"/>
    <w:rsid w:val="005D50DF"/>
    <w:rsid w:val="005D5765"/>
    <w:rsid w:val="005D599F"/>
    <w:rsid w:val="005D59F3"/>
    <w:rsid w:val="005D5C65"/>
    <w:rsid w:val="005D5F62"/>
    <w:rsid w:val="005D620B"/>
    <w:rsid w:val="005D62A0"/>
    <w:rsid w:val="005D664F"/>
    <w:rsid w:val="005D69BD"/>
    <w:rsid w:val="005D6DD9"/>
    <w:rsid w:val="005D6F57"/>
    <w:rsid w:val="005D7573"/>
    <w:rsid w:val="005D7F11"/>
    <w:rsid w:val="005E0245"/>
    <w:rsid w:val="005E050E"/>
    <w:rsid w:val="005E0A01"/>
    <w:rsid w:val="005E1209"/>
    <w:rsid w:val="005E13DA"/>
    <w:rsid w:val="005E175A"/>
    <w:rsid w:val="005E1A92"/>
    <w:rsid w:val="005E2246"/>
    <w:rsid w:val="005E2A65"/>
    <w:rsid w:val="005E2E46"/>
    <w:rsid w:val="005E31AD"/>
    <w:rsid w:val="005E4442"/>
    <w:rsid w:val="005E510A"/>
    <w:rsid w:val="005E569F"/>
    <w:rsid w:val="005E56CC"/>
    <w:rsid w:val="005E57FA"/>
    <w:rsid w:val="005E59A4"/>
    <w:rsid w:val="005E5EBD"/>
    <w:rsid w:val="005E60F5"/>
    <w:rsid w:val="005E61B2"/>
    <w:rsid w:val="005E64D7"/>
    <w:rsid w:val="005E6AD2"/>
    <w:rsid w:val="005E6C74"/>
    <w:rsid w:val="005E721A"/>
    <w:rsid w:val="005E770D"/>
    <w:rsid w:val="005E78A1"/>
    <w:rsid w:val="005E7E26"/>
    <w:rsid w:val="005E7F80"/>
    <w:rsid w:val="005F0049"/>
    <w:rsid w:val="005F014D"/>
    <w:rsid w:val="005F0583"/>
    <w:rsid w:val="005F06C3"/>
    <w:rsid w:val="005F074C"/>
    <w:rsid w:val="005F0750"/>
    <w:rsid w:val="005F0789"/>
    <w:rsid w:val="005F0BB4"/>
    <w:rsid w:val="005F0D5B"/>
    <w:rsid w:val="005F0EFF"/>
    <w:rsid w:val="005F10C2"/>
    <w:rsid w:val="005F138D"/>
    <w:rsid w:val="005F1A38"/>
    <w:rsid w:val="005F2085"/>
    <w:rsid w:val="005F23BF"/>
    <w:rsid w:val="005F2C60"/>
    <w:rsid w:val="005F30AD"/>
    <w:rsid w:val="005F375E"/>
    <w:rsid w:val="005F3949"/>
    <w:rsid w:val="005F3A09"/>
    <w:rsid w:val="005F3F86"/>
    <w:rsid w:val="005F3F92"/>
    <w:rsid w:val="005F4FB0"/>
    <w:rsid w:val="005F511F"/>
    <w:rsid w:val="005F5973"/>
    <w:rsid w:val="005F5A11"/>
    <w:rsid w:val="005F5CCB"/>
    <w:rsid w:val="005F5FF8"/>
    <w:rsid w:val="005F6638"/>
    <w:rsid w:val="005F6C3E"/>
    <w:rsid w:val="005F6CF5"/>
    <w:rsid w:val="005F6E67"/>
    <w:rsid w:val="005F6E8D"/>
    <w:rsid w:val="005F6F16"/>
    <w:rsid w:val="005F74DF"/>
    <w:rsid w:val="005F78A0"/>
    <w:rsid w:val="005F7B7E"/>
    <w:rsid w:val="005F7C4F"/>
    <w:rsid w:val="005F7CE8"/>
    <w:rsid w:val="005F7F0E"/>
    <w:rsid w:val="00600088"/>
    <w:rsid w:val="00600917"/>
    <w:rsid w:val="006009DC"/>
    <w:rsid w:val="00600C31"/>
    <w:rsid w:val="00600EA0"/>
    <w:rsid w:val="00601BB6"/>
    <w:rsid w:val="00601DC6"/>
    <w:rsid w:val="00601DD4"/>
    <w:rsid w:val="00602898"/>
    <w:rsid w:val="00602B9F"/>
    <w:rsid w:val="00602BBA"/>
    <w:rsid w:val="00602E1A"/>
    <w:rsid w:val="006035E4"/>
    <w:rsid w:val="006049EC"/>
    <w:rsid w:val="00604A61"/>
    <w:rsid w:val="00605257"/>
    <w:rsid w:val="006053BA"/>
    <w:rsid w:val="00605ADC"/>
    <w:rsid w:val="00605FB4"/>
    <w:rsid w:val="00606D8C"/>
    <w:rsid w:val="006073A9"/>
    <w:rsid w:val="00607546"/>
    <w:rsid w:val="00607555"/>
    <w:rsid w:val="00607E10"/>
    <w:rsid w:val="00610E77"/>
    <w:rsid w:val="006110C0"/>
    <w:rsid w:val="0061175C"/>
    <w:rsid w:val="00611D53"/>
    <w:rsid w:val="0061261F"/>
    <w:rsid w:val="006131AE"/>
    <w:rsid w:val="00613281"/>
    <w:rsid w:val="006138BF"/>
    <w:rsid w:val="0061438B"/>
    <w:rsid w:val="006143DC"/>
    <w:rsid w:val="00614C05"/>
    <w:rsid w:val="00614C08"/>
    <w:rsid w:val="0061501D"/>
    <w:rsid w:val="00615751"/>
    <w:rsid w:val="006158BB"/>
    <w:rsid w:val="0061592F"/>
    <w:rsid w:val="00615B1A"/>
    <w:rsid w:val="00615D61"/>
    <w:rsid w:val="006161D3"/>
    <w:rsid w:val="00616654"/>
    <w:rsid w:val="00616702"/>
    <w:rsid w:val="00616CA3"/>
    <w:rsid w:val="00617248"/>
    <w:rsid w:val="006178BB"/>
    <w:rsid w:val="00617AA9"/>
    <w:rsid w:val="00617B5E"/>
    <w:rsid w:val="00617B65"/>
    <w:rsid w:val="00617DD4"/>
    <w:rsid w:val="00620105"/>
    <w:rsid w:val="0062037F"/>
    <w:rsid w:val="00620579"/>
    <w:rsid w:val="006207FF"/>
    <w:rsid w:val="00620A19"/>
    <w:rsid w:val="00620C1F"/>
    <w:rsid w:val="00621451"/>
    <w:rsid w:val="00621CA3"/>
    <w:rsid w:val="00621D78"/>
    <w:rsid w:val="00621E55"/>
    <w:rsid w:val="00622051"/>
    <w:rsid w:val="006224A8"/>
    <w:rsid w:val="006224BE"/>
    <w:rsid w:val="00622714"/>
    <w:rsid w:val="006229F9"/>
    <w:rsid w:val="00623087"/>
    <w:rsid w:val="006236BA"/>
    <w:rsid w:val="00623BE5"/>
    <w:rsid w:val="00623CBF"/>
    <w:rsid w:val="0062504F"/>
    <w:rsid w:val="006253C4"/>
    <w:rsid w:val="00625EAC"/>
    <w:rsid w:val="006261F1"/>
    <w:rsid w:val="00626676"/>
    <w:rsid w:val="00626B00"/>
    <w:rsid w:val="00626C08"/>
    <w:rsid w:val="00626CAA"/>
    <w:rsid w:val="0062710F"/>
    <w:rsid w:val="00627A0F"/>
    <w:rsid w:val="00627C4F"/>
    <w:rsid w:val="00627EFB"/>
    <w:rsid w:val="0063024E"/>
    <w:rsid w:val="006306A1"/>
    <w:rsid w:val="0063075E"/>
    <w:rsid w:val="0063080C"/>
    <w:rsid w:val="00630817"/>
    <w:rsid w:val="0063099C"/>
    <w:rsid w:val="00630A44"/>
    <w:rsid w:val="00630AE8"/>
    <w:rsid w:val="0063118F"/>
    <w:rsid w:val="00631238"/>
    <w:rsid w:val="0063125B"/>
    <w:rsid w:val="006313BB"/>
    <w:rsid w:val="0063159D"/>
    <w:rsid w:val="00631A47"/>
    <w:rsid w:val="00632179"/>
    <w:rsid w:val="006328EE"/>
    <w:rsid w:val="006329E7"/>
    <w:rsid w:val="00632FBD"/>
    <w:rsid w:val="00633537"/>
    <w:rsid w:val="00633977"/>
    <w:rsid w:val="006339F5"/>
    <w:rsid w:val="00634538"/>
    <w:rsid w:val="00634942"/>
    <w:rsid w:val="00634B2B"/>
    <w:rsid w:val="00634F5E"/>
    <w:rsid w:val="00635055"/>
    <w:rsid w:val="006350CE"/>
    <w:rsid w:val="00635568"/>
    <w:rsid w:val="006358DB"/>
    <w:rsid w:val="00635936"/>
    <w:rsid w:val="00635A9E"/>
    <w:rsid w:val="00635FBD"/>
    <w:rsid w:val="00636109"/>
    <w:rsid w:val="00636950"/>
    <w:rsid w:val="00636A23"/>
    <w:rsid w:val="00636E8B"/>
    <w:rsid w:val="0063725A"/>
    <w:rsid w:val="006373A9"/>
    <w:rsid w:val="00637512"/>
    <w:rsid w:val="0063765E"/>
    <w:rsid w:val="00637734"/>
    <w:rsid w:val="00637FE0"/>
    <w:rsid w:val="00640027"/>
    <w:rsid w:val="006401F2"/>
    <w:rsid w:val="00640433"/>
    <w:rsid w:val="00640AAA"/>
    <w:rsid w:val="00640C46"/>
    <w:rsid w:val="00640D9B"/>
    <w:rsid w:val="00640F5F"/>
    <w:rsid w:val="0064109A"/>
    <w:rsid w:val="00641B0B"/>
    <w:rsid w:val="00642E56"/>
    <w:rsid w:val="00642EE9"/>
    <w:rsid w:val="0064313F"/>
    <w:rsid w:val="00643334"/>
    <w:rsid w:val="0064344B"/>
    <w:rsid w:val="0064347A"/>
    <w:rsid w:val="006435ED"/>
    <w:rsid w:val="0064398E"/>
    <w:rsid w:val="00643D39"/>
    <w:rsid w:val="00644166"/>
    <w:rsid w:val="006442A1"/>
    <w:rsid w:val="006443A4"/>
    <w:rsid w:val="00644437"/>
    <w:rsid w:val="00645610"/>
    <w:rsid w:val="00645799"/>
    <w:rsid w:val="00645849"/>
    <w:rsid w:val="00645943"/>
    <w:rsid w:val="0064601B"/>
    <w:rsid w:val="006464A8"/>
    <w:rsid w:val="006465A5"/>
    <w:rsid w:val="00646730"/>
    <w:rsid w:val="006468BF"/>
    <w:rsid w:val="006469BC"/>
    <w:rsid w:val="00646DC7"/>
    <w:rsid w:val="00647197"/>
    <w:rsid w:val="00647CBE"/>
    <w:rsid w:val="00650637"/>
    <w:rsid w:val="00650781"/>
    <w:rsid w:val="00650D36"/>
    <w:rsid w:val="00650DC6"/>
    <w:rsid w:val="0065100F"/>
    <w:rsid w:val="006513C7"/>
    <w:rsid w:val="0065158D"/>
    <w:rsid w:val="00651760"/>
    <w:rsid w:val="006517CC"/>
    <w:rsid w:val="00652202"/>
    <w:rsid w:val="0065241A"/>
    <w:rsid w:val="00653199"/>
    <w:rsid w:val="006532C5"/>
    <w:rsid w:val="00653369"/>
    <w:rsid w:val="0065360C"/>
    <w:rsid w:val="00653A23"/>
    <w:rsid w:val="00653D8B"/>
    <w:rsid w:val="006546DD"/>
    <w:rsid w:val="006552DE"/>
    <w:rsid w:val="0065577E"/>
    <w:rsid w:val="0065615F"/>
    <w:rsid w:val="0065629A"/>
    <w:rsid w:val="0065634A"/>
    <w:rsid w:val="006564B3"/>
    <w:rsid w:val="00656680"/>
    <w:rsid w:val="006566A5"/>
    <w:rsid w:val="00656C16"/>
    <w:rsid w:val="00656C6B"/>
    <w:rsid w:val="00656D35"/>
    <w:rsid w:val="00656DD7"/>
    <w:rsid w:val="00656E01"/>
    <w:rsid w:val="00657097"/>
    <w:rsid w:val="00657101"/>
    <w:rsid w:val="0065730A"/>
    <w:rsid w:val="00657EA3"/>
    <w:rsid w:val="00660522"/>
    <w:rsid w:val="006606B7"/>
    <w:rsid w:val="00660F7B"/>
    <w:rsid w:val="006613E1"/>
    <w:rsid w:val="006616C1"/>
    <w:rsid w:val="00661A63"/>
    <w:rsid w:val="00662A09"/>
    <w:rsid w:val="00662CD1"/>
    <w:rsid w:val="00662D22"/>
    <w:rsid w:val="00662D59"/>
    <w:rsid w:val="00662F75"/>
    <w:rsid w:val="006632CA"/>
    <w:rsid w:val="006634B7"/>
    <w:rsid w:val="0066390A"/>
    <w:rsid w:val="00663B80"/>
    <w:rsid w:val="00664344"/>
    <w:rsid w:val="00664607"/>
    <w:rsid w:val="006646D7"/>
    <w:rsid w:val="00664805"/>
    <w:rsid w:val="00664DEC"/>
    <w:rsid w:val="00665148"/>
    <w:rsid w:val="00665268"/>
    <w:rsid w:val="006652B8"/>
    <w:rsid w:val="0066544C"/>
    <w:rsid w:val="00665678"/>
    <w:rsid w:val="006660D8"/>
    <w:rsid w:val="006660F9"/>
    <w:rsid w:val="00666498"/>
    <w:rsid w:val="00666643"/>
    <w:rsid w:val="0066667B"/>
    <w:rsid w:val="00666C30"/>
    <w:rsid w:val="00666F82"/>
    <w:rsid w:val="006674C9"/>
    <w:rsid w:val="006677CE"/>
    <w:rsid w:val="00667D3D"/>
    <w:rsid w:val="0067004F"/>
    <w:rsid w:val="006703FF"/>
    <w:rsid w:val="00670975"/>
    <w:rsid w:val="006709E2"/>
    <w:rsid w:val="00670D57"/>
    <w:rsid w:val="00671053"/>
    <w:rsid w:val="006711A7"/>
    <w:rsid w:val="00671246"/>
    <w:rsid w:val="006714EE"/>
    <w:rsid w:val="00671A33"/>
    <w:rsid w:val="00671CA3"/>
    <w:rsid w:val="00671DF9"/>
    <w:rsid w:val="006723C9"/>
    <w:rsid w:val="006724A7"/>
    <w:rsid w:val="00672534"/>
    <w:rsid w:val="00672740"/>
    <w:rsid w:val="006727AC"/>
    <w:rsid w:val="0067295A"/>
    <w:rsid w:val="00672ABA"/>
    <w:rsid w:val="00672D59"/>
    <w:rsid w:val="00673339"/>
    <w:rsid w:val="00673EA8"/>
    <w:rsid w:val="0067418B"/>
    <w:rsid w:val="006741B9"/>
    <w:rsid w:val="006747E4"/>
    <w:rsid w:val="006756C2"/>
    <w:rsid w:val="006758FA"/>
    <w:rsid w:val="00675D0C"/>
    <w:rsid w:val="00675FBC"/>
    <w:rsid w:val="00676062"/>
    <w:rsid w:val="00676486"/>
    <w:rsid w:val="00676533"/>
    <w:rsid w:val="006767B9"/>
    <w:rsid w:val="0067697B"/>
    <w:rsid w:val="00676A98"/>
    <w:rsid w:val="00676CBB"/>
    <w:rsid w:val="006770B2"/>
    <w:rsid w:val="00677134"/>
    <w:rsid w:val="00677B24"/>
    <w:rsid w:val="0068020B"/>
    <w:rsid w:val="006803C2"/>
    <w:rsid w:val="006804D2"/>
    <w:rsid w:val="00680731"/>
    <w:rsid w:val="006807B1"/>
    <w:rsid w:val="00680AB7"/>
    <w:rsid w:val="006817B8"/>
    <w:rsid w:val="00681EB2"/>
    <w:rsid w:val="006825F1"/>
    <w:rsid w:val="0068272F"/>
    <w:rsid w:val="0068308B"/>
    <w:rsid w:val="0068315C"/>
    <w:rsid w:val="00683573"/>
    <w:rsid w:val="00683A2D"/>
    <w:rsid w:val="00683A4A"/>
    <w:rsid w:val="00684201"/>
    <w:rsid w:val="006842AE"/>
    <w:rsid w:val="006844D2"/>
    <w:rsid w:val="00684652"/>
    <w:rsid w:val="0068465B"/>
    <w:rsid w:val="00684D9F"/>
    <w:rsid w:val="00685239"/>
    <w:rsid w:val="00685542"/>
    <w:rsid w:val="006855B1"/>
    <w:rsid w:val="0068608B"/>
    <w:rsid w:val="0068625E"/>
    <w:rsid w:val="00686F7B"/>
    <w:rsid w:val="00687BD8"/>
    <w:rsid w:val="00687E27"/>
    <w:rsid w:val="00690139"/>
    <w:rsid w:val="00690B1C"/>
    <w:rsid w:val="00690E84"/>
    <w:rsid w:val="00691425"/>
    <w:rsid w:val="00691C3A"/>
    <w:rsid w:val="00691F67"/>
    <w:rsid w:val="006926EE"/>
    <w:rsid w:val="0069300E"/>
    <w:rsid w:val="006935BE"/>
    <w:rsid w:val="00693FE8"/>
    <w:rsid w:val="006944DB"/>
    <w:rsid w:val="0069526E"/>
    <w:rsid w:val="0069548C"/>
    <w:rsid w:val="00695522"/>
    <w:rsid w:val="00695590"/>
    <w:rsid w:val="00695956"/>
    <w:rsid w:val="00695A3E"/>
    <w:rsid w:val="00695B99"/>
    <w:rsid w:val="00695DC9"/>
    <w:rsid w:val="00695E63"/>
    <w:rsid w:val="00695EEB"/>
    <w:rsid w:val="00696878"/>
    <w:rsid w:val="00696BD9"/>
    <w:rsid w:val="00696E64"/>
    <w:rsid w:val="006971B6"/>
    <w:rsid w:val="00697321"/>
    <w:rsid w:val="006978DE"/>
    <w:rsid w:val="00697D6B"/>
    <w:rsid w:val="006A0502"/>
    <w:rsid w:val="006A0651"/>
    <w:rsid w:val="006A121A"/>
    <w:rsid w:val="006A1256"/>
    <w:rsid w:val="006A1434"/>
    <w:rsid w:val="006A1B64"/>
    <w:rsid w:val="006A1F88"/>
    <w:rsid w:val="006A1FFD"/>
    <w:rsid w:val="006A25E6"/>
    <w:rsid w:val="006A2823"/>
    <w:rsid w:val="006A2879"/>
    <w:rsid w:val="006A2A80"/>
    <w:rsid w:val="006A2D14"/>
    <w:rsid w:val="006A2F2F"/>
    <w:rsid w:val="006A3068"/>
    <w:rsid w:val="006A3667"/>
    <w:rsid w:val="006A3763"/>
    <w:rsid w:val="006A3CB1"/>
    <w:rsid w:val="006A49F8"/>
    <w:rsid w:val="006A4B73"/>
    <w:rsid w:val="006A50F5"/>
    <w:rsid w:val="006A5148"/>
    <w:rsid w:val="006A5863"/>
    <w:rsid w:val="006A58DF"/>
    <w:rsid w:val="006A593B"/>
    <w:rsid w:val="006A5F82"/>
    <w:rsid w:val="006A62F0"/>
    <w:rsid w:val="006A6D7D"/>
    <w:rsid w:val="006A715B"/>
    <w:rsid w:val="006A7223"/>
    <w:rsid w:val="006A7933"/>
    <w:rsid w:val="006B0159"/>
    <w:rsid w:val="006B05B3"/>
    <w:rsid w:val="006B071E"/>
    <w:rsid w:val="006B0B12"/>
    <w:rsid w:val="006B0D0C"/>
    <w:rsid w:val="006B0F6D"/>
    <w:rsid w:val="006B164B"/>
    <w:rsid w:val="006B1D92"/>
    <w:rsid w:val="006B1FA9"/>
    <w:rsid w:val="006B2135"/>
    <w:rsid w:val="006B28F7"/>
    <w:rsid w:val="006B32E0"/>
    <w:rsid w:val="006B349A"/>
    <w:rsid w:val="006B3C1D"/>
    <w:rsid w:val="006B4462"/>
    <w:rsid w:val="006B4625"/>
    <w:rsid w:val="006B46D2"/>
    <w:rsid w:val="006B4870"/>
    <w:rsid w:val="006B4ABF"/>
    <w:rsid w:val="006B4C28"/>
    <w:rsid w:val="006B4E23"/>
    <w:rsid w:val="006B5106"/>
    <w:rsid w:val="006B547A"/>
    <w:rsid w:val="006B553D"/>
    <w:rsid w:val="006B5EBD"/>
    <w:rsid w:val="006B69CA"/>
    <w:rsid w:val="006B6DE7"/>
    <w:rsid w:val="006B748D"/>
    <w:rsid w:val="006B76B2"/>
    <w:rsid w:val="006B7730"/>
    <w:rsid w:val="006B7A9F"/>
    <w:rsid w:val="006B7B07"/>
    <w:rsid w:val="006B7DEE"/>
    <w:rsid w:val="006B7F44"/>
    <w:rsid w:val="006B7FC7"/>
    <w:rsid w:val="006C0DDC"/>
    <w:rsid w:val="006C0F1E"/>
    <w:rsid w:val="006C164D"/>
    <w:rsid w:val="006C27FA"/>
    <w:rsid w:val="006C2E06"/>
    <w:rsid w:val="006C3CB9"/>
    <w:rsid w:val="006C3E99"/>
    <w:rsid w:val="006C424D"/>
    <w:rsid w:val="006C4303"/>
    <w:rsid w:val="006C4861"/>
    <w:rsid w:val="006C4C9E"/>
    <w:rsid w:val="006C52F5"/>
    <w:rsid w:val="006C59E5"/>
    <w:rsid w:val="006C5BBB"/>
    <w:rsid w:val="006C6BBD"/>
    <w:rsid w:val="006C7B59"/>
    <w:rsid w:val="006C7CDF"/>
    <w:rsid w:val="006D04A2"/>
    <w:rsid w:val="006D07E1"/>
    <w:rsid w:val="006D0C90"/>
    <w:rsid w:val="006D0D3B"/>
    <w:rsid w:val="006D1417"/>
    <w:rsid w:val="006D182B"/>
    <w:rsid w:val="006D1B28"/>
    <w:rsid w:val="006D1E34"/>
    <w:rsid w:val="006D1F20"/>
    <w:rsid w:val="006D245D"/>
    <w:rsid w:val="006D284F"/>
    <w:rsid w:val="006D2B7A"/>
    <w:rsid w:val="006D2E0E"/>
    <w:rsid w:val="006D333B"/>
    <w:rsid w:val="006D397D"/>
    <w:rsid w:val="006D3EB9"/>
    <w:rsid w:val="006D4352"/>
    <w:rsid w:val="006D5059"/>
    <w:rsid w:val="006D5C5C"/>
    <w:rsid w:val="006D6550"/>
    <w:rsid w:val="006D6EAD"/>
    <w:rsid w:val="006D6F9A"/>
    <w:rsid w:val="006D7148"/>
    <w:rsid w:val="006E0CB7"/>
    <w:rsid w:val="006E0E3C"/>
    <w:rsid w:val="006E0E91"/>
    <w:rsid w:val="006E1216"/>
    <w:rsid w:val="006E1234"/>
    <w:rsid w:val="006E15C7"/>
    <w:rsid w:val="006E1868"/>
    <w:rsid w:val="006E1A31"/>
    <w:rsid w:val="006E1D04"/>
    <w:rsid w:val="006E1F99"/>
    <w:rsid w:val="006E1FA4"/>
    <w:rsid w:val="006E2277"/>
    <w:rsid w:val="006E2988"/>
    <w:rsid w:val="006E2B1D"/>
    <w:rsid w:val="006E2CD7"/>
    <w:rsid w:val="006E2DF6"/>
    <w:rsid w:val="006E2F8A"/>
    <w:rsid w:val="006E38DA"/>
    <w:rsid w:val="006E3E6B"/>
    <w:rsid w:val="006E424A"/>
    <w:rsid w:val="006E4265"/>
    <w:rsid w:val="006E45FF"/>
    <w:rsid w:val="006E46D2"/>
    <w:rsid w:val="006E4A53"/>
    <w:rsid w:val="006E4C4A"/>
    <w:rsid w:val="006E4DDE"/>
    <w:rsid w:val="006E5053"/>
    <w:rsid w:val="006E529B"/>
    <w:rsid w:val="006E56E0"/>
    <w:rsid w:val="006E5BED"/>
    <w:rsid w:val="006E5C1C"/>
    <w:rsid w:val="006E5ED2"/>
    <w:rsid w:val="006E69B7"/>
    <w:rsid w:val="006E7688"/>
    <w:rsid w:val="006E7721"/>
    <w:rsid w:val="006E7BCF"/>
    <w:rsid w:val="006F0019"/>
    <w:rsid w:val="006F01D7"/>
    <w:rsid w:val="006F0B84"/>
    <w:rsid w:val="006F0D7A"/>
    <w:rsid w:val="006F0E54"/>
    <w:rsid w:val="006F116F"/>
    <w:rsid w:val="006F160D"/>
    <w:rsid w:val="006F18E9"/>
    <w:rsid w:val="006F1B1A"/>
    <w:rsid w:val="006F1C0A"/>
    <w:rsid w:val="006F1E01"/>
    <w:rsid w:val="006F227F"/>
    <w:rsid w:val="006F292B"/>
    <w:rsid w:val="006F29CE"/>
    <w:rsid w:val="006F2ABE"/>
    <w:rsid w:val="006F2B75"/>
    <w:rsid w:val="006F2BB6"/>
    <w:rsid w:val="006F3597"/>
    <w:rsid w:val="006F35B1"/>
    <w:rsid w:val="006F35E6"/>
    <w:rsid w:val="006F399F"/>
    <w:rsid w:val="006F3DFE"/>
    <w:rsid w:val="006F4141"/>
    <w:rsid w:val="006F4175"/>
    <w:rsid w:val="006F46F1"/>
    <w:rsid w:val="006F4966"/>
    <w:rsid w:val="006F4A24"/>
    <w:rsid w:val="006F4AF1"/>
    <w:rsid w:val="006F4BDA"/>
    <w:rsid w:val="006F4D4F"/>
    <w:rsid w:val="006F54E3"/>
    <w:rsid w:val="006F566C"/>
    <w:rsid w:val="006F5763"/>
    <w:rsid w:val="006F5818"/>
    <w:rsid w:val="006F5AB9"/>
    <w:rsid w:val="006F5F4E"/>
    <w:rsid w:val="006F6B76"/>
    <w:rsid w:val="006F704E"/>
    <w:rsid w:val="006F70D4"/>
    <w:rsid w:val="006F7367"/>
    <w:rsid w:val="006F743C"/>
    <w:rsid w:val="006F755B"/>
    <w:rsid w:val="006F76BA"/>
    <w:rsid w:val="00700D41"/>
    <w:rsid w:val="007013A5"/>
    <w:rsid w:val="007013F3"/>
    <w:rsid w:val="00701785"/>
    <w:rsid w:val="007019E3"/>
    <w:rsid w:val="007023B5"/>
    <w:rsid w:val="00702594"/>
    <w:rsid w:val="00703292"/>
    <w:rsid w:val="00703572"/>
    <w:rsid w:val="007035BB"/>
    <w:rsid w:val="007035DF"/>
    <w:rsid w:val="00703A44"/>
    <w:rsid w:val="00703ACC"/>
    <w:rsid w:val="0070405B"/>
    <w:rsid w:val="0070406C"/>
    <w:rsid w:val="007043C9"/>
    <w:rsid w:val="0070488B"/>
    <w:rsid w:val="00704917"/>
    <w:rsid w:val="00704BD7"/>
    <w:rsid w:val="00705BE0"/>
    <w:rsid w:val="00705C0D"/>
    <w:rsid w:val="00706166"/>
    <w:rsid w:val="0070667F"/>
    <w:rsid w:val="00706B1C"/>
    <w:rsid w:val="00706EBA"/>
    <w:rsid w:val="00706EC2"/>
    <w:rsid w:val="00707415"/>
    <w:rsid w:val="00707853"/>
    <w:rsid w:val="007078D0"/>
    <w:rsid w:val="007079AE"/>
    <w:rsid w:val="00707AD7"/>
    <w:rsid w:val="00710209"/>
    <w:rsid w:val="0071083C"/>
    <w:rsid w:val="00712149"/>
    <w:rsid w:val="00712314"/>
    <w:rsid w:val="00712339"/>
    <w:rsid w:val="00712897"/>
    <w:rsid w:val="00712EF5"/>
    <w:rsid w:val="0071317D"/>
    <w:rsid w:val="007132C9"/>
    <w:rsid w:val="007136F6"/>
    <w:rsid w:val="00713701"/>
    <w:rsid w:val="00713A33"/>
    <w:rsid w:val="00713AE8"/>
    <w:rsid w:val="0071402F"/>
    <w:rsid w:val="007142E7"/>
    <w:rsid w:val="007145DA"/>
    <w:rsid w:val="00714951"/>
    <w:rsid w:val="00714A19"/>
    <w:rsid w:val="00714AED"/>
    <w:rsid w:val="00714D68"/>
    <w:rsid w:val="007152E1"/>
    <w:rsid w:val="00715BBE"/>
    <w:rsid w:val="00715D4E"/>
    <w:rsid w:val="00715E1A"/>
    <w:rsid w:val="00715EB3"/>
    <w:rsid w:val="007162BD"/>
    <w:rsid w:val="00716B3C"/>
    <w:rsid w:val="00717425"/>
    <w:rsid w:val="00717DA7"/>
    <w:rsid w:val="00717E12"/>
    <w:rsid w:val="00720327"/>
    <w:rsid w:val="0072034A"/>
    <w:rsid w:val="007205AB"/>
    <w:rsid w:val="00720DBB"/>
    <w:rsid w:val="00721435"/>
    <w:rsid w:val="0072174E"/>
    <w:rsid w:val="007217DE"/>
    <w:rsid w:val="007218C4"/>
    <w:rsid w:val="007219C7"/>
    <w:rsid w:val="00721A7C"/>
    <w:rsid w:val="00721EA3"/>
    <w:rsid w:val="007222E2"/>
    <w:rsid w:val="00722317"/>
    <w:rsid w:val="00723500"/>
    <w:rsid w:val="00723536"/>
    <w:rsid w:val="0072379C"/>
    <w:rsid w:val="00723836"/>
    <w:rsid w:val="00723B0A"/>
    <w:rsid w:val="00723BB9"/>
    <w:rsid w:val="00723C4E"/>
    <w:rsid w:val="0072417E"/>
    <w:rsid w:val="00724606"/>
    <w:rsid w:val="00724699"/>
    <w:rsid w:val="00724772"/>
    <w:rsid w:val="00724BB8"/>
    <w:rsid w:val="00724DA3"/>
    <w:rsid w:val="0072534E"/>
    <w:rsid w:val="007253E8"/>
    <w:rsid w:val="007254C3"/>
    <w:rsid w:val="00725751"/>
    <w:rsid w:val="007258B0"/>
    <w:rsid w:val="007258C7"/>
    <w:rsid w:val="00725F05"/>
    <w:rsid w:val="007261E1"/>
    <w:rsid w:val="00726CB0"/>
    <w:rsid w:val="00726D34"/>
    <w:rsid w:val="00726F14"/>
    <w:rsid w:val="00727349"/>
    <w:rsid w:val="0072792F"/>
    <w:rsid w:val="00727BE1"/>
    <w:rsid w:val="00727DBD"/>
    <w:rsid w:val="007304FF"/>
    <w:rsid w:val="00730735"/>
    <w:rsid w:val="00731085"/>
    <w:rsid w:val="00731892"/>
    <w:rsid w:val="007318AE"/>
    <w:rsid w:val="007318E1"/>
    <w:rsid w:val="00731BBD"/>
    <w:rsid w:val="0073254E"/>
    <w:rsid w:val="00732DD0"/>
    <w:rsid w:val="00732FEC"/>
    <w:rsid w:val="0073300B"/>
    <w:rsid w:val="00733124"/>
    <w:rsid w:val="00733161"/>
    <w:rsid w:val="007337DE"/>
    <w:rsid w:val="007338D4"/>
    <w:rsid w:val="00733958"/>
    <w:rsid w:val="0073397B"/>
    <w:rsid w:val="00733C94"/>
    <w:rsid w:val="00733DC1"/>
    <w:rsid w:val="00734238"/>
    <w:rsid w:val="007345AC"/>
    <w:rsid w:val="007348EF"/>
    <w:rsid w:val="00734A3F"/>
    <w:rsid w:val="00734DAF"/>
    <w:rsid w:val="00735168"/>
    <w:rsid w:val="0073538C"/>
    <w:rsid w:val="0073551B"/>
    <w:rsid w:val="00735A18"/>
    <w:rsid w:val="007364DC"/>
    <w:rsid w:val="007369EE"/>
    <w:rsid w:val="00736D44"/>
    <w:rsid w:val="007370E9"/>
    <w:rsid w:val="007373D6"/>
    <w:rsid w:val="007373FD"/>
    <w:rsid w:val="0073764B"/>
    <w:rsid w:val="00737F21"/>
    <w:rsid w:val="00740018"/>
    <w:rsid w:val="0074045C"/>
    <w:rsid w:val="007404B3"/>
    <w:rsid w:val="007405DE"/>
    <w:rsid w:val="00740EAA"/>
    <w:rsid w:val="00741B20"/>
    <w:rsid w:val="00741D49"/>
    <w:rsid w:val="00741DDF"/>
    <w:rsid w:val="00742AED"/>
    <w:rsid w:val="00742CC3"/>
    <w:rsid w:val="00742E64"/>
    <w:rsid w:val="0074302A"/>
    <w:rsid w:val="007433D7"/>
    <w:rsid w:val="0074353A"/>
    <w:rsid w:val="00743A72"/>
    <w:rsid w:val="00743F0F"/>
    <w:rsid w:val="0074420F"/>
    <w:rsid w:val="00744723"/>
    <w:rsid w:val="00744D1F"/>
    <w:rsid w:val="00745019"/>
    <w:rsid w:val="00745041"/>
    <w:rsid w:val="00745AF4"/>
    <w:rsid w:val="00745E31"/>
    <w:rsid w:val="0074642A"/>
    <w:rsid w:val="00746603"/>
    <w:rsid w:val="00746BA9"/>
    <w:rsid w:val="00746CD2"/>
    <w:rsid w:val="00746D97"/>
    <w:rsid w:val="0074703C"/>
    <w:rsid w:val="00747636"/>
    <w:rsid w:val="007479E6"/>
    <w:rsid w:val="00747C45"/>
    <w:rsid w:val="00750937"/>
    <w:rsid w:val="007516E8"/>
    <w:rsid w:val="0075188B"/>
    <w:rsid w:val="00751CC5"/>
    <w:rsid w:val="00752E9C"/>
    <w:rsid w:val="007530CB"/>
    <w:rsid w:val="007533DD"/>
    <w:rsid w:val="007538BE"/>
    <w:rsid w:val="007540C0"/>
    <w:rsid w:val="007540D6"/>
    <w:rsid w:val="007557B3"/>
    <w:rsid w:val="00755A23"/>
    <w:rsid w:val="00755B55"/>
    <w:rsid w:val="00755EB2"/>
    <w:rsid w:val="0075671C"/>
    <w:rsid w:val="00756A74"/>
    <w:rsid w:val="00756AB1"/>
    <w:rsid w:val="007574A4"/>
    <w:rsid w:val="00757D0C"/>
    <w:rsid w:val="00757ED3"/>
    <w:rsid w:val="007610A6"/>
    <w:rsid w:val="00761441"/>
    <w:rsid w:val="0076146B"/>
    <w:rsid w:val="007617B9"/>
    <w:rsid w:val="00761B5B"/>
    <w:rsid w:val="00761BBD"/>
    <w:rsid w:val="00761F5F"/>
    <w:rsid w:val="00762C94"/>
    <w:rsid w:val="00763912"/>
    <w:rsid w:val="00763BA1"/>
    <w:rsid w:val="00763FF3"/>
    <w:rsid w:val="00764067"/>
    <w:rsid w:val="00764130"/>
    <w:rsid w:val="00764196"/>
    <w:rsid w:val="00764576"/>
    <w:rsid w:val="00764758"/>
    <w:rsid w:val="00764AFB"/>
    <w:rsid w:val="0076524C"/>
    <w:rsid w:val="00765303"/>
    <w:rsid w:val="007658FF"/>
    <w:rsid w:val="00765BF7"/>
    <w:rsid w:val="00766132"/>
    <w:rsid w:val="00766473"/>
    <w:rsid w:val="00766C6F"/>
    <w:rsid w:val="007670EE"/>
    <w:rsid w:val="00767443"/>
    <w:rsid w:val="007676AA"/>
    <w:rsid w:val="00767F19"/>
    <w:rsid w:val="00770060"/>
    <w:rsid w:val="00770181"/>
    <w:rsid w:val="007701AB"/>
    <w:rsid w:val="00770B29"/>
    <w:rsid w:val="0077111E"/>
    <w:rsid w:val="00771307"/>
    <w:rsid w:val="00771336"/>
    <w:rsid w:val="00771A0D"/>
    <w:rsid w:val="00772223"/>
    <w:rsid w:val="00772A43"/>
    <w:rsid w:val="00772F7B"/>
    <w:rsid w:val="007731AC"/>
    <w:rsid w:val="00773576"/>
    <w:rsid w:val="007737B7"/>
    <w:rsid w:val="007739D7"/>
    <w:rsid w:val="00773A3D"/>
    <w:rsid w:val="00773AF7"/>
    <w:rsid w:val="007740F0"/>
    <w:rsid w:val="00774CC1"/>
    <w:rsid w:val="007756BF"/>
    <w:rsid w:val="007757FB"/>
    <w:rsid w:val="00775EEC"/>
    <w:rsid w:val="007762E6"/>
    <w:rsid w:val="0077645D"/>
    <w:rsid w:val="00776CDC"/>
    <w:rsid w:val="0077739C"/>
    <w:rsid w:val="00777B36"/>
    <w:rsid w:val="00777E8B"/>
    <w:rsid w:val="00777EE7"/>
    <w:rsid w:val="00780312"/>
    <w:rsid w:val="0078069E"/>
    <w:rsid w:val="007807D6"/>
    <w:rsid w:val="00780938"/>
    <w:rsid w:val="00781C0A"/>
    <w:rsid w:val="007820D5"/>
    <w:rsid w:val="00782A57"/>
    <w:rsid w:val="00783033"/>
    <w:rsid w:val="0078323A"/>
    <w:rsid w:val="00783A5A"/>
    <w:rsid w:val="007847FD"/>
    <w:rsid w:val="00784A07"/>
    <w:rsid w:val="00784A40"/>
    <w:rsid w:val="00785C65"/>
    <w:rsid w:val="00786A94"/>
    <w:rsid w:val="00786B3C"/>
    <w:rsid w:val="007871C1"/>
    <w:rsid w:val="0078747C"/>
    <w:rsid w:val="00787D4D"/>
    <w:rsid w:val="00787EA3"/>
    <w:rsid w:val="00790BA0"/>
    <w:rsid w:val="00790CB0"/>
    <w:rsid w:val="00791792"/>
    <w:rsid w:val="00791CC0"/>
    <w:rsid w:val="00791D8B"/>
    <w:rsid w:val="00791E8B"/>
    <w:rsid w:val="00792230"/>
    <w:rsid w:val="0079291F"/>
    <w:rsid w:val="00793002"/>
    <w:rsid w:val="007932D2"/>
    <w:rsid w:val="007934AF"/>
    <w:rsid w:val="007935B8"/>
    <w:rsid w:val="007935F1"/>
    <w:rsid w:val="00793AF2"/>
    <w:rsid w:val="00793DDA"/>
    <w:rsid w:val="007940A9"/>
    <w:rsid w:val="007947C7"/>
    <w:rsid w:val="00795021"/>
    <w:rsid w:val="0079518F"/>
    <w:rsid w:val="00795E53"/>
    <w:rsid w:val="007964DB"/>
    <w:rsid w:val="00796604"/>
    <w:rsid w:val="00796A22"/>
    <w:rsid w:val="00796AB8"/>
    <w:rsid w:val="00796FDC"/>
    <w:rsid w:val="007971ED"/>
    <w:rsid w:val="007974E4"/>
    <w:rsid w:val="0079762D"/>
    <w:rsid w:val="0079784E"/>
    <w:rsid w:val="00797B53"/>
    <w:rsid w:val="00797DAD"/>
    <w:rsid w:val="007A0893"/>
    <w:rsid w:val="007A0C49"/>
    <w:rsid w:val="007A0CAF"/>
    <w:rsid w:val="007A0EA7"/>
    <w:rsid w:val="007A0EB7"/>
    <w:rsid w:val="007A0F72"/>
    <w:rsid w:val="007A1DD6"/>
    <w:rsid w:val="007A1E6F"/>
    <w:rsid w:val="007A24E4"/>
    <w:rsid w:val="007A2AB3"/>
    <w:rsid w:val="007A31F5"/>
    <w:rsid w:val="007A3557"/>
    <w:rsid w:val="007A3710"/>
    <w:rsid w:val="007A3CB3"/>
    <w:rsid w:val="007A3EAA"/>
    <w:rsid w:val="007A4486"/>
    <w:rsid w:val="007A45C4"/>
    <w:rsid w:val="007A4966"/>
    <w:rsid w:val="007A4A9A"/>
    <w:rsid w:val="007A4B7F"/>
    <w:rsid w:val="007A4C89"/>
    <w:rsid w:val="007A4EB2"/>
    <w:rsid w:val="007A51F0"/>
    <w:rsid w:val="007A5214"/>
    <w:rsid w:val="007A5626"/>
    <w:rsid w:val="007A5628"/>
    <w:rsid w:val="007A64E9"/>
    <w:rsid w:val="007A6608"/>
    <w:rsid w:val="007A6769"/>
    <w:rsid w:val="007A6A54"/>
    <w:rsid w:val="007A6D5E"/>
    <w:rsid w:val="007A7242"/>
    <w:rsid w:val="007A7566"/>
    <w:rsid w:val="007A756F"/>
    <w:rsid w:val="007A7721"/>
    <w:rsid w:val="007A7AF7"/>
    <w:rsid w:val="007A7B91"/>
    <w:rsid w:val="007A7CF3"/>
    <w:rsid w:val="007B01DD"/>
    <w:rsid w:val="007B0A4D"/>
    <w:rsid w:val="007B0C56"/>
    <w:rsid w:val="007B1878"/>
    <w:rsid w:val="007B1903"/>
    <w:rsid w:val="007B1906"/>
    <w:rsid w:val="007B19A3"/>
    <w:rsid w:val="007B1F44"/>
    <w:rsid w:val="007B1F73"/>
    <w:rsid w:val="007B1F74"/>
    <w:rsid w:val="007B1FCB"/>
    <w:rsid w:val="007B2066"/>
    <w:rsid w:val="007B21C0"/>
    <w:rsid w:val="007B232E"/>
    <w:rsid w:val="007B244C"/>
    <w:rsid w:val="007B26B5"/>
    <w:rsid w:val="007B2CDA"/>
    <w:rsid w:val="007B40C5"/>
    <w:rsid w:val="007B4118"/>
    <w:rsid w:val="007B4945"/>
    <w:rsid w:val="007B5207"/>
    <w:rsid w:val="007B52CA"/>
    <w:rsid w:val="007B576B"/>
    <w:rsid w:val="007B61AF"/>
    <w:rsid w:val="007B6441"/>
    <w:rsid w:val="007B645E"/>
    <w:rsid w:val="007B671A"/>
    <w:rsid w:val="007B67E2"/>
    <w:rsid w:val="007B70F1"/>
    <w:rsid w:val="007B7500"/>
    <w:rsid w:val="007B7575"/>
    <w:rsid w:val="007C02A2"/>
    <w:rsid w:val="007C0508"/>
    <w:rsid w:val="007C07BD"/>
    <w:rsid w:val="007C0997"/>
    <w:rsid w:val="007C0A78"/>
    <w:rsid w:val="007C10EE"/>
    <w:rsid w:val="007C133A"/>
    <w:rsid w:val="007C15DA"/>
    <w:rsid w:val="007C169A"/>
    <w:rsid w:val="007C17FB"/>
    <w:rsid w:val="007C1AF4"/>
    <w:rsid w:val="007C1B27"/>
    <w:rsid w:val="007C1EE0"/>
    <w:rsid w:val="007C1FD8"/>
    <w:rsid w:val="007C2060"/>
    <w:rsid w:val="007C230C"/>
    <w:rsid w:val="007C24E1"/>
    <w:rsid w:val="007C24EB"/>
    <w:rsid w:val="007C2D24"/>
    <w:rsid w:val="007C2E5C"/>
    <w:rsid w:val="007C2E92"/>
    <w:rsid w:val="007C2EB5"/>
    <w:rsid w:val="007C37D5"/>
    <w:rsid w:val="007C3F8F"/>
    <w:rsid w:val="007C4091"/>
    <w:rsid w:val="007C40C0"/>
    <w:rsid w:val="007C4192"/>
    <w:rsid w:val="007C4281"/>
    <w:rsid w:val="007C44B4"/>
    <w:rsid w:val="007C4508"/>
    <w:rsid w:val="007C48D6"/>
    <w:rsid w:val="007C4BB5"/>
    <w:rsid w:val="007C4C94"/>
    <w:rsid w:val="007C4D0C"/>
    <w:rsid w:val="007C50BF"/>
    <w:rsid w:val="007C52E7"/>
    <w:rsid w:val="007C53F9"/>
    <w:rsid w:val="007C542C"/>
    <w:rsid w:val="007C55AC"/>
    <w:rsid w:val="007C5A02"/>
    <w:rsid w:val="007C5B68"/>
    <w:rsid w:val="007C5FA2"/>
    <w:rsid w:val="007C646F"/>
    <w:rsid w:val="007C6DFC"/>
    <w:rsid w:val="007C70B0"/>
    <w:rsid w:val="007C70FB"/>
    <w:rsid w:val="007C734B"/>
    <w:rsid w:val="007D0146"/>
    <w:rsid w:val="007D0AA0"/>
    <w:rsid w:val="007D0FC0"/>
    <w:rsid w:val="007D1580"/>
    <w:rsid w:val="007D18D0"/>
    <w:rsid w:val="007D200A"/>
    <w:rsid w:val="007D201D"/>
    <w:rsid w:val="007D22B5"/>
    <w:rsid w:val="007D2353"/>
    <w:rsid w:val="007D2522"/>
    <w:rsid w:val="007D259C"/>
    <w:rsid w:val="007D2A67"/>
    <w:rsid w:val="007D2B1E"/>
    <w:rsid w:val="007D2C59"/>
    <w:rsid w:val="007D3571"/>
    <w:rsid w:val="007D37B5"/>
    <w:rsid w:val="007D39A9"/>
    <w:rsid w:val="007D3D70"/>
    <w:rsid w:val="007D3DE7"/>
    <w:rsid w:val="007D3F98"/>
    <w:rsid w:val="007D4D00"/>
    <w:rsid w:val="007D565F"/>
    <w:rsid w:val="007D5B13"/>
    <w:rsid w:val="007D5BE5"/>
    <w:rsid w:val="007D5DC4"/>
    <w:rsid w:val="007D5EC8"/>
    <w:rsid w:val="007D6053"/>
    <w:rsid w:val="007D624A"/>
    <w:rsid w:val="007D655D"/>
    <w:rsid w:val="007D6B72"/>
    <w:rsid w:val="007D76EE"/>
    <w:rsid w:val="007D7771"/>
    <w:rsid w:val="007D787E"/>
    <w:rsid w:val="007D7C4D"/>
    <w:rsid w:val="007E0097"/>
    <w:rsid w:val="007E0279"/>
    <w:rsid w:val="007E0C65"/>
    <w:rsid w:val="007E101D"/>
    <w:rsid w:val="007E106C"/>
    <w:rsid w:val="007E13F7"/>
    <w:rsid w:val="007E1584"/>
    <w:rsid w:val="007E1849"/>
    <w:rsid w:val="007E2230"/>
    <w:rsid w:val="007E22E7"/>
    <w:rsid w:val="007E2786"/>
    <w:rsid w:val="007E344C"/>
    <w:rsid w:val="007E3648"/>
    <w:rsid w:val="007E38CE"/>
    <w:rsid w:val="007E39DA"/>
    <w:rsid w:val="007E44A2"/>
    <w:rsid w:val="007E4A75"/>
    <w:rsid w:val="007E4FA9"/>
    <w:rsid w:val="007E53FD"/>
    <w:rsid w:val="007E5756"/>
    <w:rsid w:val="007E5F89"/>
    <w:rsid w:val="007E5FC9"/>
    <w:rsid w:val="007E614C"/>
    <w:rsid w:val="007E6221"/>
    <w:rsid w:val="007E6695"/>
    <w:rsid w:val="007E69BB"/>
    <w:rsid w:val="007E6F3C"/>
    <w:rsid w:val="007E772D"/>
    <w:rsid w:val="007E78B5"/>
    <w:rsid w:val="007E7933"/>
    <w:rsid w:val="007E7A94"/>
    <w:rsid w:val="007E7B46"/>
    <w:rsid w:val="007E7E5C"/>
    <w:rsid w:val="007E7FE8"/>
    <w:rsid w:val="007F0446"/>
    <w:rsid w:val="007F056D"/>
    <w:rsid w:val="007F0616"/>
    <w:rsid w:val="007F0881"/>
    <w:rsid w:val="007F0F94"/>
    <w:rsid w:val="007F12D0"/>
    <w:rsid w:val="007F1314"/>
    <w:rsid w:val="007F15E3"/>
    <w:rsid w:val="007F1C41"/>
    <w:rsid w:val="007F1D8A"/>
    <w:rsid w:val="007F1D8E"/>
    <w:rsid w:val="007F2D75"/>
    <w:rsid w:val="007F2E02"/>
    <w:rsid w:val="007F33BD"/>
    <w:rsid w:val="007F3AE1"/>
    <w:rsid w:val="007F3C3D"/>
    <w:rsid w:val="007F41DD"/>
    <w:rsid w:val="007F4352"/>
    <w:rsid w:val="007F449D"/>
    <w:rsid w:val="007F470E"/>
    <w:rsid w:val="007F4822"/>
    <w:rsid w:val="007F498C"/>
    <w:rsid w:val="007F4E43"/>
    <w:rsid w:val="007F4F7F"/>
    <w:rsid w:val="007F594C"/>
    <w:rsid w:val="007F5B77"/>
    <w:rsid w:val="007F5C2F"/>
    <w:rsid w:val="007F62B3"/>
    <w:rsid w:val="007F65CA"/>
    <w:rsid w:val="007F6D80"/>
    <w:rsid w:val="007F6E2F"/>
    <w:rsid w:val="007F701F"/>
    <w:rsid w:val="007F70B0"/>
    <w:rsid w:val="0080008D"/>
    <w:rsid w:val="00800B17"/>
    <w:rsid w:val="008013D1"/>
    <w:rsid w:val="00801CF2"/>
    <w:rsid w:val="0080233D"/>
    <w:rsid w:val="0080239B"/>
    <w:rsid w:val="00802635"/>
    <w:rsid w:val="00802FB4"/>
    <w:rsid w:val="008033D2"/>
    <w:rsid w:val="008033E9"/>
    <w:rsid w:val="00803816"/>
    <w:rsid w:val="00803924"/>
    <w:rsid w:val="00803B62"/>
    <w:rsid w:val="00803BED"/>
    <w:rsid w:val="00803CAB"/>
    <w:rsid w:val="00803CBA"/>
    <w:rsid w:val="00803F27"/>
    <w:rsid w:val="00804C60"/>
    <w:rsid w:val="008052A1"/>
    <w:rsid w:val="00805792"/>
    <w:rsid w:val="00805794"/>
    <w:rsid w:val="0080582B"/>
    <w:rsid w:val="00805876"/>
    <w:rsid w:val="00805A27"/>
    <w:rsid w:val="00805EB1"/>
    <w:rsid w:val="00806A3C"/>
    <w:rsid w:val="00806DFD"/>
    <w:rsid w:val="0080798D"/>
    <w:rsid w:val="00807B5B"/>
    <w:rsid w:val="008101D9"/>
    <w:rsid w:val="00810D7A"/>
    <w:rsid w:val="00810EF5"/>
    <w:rsid w:val="00810F85"/>
    <w:rsid w:val="008111FB"/>
    <w:rsid w:val="00811372"/>
    <w:rsid w:val="0081146F"/>
    <w:rsid w:val="008115EC"/>
    <w:rsid w:val="00811AEF"/>
    <w:rsid w:val="00811C00"/>
    <w:rsid w:val="00811C2F"/>
    <w:rsid w:val="00811E2B"/>
    <w:rsid w:val="008120BF"/>
    <w:rsid w:val="00813BF5"/>
    <w:rsid w:val="00813C17"/>
    <w:rsid w:val="0081433D"/>
    <w:rsid w:val="0081538E"/>
    <w:rsid w:val="00815DE6"/>
    <w:rsid w:val="0081608A"/>
    <w:rsid w:val="008160C8"/>
    <w:rsid w:val="00816492"/>
    <w:rsid w:val="00816646"/>
    <w:rsid w:val="008169E9"/>
    <w:rsid w:val="008171DA"/>
    <w:rsid w:val="00820842"/>
    <w:rsid w:val="00820D00"/>
    <w:rsid w:val="00820E57"/>
    <w:rsid w:val="00821600"/>
    <w:rsid w:val="008218CF"/>
    <w:rsid w:val="008221EC"/>
    <w:rsid w:val="0082281B"/>
    <w:rsid w:val="00822916"/>
    <w:rsid w:val="00823A83"/>
    <w:rsid w:val="00823CE1"/>
    <w:rsid w:val="00823D2D"/>
    <w:rsid w:val="0082416B"/>
    <w:rsid w:val="00824238"/>
    <w:rsid w:val="00824364"/>
    <w:rsid w:val="00824E8A"/>
    <w:rsid w:val="00825074"/>
    <w:rsid w:val="008257A7"/>
    <w:rsid w:val="00825805"/>
    <w:rsid w:val="00826A94"/>
    <w:rsid w:val="00826BB2"/>
    <w:rsid w:val="00826C76"/>
    <w:rsid w:val="008278A6"/>
    <w:rsid w:val="008279AA"/>
    <w:rsid w:val="008304B6"/>
    <w:rsid w:val="00830A33"/>
    <w:rsid w:val="0083123E"/>
    <w:rsid w:val="0083155F"/>
    <w:rsid w:val="00831AA8"/>
    <w:rsid w:val="00832F4C"/>
    <w:rsid w:val="00832F7D"/>
    <w:rsid w:val="00833490"/>
    <w:rsid w:val="0083361C"/>
    <w:rsid w:val="0083387E"/>
    <w:rsid w:val="00833FBE"/>
    <w:rsid w:val="00834151"/>
    <w:rsid w:val="00834225"/>
    <w:rsid w:val="0083481A"/>
    <w:rsid w:val="00834DD8"/>
    <w:rsid w:val="00834E26"/>
    <w:rsid w:val="00835D28"/>
    <w:rsid w:val="00835DF4"/>
    <w:rsid w:val="008364BA"/>
    <w:rsid w:val="00836539"/>
    <w:rsid w:val="0083679C"/>
    <w:rsid w:val="008367EB"/>
    <w:rsid w:val="00836DB1"/>
    <w:rsid w:val="00837254"/>
    <w:rsid w:val="00837257"/>
    <w:rsid w:val="0083753D"/>
    <w:rsid w:val="00840B73"/>
    <w:rsid w:val="00841194"/>
    <w:rsid w:val="0084130E"/>
    <w:rsid w:val="008416AC"/>
    <w:rsid w:val="00841964"/>
    <w:rsid w:val="00841B3D"/>
    <w:rsid w:val="00841BEB"/>
    <w:rsid w:val="00841C05"/>
    <w:rsid w:val="00841D18"/>
    <w:rsid w:val="00841ECB"/>
    <w:rsid w:val="0084256A"/>
    <w:rsid w:val="008426EF"/>
    <w:rsid w:val="00842A91"/>
    <w:rsid w:val="00842C89"/>
    <w:rsid w:val="00843893"/>
    <w:rsid w:val="00843CB5"/>
    <w:rsid w:val="00843D8F"/>
    <w:rsid w:val="008441F5"/>
    <w:rsid w:val="00844931"/>
    <w:rsid w:val="0084499D"/>
    <w:rsid w:val="00844E83"/>
    <w:rsid w:val="0084664D"/>
    <w:rsid w:val="00846666"/>
    <w:rsid w:val="00846819"/>
    <w:rsid w:val="00846CAA"/>
    <w:rsid w:val="00846CE0"/>
    <w:rsid w:val="00846CF5"/>
    <w:rsid w:val="0084712D"/>
    <w:rsid w:val="00850339"/>
    <w:rsid w:val="00850499"/>
    <w:rsid w:val="00850A9F"/>
    <w:rsid w:val="00850C4A"/>
    <w:rsid w:val="00850E54"/>
    <w:rsid w:val="008510E2"/>
    <w:rsid w:val="008519CF"/>
    <w:rsid w:val="00851C03"/>
    <w:rsid w:val="00851C07"/>
    <w:rsid w:val="00852AE7"/>
    <w:rsid w:val="0085303B"/>
    <w:rsid w:val="00853134"/>
    <w:rsid w:val="00853437"/>
    <w:rsid w:val="008538D1"/>
    <w:rsid w:val="00854068"/>
    <w:rsid w:val="008548EF"/>
    <w:rsid w:val="00854E72"/>
    <w:rsid w:val="0085509A"/>
    <w:rsid w:val="008555ED"/>
    <w:rsid w:val="00855861"/>
    <w:rsid w:val="00855B02"/>
    <w:rsid w:val="00855CFF"/>
    <w:rsid w:val="00855F7C"/>
    <w:rsid w:val="00856DEE"/>
    <w:rsid w:val="00856F35"/>
    <w:rsid w:val="00857522"/>
    <w:rsid w:val="0085752C"/>
    <w:rsid w:val="008576EC"/>
    <w:rsid w:val="00857E5B"/>
    <w:rsid w:val="0086003A"/>
    <w:rsid w:val="00860393"/>
    <w:rsid w:val="008603B2"/>
    <w:rsid w:val="008603BE"/>
    <w:rsid w:val="00860AEF"/>
    <w:rsid w:val="00860B06"/>
    <w:rsid w:val="00860B32"/>
    <w:rsid w:val="008613BD"/>
    <w:rsid w:val="008614A2"/>
    <w:rsid w:val="00861A20"/>
    <w:rsid w:val="00861BDD"/>
    <w:rsid w:val="0086216E"/>
    <w:rsid w:val="00862A26"/>
    <w:rsid w:val="0086383A"/>
    <w:rsid w:val="00863CF8"/>
    <w:rsid w:val="00863DF2"/>
    <w:rsid w:val="0086449E"/>
    <w:rsid w:val="008644B2"/>
    <w:rsid w:val="00864FC0"/>
    <w:rsid w:val="0086515B"/>
    <w:rsid w:val="008652C4"/>
    <w:rsid w:val="008656DC"/>
    <w:rsid w:val="008659DC"/>
    <w:rsid w:val="00865CA3"/>
    <w:rsid w:val="00865FC7"/>
    <w:rsid w:val="00866418"/>
    <w:rsid w:val="008700C6"/>
    <w:rsid w:val="008704D7"/>
    <w:rsid w:val="00870BE1"/>
    <w:rsid w:val="00870DCA"/>
    <w:rsid w:val="00871DB6"/>
    <w:rsid w:val="008723AF"/>
    <w:rsid w:val="0087281F"/>
    <w:rsid w:val="00872A64"/>
    <w:rsid w:val="00872DD4"/>
    <w:rsid w:val="00872F7E"/>
    <w:rsid w:val="008731DF"/>
    <w:rsid w:val="00873346"/>
    <w:rsid w:val="00873943"/>
    <w:rsid w:val="00873D3A"/>
    <w:rsid w:val="008740F5"/>
    <w:rsid w:val="008742EC"/>
    <w:rsid w:val="008743FC"/>
    <w:rsid w:val="00874AED"/>
    <w:rsid w:val="00874D9F"/>
    <w:rsid w:val="00874ED0"/>
    <w:rsid w:val="0087502C"/>
    <w:rsid w:val="008750C3"/>
    <w:rsid w:val="00875171"/>
    <w:rsid w:val="008752CD"/>
    <w:rsid w:val="0087537A"/>
    <w:rsid w:val="0087580F"/>
    <w:rsid w:val="00875D77"/>
    <w:rsid w:val="00876129"/>
    <w:rsid w:val="00876448"/>
    <w:rsid w:val="008765A0"/>
    <w:rsid w:val="0087685E"/>
    <w:rsid w:val="00876873"/>
    <w:rsid w:val="008769B5"/>
    <w:rsid w:val="00876CDA"/>
    <w:rsid w:val="0087734E"/>
    <w:rsid w:val="00877415"/>
    <w:rsid w:val="00877951"/>
    <w:rsid w:val="00877ACC"/>
    <w:rsid w:val="00877C62"/>
    <w:rsid w:val="00877D6D"/>
    <w:rsid w:val="00877D86"/>
    <w:rsid w:val="00877E97"/>
    <w:rsid w:val="0088024E"/>
    <w:rsid w:val="00880941"/>
    <w:rsid w:val="00880CCB"/>
    <w:rsid w:val="008816DA"/>
    <w:rsid w:val="00881BA3"/>
    <w:rsid w:val="00881D64"/>
    <w:rsid w:val="00881FE8"/>
    <w:rsid w:val="008822AD"/>
    <w:rsid w:val="008823D3"/>
    <w:rsid w:val="00882A80"/>
    <w:rsid w:val="00882EA4"/>
    <w:rsid w:val="00882FEA"/>
    <w:rsid w:val="008834DD"/>
    <w:rsid w:val="008837A9"/>
    <w:rsid w:val="0088409B"/>
    <w:rsid w:val="0088417A"/>
    <w:rsid w:val="00884250"/>
    <w:rsid w:val="008845AD"/>
    <w:rsid w:val="008845BA"/>
    <w:rsid w:val="00884611"/>
    <w:rsid w:val="00885217"/>
    <w:rsid w:val="00885221"/>
    <w:rsid w:val="00885966"/>
    <w:rsid w:val="00885E0A"/>
    <w:rsid w:val="00886058"/>
    <w:rsid w:val="0088681B"/>
    <w:rsid w:val="00886C1A"/>
    <w:rsid w:val="00887108"/>
    <w:rsid w:val="00887159"/>
    <w:rsid w:val="008872EB"/>
    <w:rsid w:val="0088744D"/>
    <w:rsid w:val="0088750F"/>
    <w:rsid w:val="008876A1"/>
    <w:rsid w:val="00887F25"/>
    <w:rsid w:val="008902CB"/>
    <w:rsid w:val="0089039A"/>
    <w:rsid w:val="008907E7"/>
    <w:rsid w:val="00891050"/>
    <w:rsid w:val="0089108C"/>
    <w:rsid w:val="0089109E"/>
    <w:rsid w:val="008915D0"/>
    <w:rsid w:val="00891F0A"/>
    <w:rsid w:val="00892491"/>
    <w:rsid w:val="0089251F"/>
    <w:rsid w:val="008928C8"/>
    <w:rsid w:val="00893220"/>
    <w:rsid w:val="00893439"/>
    <w:rsid w:val="0089358A"/>
    <w:rsid w:val="008935C2"/>
    <w:rsid w:val="0089385D"/>
    <w:rsid w:val="00893F86"/>
    <w:rsid w:val="0089406A"/>
    <w:rsid w:val="008940ED"/>
    <w:rsid w:val="008943C2"/>
    <w:rsid w:val="00894944"/>
    <w:rsid w:val="00894D75"/>
    <w:rsid w:val="00895034"/>
    <w:rsid w:val="008950B5"/>
    <w:rsid w:val="008958E8"/>
    <w:rsid w:val="00895A40"/>
    <w:rsid w:val="00895E4D"/>
    <w:rsid w:val="00896620"/>
    <w:rsid w:val="00896804"/>
    <w:rsid w:val="0089689C"/>
    <w:rsid w:val="0089692D"/>
    <w:rsid w:val="00896DD9"/>
    <w:rsid w:val="00896ED5"/>
    <w:rsid w:val="008970AE"/>
    <w:rsid w:val="00897150"/>
    <w:rsid w:val="00897EF7"/>
    <w:rsid w:val="008A0D7F"/>
    <w:rsid w:val="008A13DD"/>
    <w:rsid w:val="008A16B1"/>
    <w:rsid w:val="008A1D71"/>
    <w:rsid w:val="008A224F"/>
    <w:rsid w:val="008A283C"/>
    <w:rsid w:val="008A2F52"/>
    <w:rsid w:val="008A3011"/>
    <w:rsid w:val="008A31ED"/>
    <w:rsid w:val="008A33ED"/>
    <w:rsid w:val="008A3A49"/>
    <w:rsid w:val="008A3DA6"/>
    <w:rsid w:val="008A3E7B"/>
    <w:rsid w:val="008A4CEC"/>
    <w:rsid w:val="008A51B4"/>
    <w:rsid w:val="008A54F6"/>
    <w:rsid w:val="008A57D9"/>
    <w:rsid w:val="008A5C8C"/>
    <w:rsid w:val="008A5D38"/>
    <w:rsid w:val="008A5EC5"/>
    <w:rsid w:val="008A60E7"/>
    <w:rsid w:val="008A63E4"/>
    <w:rsid w:val="008A63F4"/>
    <w:rsid w:val="008A645F"/>
    <w:rsid w:val="008A65A9"/>
    <w:rsid w:val="008A6618"/>
    <w:rsid w:val="008A6662"/>
    <w:rsid w:val="008A671F"/>
    <w:rsid w:val="008A69D0"/>
    <w:rsid w:val="008A6B1D"/>
    <w:rsid w:val="008A6BEA"/>
    <w:rsid w:val="008A6E8B"/>
    <w:rsid w:val="008A746D"/>
    <w:rsid w:val="008A7A9B"/>
    <w:rsid w:val="008A7CC4"/>
    <w:rsid w:val="008A7D35"/>
    <w:rsid w:val="008A7DE7"/>
    <w:rsid w:val="008A7E28"/>
    <w:rsid w:val="008B08C6"/>
    <w:rsid w:val="008B0918"/>
    <w:rsid w:val="008B125F"/>
    <w:rsid w:val="008B17DC"/>
    <w:rsid w:val="008B18DE"/>
    <w:rsid w:val="008B1917"/>
    <w:rsid w:val="008B2D01"/>
    <w:rsid w:val="008B2DBE"/>
    <w:rsid w:val="008B32BD"/>
    <w:rsid w:val="008B34C9"/>
    <w:rsid w:val="008B3F4C"/>
    <w:rsid w:val="008B4D15"/>
    <w:rsid w:val="008B4D86"/>
    <w:rsid w:val="008B4E58"/>
    <w:rsid w:val="008B4EEA"/>
    <w:rsid w:val="008B5C8A"/>
    <w:rsid w:val="008B5D57"/>
    <w:rsid w:val="008B6008"/>
    <w:rsid w:val="008B65DD"/>
    <w:rsid w:val="008B6CF7"/>
    <w:rsid w:val="008B707C"/>
    <w:rsid w:val="008B72E9"/>
    <w:rsid w:val="008B7BBA"/>
    <w:rsid w:val="008C0C3E"/>
    <w:rsid w:val="008C1190"/>
    <w:rsid w:val="008C1407"/>
    <w:rsid w:val="008C14C8"/>
    <w:rsid w:val="008C16BA"/>
    <w:rsid w:val="008C178F"/>
    <w:rsid w:val="008C1925"/>
    <w:rsid w:val="008C19A9"/>
    <w:rsid w:val="008C1C96"/>
    <w:rsid w:val="008C290F"/>
    <w:rsid w:val="008C36A2"/>
    <w:rsid w:val="008C3961"/>
    <w:rsid w:val="008C4B1E"/>
    <w:rsid w:val="008C4C9B"/>
    <w:rsid w:val="008C4D64"/>
    <w:rsid w:val="008C4F10"/>
    <w:rsid w:val="008C5195"/>
    <w:rsid w:val="008C5897"/>
    <w:rsid w:val="008C58D5"/>
    <w:rsid w:val="008C5CEF"/>
    <w:rsid w:val="008C5DC5"/>
    <w:rsid w:val="008C6405"/>
    <w:rsid w:val="008C643B"/>
    <w:rsid w:val="008C6817"/>
    <w:rsid w:val="008C6DD3"/>
    <w:rsid w:val="008C6F49"/>
    <w:rsid w:val="008C74A3"/>
    <w:rsid w:val="008C7FF7"/>
    <w:rsid w:val="008D0177"/>
    <w:rsid w:val="008D03B9"/>
    <w:rsid w:val="008D05E3"/>
    <w:rsid w:val="008D0AC1"/>
    <w:rsid w:val="008D1008"/>
    <w:rsid w:val="008D108E"/>
    <w:rsid w:val="008D146A"/>
    <w:rsid w:val="008D1C5C"/>
    <w:rsid w:val="008D1C69"/>
    <w:rsid w:val="008D1E39"/>
    <w:rsid w:val="008D21EB"/>
    <w:rsid w:val="008D225A"/>
    <w:rsid w:val="008D2684"/>
    <w:rsid w:val="008D2935"/>
    <w:rsid w:val="008D29BA"/>
    <w:rsid w:val="008D2A5D"/>
    <w:rsid w:val="008D2D6A"/>
    <w:rsid w:val="008D2DDC"/>
    <w:rsid w:val="008D2F25"/>
    <w:rsid w:val="008D2FED"/>
    <w:rsid w:val="008D3202"/>
    <w:rsid w:val="008D378C"/>
    <w:rsid w:val="008D38A5"/>
    <w:rsid w:val="008D4269"/>
    <w:rsid w:val="008D4301"/>
    <w:rsid w:val="008D452A"/>
    <w:rsid w:val="008D4615"/>
    <w:rsid w:val="008D4AB9"/>
    <w:rsid w:val="008D513B"/>
    <w:rsid w:val="008D5398"/>
    <w:rsid w:val="008D567B"/>
    <w:rsid w:val="008D5838"/>
    <w:rsid w:val="008D60CC"/>
    <w:rsid w:val="008D6113"/>
    <w:rsid w:val="008D6511"/>
    <w:rsid w:val="008D6CE5"/>
    <w:rsid w:val="008D765A"/>
    <w:rsid w:val="008D7779"/>
    <w:rsid w:val="008D7ED6"/>
    <w:rsid w:val="008D7FE8"/>
    <w:rsid w:val="008E028D"/>
    <w:rsid w:val="008E06C7"/>
    <w:rsid w:val="008E0909"/>
    <w:rsid w:val="008E0B09"/>
    <w:rsid w:val="008E0DF3"/>
    <w:rsid w:val="008E11B7"/>
    <w:rsid w:val="008E154B"/>
    <w:rsid w:val="008E1B5E"/>
    <w:rsid w:val="008E2338"/>
    <w:rsid w:val="008E2646"/>
    <w:rsid w:val="008E28DA"/>
    <w:rsid w:val="008E2FF2"/>
    <w:rsid w:val="008E324C"/>
    <w:rsid w:val="008E32DE"/>
    <w:rsid w:val="008E333E"/>
    <w:rsid w:val="008E35AD"/>
    <w:rsid w:val="008E36B2"/>
    <w:rsid w:val="008E3BC6"/>
    <w:rsid w:val="008E3C0C"/>
    <w:rsid w:val="008E3E2F"/>
    <w:rsid w:val="008E44C5"/>
    <w:rsid w:val="008E465E"/>
    <w:rsid w:val="008E4899"/>
    <w:rsid w:val="008E4BA0"/>
    <w:rsid w:val="008E4E35"/>
    <w:rsid w:val="008E5062"/>
    <w:rsid w:val="008E5994"/>
    <w:rsid w:val="008E5ADC"/>
    <w:rsid w:val="008E5B69"/>
    <w:rsid w:val="008E5B7C"/>
    <w:rsid w:val="008E618F"/>
    <w:rsid w:val="008E67B6"/>
    <w:rsid w:val="008E6BAF"/>
    <w:rsid w:val="008E7140"/>
    <w:rsid w:val="008E736D"/>
    <w:rsid w:val="008F010F"/>
    <w:rsid w:val="008F0154"/>
    <w:rsid w:val="008F07C4"/>
    <w:rsid w:val="008F10A5"/>
    <w:rsid w:val="008F169A"/>
    <w:rsid w:val="008F185C"/>
    <w:rsid w:val="008F1900"/>
    <w:rsid w:val="008F2110"/>
    <w:rsid w:val="008F25F4"/>
    <w:rsid w:val="008F2773"/>
    <w:rsid w:val="008F28DE"/>
    <w:rsid w:val="008F2ABA"/>
    <w:rsid w:val="008F2B9C"/>
    <w:rsid w:val="008F2C32"/>
    <w:rsid w:val="008F318F"/>
    <w:rsid w:val="008F33EB"/>
    <w:rsid w:val="008F3521"/>
    <w:rsid w:val="008F3928"/>
    <w:rsid w:val="008F3BDD"/>
    <w:rsid w:val="008F3CFE"/>
    <w:rsid w:val="008F3D32"/>
    <w:rsid w:val="008F42BF"/>
    <w:rsid w:val="008F4A09"/>
    <w:rsid w:val="008F4BE1"/>
    <w:rsid w:val="008F51D4"/>
    <w:rsid w:val="008F51EB"/>
    <w:rsid w:val="008F523C"/>
    <w:rsid w:val="008F59DE"/>
    <w:rsid w:val="008F5D87"/>
    <w:rsid w:val="008F631A"/>
    <w:rsid w:val="008F674A"/>
    <w:rsid w:val="008F6B2A"/>
    <w:rsid w:val="008F6CD8"/>
    <w:rsid w:val="008F76AD"/>
    <w:rsid w:val="00900160"/>
    <w:rsid w:val="009003C1"/>
    <w:rsid w:val="00900B28"/>
    <w:rsid w:val="00900FE6"/>
    <w:rsid w:val="0090118F"/>
    <w:rsid w:val="00901689"/>
    <w:rsid w:val="00901F76"/>
    <w:rsid w:val="009021D5"/>
    <w:rsid w:val="0090237B"/>
    <w:rsid w:val="00902DC1"/>
    <w:rsid w:val="00902DDA"/>
    <w:rsid w:val="009034C9"/>
    <w:rsid w:val="0090351A"/>
    <w:rsid w:val="00903547"/>
    <w:rsid w:val="009037F5"/>
    <w:rsid w:val="009038E7"/>
    <w:rsid w:val="00903B7A"/>
    <w:rsid w:val="00904012"/>
    <w:rsid w:val="009045E7"/>
    <w:rsid w:val="00904607"/>
    <w:rsid w:val="009047B0"/>
    <w:rsid w:val="00904A84"/>
    <w:rsid w:val="00905370"/>
    <w:rsid w:val="00905463"/>
    <w:rsid w:val="00905468"/>
    <w:rsid w:val="00905528"/>
    <w:rsid w:val="00905600"/>
    <w:rsid w:val="00905D91"/>
    <w:rsid w:val="0090604D"/>
    <w:rsid w:val="0090678A"/>
    <w:rsid w:val="009067DB"/>
    <w:rsid w:val="0090687F"/>
    <w:rsid w:val="00906CF5"/>
    <w:rsid w:val="00906F6C"/>
    <w:rsid w:val="00907432"/>
    <w:rsid w:val="0090766A"/>
    <w:rsid w:val="00910088"/>
    <w:rsid w:val="00910290"/>
    <w:rsid w:val="00910FAD"/>
    <w:rsid w:val="0091161C"/>
    <w:rsid w:val="00911BA4"/>
    <w:rsid w:val="009121E2"/>
    <w:rsid w:val="0091229B"/>
    <w:rsid w:val="00912B6D"/>
    <w:rsid w:val="00912C9A"/>
    <w:rsid w:val="00912D40"/>
    <w:rsid w:val="00912FB7"/>
    <w:rsid w:val="00913419"/>
    <w:rsid w:val="009135C7"/>
    <w:rsid w:val="009136D8"/>
    <w:rsid w:val="00914222"/>
    <w:rsid w:val="00914329"/>
    <w:rsid w:val="009144D1"/>
    <w:rsid w:val="00914642"/>
    <w:rsid w:val="009148AF"/>
    <w:rsid w:val="0091491F"/>
    <w:rsid w:val="00914E09"/>
    <w:rsid w:val="00914E35"/>
    <w:rsid w:val="00914E62"/>
    <w:rsid w:val="00914FA3"/>
    <w:rsid w:val="00915095"/>
    <w:rsid w:val="00915805"/>
    <w:rsid w:val="00915AD7"/>
    <w:rsid w:val="00915F03"/>
    <w:rsid w:val="00915F23"/>
    <w:rsid w:val="00915F88"/>
    <w:rsid w:val="00916546"/>
    <w:rsid w:val="00916764"/>
    <w:rsid w:val="00916887"/>
    <w:rsid w:val="00916904"/>
    <w:rsid w:val="00916CE2"/>
    <w:rsid w:val="00916ED5"/>
    <w:rsid w:val="0091709C"/>
    <w:rsid w:val="0091739C"/>
    <w:rsid w:val="009201B1"/>
    <w:rsid w:val="009201EE"/>
    <w:rsid w:val="009207D4"/>
    <w:rsid w:val="00920806"/>
    <w:rsid w:val="00920DC0"/>
    <w:rsid w:val="009210B0"/>
    <w:rsid w:val="00921194"/>
    <w:rsid w:val="009213FA"/>
    <w:rsid w:val="00921669"/>
    <w:rsid w:val="00921696"/>
    <w:rsid w:val="00921D2E"/>
    <w:rsid w:val="00921DC9"/>
    <w:rsid w:val="00922580"/>
    <w:rsid w:val="009226EB"/>
    <w:rsid w:val="009227DF"/>
    <w:rsid w:val="009228C7"/>
    <w:rsid w:val="00922B1A"/>
    <w:rsid w:val="00922ED9"/>
    <w:rsid w:val="00923424"/>
    <w:rsid w:val="00923735"/>
    <w:rsid w:val="009238E8"/>
    <w:rsid w:val="00923A41"/>
    <w:rsid w:val="00923CD1"/>
    <w:rsid w:val="009243FC"/>
    <w:rsid w:val="00924BC3"/>
    <w:rsid w:val="00924F0B"/>
    <w:rsid w:val="0092512E"/>
    <w:rsid w:val="009255A1"/>
    <w:rsid w:val="0092581D"/>
    <w:rsid w:val="009259D7"/>
    <w:rsid w:val="009262F5"/>
    <w:rsid w:val="00926A89"/>
    <w:rsid w:val="00927631"/>
    <w:rsid w:val="00927BAA"/>
    <w:rsid w:val="00927E59"/>
    <w:rsid w:val="00930B0B"/>
    <w:rsid w:val="009317EC"/>
    <w:rsid w:val="00932060"/>
    <w:rsid w:val="0093244E"/>
    <w:rsid w:val="00932B37"/>
    <w:rsid w:val="00932F2E"/>
    <w:rsid w:val="00933000"/>
    <w:rsid w:val="009335A3"/>
    <w:rsid w:val="009335D0"/>
    <w:rsid w:val="0093380A"/>
    <w:rsid w:val="00933A4B"/>
    <w:rsid w:val="00933AA3"/>
    <w:rsid w:val="00933C8D"/>
    <w:rsid w:val="00933DA9"/>
    <w:rsid w:val="00934029"/>
    <w:rsid w:val="0093405E"/>
    <w:rsid w:val="00934205"/>
    <w:rsid w:val="009345D8"/>
    <w:rsid w:val="0093497D"/>
    <w:rsid w:val="00934EBD"/>
    <w:rsid w:val="00934F7A"/>
    <w:rsid w:val="00935821"/>
    <w:rsid w:val="00935F60"/>
    <w:rsid w:val="009360EA"/>
    <w:rsid w:val="009361F6"/>
    <w:rsid w:val="00936605"/>
    <w:rsid w:val="00936704"/>
    <w:rsid w:val="00936742"/>
    <w:rsid w:val="0093682E"/>
    <w:rsid w:val="009369CA"/>
    <w:rsid w:val="009369ED"/>
    <w:rsid w:val="00936B5E"/>
    <w:rsid w:val="00936DD8"/>
    <w:rsid w:val="00936E73"/>
    <w:rsid w:val="00936F2A"/>
    <w:rsid w:val="009375A3"/>
    <w:rsid w:val="00937FCE"/>
    <w:rsid w:val="00940089"/>
    <w:rsid w:val="00940824"/>
    <w:rsid w:val="00940F00"/>
    <w:rsid w:val="009414CE"/>
    <w:rsid w:val="00941910"/>
    <w:rsid w:val="00941CF9"/>
    <w:rsid w:val="00942B80"/>
    <w:rsid w:val="00942D55"/>
    <w:rsid w:val="00942E63"/>
    <w:rsid w:val="009433D4"/>
    <w:rsid w:val="00943697"/>
    <w:rsid w:val="00944112"/>
    <w:rsid w:val="009441FC"/>
    <w:rsid w:val="00944311"/>
    <w:rsid w:val="009446C5"/>
    <w:rsid w:val="009449CD"/>
    <w:rsid w:val="00944C8F"/>
    <w:rsid w:val="00944D30"/>
    <w:rsid w:val="00945A48"/>
    <w:rsid w:val="009460D9"/>
    <w:rsid w:val="00946225"/>
    <w:rsid w:val="0094625C"/>
    <w:rsid w:val="0094632C"/>
    <w:rsid w:val="009465C0"/>
    <w:rsid w:val="00946638"/>
    <w:rsid w:val="00946842"/>
    <w:rsid w:val="009475E0"/>
    <w:rsid w:val="009477E9"/>
    <w:rsid w:val="00947C9A"/>
    <w:rsid w:val="00950987"/>
    <w:rsid w:val="00950DF1"/>
    <w:rsid w:val="00950ED8"/>
    <w:rsid w:val="009511F3"/>
    <w:rsid w:val="00951697"/>
    <w:rsid w:val="00951767"/>
    <w:rsid w:val="00951A5F"/>
    <w:rsid w:val="00951A69"/>
    <w:rsid w:val="00951DB5"/>
    <w:rsid w:val="0095203B"/>
    <w:rsid w:val="00952809"/>
    <w:rsid w:val="00952D64"/>
    <w:rsid w:val="009530AC"/>
    <w:rsid w:val="00953965"/>
    <w:rsid w:val="00953983"/>
    <w:rsid w:val="00953AB3"/>
    <w:rsid w:val="00953B4F"/>
    <w:rsid w:val="00953B99"/>
    <w:rsid w:val="00953BBB"/>
    <w:rsid w:val="009541E1"/>
    <w:rsid w:val="009546F1"/>
    <w:rsid w:val="009551C2"/>
    <w:rsid w:val="00955274"/>
    <w:rsid w:val="009554A6"/>
    <w:rsid w:val="00955628"/>
    <w:rsid w:val="0095588B"/>
    <w:rsid w:val="00955C8E"/>
    <w:rsid w:val="00956060"/>
    <w:rsid w:val="00956C1A"/>
    <w:rsid w:val="00956F4A"/>
    <w:rsid w:val="009570F3"/>
    <w:rsid w:val="00957A31"/>
    <w:rsid w:val="00957A4A"/>
    <w:rsid w:val="00957AF2"/>
    <w:rsid w:val="00957F20"/>
    <w:rsid w:val="00960141"/>
    <w:rsid w:val="009602D3"/>
    <w:rsid w:val="009604AC"/>
    <w:rsid w:val="0096068D"/>
    <w:rsid w:val="009608AD"/>
    <w:rsid w:val="00960959"/>
    <w:rsid w:val="00960B30"/>
    <w:rsid w:val="00961035"/>
    <w:rsid w:val="009613A2"/>
    <w:rsid w:val="009614B9"/>
    <w:rsid w:val="00962685"/>
    <w:rsid w:val="00962C0D"/>
    <w:rsid w:val="009631BA"/>
    <w:rsid w:val="009634B6"/>
    <w:rsid w:val="009637BB"/>
    <w:rsid w:val="009638B7"/>
    <w:rsid w:val="00963B6E"/>
    <w:rsid w:val="00963C4F"/>
    <w:rsid w:val="00964047"/>
    <w:rsid w:val="00964188"/>
    <w:rsid w:val="00964191"/>
    <w:rsid w:val="009641ED"/>
    <w:rsid w:val="00964819"/>
    <w:rsid w:val="00964DF1"/>
    <w:rsid w:val="00964F60"/>
    <w:rsid w:val="00965459"/>
    <w:rsid w:val="00965535"/>
    <w:rsid w:val="009656F9"/>
    <w:rsid w:val="00965DE8"/>
    <w:rsid w:val="00965F16"/>
    <w:rsid w:val="0096600B"/>
    <w:rsid w:val="00966014"/>
    <w:rsid w:val="00966202"/>
    <w:rsid w:val="00966B05"/>
    <w:rsid w:val="00966C59"/>
    <w:rsid w:val="009674E0"/>
    <w:rsid w:val="009676AE"/>
    <w:rsid w:val="00967E7D"/>
    <w:rsid w:val="00967F69"/>
    <w:rsid w:val="00967FB3"/>
    <w:rsid w:val="00967FF2"/>
    <w:rsid w:val="009704D0"/>
    <w:rsid w:val="009725E5"/>
    <w:rsid w:val="00972CDC"/>
    <w:rsid w:val="00972D88"/>
    <w:rsid w:val="00972DC1"/>
    <w:rsid w:val="00972E77"/>
    <w:rsid w:val="0097317B"/>
    <w:rsid w:val="00973671"/>
    <w:rsid w:val="009736C7"/>
    <w:rsid w:val="00973C7F"/>
    <w:rsid w:val="00973FE4"/>
    <w:rsid w:val="00974192"/>
    <w:rsid w:val="009743E5"/>
    <w:rsid w:val="00974905"/>
    <w:rsid w:val="00974AFE"/>
    <w:rsid w:val="00975133"/>
    <w:rsid w:val="0097529D"/>
    <w:rsid w:val="0097531E"/>
    <w:rsid w:val="0097533F"/>
    <w:rsid w:val="00975599"/>
    <w:rsid w:val="00975C07"/>
    <w:rsid w:val="00976068"/>
    <w:rsid w:val="0097616E"/>
    <w:rsid w:val="00976181"/>
    <w:rsid w:val="009761FE"/>
    <w:rsid w:val="0097689E"/>
    <w:rsid w:val="009769F6"/>
    <w:rsid w:val="009772E4"/>
    <w:rsid w:val="009776EC"/>
    <w:rsid w:val="00977D1D"/>
    <w:rsid w:val="009810CE"/>
    <w:rsid w:val="009811C6"/>
    <w:rsid w:val="00981372"/>
    <w:rsid w:val="00981573"/>
    <w:rsid w:val="00981B4E"/>
    <w:rsid w:val="00981E2A"/>
    <w:rsid w:val="009821F7"/>
    <w:rsid w:val="0098262B"/>
    <w:rsid w:val="0098265F"/>
    <w:rsid w:val="00982B48"/>
    <w:rsid w:val="0098315B"/>
    <w:rsid w:val="009838BB"/>
    <w:rsid w:val="009839A1"/>
    <w:rsid w:val="00983BDE"/>
    <w:rsid w:val="00984831"/>
    <w:rsid w:val="00984905"/>
    <w:rsid w:val="0098499C"/>
    <w:rsid w:val="00984A05"/>
    <w:rsid w:val="00984BC3"/>
    <w:rsid w:val="009851C0"/>
    <w:rsid w:val="009852D8"/>
    <w:rsid w:val="009858A7"/>
    <w:rsid w:val="00985B6E"/>
    <w:rsid w:val="00985BF9"/>
    <w:rsid w:val="00985C35"/>
    <w:rsid w:val="00985E97"/>
    <w:rsid w:val="00986CD2"/>
    <w:rsid w:val="00987179"/>
    <w:rsid w:val="00987228"/>
    <w:rsid w:val="00987791"/>
    <w:rsid w:val="0098782A"/>
    <w:rsid w:val="00987963"/>
    <w:rsid w:val="00987C6C"/>
    <w:rsid w:val="00987E4C"/>
    <w:rsid w:val="00987F5B"/>
    <w:rsid w:val="00987FE0"/>
    <w:rsid w:val="00990085"/>
    <w:rsid w:val="00990287"/>
    <w:rsid w:val="009904B1"/>
    <w:rsid w:val="00990736"/>
    <w:rsid w:val="00990DFC"/>
    <w:rsid w:val="00990F54"/>
    <w:rsid w:val="0099121F"/>
    <w:rsid w:val="00991D35"/>
    <w:rsid w:val="00991D3F"/>
    <w:rsid w:val="00991E62"/>
    <w:rsid w:val="00991F8B"/>
    <w:rsid w:val="00992001"/>
    <w:rsid w:val="00992382"/>
    <w:rsid w:val="009924E8"/>
    <w:rsid w:val="009924E9"/>
    <w:rsid w:val="00992655"/>
    <w:rsid w:val="009929C0"/>
    <w:rsid w:val="00992A45"/>
    <w:rsid w:val="00992B8B"/>
    <w:rsid w:val="00992C69"/>
    <w:rsid w:val="00992E22"/>
    <w:rsid w:val="0099301A"/>
    <w:rsid w:val="00993453"/>
    <w:rsid w:val="00993848"/>
    <w:rsid w:val="00994257"/>
    <w:rsid w:val="009942AB"/>
    <w:rsid w:val="009949C9"/>
    <w:rsid w:val="00994BC7"/>
    <w:rsid w:val="0099523C"/>
    <w:rsid w:val="0099533A"/>
    <w:rsid w:val="009953C5"/>
    <w:rsid w:val="00995534"/>
    <w:rsid w:val="00995537"/>
    <w:rsid w:val="009956A8"/>
    <w:rsid w:val="0099590A"/>
    <w:rsid w:val="00995A7F"/>
    <w:rsid w:val="00995C15"/>
    <w:rsid w:val="00996A5B"/>
    <w:rsid w:val="00996ACB"/>
    <w:rsid w:val="00997CD7"/>
    <w:rsid w:val="00997D9A"/>
    <w:rsid w:val="009A06ED"/>
    <w:rsid w:val="009A07F1"/>
    <w:rsid w:val="009A08EF"/>
    <w:rsid w:val="009A0B1E"/>
    <w:rsid w:val="009A0C73"/>
    <w:rsid w:val="009A0DDF"/>
    <w:rsid w:val="009A0F1F"/>
    <w:rsid w:val="009A0F86"/>
    <w:rsid w:val="009A1439"/>
    <w:rsid w:val="009A1972"/>
    <w:rsid w:val="009A1FC2"/>
    <w:rsid w:val="009A22D7"/>
    <w:rsid w:val="009A2539"/>
    <w:rsid w:val="009A26AF"/>
    <w:rsid w:val="009A2AC5"/>
    <w:rsid w:val="009A3055"/>
    <w:rsid w:val="009A3AD2"/>
    <w:rsid w:val="009A4449"/>
    <w:rsid w:val="009A4A2F"/>
    <w:rsid w:val="009A4A9B"/>
    <w:rsid w:val="009A4E97"/>
    <w:rsid w:val="009A50A6"/>
    <w:rsid w:val="009A50E4"/>
    <w:rsid w:val="009A5423"/>
    <w:rsid w:val="009A55D3"/>
    <w:rsid w:val="009A5980"/>
    <w:rsid w:val="009A5A95"/>
    <w:rsid w:val="009A66F4"/>
    <w:rsid w:val="009A683E"/>
    <w:rsid w:val="009A6981"/>
    <w:rsid w:val="009A7031"/>
    <w:rsid w:val="009A75D2"/>
    <w:rsid w:val="009A7BF2"/>
    <w:rsid w:val="009A7E24"/>
    <w:rsid w:val="009A7EAD"/>
    <w:rsid w:val="009B0522"/>
    <w:rsid w:val="009B0D99"/>
    <w:rsid w:val="009B0F0E"/>
    <w:rsid w:val="009B0F74"/>
    <w:rsid w:val="009B1212"/>
    <w:rsid w:val="009B1D5C"/>
    <w:rsid w:val="009B20D7"/>
    <w:rsid w:val="009B2327"/>
    <w:rsid w:val="009B2487"/>
    <w:rsid w:val="009B2588"/>
    <w:rsid w:val="009B27A1"/>
    <w:rsid w:val="009B2905"/>
    <w:rsid w:val="009B2DA8"/>
    <w:rsid w:val="009B34B0"/>
    <w:rsid w:val="009B3948"/>
    <w:rsid w:val="009B3F2F"/>
    <w:rsid w:val="009B406F"/>
    <w:rsid w:val="009B42CA"/>
    <w:rsid w:val="009B44C2"/>
    <w:rsid w:val="009B496B"/>
    <w:rsid w:val="009B4D46"/>
    <w:rsid w:val="009B55C2"/>
    <w:rsid w:val="009B5D90"/>
    <w:rsid w:val="009B6390"/>
    <w:rsid w:val="009B6647"/>
    <w:rsid w:val="009B6B02"/>
    <w:rsid w:val="009B6CDF"/>
    <w:rsid w:val="009B7007"/>
    <w:rsid w:val="009B7139"/>
    <w:rsid w:val="009B72D8"/>
    <w:rsid w:val="009B73FF"/>
    <w:rsid w:val="009B782C"/>
    <w:rsid w:val="009B7985"/>
    <w:rsid w:val="009B798C"/>
    <w:rsid w:val="009B7CA2"/>
    <w:rsid w:val="009C0009"/>
    <w:rsid w:val="009C02E4"/>
    <w:rsid w:val="009C03E3"/>
    <w:rsid w:val="009C0E5D"/>
    <w:rsid w:val="009C1378"/>
    <w:rsid w:val="009C15AA"/>
    <w:rsid w:val="009C2150"/>
    <w:rsid w:val="009C2613"/>
    <w:rsid w:val="009C267A"/>
    <w:rsid w:val="009C338A"/>
    <w:rsid w:val="009C389A"/>
    <w:rsid w:val="009C40EE"/>
    <w:rsid w:val="009C4321"/>
    <w:rsid w:val="009C4566"/>
    <w:rsid w:val="009C4CA6"/>
    <w:rsid w:val="009C4EDB"/>
    <w:rsid w:val="009C5095"/>
    <w:rsid w:val="009C5BB2"/>
    <w:rsid w:val="009C5CEC"/>
    <w:rsid w:val="009C619B"/>
    <w:rsid w:val="009C6291"/>
    <w:rsid w:val="009C6A69"/>
    <w:rsid w:val="009C6BFA"/>
    <w:rsid w:val="009C7331"/>
    <w:rsid w:val="009C7432"/>
    <w:rsid w:val="009C75DB"/>
    <w:rsid w:val="009C7FEA"/>
    <w:rsid w:val="009D00E6"/>
    <w:rsid w:val="009D05BB"/>
    <w:rsid w:val="009D076B"/>
    <w:rsid w:val="009D0DCF"/>
    <w:rsid w:val="009D0E0F"/>
    <w:rsid w:val="009D1085"/>
    <w:rsid w:val="009D1A0B"/>
    <w:rsid w:val="009D1A9E"/>
    <w:rsid w:val="009D1D91"/>
    <w:rsid w:val="009D2472"/>
    <w:rsid w:val="009D25D7"/>
    <w:rsid w:val="009D2860"/>
    <w:rsid w:val="009D2FB8"/>
    <w:rsid w:val="009D3244"/>
    <w:rsid w:val="009D346E"/>
    <w:rsid w:val="009D35ED"/>
    <w:rsid w:val="009D368C"/>
    <w:rsid w:val="009D3756"/>
    <w:rsid w:val="009D3CD1"/>
    <w:rsid w:val="009D4050"/>
    <w:rsid w:val="009D41CC"/>
    <w:rsid w:val="009D4AF2"/>
    <w:rsid w:val="009D4E40"/>
    <w:rsid w:val="009D6175"/>
    <w:rsid w:val="009D61E4"/>
    <w:rsid w:val="009D6490"/>
    <w:rsid w:val="009D7138"/>
    <w:rsid w:val="009D72E3"/>
    <w:rsid w:val="009D7482"/>
    <w:rsid w:val="009D76F3"/>
    <w:rsid w:val="009D77DD"/>
    <w:rsid w:val="009D7881"/>
    <w:rsid w:val="009D78DF"/>
    <w:rsid w:val="009D7C53"/>
    <w:rsid w:val="009D7D41"/>
    <w:rsid w:val="009E1872"/>
    <w:rsid w:val="009E18C9"/>
    <w:rsid w:val="009E196D"/>
    <w:rsid w:val="009E224F"/>
    <w:rsid w:val="009E2A04"/>
    <w:rsid w:val="009E2E31"/>
    <w:rsid w:val="009E3406"/>
    <w:rsid w:val="009E3497"/>
    <w:rsid w:val="009E360B"/>
    <w:rsid w:val="009E36D5"/>
    <w:rsid w:val="009E3AC5"/>
    <w:rsid w:val="009E3D5F"/>
    <w:rsid w:val="009E4163"/>
    <w:rsid w:val="009E432D"/>
    <w:rsid w:val="009E4DCA"/>
    <w:rsid w:val="009E4F1B"/>
    <w:rsid w:val="009E54EC"/>
    <w:rsid w:val="009E55F9"/>
    <w:rsid w:val="009E5605"/>
    <w:rsid w:val="009E5B08"/>
    <w:rsid w:val="009E604F"/>
    <w:rsid w:val="009E6788"/>
    <w:rsid w:val="009E6B31"/>
    <w:rsid w:val="009E71C2"/>
    <w:rsid w:val="009E7618"/>
    <w:rsid w:val="009E7B4D"/>
    <w:rsid w:val="009E7E59"/>
    <w:rsid w:val="009E7F93"/>
    <w:rsid w:val="009F00C4"/>
    <w:rsid w:val="009F04B2"/>
    <w:rsid w:val="009F05D5"/>
    <w:rsid w:val="009F082C"/>
    <w:rsid w:val="009F0D67"/>
    <w:rsid w:val="009F102C"/>
    <w:rsid w:val="009F109D"/>
    <w:rsid w:val="009F1E48"/>
    <w:rsid w:val="009F1EE4"/>
    <w:rsid w:val="009F2611"/>
    <w:rsid w:val="009F2683"/>
    <w:rsid w:val="009F295E"/>
    <w:rsid w:val="009F2A21"/>
    <w:rsid w:val="009F2C3B"/>
    <w:rsid w:val="009F39B4"/>
    <w:rsid w:val="009F3A6E"/>
    <w:rsid w:val="009F433B"/>
    <w:rsid w:val="009F4410"/>
    <w:rsid w:val="009F49E9"/>
    <w:rsid w:val="009F4E0A"/>
    <w:rsid w:val="009F542F"/>
    <w:rsid w:val="009F5451"/>
    <w:rsid w:val="009F55AA"/>
    <w:rsid w:val="009F5B59"/>
    <w:rsid w:val="009F67B1"/>
    <w:rsid w:val="009F6897"/>
    <w:rsid w:val="009F68B7"/>
    <w:rsid w:val="009F6C4B"/>
    <w:rsid w:val="009F703E"/>
    <w:rsid w:val="009F722B"/>
    <w:rsid w:val="009F7352"/>
    <w:rsid w:val="009F7DBC"/>
    <w:rsid w:val="00A000D7"/>
    <w:rsid w:val="00A00225"/>
    <w:rsid w:val="00A00ED8"/>
    <w:rsid w:val="00A0185C"/>
    <w:rsid w:val="00A01A49"/>
    <w:rsid w:val="00A01E3D"/>
    <w:rsid w:val="00A02160"/>
    <w:rsid w:val="00A02171"/>
    <w:rsid w:val="00A02633"/>
    <w:rsid w:val="00A02743"/>
    <w:rsid w:val="00A028EA"/>
    <w:rsid w:val="00A0306D"/>
    <w:rsid w:val="00A037AE"/>
    <w:rsid w:val="00A03894"/>
    <w:rsid w:val="00A03B38"/>
    <w:rsid w:val="00A03C3D"/>
    <w:rsid w:val="00A03F1E"/>
    <w:rsid w:val="00A0472C"/>
    <w:rsid w:val="00A04E30"/>
    <w:rsid w:val="00A04F36"/>
    <w:rsid w:val="00A053D7"/>
    <w:rsid w:val="00A053E5"/>
    <w:rsid w:val="00A055F9"/>
    <w:rsid w:val="00A058F2"/>
    <w:rsid w:val="00A05CC6"/>
    <w:rsid w:val="00A05DF4"/>
    <w:rsid w:val="00A061AF"/>
    <w:rsid w:val="00A0649B"/>
    <w:rsid w:val="00A06CC7"/>
    <w:rsid w:val="00A06E16"/>
    <w:rsid w:val="00A07488"/>
    <w:rsid w:val="00A07B6B"/>
    <w:rsid w:val="00A07EEB"/>
    <w:rsid w:val="00A10216"/>
    <w:rsid w:val="00A10335"/>
    <w:rsid w:val="00A10665"/>
    <w:rsid w:val="00A109EA"/>
    <w:rsid w:val="00A10DCE"/>
    <w:rsid w:val="00A10E69"/>
    <w:rsid w:val="00A11B82"/>
    <w:rsid w:val="00A11D48"/>
    <w:rsid w:val="00A11E38"/>
    <w:rsid w:val="00A11F7B"/>
    <w:rsid w:val="00A14028"/>
    <w:rsid w:val="00A1416D"/>
    <w:rsid w:val="00A146B6"/>
    <w:rsid w:val="00A14C4F"/>
    <w:rsid w:val="00A14DCB"/>
    <w:rsid w:val="00A14ED3"/>
    <w:rsid w:val="00A151EF"/>
    <w:rsid w:val="00A1530A"/>
    <w:rsid w:val="00A154EB"/>
    <w:rsid w:val="00A157EC"/>
    <w:rsid w:val="00A15E38"/>
    <w:rsid w:val="00A16D18"/>
    <w:rsid w:val="00A16EAB"/>
    <w:rsid w:val="00A17444"/>
    <w:rsid w:val="00A17634"/>
    <w:rsid w:val="00A17700"/>
    <w:rsid w:val="00A17CF2"/>
    <w:rsid w:val="00A20181"/>
    <w:rsid w:val="00A20A8D"/>
    <w:rsid w:val="00A21205"/>
    <w:rsid w:val="00A21CEA"/>
    <w:rsid w:val="00A21F0A"/>
    <w:rsid w:val="00A2273F"/>
    <w:rsid w:val="00A22D52"/>
    <w:rsid w:val="00A23126"/>
    <w:rsid w:val="00A233A5"/>
    <w:rsid w:val="00A23BC8"/>
    <w:rsid w:val="00A23FBC"/>
    <w:rsid w:val="00A24089"/>
    <w:rsid w:val="00A240F1"/>
    <w:rsid w:val="00A2464E"/>
    <w:rsid w:val="00A24ECB"/>
    <w:rsid w:val="00A25396"/>
    <w:rsid w:val="00A25606"/>
    <w:rsid w:val="00A25B45"/>
    <w:rsid w:val="00A25CAD"/>
    <w:rsid w:val="00A25D38"/>
    <w:rsid w:val="00A26048"/>
    <w:rsid w:val="00A26B45"/>
    <w:rsid w:val="00A26CFD"/>
    <w:rsid w:val="00A26F4E"/>
    <w:rsid w:val="00A2771A"/>
    <w:rsid w:val="00A279BC"/>
    <w:rsid w:val="00A3003B"/>
    <w:rsid w:val="00A30BE0"/>
    <w:rsid w:val="00A314D0"/>
    <w:rsid w:val="00A31DBB"/>
    <w:rsid w:val="00A31EA9"/>
    <w:rsid w:val="00A321AC"/>
    <w:rsid w:val="00A323B2"/>
    <w:rsid w:val="00A3274C"/>
    <w:rsid w:val="00A327C1"/>
    <w:rsid w:val="00A32A8C"/>
    <w:rsid w:val="00A32BA3"/>
    <w:rsid w:val="00A330C9"/>
    <w:rsid w:val="00A3349C"/>
    <w:rsid w:val="00A334D8"/>
    <w:rsid w:val="00A3383D"/>
    <w:rsid w:val="00A339FC"/>
    <w:rsid w:val="00A33A91"/>
    <w:rsid w:val="00A345DC"/>
    <w:rsid w:val="00A346EE"/>
    <w:rsid w:val="00A348F9"/>
    <w:rsid w:val="00A3496F"/>
    <w:rsid w:val="00A34B77"/>
    <w:rsid w:val="00A3507A"/>
    <w:rsid w:val="00A3517B"/>
    <w:rsid w:val="00A35486"/>
    <w:rsid w:val="00A35C55"/>
    <w:rsid w:val="00A35C8E"/>
    <w:rsid w:val="00A36211"/>
    <w:rsid w:val="00A36664"/>
    <w:rsid w:val="00A367D7"/>
    <w:rsid w:val="00A36AB7"/>
    <w:rsid w:val="00A36B14"/>
    <w:rsid w:val="00A36BD2"/>
    <w:rsid w:val="00A37057"/>
    <w:rsid w:val="00A37390"/>
    <w:rsid w:val="00A37526"/>
    <w:rsid w:val="00A37719"/>
    <w:rsid w:val="00A37D2A"/>
    <w:rsid w:val="00A37DDD"/>
    <w:rsid w:val="00A37FAF"/>
    <w:rsid w:val="00A40708"/>
    <w:rsid w:val="00A409F3"/>
    <w:rsid w:val="00A410A4"/>
    <w:rsid w:val="00A410D6"/>
    <w:rsid w:val="00A41180"/>
    <w:rsid w:val="00A418C3"/>
    <w:rsid w:val="00A41CD9"/>
    <w:rsid w:val="00A41F96"/>
    <w:rsid w:val="00A423DC"/>
    <w:rsid w:val="00A4253E"/>
    <w:rsid w:val="00A4256C"/>
    <w:rsid w:val="00A4307E"/>
    <w:rsid w:val="00A43158"/>
    <w:rsid w:val="00A43574"/>
    <w:rsid w:val="00A43993"/>
    <w:rsid w:val="00A43AE5"/>
    <w:rsid w:val="00A43E0D"/>
    <w:rsid w:val="00A44386"/>
    <w:rsid w:val="00A44418"/>
    <w:rsid w:val="00A4483B"/>
    <w:rsid w:val="00A448A1"/>
    <w:rsid w:val="00A44AE7"/>
    <w:rsid w:val="00A44C19"/>
    <w:rsid w:val="00A45619"/>
    <w:rsid w:val="00A45989"/>
    <w:rsid w:val="00A4622D"/>
    <w:rsid w:val="00A46339"/>
    <w:rsid w:val="00A464C9"/>
    <w:rsid w:val="00A46ECA"/>
    <w:rsid w:val="00A475D9"/>
    <w:rsid w:val="00A47EA8"/>
    <w:rsid w:val="00A50027"/>
    <w:rsid w:val="00A50230"/>
    <w:rsid w:val="00A50852"/>
    <w:rsid w:val="00A50C77"/>
    <w:rsid w:val="00A50E3F"/>
    <w:rsid w:val="00A50EA3"/>
    <w:rsid w:val="00A510CF"/>
    <w:rsid w:val="00A51543"/>
    <w:rsid w:val="00A5155F"/>
    <w:rsid w:val="00A516E8"/>
    <w:rsid w:val="00A51956"/>
    <w:rsid w:val="00A52373"/>
    <w:rsid w:val="00A526A8"/>
    <w:rsid w:val="00A52873"/>
    <w:rsid w:val="00A529ED"/>
    <w:rsid w:val="00A531FD"/>
    <w:rsid w:val="00A54433"/>
    <w:rsid w:val="00A54867"/>
    <w:rsid w:val="00A54BBD"/>
    <w:rsid w:val="00A54E2F"/>
    <w:rsid w:val="00A54EA1"/>
    <w:rsid w:val="00A55124"/>
    <w:rsid w:val="00A554AC"/>
    <w:rsid w:val="00A55641"/>
    <w:rsid w:val="00A55D09"/>
    <w:rsid w:val="00A562FD"/>
    <w:rsid w:val="00A56E5E"/>
    <w:rsid w:val="00A56F5B"/>
    <w:rsid w:val="00A574CF"/>
    <w:rsid w:val="00A575AE"/>
    <w:rsid w:val="00A5784B"/>
    <w:rsid w:val="00A57DFB"/>
    <w:rsid w:val="00A6001F"/>
    <w:rsid w:val="00A601F8"/>
    <w:rsid w:val="00A6023A"/>
    <w:rsid w:val="00A604F6"/>
    <w:rsid w:val="00A604FC"/>
    <w:rsid w:val="00A60912"/>
    <w:rsid w:val="00A60A5E"/>
    <w:rsid w:val="00A60E2B"/>
    <w:rsid w:val="00A6102D"/>
    <w:rsid w:val="00A613CB"/>
    <w:rsid w:val="00A61721"/>
    <w:rsid w:val="00A61BE4"/>
    <w:rsid w:val="00A61F11"/>
    <w:rsid w:val="00A6203F"/>
    <w:rsid w:val="00A62C09"/>
    <w:rsid w:val="00A62DFB"/>
    <w:rsid w:val="00A63280"/>
    <w:rsid w:val="00A633EE"/>
    <w:rsid w:val="00A63BB3"/>
    <w:rsid w:val="00A65035"/>
    <w:rsid w:val="00A65068"/>
    <w:rsid w:val="00A65603"/>
    <w:rsid w:val="00A65640"/>
    <w:rsid w:val="00A65B02"/>
    <w:rsid w:val="00A667E0"/>
    <w:rsid w:val="00A668FC"/>
    <w:rsid w:val="00A66950"/>
    <w:rsid w:val="00A66DF8"/>
    <w:rsid w:val="00A66FA5"/>
    <w:rsid w:val="00A6708D"/>
    <w:rsid w:val="00A6789D"/>
    <w:rsid w:val="00A678D1"/>
    <w:rsid w:val="00A67993"/>
    <w:rsid w:val="00A702DB"/>
    <w:rsid w:val="00A704D2"/>
    <w:rsid w:val="00A7072B"/>
    <w:rsid w:val="00A70BD1"/>
    <w:rsid w:val="00A70E9F"/>
    <w:rsid w:val="00A7176B"/>
    <w:rsid w:val="00A71BA0"/>
    <w:rsid w:val="00A71FFC"/>
    <w:rsid w:val="00A72430"/>
    <w:rsid w:val="00A72893"/>
    <w:rsid w:val="00A72BDB"/>
    <w:rsid w:val="00A72E4E"/>
    <w:rsid w:val="00A731D8"/>
    <w:rsid w:val="00A73827"/>
    <w:rsid w:val="00A738FA"/>
    <w:rsid w:val="00A73AC5"/>
    <w:rsid w:val="00A73BF1"/>
    <w:rsid w:val="00A73C13"/>
    <w:rsid w:val="00A73CC9"/>
    <w:rsid w:val="00A73CE5"/>
    <w:rsid w:val="00A73CFA"/>
    <w:rsid w:val="00A73D77"/>
    <w:rsid w:val="00A741F9"/>
    <w:rsid w:val="00A74E1A"/>
    <w:rsid w:val="00A75D9E"/>
    <w:rsid w:val="00A75F0E"/>
    <w:rsid w:val="00A762F7"/>
    <w:rsid w:val="00A773F0"/>
    <w:rsid w:val="00A77464"/>
    <w:rsid w:val="00A77620"/>
    <w:rsid w:val="00A801B3"/>
    <w:rsid w:val="00A80AAE"/>
    <w:rsid w:val="00A8105B"/>
    <w:rsid w:val="00A81097"/>
    <w:rsid w:val="00A814F5"/>
    <w:rsid w:val="00A81519"/>
    <w:rsid w:val="00A8195A"/>
    <w:rsid w:val="00A819B5"/>
    <w:rsid w:val="00A81C1B"/>
    <w:rsid w:val="00A81C1E"/>
    <w:rsid w:val="00A825CD"/>
    <w:rsid w:val="00A8286B"/>
    <w:rsid w:val="00A8289E"/>
    <w:rsid w:val="00A828A3"/>
    <w:rsid w:val="00A82CC8"/>
    <w:rsid w:val="00A835FC"/>
    <w:rsid w:val="00A8360F"/>
    <w:rsid w:val="00A83638"/>
    <w:rsid w:val="00A83761"/>
    <w:rsid w:val="00A8379A"/>
    <w:rsid w:val="00A837F5"/>
    <w:rsid w:val="00A8397F"/>
    <w:rsid w:val="00A848F1"/>
    <w:rsid w:val="00A84947"/>
    <w:rsid w:val="00A849B3"/>
    <w:rsid w:val="00A84BE5"/>
    <w:rsid w:val="00A85041"/>
    <w:rsid w:val="00A85208"/>
    <w:rsid w:val="00A85A40"/>
    <w:rsid w:val="00A85CAA"/>
    <w:rsid w:val="00A86244"/>
    <w:rsid w:val="00A869FC"/>
    <w:rsid w:val="00A86BD6"/>
    <w:rsid w:val="00A86C40"/>
    <w:rsid w:val="00A86EA3"/>
    <w:rsid w:val="00A870A7"/>
    <w:rsid w:val="00A87135"/>
    <w:rsid w:val="00A87F5F"/>
    <w:rsid w:val="00A905FC"/>
    <w:rsid w:val="00A90BE6"/>
    <w:rsid w:val="00A90C1A"/>
    <w:rsid w:val="00A90D2F"/>
    <w:rsid w:val="00A9166A"/>
    <w:rsid w:val="00A918CA"/>
    <w:rsid w:val="00A91D7D"/>
    <w:rsid w:val="00A920F2"/>
    <w:rsid w:val="00A9223D"/>
    <w:rsid w:val="00A923C5"/>
    <w:rsid w:val="00A9282F"/>
    <w:rsid w:val="00A93886"/>
    <w:rsid w:val="00A93D19"/>
    <w:rsid w:val="00A94235"/>
    <w:rsid w:val="00A94C1D"/>
    <w:rsid w:val="00A94D99"/>
    <w:rsid w:val="00A9589D"/>
    <w:rsid w:val="00A95A16"/>
    <w:rsid w:val="00A95AC0"/>
    <w:rsid w:val="00A966D6"/>
    <w:rsid w:val="00A9770C"/>
    <w:rsid w:val="00A978B8"/>
    <w:rsid w:val="00A97A55"/>
    <w:rsid w:val="00A97D32"/>
    <w:rsid w:val="00A97DA0"/>
    <w:rsid w:val="00AA0438"/>
    <w:rsid w:val="00AA048F"/>
    <w:rsid w:val="00AA08AB"/>
    <w:rsid w:val="00AA0E11"/>
    <w:rsid w:val="00AA11A9"/>
    <w:rsid w:val="00AA1689"/>
    <w:rsid w:val="00AA2840"/>
    <w:rsid w:val="00AA2CD8"/>
    <w:rsid w:val="00AA2D4B"/>
    <w:rsid w:val="00AA378E"/>
    <w:rsid w:val="00AA3F40"/>
    <w:rsid w:val="00AA467A"/>
    <w:rsid w:val="00AA47E6"/>
    <w:rsid w:val="00AA5235"/>
    <w:rsid w:val="00AA54E4"/>
    <w:rsid w:val="00AA555C"/>
    <w:rsid w:val="00AA56C5"/>
    <w:rsid w:val="00AA617E"/>
    <w:rsid w:val="00AA6589"/>
    <w:rsid w:val="00AA6664"/>
    <w:rsid w:val="00AA691A"/>
    <w:rsid w:val="00AA6B09"/>
    <w:rsid w:val="00AA6FC9"/>
    <w:rsid w:val="00AA761E"/>
    <w:rsid w:val="00AA76B9"/>
    <w:rsid w:val="00AB0095"/>
    <w:rsid w:val="00AB0341"/>
    <w:rsid w:val="00AB0947"/>
    <w:rsid w:val="00AB0E1A"/>
    <w:rsid w:val="00AB20D0"/>
    <w:rsid w:val="00AB29A4"/>
    <w:rsid w:val="00AB2AEF"/>
    <w:rsid w:val="00AB2D32"/>
    <w:rsid w:val="00AB2DB4"/>
    <w:rsid w:val="00AB3735"/>
    <w:rsid w:val="00AB3F89"/>
    <w:rsid w:val="00AB4B44"/>
    <w:rsid w:val="00AB4CF3"/>
    <w:rsid w:val="00AB4D2D"/>
    <w:rsid w:val="00AB53B9"/>
    <w:rsid w:val="00AB5895"/>
    <w:rsid w:val="00AB58B2"/>
    <w:rsid w:val="00AB5A58"/>
    <w:rsid w:val="00AB603F"/>
    <w:rsid w:val="00AB6448"/>
    <w:rsid w:val="00AB6472"/>
    <w:rsid w:val="00AB6701"/>
    <w:rsid w:val="00AB67B4"/>
    <w:rsid w:val="00AB762C"/>
    <w:rsid w:val="00AB778F"/>
    <w:rsid w:val="00AB7BEF"/>
    <w:rsid w:val="00AB7CEF"/>
    <w:rsid w:val="00AB7D40"/>
    <w:rsid w:val="00AC0223"/>
    <w:rsid w:val="00AC0561"/>
    <w:rsid w:val="00AC14A3"/>
    <w:rsid w:val="00AC14AA"/>
    <w:rsid w:val="00AC1773"/>
    <w:rsid w:val="00AC18D8"/>
    <w:rsid w:val="00AC19A7"/>
    <w:rsid w:val="00AC1BCE"/>
    <w:rsid w:val="00AC1EB3"/>
    <w:rsid w:val="00AC1FAC"/>
    <w:rsid w:val="00AC26B2"/>
    <w:rsid w:val="00AC28CB"/>
    <w:rsid w:val="00AC298F"/>
    <w:rsid w:val="00AC2B03"/>
    <w:rsid w:val="00AC2D82"/>
    <w:rsid w:val="00AC2EB1"/>
    <w:rsid w:val="00AC31BD"/>
    <w:rsid w:val="00AC34C8"/>
    <w:rsid w:val="00AC35B1"/>
    <w:rsid w:val="00AC3CD8"/>
    <w:rsid w:val="00AC435D"/>
    <w:rsid w:val="00AC53FF"/>
    <w:rsid w:val="00AC557A"/>
    <w:rsid w:val="00AC6226"/>
    <w:rsid w:val="00AC62C1"/>
    <w:rsid w:val="00AC66FF"/>
    <w:rsid w:val="00AC70EC"/>
    <w:rsid w:val="00AC762E"/>
    <w:rsid w:val="00AC7DEF"/>
    <w:rsid w:val="00AC7F47"/>
    <w:rsid w:val="00AD0427"/>
    <w:rsid w:val="00AD074C"/>
    <w:rsid w:val="00AD154F"/>
    <w:rsid w:val="00AD1D1C"/>
    <w:rsid w:val="00AD1DA9"/>
    <w:rsid w:val="00AD1ECF"/>
    <w:rsid w:val="00AD2796"/>
    <w:rsid w:val="00AD2D76"/>
    <w:rsid w:val="00AD2FAC"/>
    <w:rsid w:val="00AD36FD"/>
    <w:rsid w:val="00AD382E"/>
    <w:rsid w:val="00AD383B"/>
    <w:rsid w:val="00AD4406"/>
    <w:rsid w:val="00AD52CC"/>
    <w:rsid w:val="00AD5556"/>
    <w:rsid w:val="00AD577F"/>
    <w:rsid w:val="00AD5F9B"/>
    <w:rsid w:val="00AD615F"/>
    <w:rsid w:val="00AD6450"/>
    <w:rsid w:val="00AD65D2"/>
    <w:rsid w:val="00AD68C5"/>
    <w:rsid w:val="00AD6A92"/>
    <w:rsid w:val="00AD6AC8"/>
    <w:rsid w:val="00AD6DDA"/>
    <w:rsid w:val="00AD6F4E"/>
    <w:rsid w:val="00AD7312"/>
    <w:rsid w:val="00AD7406"/>
    <w:rsid w:val="00AD74B8"/>
    <w:rsid w:val="00AD7533"/>
    <w:rsid w:val="00AD7C0A"/>
    <w:rsid w:val="00AD7CE8"/>
    <w:rsid w:val="00AD7DB5"/>
    <w:rsid w:val="00AE0102"/>
    <w:rsid w:val="00AE05AE"/>
    <w:rsid w:val="00AE0E24"/>
    <w:rsid w:val="00AE14C4"/>
    <w:rsid w:val="00AE14C6"/>
    <w:rsid w:val="00AE15E8"/>
    <w:rsid w:val="00AE16A3"/>
    <w:rsid w:val="00AE2709"/>
    <w:rsid w:val="00AE2A44"/>
    <w:rsid w:val="00AE2D19"/>
    <w:rsid w:val="00AE36BE"/>
    <w:rsid w:val="00AE400A"/>
    <w:rsid w:val="00AE45D2"/>
    <w:rsid w:val="00AE4870"/>
    <w:rsid w:val="00AE4C60"/>
    <w:rsid w:val="00AE51B9"/>
    <w:rsid w:val="00AE5CD5"/>
    <w:rsid w:val="00AE63EE"/>
    <w:rsid w:val="00AE6687"/>
    <w:rsid w:val="00AE6704"/>
    <w:rsid w:val="00AE670D"/>
    <w:rsid w:val="00AE6A59"/>
    <w:rsid w:val="00AE6AF0"/>
    <w:rsid w:val="00AE6F06"/>
    <w:rsid w:val="00AE7827"/>
    <w:rsid w:val="00AE7894"/>
    <w:rsid w:val="00AE7B1A"/>
    <w:rsid w:val="00AE7FE0"/>
    <w:rsid w:val="00AF0040"/>
    <w:rsid w:val="00AF0241"/>
    <w:rsid w:val="00AF0629"/>
    <w:rsid w:val="00AF0690"/>
    <w:rsid w:val="00AF0C42"/>
    <w:rsid w:val="00AF1622"/>
    <w:rsid w:val="00AF1B0C"/>
    <w:rsid w:val="00AF1B9A"/>
    <w:rsid w:val="00AF1C20"/>
    <w:rsid w:val="00AF2245"/>
    <w:rsid w:val="00AF2446"/>
    <w:rsid w:val="00AF24D8"/>
    <w:rsid w:val="00AF28CA"/>
    <w:rsid w:val="00AF2C2B"/>
    <w:rsid w:val="00AF2E10"/>
    <w:rsid w:val="00AF312C"/>
    <w:rsid w:val="00AF3625"/>
    <w:rsid w:val="00AF369B"/>
    <w:rsid w:val="00AF3E9C"/>
    <w:rsid w:val="00AF4692"/>
    <w:rsid w:val="00AF46ED"/>
    <w:rsid w:val="00AF474A"/>
    <w:rsid w:val="00AF54C5"/>
    <w:rsid w:val="00AF57B9"/>
    <w:rsid w:val="00AF5A08"/>
    <w:rsid w:val="00AF5A4F"/>
    <w:rsid w:val="00AF5B17"/>
    <w:rsid w:val="00AF5CEF"/>
    <w:rsid w:val="00AF623C"/>
    <w:rsid w:val="00AF6A71"/>
    <w:rsid w:val="00AF728A"/>
    <w:rsid w:val="00AF7395"/>
    <w:rsid w:val="00AF73BC"/>
    <w:rsid w:val="00AF7770"/>
    <w:rsid w:val="00AF7E09"/>
    <w:rsid w:val="00B001B8"/>
    <w:rsid w:val="00B001EB"/>
    <w:rsid w:val="00B00289"/>
    <w:rsid w:val="00B00322"/>
    <w:rsid w:val="00B0040C"/>
    <w:rsid w:val="00B0084E"/>
    <w:rsid w:val="00B0099A"/>
    <w:rsid w:val="00B00F94"/>
    <w:rsid w:val="00B01198"/>
    <w:rsid w:val="00B0170C"/>
    <w:rsid w:val="00B01780"/>
    <w:rsid w:val="00B020F7"/>
    <w:rsid w:val="00B02AEE"/>
    <w:rsid w:val="00B02C88"/>
    <w:rsid w:val="00B02E05"/>
    <w:rsid w:val="00B0463E"/>
    <w:rsid w:val="00B04CC7"/>
    <w:rsid w:val="00B050FC"/>
    <w:rsid w:val="00B05A3F"/>
    <w:rsid w:val="00B05EB6"/>
    <w:rsid w:val="00B05F18"/>
    <w:rsid w:val="00B05FFD"/>
    <w:rsid w:val="00B06EBF"/>
    <w:rsid w:val="00B070D5"/>
    <w:rsid w:val="00B0724D"/>
    <w:rsid w:val="00B0748C"/>
    <w:rsid w:val="00B07A28"/>
    <w:rsid w:val="00B07CE4"/>
    <w:rsid w:val="00B101A2"/>
    <w:rsid w:val="00B10568"/>
    <w:rsid w:val="00B107C5"/>
    <w:rsid w:val="00B12621"/>
    <w:rsid w:val="00B1299A"/>
    <w:rsid w:val="00B12DEA"/>
    <w:rsid w:val="00B13347"/>
    <w:rsid w:val="00B13566"/>
    <w:rsid w:val="00B13A03"/>
    <w:rsid w:val="00B13AF8"/>
    <w:rsid w:val="00B13BD6"/>
    <w:rsid w:val="00B13F6B"/>
    <w:rsid w:val="00B14032"/>
    <w:rsid w:val="00B1418D"/>
    <w:rsid w:val="00B1476F"/>
    <w:rsid w:val="00B14B67"/>
    <w:rsid w:val="00B150B8"/>
    <w:rsid w:val="00B1516B"/>
    <w:rsid w:val="00B15175"/>
    <w:rsid w:val="00B154C1"/>
    <w:rsid w:val="00B155B7"/>
    <w:rsid w:val="00B15991"/>
    <w:rsid w:val="00B15F11"/>
    <w:rsid w:val="00B15F84"/>
    <w:rsid w:val="00B15FEA"/>
    <w:rsid w:val="00B1684E"/>
    <w:rsid w:val="00B16A39"/>
    <w:rsid w:val="00B172CE"/>
    <w:rsid w:val="00B17B00"/>
    <w:rsid w:val="00B17B01"/>
    <w:rsid w:val="00B17CA5"/>
    <w:rsid w:val="00B20114"/>
    <w:rsid w:val="00B2048F"/>
    <w:rsid w:val="00B2073D"/>
    <w:rsid w:val="00B20B0F"/>
    <w:rsid w:val="00B21481"/>
    <w:rsid w:val="00B215DB"/>
    <w:rsid w:val="00B21A03"/>
    <w:rsid w:val="00B220F0"/>
    <w:rsid w:val="00B224AC"/>
    <w:rsid w:val="00B2258F"/>
    <w:rsid w:val="00B2286D"/>
    <w:rsid w:val="00B22AE4"/>
    <w:rsid w:val="00B2370F"/>
    <w:rsid w:val="00B23E96"/>
    <w:rsid w:val="00B240FA"/>
    <w:rsid w:val="00B2478B"/>
    <w:rsid w:val="00B24903"/>
    <w:rsid w:val="00B251F7"/>
    <w:rsid w:val="00B25447"/>
    <w:rsid w:val="00B2547A"/>
    <w:rsid w:val="00B255CF"/>
    <w:rsid w:val="00B2561A"/>
    <w:rsid w:val="00B257FF"/>
    <w:rsid w:val="00B25DC8"/>
    <w:rsid w:val="00B26840"/>
    <w:rsid w:val="00B26A29"/>
    <w:rsid w:val="00B2732F"/>
    <w:rsid w:val="00B27841"/>
    <w:rsid w:val="00B27B07"/>
    <w:rsid w:val="00B27D12"/>
    <w:rsid w:val="00B3005F"/>
    <w:rsid w:val="00B302AA"/>
    <w:rsid w:val="00B304DF"/>
    <w:rsid w:val="00B3089E"/>
    <w:rsid w:val="00B30D28"/>
    <w:rsid w:val="00B30FEF"/>
    <w:rsid w:val="00B31942"/>
    <w:rsid w:val="00B31BD4"/>
    <w:rsid w:val="00B31C9F"/>
    <w:rsid w:val="00B31E00"/>
    <w:rsid w:val="00B32C9F"/>
    <w:rsid w:val="00B32DDA"/>
    <w:rsid w:val="00B33028"/>
    <w:rsid w:val="00B333B6"/>
    <w:rsid w:val="00B33877"/>
    <w:rsid w:val="00B338C4"/>
    <w:rsid w:val="00B3413A"/>
    <w:rsid w:val="00B342E7"/>
    <w:rsid w:val="00B34683"/>
    <w:rsid w:val="00B34E3D"/>
    <w:rsid w:val="00B34E82"/>
    <w:rsid w:val="00B34F14"/>
    <w:rsid w:val="00B35963"/>
    <w:rsid w:val="00B36927"/>
    <w:rsid w:val="00B36AAD"/>
    <w:rsid w:val="00B37198"/>
    <w:rsid w:val="00B37555"/>
    <w:rsid w:val="00B375E6"/>
    <w:rsid w:val="00B3787A"/>
    <w:rsid w:val="00B37986"/>
    <w:rsid w:val="00B40D8E"/>
    <w:rsid w:val="00B40F9D"/>
    <w:rsid w:val="00B413D1"/>
    <w:rsid w:val="00B4146A"/>
    <w:rsid w:val="00B415E9"/>
    <w:rsid w:val="00B417AF"/>
    <w:rsid w:val="00B41802"/>
    <w:rsid w:val="00B41DAC"/>
    <w:rsid w:val="00B41EF5"/>
    <w:rsid w:val="00B42949"/>
    <w:rsid w:val="00B429A3"/>
    <w:rsid w:val="00B42B84"/>
    <w:rsid w:val="00B42D38"/>
    <w:rsid w:val="00B42F27"/>
    <w:rsid w:val="00B436D2"/>
    <w:rsid w:val="00B44E94"/>
    <w:rsid w:val="00B4609C"/>
    <w:rsid w:val="00B461FB"/>
    <w:rsid w:val="00B462F5"/>
    <w:rsid w:val="00B46E40"/>
    <w:rsid w:val="00B47359"/>
    <w:rsid w:val="00B4736D"/>
    <w:rsid w:val="00B47403"/>
    <w:rsid w:val="00B4751F"/>
    <w:rsid w:val="00B4772D"/>
    <w:rsid w:val="00B47A69"/>
    <w:rsid w:val="00B47B64"/>
    <w:rsid w:val="00B502AB"/>
    <w:rsid w:val="00B50618"/>
    <w:rsid w:val="00B5081C"/>
    <w:rsid w:val="00B50A42"/>
    <w:rsid w:val="00B513E3"/>
    <w:rsid w:val="00B513E9"/>
    <w:rsid w:val="00B52387"/>
    <w:rsid w:val="00B52C51"/>
    <w:rsid w:val="00B53316"/>
    <w:rsid w:val="00B534AB"/>
    <w:rsid w:val="00B53BFB"/>
    <w:rsid w:val="00B53C93"/>
    <w:rsid w:val="00B54337"/>
    <w:rsid w:val="00B54343"/>
    <w:rsid w:val="00B54A83"/>
    <w:rsid w:val="00B54B90"/>
    <w:rsid w:val="00B55413"/>
    <w:rsid w:val="00B554A4"/>
    <w:rsid w:val="00B55543"/>
    <w:rsid w:val="00B55AF1"/>
    <w:rsid w:val="00B55C5F"/>
    <w:rsid w:val="00B55CD5"/>
    <w:rsid w:val="00B55FA2"/>
    <w:rsid w:val="00B5678D"/>
    <w:rsid w:val="00B56CD5"/>
    <w:rsid w:val="00B56D65"/>
    <w:rsid w:val="00B5760F"/>
    <w:rsid w:val="00B57F2E"/>
    <w:rsid w:val="00B57FF9"/>
    <w:rsid w:val="00B607BD"/>
    <w:rsid w:val="00B608EC"/>
    <w:rsid w:val="00B60BD1"/>
    <w:rsid w:val="00B60DFF"/>
    <w:rsid w:val="00B60E4B"/>
    <w:rsid w:val="00B60ED4"/>
    <w:rsid w:val="00B60EFA"/>
    <w:rsid w:val="00B618A5"/>
    <w:rsid w:val="00B61CA5"/>
    <w:rsid w:val="00B61DF3"/>
    <w:rsid w:val="00B61FE7"/>
    <w:rsid w:val="00B6217C"/>
    <w:rsid w:val="00B62999"/>
    <w:rsid w:val="00B62D4C"/>
    <w:rsid w:val="00B62E20"/>
    <w:rsid w:val="00B640B1"/>
    <w:rsid w:val="00B648F0"/>
    <w:rsid w:val="00B648FC"/>
    <w:rsid w:val="00B64C1D"/>
    <w:rsid w:val="00B64C78"/>
    <w:rsid w:val="00B64F5D"/>
    <w:rsid w:val="00B64FCD"/>
    <w:rsid w:val="00B65800"/>
    <w:rsid w:val="00B659CE"/>
    <w:rsid w:val="00B65C44"/>
    <w:rsid w:val="00B65C4D"/>
    <w:rsid w:val="00B66523"/>
    <w:rsid w:val="00B66D6A"/>
    <w:rsid w:val="00B66FF3"/>
    <w:rsid w:val="00B67190"/>
    <w:rsid w:val="00B67470"/>
    <w:rsid w:val="00B674A7"/>
    <w:rsid w:val="00B677C8"/>
    <w:rsid w:val="00B678B2"/>
    <w:rsid w:val="00B67956"/>
    <w:rsid w:val="00B67AE7"/>
    <w:rsid w:val="00B70513"/>
    <w:rsid w:val="00B7051D"/>
    <w:rsid w:val="00B708DC"/>
    <w:rsid w:val="00B71232"/>
    <w:rsid w:val="00B71C32"/>
    <w:rsid w:val="00B71DC0"/>
    <w:rsid w:val="00B72601"/>
    <w:rsid w:val="00B7277C"/>
    <w:rsid w:val="00B72B69"/>
    <w:rsid w:val="00B72D87"/>
    <w:rsid w:val="00B72E0A"/>
    <w:rsid w:val="00B72F36"/>
    <w:rsid w:val="00B7359D"/>
    <w:rsid w:val="00B737A6"/>
    <w:rsid w:val="00B73AAF"/>
    <w:rsid w:val="00B73C9B"/>
    <w:rsid w:val="00B740EC"/>
    <w:rsid w:val="00B74392"/>
    <w:rsid w:val="00B7466A"/>
    <w:rsid w:val="00B747C4"/>
    <w:rsid w:val="00B7494C"/>
    <w:rsid w:val="00B74AED"/>
    <w:rsid w:val="00B750EE"/>
    <w:rsid w:val="00B75648"/>
    <w:rsid w:val="00B76112"/>
    <w:rsid w:val="00B7636B"/>
    <w:rsid w:val="00B768D5"/>
    <w:rsid w:val="00B77013"/>
    <w:rsid w:val="00B7714E"/>
    <w:rsid w:val="00B777F9"/>
    <w:rsid w:val="00B77F84"/>
    <w:rsid w:val="00B80038"/>
    <w:rsid w:val="00B802F5"/>
    <w:rsid w:val="00B80348"/>
    <w:rsid w:val="00B8040D"/>
    <w:rsid w:val="00B806AD"/>
    <w:rsid w:val="00B80A0E"/>
    <w:rsid w:val="00B80F43"/>
    <w:rsid w:val="00B818FE"/>
    <w:rsid w:val="00B81C34"/>
    <w:rsid w:val="00B81F54"/>
    <w:rsid w:val="00B821A4"/>
    <w:rsid w:val="00B825CD"/>
    <w:rsid w:val="00B82629"/>
    <w:rsid w:val="00B82727"/>
    <w:rsid w:val="00B82FC0"/>
    <w:rsid w:val="00B8304F"/>
    <w:rsid w:val="00B83139"/>
    <w:rsid w:val="00B83140"/>
    <w:rsid w:val="00B83838"/>
    <w:rsid w:val="00B83A6E"/>
    <w:rsid w:val="00B83B45"/>
    <w:rsid w:val="00B83D9D"/>
    <w:rsid w:val="00B847B9"/>
    <w:rsid w:val="00B848E8"/>
    <w:rsid w:val="00B849DC"/>
    <w:rsid w:val="00B8506D"/>
    <w:rsid w:val="00B85283"/>
    <w:rsid w:val="00B85477"/>
    <w:rsid w:val="00B859C9"/>
    <w:rsid w:val="00B85C72"/>
    <w:rsid w:val="00B85DEE"/>
    <w:rsid w:val="00B85E49"/>
    <w:rsid w:val="00B86F18"/>
    <w:rsid w:val="00B87404"/>
    <w:rsid w:val="00B8759E"/>
    <w:rsid w:val="00B87704"/>
    <w:rsid w:val="00B878C4"/>
    <w:rsid w:val="00B87AFF"/>
    <w:rsid w:val="00B9022E"/>
    <w:rsid w:val="00B905A7"/>
    <w:rsid w:val="00B90C2A"/>
    <w:rsid w:val="00B910C3"/>
    <w:rsid w:val="00B91499"/>
    <w:rsid w:val="00B914E0"/>
    <w:rsid w:val="00B9155B"/>
    <w:rsid w:val="00B91595"/>
    <w:rsid w:val="00B915C7"/>
    <w:rsid w:val="00B91807"/>
    <w:rsid w:val="00B91B99"/>
    <w:rsid w:val="00B91E0C"/>
    <w:rsid w:val="00B920AD"/>
    <w:rsid w:val="00B921ED"/>
    <w:rsid w:val="00B92B7D"/>
    <w:rsid w:val="00B92C22"/>
    <w:rsid w:val="00B92FD2"/>
    <w:rsid w:val="00B930A8"/>
    <w:rsid w:val="00B930D4"/>
    <w:rsid w:val="00B9310F"/>
    <w:rsid w:val="00B93AB1"/>
    <w:rsid w:val="00B94718"/>
    <w:rsid w:val="00B94837"/>
    <w:rsid w:val="00B94A79"/>
    <w:rsid w:val="00B94C65"/>
    <w:rsid w:val="00B94E98"/>
    <w:rsid w:val="00B94F8D"/>
    <w:rsid w:val="00B9512E"/>
    <w:rsid w:val="00B95168"/>
    <w:rsid w:val="00B9516E"/>
    <w:rsid w:val="00B9563B"/>
    <w:rsid w:val="00B95DC4"/>
    <w:rsid w:val="00B95EC8"/>
    <w:rsid w:val="00B96336"/>
    <w:rsid w:val="00B96C5A"/>
    <w:rsid w:val="00B97224"/>
    <w:rsid w:val="00B973D1"/>
    <w:rsid w:val="00B9799D"/>
    <w:rsid w:val="00B97A87"/>
    <w:rsid w:val="00BA0E7A"/>
    <w:rsid w:val="00BA27D5"/>
    <w:rsid w:val="00BA349F"/>
    <w:rsid w:val="00BA3811"/>
    <w:rsid w:val="00BA3EAF"/>
    <w:rsid w:val="00BA4021"/>
    <w:rsid w:val="00BA46EB"/>
    <w:rsid w:val="00BA4747"/>
    <w:rsid w:val="00BA4D62"/>
    <w:rsid w:val="00BA5616"/>
    <w:rsid w:val="00BA5A4F"/>
    <w:rsid w:val="00BA5E77"/>
    <w:rsid w:val="00BA5FF7"/>
    <w:rsid w:val="00BA6306"/>
    <w:rsid w:val="00BA6651"/>
    <w:rsid w:val="00BA6881"/>
    <w:rsid w:val="00BA6A14"/>
    <w:rsid w:val="00BA6DF2"/>
    <w:rsid w:val="00BA717F"/>
    <w:rsid w:val="00BA7388"/>
    <w:rsid w:val="00BA7667"/>
    <w:rsid w:val="00BA7B3B"/>
    <w:rsid w:val="00BA7CA1"/>
    <w:rsid w:val="00BA7D1D"/>
    <w:rsid w:val="00BB06A5"/>
    <w:rsid w:val="00BB10CE"/>
    <w:rsid w:val="00BB137D"/>
    <w:rsid w:val="00BB14A6"/>
    <w:rsid w:val="00BB16D9"/>
    <w:rsid w:val="00BB18EA"/>
    <w:rsid w:val="00BB1CAD"/>
    <w:rsid w:val="00BB1EA7"/>
    <w:rsid w:val="00BB22C5"/>
    <w:rsid w:val="00BB2A0C"/>
    <w:rsid w:val="00BB2A9D"/>
    <w:rsid w:val="00BB34BC"/>
    <w:rsid w:val="00BB3B1B"/>
    <w:rsid w:val="00BB4107"/>
    <w:rsid w:val="00BB41D3"/>
    <w:rsid w:val="00BB4267"/>
    <w:rsid w:val="00BB4687"/>
    <w:rsid w:val="00BB4735"/>
    <w:rsid w:val="00BB4818"/>
    <w:rsid w:val="00BB49F7"/>
    <w:rsid w:val="00BB4F3C"/>
    <w:rsid w:val="00BB556E"/>
    <w:rsid w:val="00BB5837"/>
    <w:rsid w:val="00BB5BAC"/>
    <w:rsid w:val="00BB5E22"/>
    <w:rsid w:val="00BB6409"/>
    <w:rsid w:val="00BB658D"/>
    <w:rsid w:val="00BB6BAE"/>
    <w:rsid w:val="00BB6C23"/>
    <w:rsid w:val="00BB7118"/>
    <w:rsid w:val="00BB72DB"/>
    <w:rsid w:val="00BC0124"/>
    <w:rsid w:val="00BC0180"/>
    <w:rsid w:val="00BC0427"/>
    <w:rsid w:val="00BC0484"/>
    <w:rsid w:val="00BC05EE"/>
    <w:rsid w:val="00BC0779"/>
    <w:rsid w:val="00BC0FDF"/>
    <w:rsid w:val="00BC1070"/>
    <w:rsid w:val="00BC1077"/>
    <w:rsid w:val="00BC12B8"/>
    <w:rsid w:val="00BC186B"/>
    <w:rsid w:val="00BC1973"/>
    <w:rsid w:val="00BC1EE4"/>
    <w:rsid w:val="00BC2628"/>
    <w:rsid w:val="00BC26CC"/>
    <w:rsid w:val="00BC2788"/>
    <w:rsid w:val="00BC29A2"/>
    <w:rsid w:val="00BC2F92"/>
    <w:rsid w:val="00BC3382"/>
    <w:rsid w:val="00BC363C"/>
    <w:rsid w:val="00BC3670"/>
    <w:rsid w:val="00BC39CA"/>
    <w:rsid w:val="00BC3AE9"/>
    <w:rsid w:val="00BC3D9B"/>
    <w:rsid w:val="00BC3DC5"/>
    <w:rsid w:val="00BC4169"/>
    <w:rsid w:val="00BC4B49"/>
    <w:rsid w:val="00BC53A4"/>
    <w:rsid w:val="00BC53F8"/>
    <w:rsid w:val="00BC543A"/>
    <w:rsid w:val="00BC5677"/>
    <w:rsid w:val="00BC5D68"/>
    <w:rsid w:val="00BC614A"/>
    <w:rsid w:val="00BC614B"/>
    <w:rsid w:val="00BC6281"/>
    <w:rsid w:val="00BC65EA"/>
    <w:rsid w:val="00BC665F"/>
    <w:rsid w:val="00BC6931"/>
    <w:rsid w:val="00BC698C"/>
    <w:rsid w:val="00BC6991"/>
    <w:rsid w:val="00BC7214"/>
    <w:rsid w:val="00BC72DA"/>
    <w:rsid w:val="00BC7699"/>
    <w:rsid w:val="00BC7B7A"/>
    <w:rsid w:val="00BD00DE"/>
    <w:rsid w:val="00BD0229"/>
    <w:rsid w:val="00BD0483"/>
    <w:rsid w:val="00BD0CC6"/>
    <w:rsid w:val="00BD0D25"/>
    <w:rsid w:val="00BD1485"/>
    <w:rsid w:val="00BD1CBA"/>
    <w:rsid w:val="00BD226E"/>
    <w:rsid w:val="00BD24C4"/>
    <w:rsid w:val="00BD34FD"/>
    <w:rsid w:val="00BD39E7"/>
    <w:rsid w:val="00BD3A4F"/>
    <w:rsid w:val="00BD3D5E"/>
    <w:rsid w:val="00BD4704"/>
    <w:rsid w:val="00BD4C24"/>
    <w:rsid w:val="00BD53AF"/>
    <w:rsid w:val="00BD58F6"/>
    <w:rsid w:val="00BD5F90"/>
    <w:rsid w:val="00BD64A4"/>
    <w:rsid w:val="00BD67B8"/>
    <w:rsid w:val="00BD696D"/>
    <w:rsid w:val="00BD6EE9"/>
    <w:rsid w:val="00BD75C4"/>
    <w:rsid w:val="00BD7AAA"/>
    <w:rsid w:val="00BE0346"/>
    <w:rsid w:val="00BE119F"/>
    <w:rsid w:val="00BE1285"/>
    <w:rsid w:val="00BE12C8"/>
    <w:rsid w:val="00BE189E"/>
    <w:rsid w:val="00BE1BAB"/>
    <w:rsid w:val="00BE252A"/>
    <w:rsid w:val="00BE27FA"/>
    <w:rsid w:val="00BE36B9"/>
    <w:rsid w:val="00BE3A2E"/>
    <w:rsid w:val="00BE3C05"/>
    <w:rsid w:val="00BE3E83"/>
    <w:rsid w:val="00BE42DF"/>
    <w:rsid w:val="00BE4434"/>
    <w:rsid w:val="00BE4649"/>
    <w:rsid w:val="00BE48C8"/>
    <w:rsid w:val="00BE5392"/>
    <w:rsid w:val="00BE5BCE"/>
    <w:rsid w:val="00BE6389"/>
    <w:rsid w:val="00BE647E"/>
    <w:rsid w:val="00BE662C"/>
    <w:rsid w:val="00BE6AA7"/>
    <w:rsid w:val="00BE70C3"/>
    <w:rsid w:val="00BE716A"/>
    <w:rsid w:val="00BE746E"/>
    <w:rsid w:val="00BE7780"/>
    <w:rsid w:val="00BE791A"/>
    <w:rsid w:val="00BE7937"/>
    <w:rsid w:val="00BE7A5E"/>
    <w:rsid w:val="00BF0008"/>
    <w:rsid w:val="00BF044B"/>
    <w:rsid w:val="00BF053C"/>
    <w:rsid w:val="00BF0690"/>
    <w:rsid w:val="00BF0AAF"/>
    <w:rsid w:val="00BF10CB"/>
    <w:rsid w:val="00BF117F"/>
    <w:rsid w:val="00BF1602"/>
    <w:rsid w:val="00BF1615"/>
    <w:rsid w:val="00BF1820"/>
    <w:rsid w:val="00BF1FDD"/>
    <w:rsid w:val="00BF22D9"/>
    <w:rsid w:val="00BF2943"/>
    <w:rsid w:val="00BF310A"/>
    <w:rsid w:val="00BF315D"/>
    <w:rsid w:val="00BF331A"/>
    <w:rsid w:val="00BF3354"/>
    <w:rsid w:val="00BF38EF"/>
    <w:rsid w:val="00BF3A92"/>
    <w:rsid w:val="00BF3F51"/>
    <w:rsid w:val="00BF42D8"/>
    <w:rsid w:val="00BF4309"/>
    <w:rsid w:val="00BF431A"/>
    <w:rsid w:val="00BF441A"/>
    <w:rsid w:val="00BF46FB"/>
    <w:rsid w:val="00BF485E"/>
    <w:rsid w:val="00BF4AFD"/>
    <w:rsid w:val="00BF4F0D"/>
    <w:rsid w:val="00BF50E7"/>
    <w:rsid w:val="00BF5115"/>
    <w:rsid w:val="00BF5181"/>
    <w:rsid w:val="00BF51A5"/>
    <w:rsid w:val="00BF59B1"/>
    <w:rsid w:val="00BF5A97"/>
    <w:rsid w:val="00BF5D3B"/>
    <w:rsid w:val="00BF64FA"/>
    <w:rsid w:val="00BF6574"/>
    <w:rsid w:val="00BF6656"/>
    <w:rsid w:val="00BF6E0A"/>
    <w:rsid w:val="00BF70E1"/>
    <w:rsid w:val="00BF725D"/>
    <w:rsid w:val="00BF728A"/>
    <w:rsid w:val="00BF79F9"/>
    <w:rsid w:val="00BF7AF5"/>
    <w:rsid w:val="00BF7F97"/>
    <w:rsid w:val="00C0002D"/>
    <w:rsid w:val="00C0005A"/>
    <w:rsid w:val="00C005D3"/>
    <w:rsid w:val="00C00695"/>
    <w:rsid w:val="00C01126"/>
    <w:rsid w:val="00C013BC"/>
    <w:rsid w:val="00C015D3"/>
    <w:rsid w:val="00C02822"/>
    <w:rsid w:val="00C029ED"/>
    <w:rsid w:val="00C02F12"/>
    <w:rsid w:val="00C037F7"/>
    <w:rsid w:val="00C0383D"/>
    <w:rsid w:val="00C03876"/>
    <w:rsid w:val="00C0430A"/>
    <w:rsid w:val="00C0434F"/>
    <w:rsid w:val="00C044B7"/>
    <w:rsid w:val="00C04576"/>
    <w:rsid w:val="00C04742"/>
    <w:rsid w:val="00C04BA9"/>
    <w:rsid w:val="00C04E98"/>
    <w:rsid w:val="00C0510D"/>
    <w:rsid w:val="00C051CD"/>
    <w:rsid w:val="00C052CC"/>
    <w:rsid w:val="00C05B6E"/>
    <w:rsid w:val="00C05C1A"/>
    <w:rsid w:val="00C067E2"/>
    <w:rsid w:val="00C06845"/>
    <w:rsid w:val="00C070D8"/>
    <w:rsid w:val="00C071D6"/>
    <w:rsid w:val="00C07381"/>
    <w:rsid w:val="00C07386"/>
    <w:rsid w:val="00C0740A"/>
    <w:rsid w:val="00C07723"/>
    <w:rsid w:val="00C10351"/>
    <w:rsid w:val="00C10B7C"/>
    <w:rsid w:val="00C11E25"/>
    <w:rsid w:val="00C1228A"/>
    <w:rsid w:val="00C12340"/>
    <w:rsid w:val="00C124C0"/>
    <w:rsid w:val="00C12B9D"/>
    <w:rsid w:val="00C136B5"/>
    <w:rsid w:val="00C13D41"/>
    <w:rsid w:val="00C13D45"/>
    <w:rsid w:val="00C14095"/>
    <w:rsid w:val="00C142D3"/>
    <w:rsid w:val="00C14C52"/>
    <w:rsid w:val="00C150E4"/>
    <w:rsid w:val="00C1576B"/>
    <w:rsid w:val="00C15D7D"/>
    <w:rsid w:val="00C15DCB"/>
    <w:rsid w:val="00C15E54"/>
    <w:rsid w:val="00C16A57"/>
    <w:rsid w:val="00C16F86"/>
    <w:rsid w:val="00C17A8F"/>
    <w:rsid w:val="00C202FB"/>
    <w:rsid w:val="00C20857"/>
    <w:rsid w:val="00C20C16"/>
    <w:rsid w:val="00C21250"/>
    <w:rsid w:val="00C21434"/>
    <w:rsid w:val="00C21942"/>
    <w:rsid w:val="00C22224"/>
    <w:rsid w:val="00C224EC"/>
    <w:rsid w:val="00C22901"/>
    <w:rsid w:val="00C22BC0"/>
    <w:rsid w:val="00C22C9B"/>
    <w:rsid w:val="00C23AA0"/>
    <w:rsid w:val="00C23AD6"/>
    <w:rsid w:val="00C23C0C"/>
    <w:rsid w:val="00C23CC1"/>
    <w:rsid w:val="00C23D05"/>
    <w:rsid w:val="00C24049"/>
    <w:rsid w:val="00C24772"/>
    <w:rsid w:val="00C24895"/>
    <w:rsid w:val="00C24E9C"/>
    <w:rsid w:val="00C25208"/>
    <w:rsid w:val="00C2533E"/>
    <w:rsid w:val="00C2540D"/>
    <w:rsid w:val="00C26186"/>
    <w:rsid w:val="00C262B8"/>
    <w:rsid w:val="00C26AA0"/>
    <w:rsid w:val="00C26B1E"/>
    <w:rsid w:val="00C26D4E"/>
    <w:rsid w:val="00C273C0"/>
    <w:rsid w:val="00C27599"/>
    <w:rsid w:val="00C27704"/>
    <w:rsid w:val="00C27A38"/>
    <w:rsid w:val="00C27B57"/>
    <w:rsid w:val="00C27CD3"/>
    <w:rsid w:val="00C3011A"/>
    <w:rsid w:val="00C30661"/>
    <w:rsid w:val="00C30ADC"/>
    <w:rsid w:val="00C31EBE"/>
    <w:rsid w:val="00C32340"/>
    <w:rsid w:val="00C323E6"/>
    <w:rsid w:val="00C32722"/>
    <w:rsid w:val="00C32B5B"/>
    <w:rsid w:val="00C32D34"/>
    <w:rsid w:val="00C32F38"/>
    <w:rsid w:val="00C33330"/>
    <w:rsid w:val="00C334CA"/>
    <w:rsid w:val="00C33A6C"/>
    <w:rsid w:val="00C34019"/>
    <w:rsid w:val="00C3495F"/>
    <w:rsid w:val="00C34C1A"/>
    <w:rsid w:val="00C3524D"/>
    <w:rsid w:val="00C35492"/>
    <w:rsid w:val="00C3585E"/>
    <w:rsid w:val="00C35F8F"/>
    <w:rsid w:val="00C360FE"/>
    <w:rsid w:val="00C361EE"/>
    <w:rsid w:val="00C36262"/>
    <w:rsid w:val="00C364DF"/>
    <w:rsid w:val="00C366DC"/>
    <w:rsid w:val="00C3674E"/>
    <w:rsid w:val="00C3685C"/>
    <w:rsid w:val="00C36940"/>
    <w:rsid w:val="00C36C4A"/>
    <w:rsid w:val="00C3741B"/>
    <w:rsid w:val="00C3744D"/>
    <w:rsid w:val="00C403B8"/>
    <w:rsid w:val="00C4075A"/>
    <w:rsid w:val="00C40C50"/>
    <w:rsid w:val="00C41357"/>
    <w:rsid w:val="00C413BB"/>
    <w:rsid w:val="00C416D1"/>
    <w:rsid w:val="00C41A21"/>
    <w:rsid w:val="00C4238D"/>
    <w:rsid w:val="00C426F8"/>
    <w:rsid w:val="00C43216"/>
    <w:rsid w:val="00C43467"/>
    <w:rsid w:val="00C43646"/>
    <w:rsid w:val="00C43C74"/>
    <w:rsid w:val="00C43F86"/>
    <w:rsid w:val="00C43F9F"/>
    <w:rsid w:val="00C44226"/>
    <w:rsid w:val="00C44290"/>
    <w:rsid w:val="00C44552"/>
    <w:rsid w:val="00C448A4"/>
    <w:rsid w:val="00C44BCA"/>
    <w:rsid w:val="00C45330"/>
    <w:rsid w:val="00C454C0"/>
    <w:rsid w:val="00C455BE"/>
    <w:rsid w:val="00C459CD"/>
    <w:rsid w:val="00C45D5B"/>
    <w:rsid w:val="00C45DAF"/>
    <w:rsid w:val="00C4614C"/>
    <w:rsid w:val="00C46275"/>
    <w:rsid w:val="00C46958"/>
    <w:rsid w:val="00C46BAC"/>
    <w:rsid w:val="00C46BBF"/>
    <w:rsid w:val="00C47616"/>
    <w:rsid w:val="00C4781E"/>
    <w:rsid w:val="00C5004D"/>
    <w:rsid w:val="00C502B6"/>
    <w:rsid w:val="00C502CF"/>
    <w:rsid w:val="00C5031A"/>
    <w:rsid w:val="00C505C8"/>
    <w:rsid w:val="00C5097C"/>
    <w:rsid w:val="00C5160B"/>
    <w:rsid w:val="00C51916"/>
    <w:rsid w:val="00C5198B"/>
    <w:rsid w:val="00C51C87"/>
    <w:rsid w:val="00C51CEF"/>
    <w:rsid w:val="00C51D02"/>
    <w:rsid w:val="00C528B2"/>
    <w:rsid w:val="00C52DF2"/>
    <w:rsid w:val="00C5304F"/>
    <w:rsid w:val="00C53F43"/>
    <w:rsid w:val="00C53FDA"/>
    <w:rsid w:val="00C54042"/>
    <w:rsid w:val="00C54B6D"/>
    <w:rsid w:val="00C54CCB"/>
    <w:rsid w:val="00C54E39"/>
    <w:rsid w:val="00C553EE"/>
    <w:rsid w:val="00C555F2"/>
    <w:rsid w:val="00C5582E"/>
    <w:rsid w:val="00C55E89"/>
    <w:rsid w:val="00C56017"/>
    <w:rsid w:val="00C56908"/>
    <w:rsid w:val="00C56CB0"/>
    <w:rsid w:val="00C56E49"/>
    <w:rsid w:val="00C56EAC"/>
    <w:rsid w:val="00C57369"/>
    <w:rsid w:val="00C601D9"/>
    <w:rsid w:val="00C60909"/>
    <w:rsid w:val="00C60BCC"/>
    <w:rsid w:val="00C60F0D"/>
    <w:rsid w:val="00C60FAE"/>
    <w:rsid w:val="00C61114"/>
    <w:rsid w:val="00C61661"/>
    <w:rsid w:val="00C61C58"/>
    <w:rsid w:val="00C61F04"/>
    <w:rsid w:val="00C62DF4"/>
    <w:rsid w:val="00C62EE3"/>
    <w:rsid w:val="00C631F2"/>
    <w:rsid w:val="00C63200"/>
    <w:rsid w:val="00C63924"/>
    <w:rsid w:val="00C63932"/>
    <w:rsid w:val="00C63CCE"/>
    <w:rsid w:val="00C63E27"/>
    <w:rsid w:val="00C6412B"/>
    <w:rsid w:val="00C641F6"/>
    <w:rsid w:val="00C64619"/>
    <w:rsid w:val="00C64F5F"/>
    <w:rsid w:val="00C64FA1"/>
    <w:rsid w:val="00C653EE"/>
    <w:rsid w:val="00C65B02"/>
    <w:rsid w:val="00C65BAC"/>
    <w:rsid w:val="00C65C63"/>
    <w:rsid w:val="00C65EA3"/>
    <w:rsid w:val="00C66371"/>
    <w:rsid w:val="00C6652E"/>
    <w:rsid w:val="00C66CF0"/>
    <w:rsid w:val="00C674EF"/>
    <w:rsid w:val="00C7033E"/>
    <w:rsid w:val="00C703B2"/>
    <w:rsid w:val="00C70730"/>
    <w:rsid w:val="00C70939"/>
    <w:rsid w:val="00C70A73"/>
    <w:rsid w:val="00C70BAE"/>
    <w:rsid w:val="00C7105F"/>
    <w:rsid w:val="00C71423"/>
    <w:rsid w:val="00C714E4"/>
    <w:rsid w:val="00C717EB"/>
    <w:rsid w:val="00C718EB"/>
    <w:rsid w:val="00C72093"/>
    <w:rsid w:val="00C7213D"/>
    <w:rsid w:val="00C725D2"/>
    <w:rsid w:val="00C72762"/>
    <w:rsid w:val="00C72C25"/>
    <w:rsid w:val="00C72E25"/>
    <w:rsid w:val="00C73F3C"/>
    <w:rsid w:val="00C74112"/>
    <w:rsid w:val="00C748A7"/>
    <w:rsid w:val="00C74931"/>
    <w:rsid w:val="00C74C61"/>
    <w:rsid w:val="00C7511F"/>
    <w:rsid w:val="00C754B8"/>
    <w:rsid w:val="00C754C4"/>
    <w:rsid w:val="00C76234"/>
    <w:rsid w:val="00C76383"/>
    <w:rsid w:val="00C766EF"/>
    <w:rsid w:val="00C76A3B"/>
    <w:rsid w:val="00C76BB4"/>
    <w:rsid w:val="00C76ED0"/>
    <w:rsid w:val="00C77390"/>
    <w:rsid w:val="00C774A3"/>
    <w:rsid w:val="00C778DC"/>
    <w:rsid w:val="00C80258"/>
    <w:rsid w:val="00C803D8"/>
    <w:rsid w:val="00C8092D"/>
    <w:rsid w:val="00C80AEE"/>
    <w:rsid w:val="00C80F26"/>
    <w:rsid w:val="00C80FED"/>
    <w:rsid w:val="00C812AE"/>
    <w:rsid w:val="00C812EC"/>
    <w:rsid w:val="00C81337"/>
    <w:rsid w:val="00C81397"/>
    <w:rsid w:val="00C81531"/>
    <w:rsid w:val="00C819EA"/>
    <w:rsid w:val="00C8250F"/>
    <w:rsid w:val="00C82A07"/>
    <w:rsid w:val="00C82AE1"/>
    <w:rsid w:val="00C82BD8"/>
    <w:rsid w:val="00C8405E"/>
    <w:rsid w:val="00C84269"/>
    <w:rsid w:val="00C842BB"/>
    <w:rsid w:val="00C84908"/>
    <w:rsid w:val="00C84D77"/>
    <w:rsid w:val="00C8509F"/>
    <w:rsid w:val="00C85173"/>
    <w:rsid w:val="00C8520A"/>
    <w:rsid w:val="00C85251"/>
    <w:rsid w:val="00C85798"/>
    <w:rsid w:val="00C8596A"/>
    <w:rsid w:val="00C85CFC"/>
    <w:rsid w:val="00C874BA"/>
    <w:rsid w:val="00C876C1"/>
    <w:rsid w:val="00C87C21"/>
    <w:rsid w:val="00C900DC"/>
    <w:rsid w:val="00C904EC"/>
    <w:rsid w:val="00C90EFA"/>
    <w:rsid w:val="00C91160"/>
    <w:rsid w:val="00C913ED"/>
    <w:rsid w:val="00C91561"/>
    <w:rsid w:val="00C91DB0"/>
    <w:rsid w:val="00C93072"/>
    <w:rsid w:val="00C9352E"/>
    <w:rsid w:val="00C94472"/>
    <w:rsid w:val="00C945F3"/>
    <w:rsid w:val="00C94CBD"/>
    <w:rsid w:val="00C94D63"/>
    <w:rsid w:val="00C9560C"/>
    <w:rsid w:val="00C9565E"/>
    <w:rsid w:val="00C95705"/>
    <w:rsid w:val="00C95B5A"/>
    <w:rsid w:val="00C96521"/>
    <w:rsid w:val="00C96682"/>
    <w:rsid w:val="00C96A6C"/>
    <w:rsid w:val="00C96B91"/>
    <w:rsid w:val="00C973F4"/>
    <w:rsid w:val="00C9743F"/>
    <w:rsid w:val="00C9772F"/>
    <w:rsid w:val="00C97844"/>
    <w:rsid w:val="00C9787D"/>
    <w:rsid w:val="00CA02BB"/>
    <w:rsid w:val="00CA0453"/>
    <w:rsid w:val="00CA050A"/>
    <w:rsid w:val="00CA0519"/>
    <w:rsid w:val="00CA0DCB"/>
    <w:rsid w:val="00CA109A"/>
    <w:rsid w:val="00CA139B"/>
    <w:rsid w:val="00CA1953"/>
    <w:rsid w:val="00CA1C70"/>
    <w:rsid w:val="00CA2468"/>
    <w:rsid w:val="00CA28D0"/>
    <w:rsid w:val="00CA320E"/>
    <w:rsid w:val="00CA35A6"/>
    <w:rsid w:val="00CA3A89"/>
    <w:rsid w:val="00CA3AC6"/>
    <w:rsid w:val="00CA3C1C"/>
    <w:rsid w:val="00CA42A0"/>
    <w:rsid w:val="00CA42AC"/>
    <w:rsid w:val="00CA4686"/>
    <w:rsid w:val="00CA46EE"/>
    <w:rsid w:val="00CA4AA6"/>
    <w:rsid w:val="00CA4AC4"/>
    <w:rsid w:val="00CA4F7B"/>
    <w:rsid w:val="00CA54D1"/>
    <w:rsid w:val="00CA54D6"/>
    <w:rsid w:val="00CA55B4"/>
    <w:rsid w:val="00CA5604"/>
    <w:rsid w:val="00CA5B54"/>
    <w:rsid w:val="00CA5C77"/>
    <w:rsid w:val="00CA5EE4"/>
    <w:rsid w:val="00CA651A"/>
    <w:rsid w:val="00CA73F7"/>
    <w:rsid w:val="00CA7A09"/>
    <w:rsid w:val="00CB045D"/>
    <w:rsid w:val="00CB0713"/>
    <w:rsid w:val="00CB0BA6"/>
    <w:rsid w:val="00CB108F"/>
    <w:rsid w:val="00CB1634"/>
    <w:rsid w:val="00CB176F"/>
    <w:rsid w:val="00CB18F8"/>
    <w:rsid w:val="00CB2947"/>
    <w:rsid w:val="00CB2B75"/>
    <w:rsid w:val="00CB3BF1"/>
    <w:rsid w:val="00CB3EA3"/>
    <w:rsid w:val="00CB4225"/>
    <w:rsid w:val="00CB4534"/>
    <w:rsid w:val="00CB4563"/>
    <w:rsid w:val="00CB48A9"/>
    <w:rsid w:val="00CB5000"/>
    <w:rsid w:val="00CB565E"/>
    <w:rsid w:val="00CB584A"/>
    <w:rsid w:val="00CB5AC7"/>
    <w:rsid w:val="00CB5B82"/>
    <w:rsid w:val="00CB5BEB"/>
    <w:rsid w:val="00CB5C14"/>
    <w:rsid w:val="00CB677F"/>
    <w:rsid w:val="00CB6951"/>
    <w:rsid w:val="00CB69F3"/>
    <w:rsid w:val="00CB6F29"/>
    <w:rsid w:val="00CB74BE"/>
    <w:rsid w:val="00CB7D9B"/>
    <w:rsid w:val="00CC103D"/>
    <w:rsid w:val="00CC14E4"/>
    <w:rsid w:val="00CC1874"/>
    <w:rsid w:val="00CC1B20"/>
    <w:rsid w:val="00CC1DBE"/>
    <w:rsid w:val="00CC1E7C"/>
    <w:rsid w:val="00CC2626"/>
    <w:rsid w:val="00CC29D0"/>
    <w:rsid w:val="00CC2B4C"/>
    <w:rsid w:val="00CC2BF4"/>
    <w:rsid w:val="00CC331B"/>
    <w:rsid w:val="00CC363F"/>
    <w:rsid w:val="00CC3EA3"/>
    <w:rsid w:val="00CC4281"/>
    <w:rsid w:val="00CC43FB"/>
    <w:rsid w:val="00CC4E26"/>
    <w:rsid w:val="00CC4F1A"/>
    <w:rsid w:val="00CC60D9"/>
    <w:rsid w:val="00CC6481"/>
    <w:rsid w:val="00CC692A"/>
    <w:rsid w:val="00CC6A19"/>
    <w:rsid w:val="00CC6A49"/>
    <w:rsid w:val="00CC6B74"/>
    <w:rsid w:val="00CC7755"/>
    <w:rsid w:val="00CC7CE5"/>
    <w:rsid w:val="00CD0D70"/>
    <w:rsid w:val="00CD1024"/>
    <w:rsid w:val="00CD107A"/>
    <w:rsid w:val="00CD15F1"/>
    <w:rsid w:val="00CD16DA"/>
    <w:rsid w:val="00CD17FD"/>
    <w:rsid w:val="00CD1FD6"/>
    <w:rsid w:val="00CD22BA"/>
    <w:rsid w:val="00CD2382"/>
    <w:rsid w:val="00CD24E4"/>
    <w:rsid w:val="00CD2541"/>
    <w:rsid w:val="00CD28CD"/>
    <w:rsid w:val="00CD28ED"/>
    <w:rsid w:val="00CD312C"/>
    <w:rsid w:val="00CD33EB"/>
    <w:rsid w:val="00CD3450"/>
    <w:rsid w:val="00CD36B2"/>
    <w:rsid w:val="00CD3839"/>
    <w:rsid w:val="00CD3F0A"/>
    <w:rsid w:val="00CD4EC0"/>
    <w:rsid w:val="00CD506B"/>
    <w:rsid w:val="00CD5280"/>
    <w:rsid w:val="00CD586F"/>
    <w:rsid w:val="00CD5AA9"/>
    <w:rsid w:val="00CD5C93"/>
    <w:rsid w:val="00CD5F58"/>
    <w:rsid w:val="00CD600A"/>
    <w:rsid w:val="00CD60D4"/>
    <w:rsid w:val="00CD61B1"/>
    <w:rsid w:val="00CD64B2"/>
    <w:rsid w:val="00CD6516"/>
    <w:rsid w:val="00CD6A13"/>
    <w:rsid w:val="00CD6E41"/>
    <w:rsid w:val="00CD6FD6"/>
    <w:rsid w:val="00CD7039"/>
    <w:rsid w:val="00CD75FB"/>
    <w:rsid w:val="00CD7749"/>
    <w:rsid w:val="00CE01E1"/>
    <w:rsid w:val="00CE0343"/>
    <w:rsid w:val="00CE1032"/>
    <w:rsid w:val="00CE1490"/>
    <w:rsid w:val="00CE22C2"/>
    <w:rsid w:val="00CE2318"/>
    <w:rsid w:val="00CE2879"/>
    <w:rsid w:val="00CE28CC"/>
    <w:rsid w:val="00CE290A"/>
    <w:rsid w:val="00CE29F1"/>
    <w:rsid w:val="00CE2CCE"/>
    <w:rsid w:val="00CE3D4D"/>
    <w:rsid w:val="00CE3F90"/>
    <w:rsid w:val="00CE45EE"/>
    <w:rsid w:val="00CE4652"/>
    <w:rsid w:val="00CE4C4C"/>
    <w:rsid w:val="00CE4C56"/>
    <w:rsid w:val="00CE4E74"/>
    <w:rsid w:val="00CE4FE1"/>
    <w:rsid w:val="00CE55D9"/>
    <w:rsid w:val="00CE5B4F"/>
    <w:rsid w:val="00CE5C9A"/>
    <w:rsid w:val="00CE61B6"/>
    <w:rsid w:val="00CE6256"/>
    <w:rsid w:val="00CE6A43"/>
    <w:rsid w:val="00CE6C82"/>
    <w:rsid w:val="00CE6E92"/>
    <w:rsid w:val="00CE6E93"/>
    <w:rsid w:val="00CE72F9"/>
    <w:rsid w:val="00CE7926"/>
    <w:rsid w:val="00CF00F4"/>
    <w:rsid w:val="00CF050A"/>
    <w:rsid w:val="00CF06BB"/>
    <w:rsid w:val="00CF071E"/>
    <w:rsid w:val="00CF0B44"/>
    <w:rsid w:val="00CF1346"/>
    <w:rsid w:val="00CF26D0"/>
    <w:rsid w:val="00CF3010"/>
    <w:rsid w:val="00CF31DA"/>
    <w:rsid w:val="00CF3C77"/>
    <w:rsid w:val="00CF3E12"/>
    <w:rsid w:val="00CF4277"/>
    <w:rsid w:val="00CF4525"/>
    <w:rsid w:val="00CF4A51"/>
    <w:rsid w:val="00CF4E53"/>
    <w:rsid w:val="00CF51C7"/>
    <w:rsid w:val="00CF52A3"/>
    <w:rsid w:val="00CF554F"/>
    <w:rsid w:val="00CF576D"/>
    <w:rsid w:val="00CF5C63"/>
    <w:rsid w:val="00CF5E32"/>
    <w:rsid w:val="00CF6392"/>
    <w:rsid w:val="00CF63CB"/>
    <w:rsid w:val="00CF6A06"/>
    <w:rsid w:val="00CF6BCC"/>
    <w:rsid w:val="00CF6EE1"/>
    <w:rsid w:val="00CF774B"/>
    <w:rsid w:val="00D0015A"/>
    <w:rsid w:val="00D0074E"/>
    <w:rsid w:val="00D008A0"/>
    <w:rsid w:val="00D0096B"/>
    <w:rsid w:val="00D00EBC"/>
    <w:rsid w:val="00D012AE"/>
    <w:rsid w:val="00D015CE"/>
    <w:rsid w:val="00D01F53"/>
    <w:rsid w:val="00D02599"/>
    <w:rsid w:val="00D02A59"/>
    <w:rsid w:val="00D03036"/>
    <w:rsid w:val="00D03278"/>
    <w:rsid w:val="00D034F0"/>
    <w:rsid w:val="00D034FD"/>
    <w:rsid w:val="00D03679"/>
    <w:rsid w:val="00D03E3F"/>
    <w:rsid w:val="00D03F68"/>
    <w:rsid w:val="00D04761"/>
    <w:rsid w:val="00D04910"/>
    <w:rsid w:val="00D04BDE"/>
    <w:rsid w:val="00D0556E"/>
    <w:rsid w:val="00D056DD"/>
    <w:rsid w:val="00D05800"/>
    <w:rsid w:val="00D059C3"/>
    <w:rsid w:val="00D05A24"/>
    <w:rsid w:val="00D063AD"/>
    <w:rsid w:val="00D06793"/>
    <w:rsid w:val="00D06B9A"/>
    <w:rsid w:val="00D074ED"/>
    <w:rsid w:val="00D07625"/>
    <w:rsid w:val="00D07FA6"/>
    <w:rsid w:val="00D07FC1"/>
    <w:rsid w:val="00D10388"/>
    <w:rsid w:val="00D105CB"/>
    <w:rsid w:val="00D10979"/>
    <w:rsid w:val="00D11326"/>
    <w:rsid w:val="00D11460"/>
    <w:rsid w:val="00D11A49"/>
    <w:rsid w:val="00D1225C"/>
    <w:rsid w:val="00D128DF"/>
    <w:rsid w:val="00D131F6"/>
    <w:rsid w:val="00D1364A"/>
    <w:rsid w:val="00D13AE5"/>
    <w:rsid w:val="00D13CC0"/>
    <w:rsid w:val="00D14078"/>
    <w:rsid w:val="00D140E3"/>
    <w:rsid w:val="00D14737"/>
    <w:rsid w:val="00D14F87"/>
    <w:rsid w:val="00D152D4"/>
    <w:rsid w:val="00D15716"/>
    <w:rsid w:val="00D157FA"/>
    <w:rsid w:val="00D15AC9"/>
    <w:rsid w:val="00D15E5B"/>
    <w:rsid w:val="00D15EA2"/>
    <w:rsid w:val="00D15F4E"/>
    <w:rsid w:val="00D15F98"/>
    <w:rsid w:val="00D16122"/>
    <w:rsid w:val="00D1616C"/>
    <w:rsid w:val="00D16278"/>
    <w:rsid w:val="00D16398"/>
    <w:rsid w:val="00D164CF"/>
    <w:rsid w:val="00D16A95"/>
    <w:rsid w:val="00D176E0"/>
    <w:rsid w:val="00D17BAC"/>
    <w:rsid w:val="00D204B8"/>
    <w:rsid w:val="00D2077E"/>
    <w:rsid w:val="00D2121B"/>
    <w:rsid w:val="00D21853"/>
    <w:rsid w:val="00D22204"/>
    <w:rsid w:val="00D22ACB"/>
    <w:rsid w:val="00D22E18"/>
    <w:rsid w:val="00D231A0"/>
    <w:rsid w:val="00D232F2"/>
    <w:rsid w:val="00D23339"/>
    <w:rsid w:val="00D237F6"/>
    <w:rsid w:val="00D24FE4"/>
    <w:rsid w:val="00D251CB"/>
    <w:rsid w:val="00D2548C"/>
    <w:rsid w:val="00D261A5"/>
    <w:rsid w:val="00D26588"/>
    <w:rsid w:val="00D26CC2"/>
    <w:rsid w:val="00D26F1B"/>
    <w:rsid w:val="00D26FB1"/>
    <w:rsid w:val="00D2730E"/>
    <w:rsid w:val="00D27495"/>
    <w:rsid w:val="00D27A6F"/>
    <w:rsid w:val="00D305A4"/>
    <w:rsid w:val="00D30DF1"/>
    <w:rsid w:val="00D315A5"/>
    <w:rsid w:val="00D31CB8"/>
    <w:rsid w:val="00D32322"/>
    <w:rsid w:val="00D32863"/>
    <w:rsid w:val="00D32B9C"/>
    <w:rsid w:val="00D32D2E"/>
    <w:rsid w:val="00D32E9D"/>
    <w:rsid w:val="00D32FD2"/>
    <w:rsid w:val="00D3308D"/>
    <w:rsid w:val="00D3313F"/>
    <w:rsid w:val="00D332CB"/>
    <w:rsid w:val="00D332E9"/>
    <w:rsid w:val="00D33769"/>
    <w:rsid w:val="00D338CD"/>
    <w:rsid w:val="00D33F3D"/>
    <w:rsid w:val="00D3436E"/>
    <w:rsid w:val="00D34616"/>
    <w:rsid w:val="00D34677"/>
    <w:rsid w:val="00D35637"/>
    <w:rsid w:val="00D35847"/>
    <w:rsid w:val="00D360EB"/>
    <w:rsid w:val="00D36511"/>
    <w:rsid w:val="00D3693C"/>
    <w:rsid w:val="00D369B6"/>
    <w:rsid w:val="00D36C74"/>
    <w:rsid w:val="00D37121"/>
    <w:rsid w:val="00D373C2"/>
    <w:rsid w:val="00D37A31"/>
    <w:rsid w:val="00D37B9D"/>
    <w:rsid w:val="00D37FA5"/>
    <w:rsid w:val="00D4008D"/>
    <w:rsid w:val="00D4009E"/>
    <w:rsid w:val="00D400E4"/>
    <w:rsid w:val="00D4010E"/>
    <w:rsid w:val="00D40325"/>
    <w:rsid w:val="00D4070D"/>
    <w:rsid w:val="00D40748"/>
    <w:rsid w:val="00D407B7"/>
    <w:rsid w:val="00D40A70"/>
    <w:rsid w:val="00D40D63"/>
    <w:rsid w:val="00D41020"/>
    <w:rsid w:val="00D414E5"/>
    <w:rsid w:val="00D42422"/>
    <w:rsid w:val="00D43041"/>
    <w:rsid w:val="00D4308E"/>
    <w:rsid w:val="00D4374A"/>
    <w:rsid w:val="00D43DFA"/>
    <w:rsid w:val="00D43EFF"/>
    <w:rsid w:val="00D4421F"/>
    <w:rsid w:val="00D4436B"/>
    <w:rsid w:val="00D443C9"/>
    <w:rsid w:val="00D4485A"/>
    <w:rsid w:val="00D44A1E"/>
    <w:rsid w:val="00D458CE"/>
    <w:rsid w:val="00D45BA0"/>
    <w:rsid w:val="00D4627F"/>
    <w:rsid w:val="00D463F6"/>
    <w:rsid w:val="00D46523"/>
    <w:rsid w:val="00D465E7"/>
    <w:rsid w:val="00D46731"/>
    <w:rsid w:val="00D47367"/>
    <w:rsid w:val="00D4744B"/>
    <w:rsid w:val="00D47977"/>
    <w:rsid w:val="00D47A36"/>
    <w:rsid w:val="00D47AFE"/>
    <w:rsid w:val="00D47C1A"/>
    <w:rsid w:val="00D50AD9"/>
    <w:rsid w:val="00D50B93"/>
    <w:rsid w:val="00D50F7F"/>
    <w:rsid w:val="00D51F44"/>
    <w:rsid w:val="00D5205B"/>
    <w:rsid w:val="00D522EC"/>
    <w:rsid w:val="00D524F8"/>
    <w:rsid w:val="00D52662"/>
    <w:rsid w:val="00D52A81"/>
    <w:rsid w:val="00D52CDC"/>
    <w:rsid w:val="00D534A7"/>
    <w:rsid w:val="00D53A0B"/>
    <w:rsid w:val="00D5431B"/>
    <w:rsid w:val="00D5440C"/>
    <w:rsid w:val="00D548D0"/>
    <w:rsid w:val="00D5492C"/>
    <w:rsid w:val="00D54AC0"/>
    <w:rsid w:val="00D54D81"/>
    <w:rsid w:val="00D55440"/>
    <w:rsid w:val="00D55496"/>
    <w:rsid w:val="00D55AC2"/>
    <w:rsid w:val="00D55D5B"/>
    <w:rsid w:val="00D562E9"/>
    <w:rsid w:val="00D5645F"/>
    <w:rsid w:val="00D5654B"/>
    <w:rsid w:val="00D56A21"/>
    <w:rsid w:val="00D56A7E"/>
    <w:rsid w:val="00D56DE1"/>
    <w:rsid w:val="00D57309"/>
    <w:rsid w:val="00D57417"/>
    <w:rsid w:val="00D60696"/>
    <w:rsid w:val="00D60A99"/>
    <w:rsid w:val="00D620F3"/>
    <w:rsid w:val="00D62650"/>
    <w:rsid w:val="00D62F86"/>
    <w:rsid w:val="00D63671"/>
    <w:rsid w:val="00D63713"/>
    <w:rsid w:val="00D637A4"/>
    <w:rsid w:val="00D638F6"/>
    <w:rsid w:val="00D63904"/>
    <w:rsid w:val="00D63A34"/>
    <w:rsid w:val="00D63D3A"/>
    <w:rsid w:val="00D642C9"/>
    <w:rsid w:val="00D6477E"/>
    <w:rsid w:val="00D64816"/>
    <w:rsid w:val="00D64946"/>
    <w:rsid w:val="00D64AC1"/>
    <w:rsid w:val="00D64D35"/>
    <w:rsid w:val="00D65715"/>
    <w:rsid w:val="00D66A84"/>
    <w:rsid w:val="00D67645"/>
    <w:rsid w:val="00D67C68"/>
    <w:rsid w:val="00D70191"/>
    <w:rsid w:val="00D70A69"/>
    <w:rsid w:val="00D70C29"/>
    <w:rsid w:val="00D70FDE"/>
    <w:rsid w:val="00D7155C"/>
    <w:rsid w:val="00D716A7"/>
    <w:rsid w:val="00D716E4"/>
    <w:rsid w:val="00D716F4"/>
    <w:rsid w:val="00D718E1"/>
    <w:rsid w:val="00D71A16"/>
    <w:rsid w:val="00D71A60"/>
    <w:rsid w:val="00D71AD1"/>
    <w:rsid w:val="00D71F26"/>
    <w:rsid w:val="00D71F30"/>
    <w:rsid w:val="00D71F3A"/>
    <w:rsid w:val="00D7221D"/>
    <w:rsid w:val="00D72DE6"/>
    <w:rsid w:val="00D73008"/>
    <w:rsid w:val="00D735C5"/>
    <w:rsid w:val="00D73AA4"/>
    <w:rsid w:val="00D73BDA"/>
    <w:rsid w:val="00D73F75"/>
    <w:rsid w:val="00D74189"/>
    <w:rsid w:val="00D74251"/>
    <w:rsid w:val="00D744AE"/>
    <w:rsid w:val="00D74885"/>
    <w:rsid w:val="00D74A9D"/>
    <w:rsid w:val="00D74B30"/>
    <w:rsid w:val="00D7515A"/>
    <w:rsid w:val="00D75310"/>
    <w:rsid w:val="00D7587B"/>
    <w:rsid w:val="00D75DB9"/>
    <w:rsid w:val="00D75E3B"/>
    <w:rsid w:val="00D762AC"/>
    <w:rsid w:val="00D76539"/>
    <w:rsid w:val="00D76AC5"/>
    <w:rsid w:val="00D76DCF"/>
    <w:rsid w:val="00D76E5F"/>
    <w:rsid w:val="00D77121"/>
    <w:rsid w:val="00D77A97"/>
    <w:rsid w:val="00D80255"/>
    <w:rsid w:val="00D808A1"/>
    <w:rsid w:val="00D80B49"/>
    <w:rsid w:val="00D8101A"/>
    <w:rsid w:val="00D81518"/>
    <w:rsid w:val="00D81C71"/>
    <w:rsid w:val="00D81E40"/>
    <w:rsid w:val="00D81E57"/>
    <w:rsid w:val="00D81E63"/>
    <w:rsid w:val="00D81FD9"/>
    <w:rsid w:val="00D8249B"/>
    <w:rsid w:val="00D82BC8"/>
    <w:rsid w:val="00D82E4B"/>
    <w:rsid w:val="00D8354C"/>
    <w:rsid w:val="00D8376D"/>
    <w:rsid w:val="00D83770"/>
    <w:rsid w:val="00D83923"/>
    <w:rsid w:val="00D83A92"/>
    <w:rsid w:val="00D83A98"/>
    <w:rsid w:val="00D83AE1"/>
    <w:rsid w:val="00D84B1E"/>
    <w:rsid w:val="00D84DBF"/>
    <w:rsid w:val="00D85A68"/>
    <w:rsid w:val="00D85F40"/>
    <w:rsid w:val="00D85F5F"/>
    <w:rsid w:val="00D8697A"/>
    <w:rsid w:val="00D8726E"/>
    <w:rsid w:val="00D8768B"/>
    <w:rsid w:val="00D87760"/>
    <w:rsid w:val="00D87E80"/>
    <w:rsid w:val="00D9047C"/>
    <w:rsid w:val="00D90CAF"/>
    <w:rsid w:val="00D91C19"/>
    <w:rsid w:val="00D91C74"/>
    <w:rsid w:val="00D92046"/>
    <w:rsid w:val="00D920FB"/>
    <w:rsid w:val="00D94287"/>
    <w:rsid w:val="00D945D8"/>
    <w:rsid w:val="00D94ADB"/>
    <w:rsid w:val="00D94F95"/>
    <w:rsid w:val="00D94FD1"/>
    <w:rsid w:val="00D95054"/>
    <w:rsid w:val="00D9552F"/>
    <w:rsid w:val="00D956F9"/>
    <w:rsid w:val="00D95795"/>
    <w:rsid w:val="00D959C0"/>
    <w:rsid w:val="00D95FE9"/>
    <w:rsid w:val="00D96090"/>
    <w:rsid w:val="00D96162"/>
    <w:rsid w:val="00D96705"/>
    <w:rsid w:val="00D9685E"/>
    <w:rsid w:val="00D9692E"/>
    <w:rsid w:val="00D96E83"/>
    <w:rsid w:val="00D972B3"/>
    <w:rsid w:val="00DA07E7"/>
    <w:rsid w:val="00DA0B40"/>
    <w:rsid w:val="00DA0D8C"/>
    <w:rsid w:val="00DA1352"/>
    <w:rsid w:val="00DA1505"/>
    <w:rsid w:val="00DA15F3"/>
    <w:rsid w:val="00DA18E1"/>
    <w:rsid w:val="00DA2262"/>
    <w:rsid w:val="00DA239F"/>
    <w:rsid w:val="00DA242B"/>
    <w:rsid w:val="00DA2625"/>
    <w:rsid w:val="00DA2764"/>
    <w:rsid w:val="00DA27EF"/>
    <w:rsid w:val="00DA282F"/>
    <w:rsid w:val="00DA332D"/>
    <w:rsid w:val="00DA3411"/>
    <w:rsid w:val="00DA346C"/>
    <w:rsid w:val="00DA40F9"/>
    <w:rsid w:val="00DA4488"/>
    <w:rsid w:val="00DA47AC"/>
    <w:rsid w:val="00DA483C"/>
    <w:rsid w:val="00DA4D68"/>
    <w:rsid w:val="00DA54A1"/>
    <w:rsid w:val="00DA5D69"/>
    <w:rsid w:val="00DA5F7F"/>
    <w:rsid w:val="00DA6264"/>
    <w:rsid w:val="00DA688F"/>
    <w:rsid w:val="00DA6911"/>
    <w:rsid w:val="00DA691F"/>
    <w:rsid w:val="00DA6EE3"/>
    <w:rsid w:val="00DA7168"/>
    <w:rsid w:val="00DA7BE8"/>
    <w:rsid w:val="00DA7D6E"/>
    <w:rsid w:val="00DB010A"/>
    <w:rsid w:val="00DB0262"/>
    <w:rsid w:val="00DB03FC"/>
    <w:rsid w:val="00DB05AB"/>
    <w:rsid w:val="00DB0A3B"/>
    <w:rsid w:val="00DB0FB4"/>
    <w:rsid w:val="00DB1A9E"/>
    <w:rsid w:val="00DB2436"/>
    <w:rsid w:val="00DB2DA3"/>
    <w:rsid w:val="00DB2FC0"/>
    <w:rsid w:val="00DB357D"/>
    <w:rsid w:val="00DB378F"/>
    <w:rsid w:val="00DB39AD"/>
    <w:rsid w:val="00DB4023"/>
    <w:rsid w:val="00DB42D6"/>
    <w:rsid w:val="00DB4D1C"/>
    <w:rsid w:val="00DB4DA3"/>
    <w:rsid w:val="00DB536B"/>
    <w:rsid w:val="00DB553D"/>
    <w:rsid w:val="00DB5AAD"/>
    <w:rsid w:val="00DB5BBF"/>
    <w:rsid w:val="00DB5E96"/>
    <w:rsid w:val="00DB6047"/>
    <w:rsid w:val="00DB625A"/>
    <w:rsid w:val="00DB6566"/>
    <w:rsid w:val="00DB6761"/>
    <w:rsid w:val="00DB6998"/>
    <w:rsid w:val="00DB6AA6"/>
    <w:rsid w:val="00DB6BA2"/>
    <w:rsid w:val="00DB6FA4"/>
    <w:rsid w:val="00DB72A2"/>
    <w:rsid w:val="00DB72C8"/>
    <w:rsid w:val="00DB763B"/>
    <w:rsid w:val="00DB7736"/>
    <w:rsid w:val="00DC03E9"/>
    <w:rsid w:val="00DC0A76"/>
    <w:rsid w:val="00DC0B2E"/>
    <w:rsid w:val="00DC0BC3"/>
    <w:rsid w:val="00DC12BC"/>
    <w:rsid w:val="00DC1819"/>
    <w:rsid w:val="00DC1867"/>
    <w:rsid w:val="00DC1901"/>
    <w:rsid w:val="00DC1DF9"/>
    <w:rsid w:val="00DC1E4A"/>
    <w:rsid w:val="00DC1EAE"/>
    <w:rsid w:val="00DC1FED"/>
    <w:rsid w:val="00DC22BD"/>
    <w:rsid w:val="00DC258A"/>
    <w:rsid w:val="00DC26AC"/>
    <w:rsid w:val="00DC3696"/>
    <w:rsid w:val="00DC36D7"/>
    <w:rsid w:val="00DC36EA"/>
    <w:rsid w:val="00DC39E7"/>
    <w:rsid w:val="00DC3BCF"/>
    <w:rsid w:val="00DC4157"/>
    <w:rsid w:val="00DC4300"/>
    <w:rsid w:val="00DC4697"/>
    <w:rsid w:val="00DC48EA"/>
    <w:rsid w:val="00DC556A"/>
    <w:rsid w:val="00DC55D9"/>
    <w:rsid w:val="00DC695B"/>
    <w:rsid w:val="00DC699B"/>
    <w:rsid w:val="00DC757B"/>
    <w:rsid w:val="00DC77D7"/>
    <w:rsid w:val="00DC795A"/>
    <w:rsid w:val="00DD00E6"/>
    <w:rsid w:val="00DD0DC8"/>
    <w:rsid w:val="00DD1388"/>
    <w:rsid w:val="00DD1613"/>
    <w:rsid w:val="00DD17F9"/>
    <w:rsid w:val="00DD1E2A"/>
    <w:rsid w:val="00DD24B5"/>
    <w:rsid w:val="00DD2921"/>
    <w:rsid w:val="00DD2ABD"/>
    <w:rsid w:val="00DD2B53"/>
    <w:rsid w:val="00DD2F8D"/>
    <w:rsid w:val="00DD325D"/>
    <w:rsid w:val="00DD3ABE"/>
    <w:rsid w:val="00DD4BBA"/>
    <w:rsid w:val="00DD4C0D"/>
    <w:rsid w:val="00DD50C0"/>
    <w:rsid w:val="00DD5101"/>
    <w:rsid w:val="00DD57FC"/>
    <w:rsid w:val="00DD58AD"/>
    <w:rsid w:val="00DD60A8"/>
    <w:rsid w:val="00DD63E5"/>
    <w:rsid w:val="00DD66A7"/>
    <w:rsid w:val="00DD7693"/>
    <w:rsid w:val="00DD79FA"/>
    <w:rsid w:val="00DD7D55"/>
    <w:rsid w:val="00DD7D86"/>
    <w:rsid w:val="00DE0800"/>
    <w:rsid w:val="00DE18E1"/>
    <w:rsid w:val="00DE1948"/>
    <w:rsid w:val="00DE1975"/>
    <w:rsid w:val="00DE2696"/>
    <w:rsid w:val="00DE2AB2"/>
    <w:rsid w:val="00DE2C5A"/>
    <w:rsid w:val="00DE2F10"/>
    <w:rsid w:val="00DE3608"/>
    <w:rsid w:val="00DE3776"/>
    <w:rsid w:val="00DE4128"/>
    <w:rsid w:val="00DE438F"/>
    <w:rsid w:val="00DE49EA"/>
    <w:rsid w:val="00DE512F"/>
    <w:rsid w:val="00DE59CA"/>
    <w:rsid w:val="00DE6781"/>
    <w:rsid w:val="00DE6BE7"/>
    <w:rsid w:val="00DE6F97"/>
    <w:rsid w:val="00DE71F0"/>
    <w:rsid w:val="00DE7980"/>
    <w:rsid w:val="00DE7A29"/>
    <w:rsid w:val="00DE7DA6"/>
    <w:rsid w:val="00DF0060"/>
    <w:rsid w:val="00DF0901"/>
    <w:rsid w:val="00DF1054"/>
    <w:rsid w:val="00DF1E76"/>
    <w:rsid w:val="00DF24FD"/>
    <w:rsid w:val="00DF2CCB"/>
    <w:rsid w:val="00DF39C1"/>
    <w:rsid w:val="00DF4C18"/>
    <w:rsid w:val="00DF539E"/>
    <w:rsid w:val="00DF5924"/>
    <w:rsid w:val="00DF5C7B"/>
    <w:rsid w:val="00DF60DA"/>
    <w:rsid w:val="00DF6342"/>
    <w:rsid w:val="00DF6419"/>
    <w:rsid w:val="00DF662D"/>
    <w:rsid w:val="00DF6A05"/>
    <w:rsid w:val="00DF6D7B"/>
    <w:rsid w:val="00DF6FF5"/>
    <w:rsid w:val="00DF7120"/>
    <w:rsid w:val="00DF725C"/>
    <w:rsid w:val="00DF72F9"/>
    <w:rsid w:val="00DF750D"/>
    <w:rsid w:val="00DF773D"/>
    <w:rsid w:val="00DF7D8A"/>
    <w:rsid w:val="00E0054A"/>
    <w:rsid w:val="00E0059F"/>
    <w:rsid w:val="00E007F5"/>
    <w:rsid w:val="00E00D20"/>
    <w:rsid w:val="00E00E9E"/>
    <w:rsid w:val="00E02D4B"/>
    <w:rsid w:val="00E02DA6"/>
    <w:rsid w:val="00E03040"/>
    <w:rsid w:val="00E03653"/>
    <w:rsid w:val="00E037A0"/>
    <w:rsid w:val="00E04723"/>
    <w:rsid w:val="00E04778"/>
    <w:rsid w:val="00E04E24"/>
    <w:rsid w:val="00E04EA8"/>
    <w:rsid w:val="00E05A14"/>
    <w:rsid w:val="00E06489"/>
    <w:rsid w:val="00E06561"/>
    <w:rsid w:val="00E06A08"/>
    <w:rsid w:val="00E06D23"/>
    <w:rsid w:val="00E07453"/>
    <w:rsid w:val="00E07B1C"/>
    <w:rsid w:val="00E10190"/>
    <w:rsid w:val="00E105DC"/>
    <w:rsid w:val="00E10898"/>
    <w:rsid w:val="00E109B7"/>
    <w:rsid w:val="00E109C5"/>
    <w:rsid w:val="00E10F28"/>
    <w:rsid w:val="00E12695"/>
    <w:rsid w:val="00E12D15"/>
    <w:rsid w:val="00E13520"/>
    <w:rsid w:val="00E137B5"/>
    <w:rsid w:val="00E138A9"/>
    <w:rsid w:val="00E13BC5"/>
    <w:rsid w:val="00E14193"/>
    <w:rsid w:val="00E14B11"/>
    <w:rsid w:val="00E14DAE"/>
    <w:rsid w:val="00E14E99"/>
    <w:rsid w:val="00E159CD"/>
    <w:rsid w:val="00E15A55"/>
    <w:rsid w:val="00E161F0"/>
    <w:rsid w:val="00E161FF"/>
    <w:rsid w:val="00E166E9"/>
    <w:rsid w:val="00E16A6F"/>
    <w:rsid w:val="00E16F53"/>
    <w:rsid w:val="00E17451"/>
    <w:rsid w:val="00E17978"/>
    <w:rsid w:val="00E17D9C"/>
    <w:rsid w:val="00E20230"/>
    <w:rsid w:val="00E20955"/>
    <w:rsid w:val="00E20B7C"/>
    <w:rsid w:val="00E21AC2"/>
    <w:rsid w:val="00E21BF4"/>
    <w:rsid w:val="00E224D8"/>
    <w:rsid w:val="00E227A6"/>
    <w:rsid w:val="00E229B7"/>
    <w:rsid w:val="00E22F9C"/>
    <w:rsid w:val="00E22FA3"/>
    <w:rsid w:val="00E23308"/>
    <w:rsid w:val="00E23675"/>
    <w:rsid w:val="00E236D6"/>
    <w:rsid w:val="00E237EF"/>
    <w:rsid w:val="00E23934"/>
    <w:rsid w:val="00E23CA9"/>
    <w:rsid w:val="00E24784"/>
    <w:rsid w:val="00E249EC"/>
    <w:rsid w:val="00E24EA6"/>
    <w:rsid w:val="00E24F91"/>
    <w:rsid w:val="00E252BE"/>
    <w:rsid w:val="00E2587C"/>
    <w:rsid w:val="00E259BB"/>
    <w:rsid w:val="00E25CEE"/>
    <w:rsid w:val="00E25E7B"/>
    <w:rsid w:val="00E262DC"/>
    <w:rsid w:val="00E263EE"/>
    <w:rsid w:val="00E265FA"/>
    <w:rsid w:val="00E26741"/>
    <w:rsid w:val="00E269B8"/>
    <w:rsid w:val="00E26C70"/>
    <w:rsid w:val="00E273C1"/>
    <w:rsid w:val="00E27711"/>
    <w:rsid w:val="00E300E4"/>
    <w:rsid w:val="00E3057D"/>
    <w:rsid w:val="00E305AC"/>
    <w:rsid w:val="00E30822"/>
    <w:rsid w:val="00E309AD"/>
    <w:rsid w:val="00E3109A"/>
    <w:rsid w:val="00E3136F"/>
    <w:rsid w:val="00E31831"/>
    <w:rsid w:val="00E31A9E"/>
    <w:rsid w:val="00E32092"/>
    <w:rsid w:val="00E32AA2"/>
    <w:rsid w:val="00E32B20"/>
    <w:rsid w:val="00E335D5"/>
    <w:rsid w:val="00E33664"/>
    <w:rsid w:val="00E33761"/>
    <w:rsid w:val="00E33B9A"/>
    <w:rsid w:val="00E33E6F"/>
    <w:rsid w:val="00E33F76"/>
    <w:rsid w:val="00E34368"/>
    <w:rsid w:val="00E34782"/>
    <w:rsid w:val="00E34F3F"/>
    <w:rsid w:val="00E34F73"/>
    <w:rsid w:val="00E35039"/>
    <w:rsid w:val="00E3524E"/>
    <w:rsid w:val="00E3621F"/>
    <w:rsid w:val="00E36251"/>
    <w:rsid w:val="00E36362"/>
    <w:rsid w:val="00E369DD"/>
    <w:rsid w:val="00E37246"/>
    <w:rsid w:val="00E3789D"/>
    <w:rsid w:val="00E37E66"/>
    <w:rsid w:val="00E37E79"/>
    <w:rsid w:val="00E400C0"/>
    <w:rsid w:val="00E403BE"/>
    <w:rsid w:val="00E40771"/>
    <w:rsid w:val="00E40AB7"/>
    <w:rsid w:val="00E40D81"/>
    <w:rsid w:val="00E418BB"/>
    <w:rsid w:val="00E418D5"/>
    <w:rsid w:val="00E41A3F"/>
    <w:rsid w:val="00E4248E"/>
    <w:rsid w:val="00E4254A"/>
    <w:rsid w:val="00E42756"/>
    <w:rsid w:val="00E42A90"/>
    <w:rsid w:val="00E42C35"/>
    <w:rsid w:val="00E42C5F"/>
    <w:rsid w:val="00E42DDC"/>
    <w:rsid w:val="00E42F52"/>
    <w:rsid w:val="00E4340A"/>
    <w:rsid w:val="00E43C9E"/>
    <w:rsid w:val="00E44215"/>
    <w:rsid w:val="00E445AA"/>
    <w:rsid w:val="00E44692"/>
    <w:rsid w:val="00E44A04"/>
    <w:rsid w:val="00E454E6"/>
    <w:rsid w:val="00E45654"/>
    <w:rsid w:val="00E459DD"/>
    <w:rsid w:val="00E465BC"/>
    <w:rsid w:val="00E46797"/>
    <w:rsid w:val="00E47322"/>
    <w:rsid w:val="00E47323"/>
    <w:rsid w:val="00E47658"/>
    <w:rsid w:val="00E503CA"/>
    <w:rsid w:val="00E50C2A"/>
    <w:rsid w:val="00E50F03"/>
    <w:rsid w:val="00E51E16"/>
    <w:rsid w:val="00E5204F"/>
    <w:rsid w:val="00E521BB"/>
    <w:rsid w:val="00E5230D"/>
    <w:rsid w:val="00E523C8"/>
    <w:rsid w:val="00E52698"/>
    <w:rsid w:val="00E52DC3"/>
    <w:rsid w:val="00E53065"/>
    <w:rsid w:val="00E531E0"/>
    <w:rsid w:val="00E53535"/>
    <w:rsid w:val="00E54396"/>
    <w:rsid w:val="00E54AE6"/>
    <w:rsid w:val="00E55886"/>
    <w:rsid w:val="00E55BF8"/>
    <w:rsid w:val="00E55C7E"/>
    <w:rsid w:val="00E55C8E"/>
    <w:rsid w:val="00E55CB7"/>
    <w:rsid w:val="00E56354"/>
    <w:rsid w:val="00E5682C"/>
    <w:rsid w:val="00E56A71"/>
    <w:rsid w:val="00E56AEC"/>
    <w:rsid w:val="00E57271"/>
    <w:rsid w:val="00E57A7C"/>
    <w:rsid w:val="00E57DEB"/>
    <w:rsid w:val="00E606D7"/>
    <w:rsid w:val="00E60881"/>
    <w:rsid w:val="00E60D5C"/>
    <w:rsid w:val="00E61277"/>
    <w:rsid w:val="00E61430"/>
    <w:rsid w:val="00E61699"/>
    <w:rsid w:val="00E61885"/>
    <w:rsid w:val="00E618CD"/>
    <w:rsid w:val="00E61D6A"/>
    <w:rsid w:val="00E61DA6"/>
    <w:rsid w:val="00E61F35"/>
    <w:rsid w:val="00E6213F"/>
    <w:rsid w:val="00E62324"/>
    <w:rsid w:val="00E62803"/>
    <w:rsid w:val="00E62831"/>
    <w:rsid w:val="00E62C1F"/>
    <w:rsid w:val="00E63379"/>
    <w:rsid w:val="00E63723"/>
    <w:rsid w:val="00E6393C"/>
    <w:rsid w:val="00E63B02"/>
    <w:rsid w:val="00E63D33"/>
    <w:rsid w:val="00E63D97"/>
    <w:rsid w:val="00E63F8B"/>
    <w:rsid w:val="00E641B4"/>
    <w:rsid w:val="00E645CC"/>
    <w:rsid w:val="00E64617"/>
    <w:rsid w:val="00E64636"/>
    <w:rsid w:val="00E64B43"/>
    <w:rsid w:val="00E64FC9"/>
    <w:rsid w:val="00E6586C"/>
    <w:rsid w:val="00E66916"/>
    <w:rsid w:val="00E6699F"/>
    <w:rsid w:val="00E669EA"/>
    <w:rsid w:val="00E67118"/>
    <w:rsid w:val="00E672C3"/>
    <w:rsid w:val="00E6746D"/>
    <w:rsid w:val="00E675B7"/>
    <w:rsid w:val="00E678D9"/>
    <w:rsid w:val="00E67E47"/>
    <w:rsid w:val="00E67FCE"/>
    <w:rsid w:val="00E700C7"/>
    <w:rsid w:val="00E70615"/>
    <w:rsid w:val="00E708D5"/>
    <w:rsid w:val="00E70E71"/>
    <w:rsid w:val="00E70EEA"/>
    <w:rsid w:val="00E71070"/>
    <w:rsid w:val="00E711A1"/>
    <w:rsid w:val="00E71949"/>
    <w:rsid w:val="00E720A4"/>
    <w:rsid w:val="00E726FC"/>
    <w:rsid w:val="00E72797"/>
    <w:rsid w:val="00E72A05"/>
    <w:rsid w:val="00E72E45"/>
    <w:rsid w:val="00E72FEB"/>
    <w:rsid w:val="00E735BD"/>
    <w:rsid w:val="00E740BE"/>
    <w:rsid w:val="00E7427B"/>
    <w:rsid w:val="00E74481"/>
    <w:rsid w:val="00E75186"/>
    <w:rsid w:val="00E75281"/>
    <w:rsid w:val="00E757DE"/>
    <w:rsid w:val="00E75D0F"/>
    <w:rsid w:val="00E75EAE"/>
    <w:rsid w:val="00E7658A"/>
    <w:rsid w:val="00E76819"/>
    <w:rsid w:val="00E7691B"/>
    <w:rsid w:val="00E76F6C"/>
    <w:rsid w:val="00E7722C"/>
    <w:rsid w:val="00E77C56"/>
    <w:rsid w:val="00E77DD4"/>
    <w:rsid w:val="00E77E3A"/>
    <w:rsid w:val="00E77F85"/>
    <w:rsid w:val="00E80273"/>
    <w:rsid w:val="00E80461"/>
    <w:rsid w:val="00E80527"/>
    <w:rsid w:val="00E806F9"/>
    <w:rsid w:val="00E80997"/>
    <w:rsid w:val="00E809FE"/>
    <w:rsid w:val="00E80B9F"/>
    <w:rsid w:val="00E80D86"/>
    <w:rsid w:val="00E80E64"/>
    <w:rsid w:val="00E8113A"/>
    <w:rsid w:val="00E81DB9"/>
    <w:rsid w:val="00E820C0"/>
    <w:rsid w:val="00E82993"/>
    <w:rsid w:val="00E82FFC"/>
    <w:rsid w:val="00E834E2"/>
    <w:rsid w:val="00E835DE"/>
    <w:rsid w:val="00E839D4"/>
    <w:rsid w:val="00E839EF"/>
    <w:rsid w:val="00E84056"/>
    <w:rsid w:val="00E840CF"/>
    <w:rsid w:val="00E84499"/>
    <w:rsid w:val="00E844DB"/>
    <w:rsid w:val="00E845A9"/>
    <w:rsid w:val="00E8461E"/>
    <w:rsid w:val="00E848AA"/>
    <w:rsid w:val="00E85213"/>
    <w:rsid w:val="00E854FF"/>
    <w:rsid w:val="00E8563A"/>
    <w:rsid w:val="00E85696"/>
    <w:rsid w:val="00E86BF2"/>
    <w:rsid w:val="00E86C53"/>
    <w:rsid w:val="00E86FAF"/>
    <w:rsid w:val="00E8764B"/>
    <w:rsid w:val="00E8795D"/>
    <w:rsid w:val="00E905A0"/>
    <w:rsid w:val="00E907E8"/>
    <w:rsid w:val="00E90DBE"/>
    <w:rsid w:val="00E9118E"/>
    <w:rsid w:val="00E91305"/>
    <w:rsid w:val="00E916CC"/>
    <w:rsid w:val="00E92093"/>
    <w:rsid w:val="00E921BF"/>
    <w:rsid w:val="00E929CA"/>
    <w:rsid w:val="00E92A8F"/>
    <w:rsid w:val="00E92ADA"/>
    <w:rsid w:val="00E92C36"/>
    <w:rsid w:val="00E92C68"/>
    <w:rsid w:val="00E93167"/>
    <w:rsid w:val="00E93E86"/>
    <w:rsid w:val="00E93EA6"/>
    <w:rsid w:val="00E949E2"/>
    <w:rsid w:val="00E95102"/>
    <w:rsid w:val="00E95138"/>
    <w:rsid w:val="00E953CB"/>
    <w:rsid w:val="00E959D6"/>
    <w:rsid w:val="00E968DB"/>
    <w:rsid w:val="00E96993"/>
    <w:rsid w:val="00E972FC"/>
    <w:rsid w:val="00E973B0"/>
    <w:rsid w:val="00E9743C"/>
    <w:rsid w:val="00E974FC"/>
    <w:rsid w:val="00E975F5"/>
    <w:rsid w:val="00E97613"/>
    <w:rsid w:val="00E9784C"/>
    <w:rsid w:val="00EA0964"/>
    <w:rsid w:val="00EA0A06"/>
    <w:rsid w:val="00EA0FED"/>
    <w:rsid w:val="00EA12AA"/>
    <w:rsid w:val="00EA1511"/>
    <w:rsid w:val="00EA153E"/>
    <w:rsid w:val="00EA1673"/>
    <w:rsid w:val="00EA23A8"/>
    <w:rsid w:val="00EA278E"/>
    <w:rsid w:val="00EA286E"/>
    <w:rsid w:val="00EA2972"/>
    <w:rsid w:val="00EA2EA3"/>
    <w:rsid w:val="00EA325A"/>
    <w:rsid w:val="00EA41CC"/>
    <w:rsid w:val="00EA44B4"/>
    <w:rsid w:val="00EA460F"/>
    <w:rsid w:val="00EA4C57"/>
    <w:rsid w:val="00EA5705"/>
    <w:rsid w:val="00EA59E1"/>
    <w:rsid w:val="00EA5D47"/>
    <w:rsid w:val="00EA5DF1"/>
    <w:rsid w:val="00EA60D5"/>
    <w:rsid w:val="00EA65E5"/>
    <w:rsid w:val="00EA666D"/>
    <w:rsid w:val="00EA6858"/>
    <w:rsid w:val="00EA6CA1"/>
    <w:rsid w:val="00EA7508"/>
    <w:rsid w:val="00EA7C1F"/>
    <w:rsid w:val="00EA7C43"/>
    <w:rsid w:val="00EA7C4F"/>
    <w:rsid w:val="00EA7D75"/>
    <w:rsid w:val="00EA7E15"/>
    <w:rsid w:val="00EB05FA"/>
    <w:rsid w:val="00EB0797"/>
    <w:rsid w:val="00EB0847"/>
    <w:rsid w:val="00EB0E3E"/>
    <w:rsid w:val="00EB0F2A"/>
    <w:rsid w:val="00EB12FB"/>
    <w:rsid w:val="00EB2156"/>
    <w:rsid w:val="00EB25F3"/>
    <w:rsid w:val="00EB26B1"/>
    <w:rsid w:val="00EB30F9"/>
    <w:rsid w:val="00EB3A9A"/>
    <w:rsid w:val="00EB427B"/>
    <w:rsid w:val="00EB436D"/>
    <w:rsid w:val="00EB48D7"/>
    <w:rsid w:val="00EB4B6E"/>
    <w:rsid w:val="00EB5406"/>
    <w:rsid w:val="00EB5564"/>
    <w:rsid w:val="00EB5594"/>
    <w:rsid w:val="00EB5A12"/>
    <w:rsid w:val="00EB5B57"/>
    <w:rsid w:val="00EB5B70"/>
    <w:rsid w:val="00EB5DD9"/>
    <w:rsid w:val="00EB651B"/>
    <w:rsid w:val="00EB6601"/>
    <w:rsid w:val="00EB68D3"/>
    <w:rsid w:val="00EB736F"/>
    <w:rsid w:val="00EB7C33"/>
    <w:rsid w:val="00EB7D5F"/>
    <w:rsid w:val="00EB7F14"/>
    <w:rsid w:val="00EB7F9C"/>
    <w:rsid w:val="00EC02E6"/>
    <w:rsid w:val="00EC05D5"/>
    <w:rsid w:val="00EC07AB"/>
    <w:rsid w:val="00EC0B7F"/>
    <w:rsid w:val="00EC1143"/>
    <w:rsid w:val="00EC155B"/>
    <w:rsid w:val="00EC16A9"/>
    <w:rsid w:val="00EC1783"/>
    <w:rsid w:val="00EC1E14"/>
    <w:rsid w:val="00EC20CA"/>
    <w:rsid w:val="00EC22DB"/>
    <w:rsid w:val="00EC25C8"/>
    <w:rsid w:val="00EC2B66"/>
    <w:rsid w:val="00EC2B72"/>
    <w:rsid w:val="00EC32AD"/>
    <w:rsid w:val="00EC34C1"/>
    <w:rsid w:val="00EC3971"/>
    <w:rsid w:val="00EC3A6D"/>
    <w:rsid w:val="00EC3D9E"/>
    <w:rsid w:val="00EC3E3A"/>
    <w:rsid w:val="00EC4026"/>
    <w:rsid w:val="00EC40B3"/>
    <w:rsid w:val="00EC434E"/>
    <w:rsid w:val="00EC483D"/>
    <w:rsid w:val="00EC49EA"/>
    <w:rsid w:val="00EC53A3"/>
    <w:rsid w:val="00EC542D"/>
    <w:rsid w:val="00EC56E1"/>
    <w:rsid w:val="00EC61E9"/>
    <w:rsid w:val="00EC6278"/>
    <w:rsid w:val="00EC6552"/>
    <w:rsid w:val="00EC6F4E"/>
    <w:rsid w:val="00EC7029"/>
    <w:rsid w:val="00EC76AF"/>
    <w:rsid w:val="00EC78F9"/>
    <w:rsid w:val="00EC7A13"/>
    <w:rsid w:val="00EC7DCC"/>
    <w:rsid w:val="00EC7E01"/>
    <w:rsid w:val="00ED0479"/>
    <w:rsid w:val="00ED0953"/>
    <w:rsid w:val="00ED0B62"/>
    <w:rsid w:val="00ED1267"/>
    <w:rsid w:val="00ED149D"/>
    <w:rsid w:val="00ED16C1"/>
    <w:rsid w:val="00ED1E11"/>
    <w:rsid w:val="00ED265E"/>
    <w:rsid w:val="00ED2C97"/>
    <w:rsid w:val="00ED301D"/>
    <w:rsid w:val="00ED38A9"/>
    <w:rsid w:val="00ED3A36"/>
    <w:rsid w:val="00ED3DBD"/>
    <w:rsid w:val="00ED40CE"/>
    <w:rsid w:val="00ED421A"/>
    <w:rsid w:val="00ED521D"/>
    <w:rsid w:val="00ED5516"/>
    <w:rsid w:val="00ED5AF9"/>
    <w:rsid w:val="00ED5B1B"/>
    <w:rsid w:val="00ED6452"/>
    <w:rsid w:val="00ED6BF9"/>
    <w:rsid w:val="00ED6F11"/>
    <w:rsid w:val="00ED70A8"/>
    <w:rsid w:val="00ED7114"/>
    <w:rsid w:val="00ED7455"/>
    <w:rsid w:val="00ED7484"/>
    <w:rsid w:val="00ED7C17"/>
    <w:rsid w:val="00EE02CD"/>
    <w:rsid w:val="00EE0D99"/>
    <w:rsid w:val="00EE0DAE"/>
    <w:rsid w:val="00EE0FB2"/>
    <w:rsid w:val="00EE10AB"/>
    <w:rsid w:val="00EE1107"/>
    <w:rsid w:val="00EE110D"/>
    <w:rsid w:val="00EE130D"/>
    <w:rsid w:val="00EE1558"/>
    <w:rsid w:val="00EE1A20"/>
    <w:rsid w:val="00EE1AF4"/>
    <w:rsid w:val="00EE2234"/>
    <w:rsid w:val="00EE239A"/>
    <w:rsid w:val="00EE23C1"/>
    <w:rsid w:val="00EE34FE"/>
    <w:rsid w:val="00EE3671"/>
    <w:rsid w:val="00EE3C6E"/>
    <w:rsid w:val="00EE3E09"/>
    <w:rsid w:val="00EE40C4"/>
    <w:rsid w:val="00EE4174"/>
    <w:rsid w:val="00EE46DD"/>
    <w:rsid w:val="00EE4AC7"/>
    <w:rsid w:val="00EE5337"/>
    <w:rsid w:val="00EE5B83"/>
    <w:rsid w:val="00EE5EAD"/>
    <w:rsid w:val="00EE6E5D"/>
    <w:rsid w:val="00EE726D"/>
    <w:rsid w:val="00EE76F3"/>
    <w:rsid w:val="00EE7F53"/>
    <w:rsid w:val="00EE7FA8"/>
    <w:rsid w:val="00EF009B"/>
    <w:rsid w:val="00EF056D"/>
    <w:rsid w:val="00EF0657"/>
    <w:rsid w:val="00EF0D59"/>
    <w:rsid w:val="00EF0F92"/>
    <w:rsid w:val="00EF0FAC"/>
    <w:rsid w:val="00EF184F"/>
    <w:rsid w:val="00EF1873"/>
    <w:rsid w:val="00EF1D85"/>
    <w:rsid w:val="00EF1FF6"/>
    <w:rsid w:val="00EF2008"/>
    <w:rsid w:val="00EF23DC"/>
    <w:rsid w:val="00EF282E"/>
    <w:rsid w:val="00EF2B83"/>
    <w:rsid w:val="00EF3046"/>
    <w:rsid w:val="00EF3572"/>
    <w:rsid w:val="00EF470A"/>
    <w:rsid w:val="00EF4BAF"/>
    <w:rsid w:val="00EF5749"/>
    <w:rsid w:val="00EF58D5"/>
    <w:rsid w:val="00EF5EDF"/>
    <w:rsid w:val="00EF641C"/>
    <w:rsid w:val="00EF6CEF"/>
    <w:rsid w:val="00EF70EF"/>
    <w:rsid w:val="00EF7822"/>
    <w:rsid w:val="00EF7DAF"/>
    <w:rsid w:val="00F00012"/>
    <w:rsid w:val="00F0020A"/>
    <w:rsid w:val="00F00359"/>
    <w:rsid w:val="00F0045A"/>
    <w:rsid w:val="00F00691"/>
    <w:rsid w:val="00F0071B"/>
    <w:rsid w:val="00F0096C"/>
    <w:rsid w:val="00F00B45"/>
    <w:rsid w:val="00F016A7"/>
    <w:rsid w:val="00F01876"/>
    <w:rsid w:val="00F01A1F"/>
    <w:rsid w:val="00F01B9F"/>
    <w:rsid w:val="00F01DF5"/>
    <w:rsid w:val="00F01F59"/>
    <w:rsid w:val="00F020D3"/>
    <w:rsid w:val="00F02592"/>
    <w:rsid w:val="00F0291C"/>
    <w:rsid w:val="00F02F57"/>
    <w:rsid w:val="00F02F7E"/>
    <w:rsid w:val="00F0316C"/>
    <w:rsid w:val="00F03749"/>
    <w:rsid w:val="00F03791"/>
    <w:rsid w:val="00F0472C"/>
    <w:rsid w:val="00F04DB8"/>
    <w:rsid w:val="00F054BB"/>
    <w:rsid w:val="00F056F3"/>
    <w:rsid w:val="00F05A35"/>
    <w:rsid w:val="00F05C64"/>
    <w:rsid w:val="00F061DA"/>
    <w:rsid w:val="00F062A0"/>
    <w:rsid w:val="00F07481"/>
    <w:rsid w:val="00F10714"/>
    <w:rsid w:val="00F115D4"/>
    <w:rsid w:val="00F116A5"/>
    <w:rsid w:val="00F11AF1"/>
    <w:rsid w:val="00F11C75"/>
    <w:rsid w:val="00F121C9"/>
    <w:rsid w:val="00F12A2D"/>
    <w:rsid w:val="00F12A30"/>
    <w:rsid w:val="00F12CFD"/>
    <w:rsid w:val="00F1309D"/>
    <w:rsid w:val="00F131B8"/>
    <w:rsid w:val="00F1323B"/>
    <w:rsid w:val="00F13376"/>
    <w:rsid w:val="00F138D6"/>
    <w:rsid w:val="00F13DBB"/>
    <w:rsid w:val="00F13F00"/>
    <w:rsid w:val="00F142D2"/>
    <w:rsid w:val="00F1443A"/>
    <w:rsid w:val="00F1443E"/>
    <w:rsid w:val="00F149E9"/>
    <w:rsid w:val="00F14B55"/>
    <w:rsid w:val="00F14B89"/>
    <w:rsid w:val="00F14E5E"/>
    <w:rsid w:val="00F14F0B"/>
    <w:rsid w:val="00F152A4"/>
    <w:rsid w:val="00F1561E"/>
    <w:rsid w:val="00F1565C"/>
    <w:rsid w:val="00F15F17"/>
    <w:rsid w:val="00F16425"/>
    <w:rsid w:val="00F16496"/>
    <w:rsid w:val="00F16C67"/>
    <w:rsid w:val="00F16D62"/>
    <w:rsid w:val="00F16E88"/>
    <w:rsid w:val="00F16F7E"/>
    <w:rsid w:val="00F17504"/>
    <w:rsid w:val="00F1763D"/>
    <w:rsid w:val="00F1798A"/>
    <w:rsid w:val="00F17A16"/>
    <w:rsid w:val="00F17BC0"/>
    <w:rsid w:val="00F17CAC"/>
    <w:rsid w:val="00F17FE7"/>
    <w:rsid w:val="00F20503"/>
    <w:rsid w:val="00F20B51"/>
    <w:rsid w:val="00F210D8"/>
    <w:rsid w:val="00F21455"/>
    <w:rsid w:val="00F21D81"/>
    <w:rsid w:val="00F22154"/>
    <w:rsid w:val="00F221F4"/>
    <w:rsid w:val="00F2249A"/>
    <w:rsid w:val="00F22783"/>
    <w:rsid w:val="00F228B9"/>
    <w:rsid w:val="00F22A5A"/>
    <w:rsid w:val="00F22E57"/>
    <w:rsid w:val="00F236AB"/>
    <w:rsid w:val="00F237F1"/>
    <w:rsid w:val="00F23CF7"/>
    <w:rsid w:val="00F2446F"/>
    <w:rsid w:val="00F247B2"/>
    <w:rsid w:val="00F253EF"/>
    <w:rsid w:val="00F2622A"/>
    <w:rsid w:val="00F26388"/>
    <w:rsid w:val="00F26701"/>
    <w:rsid w:val="00F26B28"/>
    <w:rsid w:val="00F274F5"/>
    <w:rsid w:val="00F27A32"/>
    <w:rsid w:val="00F27A73"/>
    <w:rsid w:val="00F27F4A"/>
    <w:rsid w:val="00F30403"/>
    <w:rsid w:val="00F30457"/>
    <w:rsid w:val="00F30775"/>
    <w:rsid w:val="00F30876"/>
    <w:rsid w:val="00F30BA2"/>
    <w:rsid w:val="00F30BB1"/>
    <w:rsid w:val="00F31325"/>
    <w:rsid w:val="00F3163C"/>
    <w:rsid w:val="00F3186A"/>
    <w:rsid w:val="00F31935"/>
    <w:rsid w:val="00F31C32"/>
    <w:rsid w:val="00F31E06"/>
    <w:rsid w:val="00F3242A"/>
    <w:rsid w:val="00F3242B"/>
    <w:rsid w:val="00F32497"/>
    <w:rsid w:val="00F3330E"/>
    <w:rsid w:val="00F33333"/>
    <w:rsid w:val="00F33373"/>
    <w:rsid w:val="00F33871"/>
    <w:rsid w:val="00F33C1E"/>
    <w:rsid w:val="00F34029"/>
    <w:rsid w:val="00F341A9"/>
    <w:rsid w:val="00F3485D"/>
    <w:rsid w:val="00F35360"/>
    <w:rsid w:val="00F353D5"/>
    <w:rsid w:val="00F36B0A"/>
    <w:rsid w:val="00F37001"/>
    <w:rsid w:val="00F3770E"/>
    <w:rsid w:val="00F377D5"/>
    <w:rsid w:val="00F37855"/>
    <w:rsid w:val="00F37A19"/>
    <w:rsid w:val="00F4034A"/>
    <w:rsid w:val="00F40455"/>
    <w:rsid w:val="00F4052A"/>
    <w:rsid w:val="00F4066D"/>
    <w:rsid w:val="00F40A3F"/>
    <w:rsid w:val="00F40B93"/>
    <w:rsid w:val="00F40FF2"/>
    <w:rsid w:val="00F4163D"/>
    <w:rsid w:val="00F41754"/>
    <w:rsid w:val="00F41C1A"/>
    <w:rsid w:val="00F41E18"/>
    <w:rsid w:val="00F42087"/>
    <w:rsid w:val="00F42136"/>
    <w:rsid w:val="00F42DE4"/>
    <w:rsid w:val="00F42E01"/>
    <w:rsid w:val="00F4314A"/>
    <w:rsid w:val="00F44143"/>
    <w:rsid w:val="00F441B5"/>
    <w:rsid w:val="00F44206"/>
    <w:rsid w:val="00F4465E"/>
    <w:rsid w:val="00F4477E"/>
    <w:rsid w:val="00F448B2"/>
    <w:rsid w:val="00F4542C"/>
    <w:rsid w:val="00F45EF2"/>
    <w:rsid w:val="00F45FEC"/>
    <w:rsid w:val="00F46202"/>
    <w:rsid w:val="00F463BF"/>
    <w:rsid w:val="00F46884"/>
    <w:rsid w:val="00F46CC1"/>
    <w:rsid w:val="00F47274"/>
    <w:rsid w:val="00F47393"/>
    <w:rsid w:val="00F473CC"/>
    <w:rsid w:val="00F47A34"/>
    <w:rsid w:val="00F47B40"/>
    <w:rsid w:val="00F47CF0"/>
    <w:rsid w:val="00F47D70"/>
    <w:rsid w:val="00F500E1"/>
    <w:rsid w:val="00F50305"/>
    <w:rsid w:val="00F50565"/>
    <w:rsid w:val="00F5056A"/>
    <w:rsid w:val="00F50E9A"/>
    <w:rsid w:val="00F5124E"/>
    <w:rsid w:val="00F51401"/>
    <w:rsid w:val="00F514A4"/>
    <w:rsid w:val="00F518BC"/>
    <w:rsid w:val="00F51C6B"/>
    <w:rsid w:val="00F51D1A"/>
    <w:rsid w:val="00F51E63"/>
    <w:rsid w:val="00F52285"/>
    <w:rsid w:val="00F523DF"/>
    <w:rsid w:val="00F52569"/>
    <w:rsid w:val="00F536D7"/>
    <w:rsid w:val="00F53852"/>
    <w:rsid w:val="00F53970"/>
    <w:rsid w:val="00F5440D"/>
    <w:rsid w:val="00F54595"/>
    <w:rsid w:val="00F549BB"/>
    <w:rsid w:val="00F54C01"/>
    <w:rsid w:val="00F551D0"/>
    <w:rsid w:val="00F55201"/>
    <w:rsid w:val="00F55409"/>
    <w:rsid w:val="00F55418"/>
    <w:rsid w:val="00F55A9B"/>
    <w:rsid w:val="00F55C24"/>
    <w:rsid w:val="00F55FA8"/>
    <w:rsid w:val="00F5609D"/>
    <w:rsid w:val="00F5653A"/>
    <w:rsid w:val="00F567FF"/>
    <w:rsid w:val="00F57340"/>
    <w:rsid w:val="00F573E5"/>
    <w:rsid w:val="00F57638"/>
    <w:rsid w:val="00F578E2"/>
    <w:rsid w:val="00F57DC4"/>
    <w:rsid w:val="00F6017F"/>
    <w:rsid w:val="00F607E6"/>
    <w:rsid w:val="00F60972"/>
    <w:rsid w:val="00F60AC9"/>
    <w:rsid w:val="00F60ADC"/>
    <w:rsid w:val="00F60D04"/>
    <w:rsid w:val="00F60DBF"/>
    <w:rsid w:val="00F61000"/>
    <w:rsid w:val="00F61127"/>
    <w:rsid w:val="00F61C12"/>
    <w:rsid w:val="00F624C4"/>
    <w:rsid w:val="00F63337"/>
    <w:rsid w:val="00F63355"/>
    <w:rsid w:val="00F633D3"/>
    <w:rsid w:val="00F63558"/>
    <w:rsid w:val="00F63D27"/>
    <w:rsid w:val="00F64295"/>
    <w:rsid w:val="00F646D8"/>
    <w:rsid w:val="00F64B07"/>
    <w:rsid w:val="00F64C94"/>
    <w:rsid w:val="00F65435"/>
    <w:rsid w:val="00F65B2A"/>
    <w:rsid w:val="00F65CA1"/>
    <w:rsid w:val="00F65DE6"/>
    <w:rsid w:val="00F65EF2"/>
    <w:rsid w:val="00F66117"/>
    <w:rsid w:val="00F661A0"/>
    <w:rsid w:val="00F66F26"/>
    <w:rsid w:val="00F66F67"/>
    <w:rsid w:val="00F67198"/>
    <w:rsid w:val="00F67337"/>
    <w:rsid w:val="00F67558"/>
    <w:rsid w:val="00F676FA"/>
    <w:rsid w:val="00F67903"/>
    <w:rsid w:val="00F679AA"/>
    <w:rsid w:val="00F67F22"/>
    <w:rsid w:val="00F67FEA"/>
    <w:rsid w:val="00F70034"/>
    <w:rsid w:val="00F704AA"/>
    <w:rsid w:val="00F70CE1"/>
    <w:rsid w:val="00F718E6"/>
    <w:rsid w:val="00F71CD7"/>
    <w:rsid w:val="00F71DC3"/>
    <w:rsid w:val="00F720D2"/>
    <w:rsid w:val="00F72712"/>
    <w:rsid w:val="00F7311D"/>
    <w:rsid w:val="00F735D3"/>
    <w:rsid w:val="00F735FC"/>
    <w:rsid w:val="00F736FE"/>
    <w:rsid w:val="00F7380C"/>
    <w:rsid w:val="00F73827"/>
    <w:rsid w:val="00F73B33"/>
    <w:rsid w:val="00F7493A"/>
    <w:rsid w:val="00F74E9B"/>
    <w:rsid w:val="00F75094"/>
    <w:rsid w:val="00F75109"/>
    <w:rsid w:val="00F75569"/>
    <w:rsid w:val="00F75D54"/>
    <w:rsid w:val="00F761CE"/>
    <w:rsid w:val="00F767E4"/>
    <w:rsid w:val="00F76C8B"/>
    <w:rsid w:val="00F76E42"/>
    <w:rsid w:val="00F771EC"/>
    <w:rsid w:val="00F772A4"/>
    <w:rsid w:val="00F77993"/>
    <w:rsid w:val="00F77998"/>
    <w:rsid w:val="00F77D8F"/>
    <w:rsid w:val="00F77DE0"/>
    <w:rsid w:val="00F8081E"/>
    <w:rsid w:val="00F80C61"/>
    <w:rsid w:val="00F81218"/>
    <w:rsid w:val="00F8130E"/>
    <w:rsid w:val="00F81423"/>
    <w:rsid w:val="00F815CA"/>
    <w:rsid w:val="00F818F7"/>
    <w:rsid w:val="00F81962"/>
    <w:rsid w:val="00F81A9A"/>
    <w:rsid w:val="00F81AFD"/>
    <w:rsid w:val="00F81CA4"/>
    <w:rsid w:val="00F81CF3"/>
    <w:rsid w:val="00F81E6C"/>
    <w:rsid w:val="00F82395"/>
    <w:rsid w:val="00F82AC3"/>
    <w:rsid w:val="00F82E80"/>
    <w:rsid w:val="00F82FE7"/>
    <w:rsid w:val="00F832C6"/>
    <w:rsid w:val="00F83523"/>
    <w:rsid w:val="00F83DB4"/>
    <w:rsid w:val="00F84160"/>
    <w:rsid w:val="00F8489A"/>
    <w:rsid w:val="00F84919"/>
    <w:rsid w:val="00F84AD6"/>
    <w:rsid w:val="00F84D63"/>
    <w:rsid w:val="00F852EC"/>
    <w:rsid w:val="00F8532A"/>
    <w:rsid w:val="00F85B6B"/>
    <w:rsid w:val="00F87113"/>
    <w:rsid w:val="00F8738B"/>
    <w:rsid w:val="00F87449"/>
    <w:rsid w:val="00F8745A"/>
    <w:rsid w:val="00F9009A"/>
    <w:rsid w:val="00F90241"/>
    <w:rsid w:val="00F9024F"/>
    <w:rsid w:val="00F90355"/>
    <w:rsid w:val="00F9101B"/>
    <w:rsid w:val="00F914C6"/>
    <w:rsid w:val="00F9162C"/>
    <w:rsid w:val="00F91ABB"/>
    <w:rsid w:val="00F91AFF"/>
    <w:rsid w:val="00F91FB0"/>
    <w:rsid w:val="00F92350"/>
    <w:rsid w:val="00F92BEB"/>
    <w:rsid w:val="00F93004"/>
    <w:rsid w:val="00F930A4"/>
    <w:rsid w:val="00F932B2"/>
    <w:rsid w:val="00F9346C"/>
    <w:rsid w:val="00F938E3"/>
    <w:rsid w:val="00F93E20"/>
    <w:rsid w:val="00F94201"/>
    <w:rsid w:val="00F946BF"/>
    <w:rsid w:val="00F94B64"/>
    <w:rsid w:val="00F94BCF"/>
    <w:rsid w:val="00F94C65"/>
    <w:rsid w:val="00F94F1C"/>
    <w:rsid w:val="00F95284"/>
    <w:rsid w:val="00F95376"/>
    <w:rsid w:val="00F9539C"/>
    <w:rsid w:val="00F95686"/>
    <w:rsid w:val="00F956BF"/>
    <w:rsid w:val="00F957A3"/>
    <w:rsid w:val="00F95AC1"/>
    <w:rsid w:val="00F95C53"/>
    <w:rsid w:val="00F95EBA"/>
    <w:rsid w:val="00F961A8"/>
    <w:rsid w:val="00F967AF"/>
    <w:rsid w:val="00F97017"/>
    <w:rsid w:val="00F97445"/>
    <w:rsid w:val="00F97587"/>
    <w:rsid w:val="00F97D70"/>
    <w:rsid w:val="00F97E62"/>
    <w:rsid w:val="00FA02B1"/>
    <w:rsid w:val="00FA0805"/>
    <w:rsid w:val="00FA0A52"/>
    <w:rsid w:val="00FA0B53"/>
    <w:rsid w:val="00FA14D1"/>
    <w:rsid w:val="00FA1885"/>
    <w:rsid w:val="00FA18DA"/>
    <w:rsid w:val="00FA1A55"/>
    <w:rsid w:val="00FA1DDB"/>
    <w:rsid w:val="00FA1F19"/>
    <w:rsid w:val="00FA202B"/>
    <w:rsid w:val="00FA2573"/>
    <w:rsid w:val="00FA26B0"/>
    <w:rsid w:val="00FA2AC6"/>
    <w:rsid w:val="00FA308A"/>
    <w:rsid w:val="00FA364A"/>
    <w:rsid w:val="00FA379D"/>
    <w:rsid w:val="00FA3B0E"/>
    <w:rsid w:val="00FA3B1C"/>
    <w:rsid w:val="00FA3B61"/>
    <w:rsid w:val="00FA43FD"/>
    <w:rsid w:val="00FA44D9"/>
    <w:rsid w:val="00FA46CA"/>
    <w:rsid w:val="00FA4750"/>
    <w:rsid w:val="00FA4A92"/>
    <w:rsid w:val="00FA4C52"/>
    <w:rsid w:val="00FA4D78"/>
    <w:rsid w:val="00FA4FFA"/>
    <w:rsid w:val="00FA50C7"/>
    <w:rsid w:val="00FA53CB"/>
    <w:rsid w:val="00FA5527"/>
    <w:rsid w:val="00FA5C8B"/>
    <w:rsid w:val="00FA5F7C"/>
    <w:rsid w:val="00FA6537"/>
    <w:rsid w:val="00FA66BD"/>
    <w:rsid w:val="00FA673A"/>
    <w:rsid w:val="00FA6B07"/>
    <w:rsid w:val="00FA6C63"/>
    <w:rsid w:val="00FA75CA"/>
    <w:rsid w:val="00FA78C4"/>
    <w:rsid w:val="00FA7E51"/>
    <w:rsid w:val="00FA7E64"/>
    <w:rsid w:val="00FA7F7D"/>
    <w:rsid w:val="00FB025F"/>
    <w:rsid w:val="00FB0550"/>
    <w:rsid w:val="00FB06D5"/>
    <w:rsid w:val="00FB0959"/>
    <w:rsid w:val="00FB0EF4"/>
    <w:rsid w:val="00FB1910"/>
    <w:rsid w:val="00FB1AAC"/>
    <w:rsid w:val="00FB1CBD"/>
    <w:rsid w:val="00FB2284"/>
    <w:rsid w:val="00FB2765"/>
    <w:rsid w:val="00FB2AE8"/>
    <w:rsid w:val="00FB2DA7"/>
    <w:rsid w:val="00FB2F86"/>
    <w:rsid w:val="00FB39C4"/>
    <w:rsid w:val="00FB3AE7"/>
    <w:rsid w:val="00FB3DFD"/>
    <w:rsid w:val="00FB4171"/>
    <w:rsid w:val="00FB55E7"/>
    <w:rsid w:val="00FB5884"/>
    <w:rsid w:val="00FB596C"/>
    <w:rsid w:val="00FB59E5"/>
    <w:rsid w:val="00FB61A4"/>
    <w:rsid w:val="00FB626E"/>
    <w:rsid w:val="00FB62AF"/>
    <w:rsid w:val="00FB64CC"/>
    <w:rsid w:val="00FB6580"/>
    <w:rsid w:val="00FB6AE9"/>
    <w:rsid w:val="00FB6B63"/>
    <w:rsid w:val="00FB75CE"/>
    <w:rsid w:val="00FB75E1"/>
    <w:rsid w:val="00FB7EBA"/>
    <w:rsid w:val="00FC0724"/>
    <w:rsid w:val="00FC0728"/>
    <w:rsid w:val="00FC074D"/>
    <w:rsid w:val="00FC0ACC"/>
    <w:rsid w:val="00FC0BC9"/>
    <w:rsid w:val="00FC0DF4"/>
    <w:rsid w:val="00FC105D"/>
    <w:rsid w:val="00FC1195"/>
    <w:rsid w:val="00FC15AC"/>
    <w:rsid w:val="00FC1690"/>
    <w:rsid w:val="00FC1B75"/>
    <w:rsid w:val="00FC1EC4"/>
    <w:rsid w:val="00FC1F54"/>
    <w:rsid w:val="00FC20AC"/>
    <w:rsid w:val="00FC2DC4"/>
    <w:rsid w:val="00FC2DD0"/>
    <w:rsid w:val="00FC3760"/>
    <w:rsid w:val="00FC4203"/>
    <w:rsid w:val="00FC4634"/>
    <w:rsid w:val="00FC4D3E"/>
    <w:rsid w:val="00FC4DD1"/>
    <w:rsid w:val="00FC549E"/>
    <w:rsid w:val="00FC54F9"/>
    <w:rsid w:val="00FC594A"/>
    <w:rsid w:val="00FC5F31"/>
    <w:rsid w:val="00FC5FDA"/>
    <w:rsid w:val="00FC6123"/>
    <w:rsid w:val="00FC630F"/>
    <w:rsid w:val="00FC63A0"/>
    <w:rsid w:val="00FC6750"/>
    <w:rsid w:val="00FC6896"/>
    <w:rsid w:val="00FC7178"/>
    <w:rsid w:val="00FC725C"/>
    <w:rsid w:val="00FC7CC1"/>
    <w:rsid w:val="00FD017F"/>
    <w:rsid w:val="00FD0823"/>
    <w:rsid w:val="00FD093B"/>
    <w:rsid w:val="00FD0C2A"/>
    <w:rsid w:val="00FD1422"/>
    <w:rsid w:val="00FD1433"/>
    <w:rsid w:val="00FD1541"/>
    <w:rsid w:val="00FD159D"/>
    <w:rsid w:val="00FD15C4"/>
    <w:rsid w:val="00FD19CB"/>
    <w:rsid w:val="00FD1FE2"/>
    <w:rsid w:val="00FD253A"/>
    <w:rsid w:val="00FD2A48"/>
    <w:rsid w:val="00FD2E6B"/>
    <w:rsid w:val="00FD3504"/>
    <w:rsid w:val="00FD3BAA"/>
    <w:rsid w:val="00FD3FFC"/>
    <w:rsid w:val="00FD40EB"/>
    <w:rsid w:val="00FD4355"/>
    <w:rsid w:val="00FD46B8"/>
    <w:rsid w:val="00FD5533"/>
    <w:rsid w:val="00FD5C77"/>
    <w:rsid w:val="00FD63E9"/>
    <w:rsid w:val="00FD6519"/>
    <w:rsid w:val="00FD73A0"/>
    <w:rsid w:val="00FD78E8"/>
    <w:rsid w:val="00FD7D6B"/>
    <w:rsid w:val="00FD7DBB"/>
    <w:rsid w:val="00FD7FFB"/>
    <w:rsid w:val="00FE04D2"/>
    <w:rsid w:val="00FE075E"/>
    <w:rsid w:val="00FE0E5D"/>
    <w:rsid w:val="00FE11C9"/>
    <w:rsid w:val="00FE1343"/>
    <w:rsid w:val="00FE1354"/>
    <w:rsid w:val="00FE1715"/>
    <w:rsid w:val="00FE1AAD"/>
    <w:rsid w:val="00FE1E6F"/>
    <w:rsid w:val="00FE2452"/>
    <w:rsid w:val="00FE2688"/>
    <w:rsid w:val="00FE26D0"/>
    <w:rsid w:val="00FE28D9"/>
    <w:rsid w:val="00FE29C2"/>
    <w:rsid w:val="00FE36FA"/>
    <w:rsid w:val="00FE3868"/>
    <w:rsid w:val="00FE43FF"/>
    <w:rsid w:val="00FE4445"/>
    <w:rsid w:val="00FE4928"/>
    <w:rsid w:val="00FE4A1E"/>
    <w:rsid w:val="00FE4E1D"/>
    <w:rsid w:val="00FE4F71"/>
    <w:rsid w:val="00FE55B1"/>
    <w:rsid w:val="00FE56DA"/>
    <w:rsid w:val="00FE5774"/>
    <w:rsid w:val="00FE5D5D"/>
    <w:rsid w:val="00FE5FEC"/>
    <w:rsid w:val="00FE6E1F"/>
    <w:rsid w:val="00FE6E24"/>
    <w:rsid w:val="00FE7AA3"/>
    <w:rsid w:val="00FF0061"/>
    <w:rsid w:val="00FF10A5"/>
    <w:rsid w:val="00FF1348"/>
    <w:rsid w:val="00FF13C6"/>
    <w:rsid w:val="00FF16A2"/>
    <w:rsid w:val="00FF1A39"/>
    <w:rsid w:val="00FF1D3B"/>
    <w:rsid w:val="00FF1F8B"/>
    <w:rsid w:val="00FF20CF"/>
    <w:rsid w:val="00FF263E"/>
    <w:rsid w:val="00FF3383"/>
    <w:rsid w:val="00FF3704"/>
    <w:rsid w:val="00FF394D"/>
    <w:rsid w:val="00FF3E48"/>
    <w:rsid w:val="00FF4785"/>
    <w:rsid w:val="00FF48C7"/>
    <w:rsid w:val="00FF520C"/>
    <w:rsid w:val="00FF52C2"/>
    <w:rsid w:val="00FF5619"/>
    <w:rsid w:val="00FF5887"/>
    <w:rsid w:val="00FF59AB"/>
    <w:rsid w:val="00FF5F03"/>
    <w:rsid w:val="00FF64C2"/>
    <w:rsid w:val="00FF66C4"/>
    <w:rsid w:val="00FF6A50"/>
    <w:rsid w:val="00FF6D5A"/>
    <w:rsid w:val="00FF7178"/>
    <w:rsid w:val="00FF7263"/>
    <w:rsid w:val="00FF7605"/>
    <w:rsid w:val="00FF78D3"/>
    <w:rsid w:val="00FF7E8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o:allowincell="f" fillcolor="none [2412]">
      <v:fill color="none [2412]"/>
      <v:stroke weight=".5pt"/>
    </o:shapedefaults>
    <o:shapelayout v:ext="edit">
      <o:idmap v:ext="edit" data="1"/>
    </o:shapelayout>
  </w:shapeDefaults>
  <w:decimalSymbol w:val=","/>
  <w:listSeparator w:val=";"/>
  <w14:docId w14:val="13043923"/>
  <w15:docId w15:val="{BD0970CA-1A40-471A-ADFB-9F59AE5F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qFormat="1"/>
    <w:lsdException w:name="annotation text" w:semiHidden="1" w:unhideWhenUsed="1" w:qFormat="1"/>
    <w:lsdException w:name="header" w:lock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37A31"/>
    <w:rPr>
      <w:rFonts w:ascii="Arial Narrow" w:hAnsi="Arial Narrow" w:cs="Book Antiqua"/>
    </w:rPr>
  </w:style>
  <w:style w:type="paragraph" w:styleId="Nadpis1">
    <w:name w:val="heading 1"/>
    <w:aliases w:val="Nadpis 1 IFP"/>
    <w:basedOn w:val="Normlny"/>
    <w:next w:val="Normlny"/>
    <w:link w:val="Nadpis1Char"/>
    <w:uiPriority w:val="99"/>
    <w:qFormat/>
    <w:rsid w:val="00583E12"/>
    <w:pPr>
      <w:keepNext/>
      <w:spacing w:after="120"/>
      <w:outlineLvl w:val="0"/>
    </w:pPr>
    <w:rPr>
      <w:b/>
      <w:bCs/>
      <w:color w:val="2C9ADC" w:themeColor="accent1"/>
      <w:sz w:val="28"/>
    </w:rPr>
  </w:style>
  <w:style w:type="paragraph" w:styleId="Nadpis2">
    <w:name w:val="heading 2"/>
    <w:aliases w:val="Nadpis 2 IFP"/>
    <w:next w:val="Normlny"/>
    <w:link w:val="Nadpis2Char"/>
    <w:uiPriority w:val="99"/>
    <w:qFormat/>
    <w:rsid w:val="00583E12"/>
    <w:pPr>
      <w:spacing w:before="120"/>
      <w:jc w:val="both"/>
      <w:outlineLvl w:val="1"/>
    </w:pPr>
    <w:rPr>
      <w:rFonts w:ascii="Arial Narrow" w:hAnsi="Arial Narrow" w:cs="Book Antiqua"/>
      <w:color w:val="2C9ADC" w:themeColor="accent1"/>
      <w:sz w:val="24"/>
    </w:rPr>
  </w:style>
  <w:style w:type="paragraph" w:styleId="Nadpis3">
    <w:name w:val="heading 3"/>
    <w:aliases w:val="Tab"/>
    <w:basedOn w:val="Normlny"/>
    <w:next w:val="Normlny"/>
    <w:link w:val="Nadpis3Char"/>
    <w:uiPriority w:val="9"/>
    <w:qFormat/>
    <w:rsid w:val="001543E7"/>
    <w:pPr>
      <w:keepNext/>
      <w:outlineLvl w:val="2"/>
    </w:pPr>
    <w:rPr>
      <w:rFonts w:cs="Arial"/>
      <w:b/>
      <w:bCs/>
      <w:sz w:val="20"/>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IFP Char"/>
    <w:basedOn w:val="Predvolenpsmoodseku"/>
    <w:link w:val="Nadpis1"/>
    <w:uiPriority w:val="99"/>
    <w:locked/>
    <w:rsid w:val="00583E12"/>
    <w:rPr>
      <w:rFonts w:ascii="Arial Narrow" w:hAnsi="Arial Narrow" w:cs="Book Antiqua"/>
      <w:b/>
      <w:bCs/>
      <w:color w:val="2C9ADC" w:themeColor="accent1"/>
      <w:sz w:val="28"/>
    </w:rPr>
  </w:style>
  <w:style w:type="character" w:customStyle="1" w:styleId="Nadpis2Char">
    <w:name w:val="Nadpis 2 Char"/>
    <w:aliases w:val="Nadpis 2 IFP Char"/>
    <w:basedOn w:val="Predvolenpsmoodseku"/>
    <w:link w:val="Nadpis2"/>
    <w:uiPriority w:val="99"/>
    <w:locked/>
    <w:rsid w:val="00583E12"/>
    <w:rPr>
      <w:rFonts w:ascii="Arial Narrow" w:hAnsi="Arial Narrow" w:cs="Book Antiqua"/>
      <w:color w:val="2C9ADC" w:themeColor="accent1"/>
      <w:sz w:val="24"/>
    </w:rPr>
  </w:style>
  <w:style w:type="character" w:customStyle="1" w:styleId="Nadpis3Char">
    <w:name w:val="Nadpis 3 Char"/>
    <w:aliases w:val="Tab Char"/>
    <w:basedOn w:val="Predvolenpsmoodseku"/>
    <w:link w:val="Nadpis3"/>
    <w:uiPriority w:val="9"/>
    <w:locked/>
    <w:rsid w:val="001543E7"/>
    <w:rPr>
      <w:rFonts w:ascii="Arial Narrow" w:hAnsi="Arial Narrow" w:cs="Arial"/>
      <w:b/>
      <w:bCs/>
      <w:sz w:val="26"/>
      <w:szCs w:val="26"/>
      <w:lang w:eastAsia="sk-SK"/>
    </w:rPr>
  </w:style>
  <w:style w:type="paragraph" w:styleId="Textbubliny">
    <w:name w:val="Balloon Text"/>
    <w:basedOn w:val="Normlny"/>
    <w:link w:val="TextbublinyChar"/>
    <w:uiPriority w:val="99"/>
    <w:semiHidden/>
    <w:rsid w:val="001543E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543E7"/>
    <w:rPr>
      <w:rFonts w:ascii="Tahoma" w:hAnsi="Tahoma" w:cs="Tahoma"/>
      <w:sz w:val="16"/>
      <w:szCs w:val="16"/>
      <w:lang w:eastAsia="sk-SK"/>
    </w:rPr>
  </w:style>
  <w:style w:type="paragraph" w:styleId="Zkladntext">
    <w:name w:val="Body Text"/>
    <w:basedOn w:val="Normlny"/>
    <w:link w:val="ZkladntextChar"/>
    <w:uiPriority w:val="99"/>
    <w:rsid w:val="001543E7"/>
    <w:pPr>
      <w:widowControl w:val="0"/>
    </w:pPr>
    <w:rPr>
      <w:color w:val="000000"/>
      <w:sz w:val="24"/>
      <w:szCs w:val="24"/>
    </w:rPr>
  </w:style>
  <w:style w:type="character" w:customStyle="1" w:styleId="ZkladntextChar">
    <w:name w:val="Základný text Char"/>
    <w:basedOn w:val="Predvolenpsmoodseku"/>
    <w:link w:val="Zkladntext"/>
    <w:uiPriority w:val="99"/>
    <w:locked/>
    <w:rsid w:val="001543E7"/>
    <w:rPr>
      <w:rFonts w:ascii="Book Antiqua" w:hAnsi="Book Antiqua" w:cs="Book Antiqua"/>
      <w:color w:val="000000"/>
      <w:sz w:val="24"/>
      <w:szCs w:val="24"/>
      <w:lang w:eastAsia="sk-SK"/>
    </w:rPr>
  </w:style>
  <w:style w:type="paragraph" w:styleId="Textpoznmkypodiarou">
    <w:name w:val="footnote text"/>
    <w:aliases w:val="Footnote Text Char2,Footnote Text Char1 Char,Footnote Text Char2 Char Char,Footnote Text Char1 Char Char Char,Footnote Text Char2 Char Char Char Char,Footnote Text Char Char1 Char Char Char Char Char Char Char Char Char,f,Plonk"/>
    <w:basedOn w:val="Normlny"/>
    <w:link w:val="TextpoznmkypodiarouChar"/>
    <w:uiPriority w:val="99"/>
    <w:qFormat/>
    <w:rsid w:val="001543E7"/>
    <w:rPr>
      <w:sz w:val="20"/>
      <w:szCs w:val="20"/>
      <w:lang w:eastAsia="en-US"/>
    </w:rPr>
  </w:style>
  <w:style w:type="character" w:customStyle="1" w:styleId="TextpoznmkypodiarouChar">
    <w:name w:val="Text poznámky pod čiarou Char"/>
    <w:aliases w:val="Footnote Text Char2 Char,Footnote Text Char1 Char Char,Footnote Text Char2 Char Char Char,Footnote Text Char1 Char Char Char Char,Footnote Text Char2 Char Char Char Char Char,f Char,Plonk Char"/>
    <w:basedOn w:val="Predvolenpsmoodseku"/>
    <w:link w:val="Textpoznmkypodiarou"/>
    <w:uiPriority w:val="99"/>
    <w:locked/>
    <w:rsid w:val="001543E7"/>
    <w:rPr>
      <w:rFonts w:ascii="Book Antiqua" w:hAnsi="Book Antiqua" w:cs="Book Antiqua"/>
      <w:sz w:val="20"/>
      <w:szCs w:val="20"/>
    </w:rPr>
  </w:style>
  <w:style w:type="character" w:styleId="Odkaznapoznmkupodiarou">
    <w:name w:val="footnote reference"/>
    <w:aliases w:val="16 Point,Superscript 6 Point,Footnote Reference Number,Footnote Reference_LVL6,Footnote Reference_LVL61,Footnote Reference_LVL62,Footnote Reference_LVL63,Footnote Reference_LVL64,Footnote call,BVI fnr,SUPERS,Footnote symbol"/>
    <w:basedOn w:val="Predvolenpsmoodseku"/>
    <w:link w:val="Char2"/>
    <w:uiPriority w:val="99"/>
    <w:qFormat/>
    <w:rsid w:val="001543E7"/>
    <w:rPr>
      <w:rFonts w:ascii="Arial Narrow" w:hAnsi="Arial Narrow" w:cs="Arial Narrow"/>
      <w:vertAlign w:val="superscript"/>
      <w:lang w:val="en-US" w:eastAsia="en-US"/>
    </w:rPr>
  </w:style>
  <w:style w:type="paragraph" w:styleId="Hlavika">
    <w:name w:val="header"/>
    <w:basedOn w:val="Normlny"/>
    <w:link w:val="HlavikaChar"/>
    <w:uiPriority w:val="99"/>
    <w:rsid w:val="001543E7"/>
    <w:pPr>
      <w:tabs>
        <w:tab w:val="center" w:pos="4536"/>
        <w:tab w:val="right" w:pos="9072"/>
      </w:tabs>
      <w:jc w:val="both"/>
    </w:pPr>
    <w:rPr>
      <w:lang w:eastAsia="cs-CZ"/>
    </w:rPr>
  </w:style>
  <w:style w:type="character" w:customStyle="1" w:styleId="HlavikaChar">
    <w:name w:val="Hlavička Char"/>
    <w:basedOn w:val="Predvolenpsmoodseku"/>
    <w:link w:val="Hlavika"/>
    <w:uiPriority w:val="99"/>
    <w:locked/>
    <w:rsid w:val="001543E7"/>
    <w:rPr>
      <w:rFonts w:ascii="Book Antiqua" w:hAnsi="Book Antiqua" w:cs="Book Antiqua"/>
      <w:lang w:eastAsia="cs-CZ"/>
    </w:rPr>
  </w:style>
  <w:style w:type="paragraph" w:customStyle="1" w:styleId="NormalList">
    <w:name w:val="NormalList"/>
    <w:basedOn w:val="Normlny"/>
    <w:qFormat/>
    <w:rsid w:val="001543E7"/>
    <w:pPr>
      <w:jc w:val="both"/>
    </w:pPr>
    <w:rPr>
      <w:lang w:eastAsia="en-US"/>
    </w:rPr>
  </w:style>
  <w:style w:type="paragraph" w:customStyle="1" w:styleId="Normlny1">
    <w:name w:val="Normálny1"/>
    <w:basedOn w:val="Normlny"/>
    <w:next w:val="Normlny"/>
    <w:uiPriority w:val="99"/>
    <w:rsid w:val="001543E7"/>
    <w:pPr>
      <w:autoSpaceDE w:val="0"/>
      <w:autoSpaceDN w:val="0"/>
      <w:adjustRightInd w:val="0"/>
    </w:pPr>
    <w:rPr>
      <w:sz w:val="24"/>
      <w:szCs w:val="24"/>
      <w:lang w:val="cs-CZ" w:eastAsia="cs-CZ"/>
    </w:rPr>
  </w:style>
  <w:style w:type="paragraph" w:customStyle="1" w:styleId="Normlny4">
    <w:name w:val="Normálny4"/>
    <w:basedOn w:val="Normlny"/>
    <w:next w:val="Normlny"/>
    <w:uiPriority w:val="99"/>
    <w:rsid w:val="001543E7"/>
    <w:pPr>
      <w:autoSpaceDE w:val="0"/>
      <w:autoSpaceDN w:val="0"/>
      <w:adjustRightInd w:val="0"/>
    </w:pPr>
    <w:rPr>
      <w:sz w:val="24"/>
      <w:szCs w:val="24"/>
    </w:rPr>
  </w:style>
  <w:style w:type="paragraph" w:styleId="Odsekzoznamu">
    <w:name w:val="List Paragraph"/>
    <w:aliases w:val="body,Odsek zoznamu2,Dot pt,F5 List Paragraph,No Spacing1,List Paragraph Char Char Char,Indicator Text,Numbered Para 1,Colorful List - Accent 11,Bullet 1,Bullet Points,Párrafo de lista,MAIN CONTENT,Recommendation,numbered list,2,OBC Bullet"/>
    <w:basedOn w:val="Normlny"/>
    <w:link w:val="OdsekzoznamuChar"/>
    <w:uiPriority w:val="34"/>
    <w:qFormat/>
    <w:rsid w:val="001543E7"/>
    <w:pPr>
      <w:ind w:left="720"/>
      <w:contextualSpacing/>
    </w:pPr>
  </w:style>
  <w:style w:type="character" w:customStyle="1" w:styleId="OdsekzoznamuChar">
    <w:name w:val="Odsek zoznamu Char"/>
    <w:aliases w:val="body Char,Odsek zoznamu2 Char,Dot pt Char,F5 List Paragraph Char,No Spacing1 Char,List Paragraph Char Char Char Char,Indicator Text Char,Numbered Para 1 Char,Colorful List - Accent 11 Char,Bullet 1 Char,Bullet Points Char,2 Char"/>
    <w:link w:val="Odsekzoznamu"/>
    <w:uiPriority w:val="34"/>
    <w:qFormat/>
    <w:locked/>
    <w:rsid w:val="00143A58"/>
    <w:rPr>
      <w:rFonts w:ascii="Arial Narrow" w:hAnsi="Arial Narrow" w:cs="Book Antiqua"/>
    </w:rPr>
  </w:style>
  <w:style w:type="character" w:styleId="Odkaznakomentr">
    <w:name w:val="annotation reference"/>
    <w:basedOn w:val="Predvolenpsmoodseku"/>
    <w:uiPriority w:val="99"/>
    <w:qFormat/>
    <w:rsid w:val="001543E7"/>
    <w:rPr>
      <w:rFonts w:cs="Times New Roman"/>
      <w:sz w:val="16"/>
      <w:szCs w:val="16"/>
    </w:rPr>
  </w:style>
  <w:style w:type="paragraph" w:styleId="Textkomentra">
    <w:name w:val="annotation text"/>
    <w:aliases w:val="Char Char Char,Char7 Char,Text komentára Char Char,Comment Text Char Char"/>
    <w:basedOn w:val="Normlny"/>
    <w:link w:val="TextkomentraChar"/>
    <w:uiPriority w:val="99"/>
    <w:qFormat/>
    <w:rsid w:val="001543E7"/>
    <w:rPr>
      <w:sz w:val="20"/>
      <w:szCs w:val="20"/>
    </w:rPr>
  </w:style>
  <w:style w:type="character" w:customStyle="1" w:styleId="TextkomentraChar">
    <w:name w:val="Text komentára Char"/>
    <w:aliases w:val="Char Char Char Char,Char7 Char Char,Text komentára Char Char Char,Comment Text Char Char Char"/>
    <w:basedOn w:val="Predvolenpsmoodseku"/>
    <w:link w:val="Textkomentra"/>
    <w:uiPriority w:val="99"/>
    <w:qFormat/>
    <w:locked/>
    <w:rsid w:val="001543E7"/>
    <w:rPr>
      <w:rFonts w:ascii="Book Antiqua" w:hAnsi="Book Antiqua" w:cs="Book Antiqua"/>
      <w:sz w:val="20"/>
      <w:szCs w:val="20"/>
      <w:lang w:eastAsia="sk-SK"/>
    </w:rPr>
  </w:style>
  <w:style w:type="paragraph" w:styleId="Predmetkomentra">
    <w:name w:val="annotation subject"/>
    <w:basedOn w:val="Textkomentra"/>
    <w:next w:val="Textkomentra"/>
    <w:link w:val="PredmetkomentraChar"/>
    <w:uiPriority w:val="99"/>
    <w:semiHidden/>
    <w:rsid w:val="001543E7"/>
    <w:rPr>
      <w:b/>
      <w:bCs/>
    </w:rPr>
  </w:style>
  <w:style w:type="character" w:customStyle="1" w:styleId="PredmetkomentraChar">
    <w:name w:val="Predmet komentára Char"/>
    <w:basedOn w:val="TextkomentraChar"/>
    <w:link w:val="Predmetkomentra"/>
    <w:uiPriority w:val="99"/>
    <w:semiHidden/>
    <w:locked/>
    <w:rsid w:val="001543E7"/>
    <w:rPr>
      <w:rFonts w:ascii="Book Antiqua" w:hAnsi="Book Antiqua" w:cs="Book Antiqua"/>
      <w:b/>
      <w:bCs/>
      <w:sz w:val="20"/>
      <w:szCs w:val="20"/>
      <w:lang w:eastAsia="sk-SK"/>
    </w:rPr>
  </w:style>
  <w:style w:type="paragraph" w:styleId="Pta">
    <w:name w:val="footer"/>
    <w:basedOn w:val="Normlny"/>
    <w:link w:val="PtaChar"/>
    <w:uiPriority w:val="99"/>
    <w:rsid w:val="001543E7"/>
    <w:pPr>
      <w:tabs>
        <w:tab w:val="center" w:pos="4536"/>
        <w:tab w:val="right" w:pos="9072"/>
      </w:tabs>
    </w:pPr>
  </w:style>
  <w:style w:type="character" w:customStyle="1" w:styleId="PtaChar">
    <w:name w:val="Päta Char"/>
    <w:basedOn w:val="Predvolenpsmoodseku"/>
    <w:link w:val="Pta"/>
    <w:uiPriority w:val="99"/>
    <w:locked/>
    <w:rsid w:val="001543E7"/>
    <w:rPr>
      <w:rFonts w:ascii="Book Antiqua" w:hAnsi="Book Antiqua" w:cs="Book Antiqua"/>
      <w:lang w:eastAsia="sk-SK"/>
    </w:rPr>
  </w:style>
  <w:style w:type="paragraph" w:styleId="Hlavikaobsahu">
    <w:name w:val="TOC Heading"/>
    <w:basedOn w:val="Nadpis1"/>
    <w:next w:val="Normlny"/>
    <w:uiPriority w:val="99"/>
    <w:qFormat/>
    <w:rsid w:val="001543E7"/>
    <w:pPr>
      <w:keepLines/>
      <w:spacing w:before="480" w:after="0" w:line="276" w:lineRule="auto"/>
      <w:outlineLvl w:val="9"/>
    </w:pPr>
    <w:rPr>
      <w:rFonts w:ascii="Cambria" w:hAnsi="Cambria" w:cs="Times New Roman"/>
      <w:color w:val="365F91"/>
      <w:szCs w:val="28"/>
    </w:rPr>
  </w:style>
  <w:style w:type="paragraph" w:styleId="Obsah1">
    <w:name w:val="toc 1"/>
    <w:basedOn w:val="Normlny"/>
    <w:next w:val="Normlny"/>
    <w:autoRedefine/>
    <w:uiPriority w:val="39"/>
    <w:rsid w:val="00D04761"/>
    <w:pPr>
      <w:tabs>
        <w:tab w:val="left" w:pos="440"/>
        <w:tab w:val="right" w:leader="dot" w:pos="9060"/>
      </w:tabs>
      <w:spacing w:after="100"/>
    </w:pPr>
    <w:rPr>
      <w:b/>
      <w:noProof/>
    </w:rPr>
  </w:style>
  <w:style w:type="paragraph" w:styleId="Obsah2">
    <w:name w:val="toc 2"/>
    <w:basedOn w:val="Normlny"/>
    <w:next w:val="Normlny"/>
    <w:autoRedefine/>
    <w:uiPriority w:val="39"/>
    <w:rsid w:val="001711C1"/>
    <w:pPr>
      <w:tabs>
        <w:tab w:val="left" w:pos="880"/>
        <w:tab w:val="right" w:leader="dot" w:pos="9060"/>
      </w:tabs>
      <w:spacing w:after="100"/>
      <w:ind w:left="220"/>
    </w:pPr>
    <w:rPr>
      <w:rFonts w:cs="Arial Narrow"/>
      <w:noProof/>
    </w:rPr>
  </w:style>
  <w:style w:type="paragraph" w:styleId="Obsah3">
    <w:name w:val="toc 3"/>
    <w:basedOn w:val="Normlny"/>
    <w:next w:val="Normlny"/>
    <w:autoRedefine/>
    <w:uiPriority w:val="39"/>
    <w:rsid w:val="00DC556A"/>
    <w:pPr>
      <w:tabs>
        <w:tab w:val="right" w:leader="dot" w:pos="9060"/>
      </w:tabs>
      <w:spacing w:after="100" w:line="276" w:lineRule="auto"/>
      <w:ind w:left="440"/>
    </w:pPr>
  </w:style>
  <w:style w:type="character" w:styleId="Hypertextovprepojenie">
    <w:name w:val="Hyperlink"/>
    <w:basedOn w:val="Predvolenpsmoodseku"/>
    <w:uiPriority w:val="99"/>
    <w:rsid w:val="001543E7"/>
    <w:rPr>
      <w:rFonts w:cs="Times New Roman"/>
      <w:color w:val="0000FF"/>
      <w:u w:val="single"/>
    </w:rPr>
  </w:style>
  <w:style w:type="paragraph" w:styleId="Normlnywebov">
    <w:name w:val="Normal (Web)"/>
    <w:basedOn w:val="Normlny"/>
    <w:uiPriority w:val="99"/>
    <w:rsid w:val="001E5FCA"/>
    <w:pPr>
      <w:spacing w:before="100" w:beforeAutospacing="1" w:after="100" w:afterAutospacing="1"/>
    </w:pPr>
    <w:rPr>
      <w:rFonts w:ascii="Times New Roman" w:hAnsi="Times New Roman" w:cs="Times New Roman"/>
      <w:sz w:val="24"/>
      <w:szCs w:val="24"/>
    </w:rPr>
  </w:style>
  <w:style w:type="paragraph" w:styleId="Zarkazkladnhotextu2">
    <w:name w:val="Body Text Indent 2"/>
    <w:basedOn w:val="Normlny"/>
    <w:link w:val="Zarkazkladnhotextu2Char"/>
    <w:uiPriority w:val="99"/>
    <w:semiHidden/>
    <w:rsid w:val="0009759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09759D"/>
    <w:rPr>
      <w:rFonts w:ascii="Arial Narrow" w:hAnsi="Arial Narrow" w:cs="Book Antiqua"/>
      <w:lang w:eastAsia="sk-SK"/>
    </w:rPr>
  </w:style>
  <w:style w:type="table" w:styleId="Mriekatabuky">
    <w:name w:val="Table Grid"/>
    <w:basedOn w:val="Normlnatabuka"/>
    <w:uiPriority w:val="59"/>
    <w:locked/>
    <w:rsid w:val="000C6EBD"/>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F6B19"/>
    <w:rPr>
      <w:rFonts w:ascii="Arial Narrow" w:hAnsi="Arial Narrow" w:cs="Book Antiqua"/>
    </w:rPr>
  </w:style>
  <w:style w:type="character" w:styleId="PouitHypertextovPrepojenie">
    <w:name w:val="FollowedHyperlink"/>
    <w:basedOn w:val="Predvolenpsmoodseku"/>
    <w:uiPriority w:val="99"/>
    <w:semiHidden/>
    <w:unhideWhenUsed/>
    <w:rsid w:val="00921696"/>
    <w:rPr>
      <w:rFonts w:cs="Times New Roman"/>
      <w:color w:val="800080" w:themeColor="followedHyperlink"/>
      <w:u w:val="single"/>
    </w:rPr>
  </w:style>
  <w:style w:type="paragraph" w:customStyle="1" w:styleId="ListParagraph1">
    <w:name w:val="List Paragraph1"/>
    <w:basedOn w:val="Normlny"/>
    <w:rsid w:val="000F1C79"/>
    <w:pPr>
      <w:spacing w:after="200" w:line="276" w:lineRule="auto"/>
      <w:ind w:left="720"/>
    </w:pPr>
    <w:rPr>
      <w:rFonts w:ascii="Calibri" w:hAnsi="Calibri" w:cs="Times New Roman"/>
      <w:lang w:eastAsia="en-US"/>
    </w:rPr>
  </w:style>
  <w:style w:type="paragraph" w:customStyle="1" w:styleId="Odsekzoznamu1">
    <w:name w:val="Odsek zoznamu1"/>
    <w:basedOn w:val="Normlny"/>
    <w:rsid w:val="003A151D"/>
    <w:pPr>
      <w:ind w:left="720"/>
      <w:contextualSpacing/>
    </w:pPr>
  </w:style>
  <w:style w:type="paragraph" w:styleId="Obsah4">
    <w:name w:val="toc 4"/>
    <w:basedOn w:val="Normlny"/>
    <w:next w:val="Normlny"/>
    <w:autoRedefine/>
    <w:uiPriority w:val="39"/>
    <w:unhideWhenUsed/>
    <w:locked/>
    <w:rsid w:val="00A058F2"/>
    <w:pPr>
      <w:spacing w:after="100" w:line="276" w:lineRule="auto"/>
      <w:ind w:left="660"/>
    </w:pPr>
    <w:rPr>
      <w:rFonts w:asciiTheme="minorHAnsi" w:eastAsiaTheme="minorEastAsia" w:hAnsiTheme="minorHAnsi" w:cs="Times New Roman"/>
    </w:rPr>
  </w:style>
  <w:style w:type="paragraph" w:styleId="Obsah5">
    <w:name w:val="toc 5"/>
    <w:basedOn w:val="Normlny"/>
    <w:next w:val="Normlny"/>
    <w:autoRedefine/>
    <w:uiPriority w:val="39"/>
    <w:unhideWhenUsed/>
    <w:locked/>
    <w:rsid w:val="00A058F2"/>
    <w:pPr>
      <w:spacing w:after="100" w:line="276" w:lineRule="auto"/>
      <w:ind w:left="880"/>
    </w:pPr>
    <w:rPr>
      <w:rFonts w:asciiTheme="minorHAnsi" w:eastAsiaTheme="minorEastAsia" w:hAnsiTheme="minorHAnsi" w:cs="Times New Roman"/>
    </w:rPr>
  </w:style>
  <w:style w:type="paragraph" w:styleId="Obsah6">
    <w:name w:val="toc 6"/>
    <w:basedOn w:val="Normlny"/>
    <w:next w:val="Normlny"/>
    <w:autoRedefine/>
    <w:uiPriority w:val="39"/>
    <w:unhideWhenUsed/>
    <w:locked/>
    <w:rsid w:val="00A058F2"/>
    <w:pPr>
      <w:spacing w:after="100" w:line="276" w:lineRule="auto"/>
      <w:ind w:left="1100"/>
    </w:pPr>
    <w:rPr>
      <w:rFonts w:asciiTheme="minorHAnsi" w:eastAsiaTheme="minorEastAsia" w:hAnsiTheme="minorHAnsi" w:cs="Times New Roman"/>
    </w:rPr>
  </w:style>
  <w:style w:type="paragraph" w:styleId="Obsah7">
    <w:name w:val="toc 7"/>
    <w:basedOn w:val="Normlny"/>
    <w:next w:val="Normlny"/>
    <w:autoRedefine/>
    <w:uiPriority w:val="39"/>
    <w:unhideWhenUsed/>
    <w:locked/>
    <w:rsid w:val="00A058F2"/>
    <w:pPr>
      <w:spacing w:after="100" w:line="276" w:lineRule="auto"/>
      <w:ind w:left="1320"/>
    </w:pPr>
    <w:rPr>
      <w:rFonts w:asciiTheme="minorHAnsi" w:eastAsiaTheme="minorEastAsia" w:hAnsiTheme="minorHAnsi" w:cs="Times New Roman"/>
    </w:rPr>
  </w:style>
  <w:style w:type="paragraph" w:styleId="Obsah8">
    <w:name w:val="toc 8"/>
    <w:basedOn w:val="Normlny"/>
    <w:next w:val="Normlny"/>
    <w:autoRedefine/>
    <w:uiPriority w:val="39"/>
    <w:unhideWhenUsed/>
    <w:locked/>
    <w:rsid w:val="00A058F2"/>
    <w:pPr>
      <w:spacing w:after="100" w:line="276" w:lineRule="auto"/>
      <w:ind w:left="1540"/>
    </w:pPr>
    <w:rPr>
      <w:rFonts w:asciiTheme="minorHAnsi" w:eastAsiaTheme="minorEastAsia" w:hAnsiTheme="minorHAnsi" w:cs="Times New Roman"/>
    </w:rPr>
  </w:style>
  <w:style w:type="paragraph" w:styleId="Obsah9">
    <w:name w:val="toc 9"/>
    <w:basedOn w:val="Normlny"/>
    <w:next w:val="Normlny"/>
    <w:autoRedefine/>
    <w:uiPriority w:val="39"/>
    <w:unhideWhenUsed/>
    <w:locked/>
    <w:rsid w:val="00A058F2"/>
    <w:pPr>
      <w:spacing w:after="100" w:line="276" w:lineRule="auto"/>
      <w:ind w:left="1760"/>
    </w:pPr>
    <w:rPr>
      <w:rFonts w:asciiTheme="minorHAnsi" w:eastAsiaTheme="minorEastAsia" w:hAnsiTheme="minorHAnsi" w:cs="Times New Roman"/>
    </w:rPr>
  </w:style>
  <w:style w:type="paragraph" w:customStyle="1" w:styleId="Body1">
    <w:name w:val="Body 1"/>
    <w:rsid w:val="0064347A"/>
    <w:rPr>
      <w:rFonts w:ascii="Helvetica" w:eastAsia="Arial Unicode MS" w:hAnsi="Helvetica" w:cs="Times New Roman"/>
      <w:color w:val="000000"/>
      <w:sz w:val="24"/>
      <w:szCs w:val="20"/>
    </w:rPr>
  </w:style>
  <w:style w:type="paragraph" w:customStyle="1" w:styleId="Default">
    <w:name w:val="Default"/>
    <w:rsid w:val="0042374F"/>
    <w:pPr>
      <w:autoSpaceDE w:val="0"/>
      <w:autoSpaceDN w:val="0"/>
      <w:adjustRightInd w:val="0"/>
    </w:pPr>
    <w:rPr>
      <w:rFonts w:ascii="Times New Roman" w:hAnsi="Times New Roman" w:cs="Times New Roman"/>
      <w:color w:val="000000"/>
      <w:sz w:val="24"/>
      <w:szCs w:val="24"/>
      <w:lang w:val="en-US"/>
    </w:rPr>
  </w:style>
  <w:style w:type="paragraph" w:styleId="Obyajntext">
    <w:name w:val="Plain Text"/>
    <w:basedOn w:val="Normlny"/>
    <w:link w:val="ObyajntextChar"/>
    <w:uiPriority w:val="99"/>
    <w:unhideWhenUsed/>
    <w:rsid w:val="00F17CAC"/>
    <w:rPr>
      <w:rFonts w:eastAsiaTheme="minorHAnsi" w:cstheme="minorBidi"/>
      <w:szCs w:val="21"/>
      <w:lang w:val="en-US" w:eastAsia="en-US"/>
    </w:rPr>
  </w:style>
  <w:style w:type="character" w:customStyle="1" w:styleId="ObyajntextChar">
    <w:name w:val="Obyčajný text Char"/>
    <w:basedOn w:val="Predvolenpsmoodseku"/>
    <w:link w:val="Obyajntext"/>
    <w:uiPriority w:val="99"/>
    <w:rsid w:val="00F17CAC"/>
    <w:rPr>
      <w:rFonts w:ascii="Arial Narrow" w:eastAsiaTheme="minorHAnsi" w:hAnsi="Arial Narrow" w:cstheme="minorBidi"/>
      <w:szCs w:val="21"/>
      <w:lang w:val="en-US" w:eastAsia="en-US"/>
    </w:rPr>
  </w:style>
  <w:style w:type="table" w:customStyle="1" w:styleId="Mriekatabuky1">
    <w:name w:val="Mriežka tabuľky1"/>
    <w:basedOn w:val="Normlnatabuka"/>
    <w:next w:val="Mriekatabuky"/>
    <w:uiPriority w:val="59"/>
    <w:rsid w:val="00B55CD5"/>
    <w:rPr>
      <w:rFonts w:asciiTheme="minorHAnsi" w:hAnsi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7C3F8F"/>
    <w:rPr>
      <w:rFonts w:ascii="Arial Narrow" w:hAnsi="Arial Narrow" w:cs="Times New Roman"/>
      <w:szCs w:val="36"/>
      <w:lang w:eastAsia="en-US"/>
    </w:rPr>
  </w:style>
  <w:style w:type="paragraph" w:styleId="Zkladntext2">
    <w:name w:val="Body Text 2"/>
    <w:basedOn w:val="Normlny"/>
    <w:link w:val="Zkladntext2Char"/>
    <w:uiPriority w:val="99"/>
    <w:unhideWhenUsed/>
    <w:rsid w:val="00342B48"/>
    <w:pPr>
      <w:spacing w:after="120" w:line="480" w:lineRule="auto"/>
    </w:pPr>
  </w:style>
  <w:style w:type="character" w:customStyle="1" w:styleId="Zkladntext2Char">
    <w:name w:val="Základný text 2 Char"/>
    <w:basedOn w:val="Predvolenpsmoodseku"/>
    <w:link w:val="Zkladntext2"/>
    <w:uiPriority w:val="99"/>
    <w:rsid w:val="00342B48"/>
    <w:rPr>
      <w:rFonts w:ascii="Arial Narrow" w:hAnsi="Arial Narrow" w:cs="Book Antiqua"/>
    </w:rPr>
  </w:style>
  <w:style w:type="table" w:customStyle="1" w:styleId="Mriekatabuky4">
    <w:name w:val="Mriežka tabuľky4"/>
    <w:basedOn w:val="Normlnatabuka"/>
    <w:next w:val="Mriekatabuky"/>
    <w:uiPriority w:val="59"/>
    <w:rsid w:val="003D7330"/>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unhideWhenUsed/>
    <w:qFormat/>
    <w:locked/>
    <w:rsid w:val="00B910C3"/>
    <w:pPr>
      <w:spacing w:after="200"/>
    </w:pPr>
    <w:rPr>
      <w:b/>
      <w:bCs/>
      <w:color w:val="2C9ADC" w:themeColor="accent1"/>
      <w:sz w:val="18"/>
      <w:szCs w:val="18"/>
    </w:rPr>
  </w:style>
  <w:style w:type="paragraph" w:customStyle="1" w:styleId="NRPtabulka">
    <w:name w:val="NRP tabulka"/>
    <w:basedOn w:val="Normlny"/>
    <w:link w:val="NRPtabulkaChar"/>
    <w:qFormat/>
    <w:rsid w:val="0063080C"/>
    <w:pPr>
      <w:spacing w:line="276" w:lineRule="auto"/>
    </w:pPr>
    <w:rPr>
      <w:rFonts w:eastAsiaTheme="minorHAnsi" w:cs="Times New Roman"/>
      <w:b/>
      <w:bCs/>
      <w:color w:val="FFFFFF" w:themeColor="background1"/>
      <w:sz w:val="20"/>
      <w:szCs w:val="14"/>
      <w:lang w:eastAsia="en-US"/>
    </w:rPr>
  </w:style>
  <w:style w:type="character" w:customStyle="1" w:styleId="NRPtabulkaChar">
    <w:name w:val="NRP tabulka Char"/>
    <w:basedOn w:val="Predvolenpsmoodseku"/>
    <w:link w:val="NRPtabulka"/>
    <w:rsid w:val="0063080C"/>
    <w:rPr>
      <w:rFonts w:ascii="Arial Narrow" w:eastAsiaTheme="minorHAnsi" w:hAnsi="Arial Narrow" w:cs="Times New Roman"/>
      <w:b/>
      <w:bCs/>
      <w:color w:val="FFFFFF" w:themeColor="background1"/>
      <w:sz w:val="20"/>
      <w:szCs w:val="14"/>
      <w:lang w:eastAsia="en-US"/>
    </w:rPr>
  </w:style>
  <w:style w:type="paragraph" w:customStyle="1" w:styleId="NRP2uroven">
    <w:name w:val="NRP_2uroven"/>
    <w:basedOn w:val="Nadpis2"/>
    <w:qFormat/>
    <w:rsid w:val="0063080C"/>
    <w:pPr>
      <w:numPr>
        <w:ilvl w:val="1"/>
        <w:numId w:val="1"/>
      </w:numPr>
      <w:spacing w:before="0"/>
    </w:pPr>
    <w:rPr>
      <w:rFonts w:cs="Arial Narrow"/>
      <w:b/>
      <w:szCs w:val="24"/>
    </w:rPr>
  </w:style>
  <w:style w:type="character" w:customStyle="1" w:styleId="apple-converted-space">
    <w:name w:val="apple-converted-space"/>
    <w:basedOn w:val="Predvolenpsmoodseku"/>
    <w:rsid w:val="0063080C"/>
  </w:style>
  <w:style w:type="character" w:customStyle="1" w:styleId="Nadpis1Char1">
    <w:name w:val="Nadpis 1 Char1"/>
    <w:aliases w:val="Char Char1"/>
    <w:basedOn w:val="Predvolenpsmoodseku"/>
    <w:uiPriority w:val="99"/>
    <w:rsid w:val="00AF28CA"/>
    <w:rPr>
      <w:rFonts w:asciiTheme="majorHAnsi" w:eastAsiaTheme="majorEastAsia" w:hAnsiTheme="majorHAnsi" w:cstheme="majorBidi"/>
      <w:color w:val="1C74A9" w:themeColor="accent1" w:themeShade="BF"/>
      <w:sz w:val="32"/>
      <w:szCs w:val="32"/>
      <w:lang w:eastAsia="sk-SK"/>
    </w:rPr>
  </w:style>
  <w:style w:type="paragraph" w:customStyle="1" w:styleId="odsekzatabukou">
    <w:name w:val="odsek za tabuľkou"/>
    <w:basedOn w:val="Normlny"/>
    <w:link w:val="odsekzatabukouChar"/>
    <w:qFormat/>
    <w:rsid w:val="006328EE"/>
    <w:pPr>
      <w:spacing w:before="240" w:after="240"/>
      <w:jc w:val="both"/>
    </w:pPr>
  </w:style>
  <w:style w:type="character" w:customStyle="1" w:styleId="odsekzatabukouChar">
    <w:name w:val="odsek za tabuľkou Char"/>
    <w:basedOn w:val="Predvolenpsmoodseku"/>
    <w:link w:val="odsekzatabukou"/>
    <w:rsid w:val="006328EE"/>
    <w:rPr>
      <w:rFonts w:ascii="Arial Narrow" w:hAnsi="Arial Narrow" w:cs="Book Antiqua"/>
    </w:rPr>
  </w:style>
  <w:style w:type="paragraph" w:customStyle="1" w:styleId="Odsek">
    <w:name w:val="Odsek"/>
    <w:basedOn w:val="Normlny"/>
    <w:link w:val="OdsekChar"/>
    <w:qFormat/>
    <w:rsid w:val="006328EE"/>
    <w:pPr>
      <w:spacing w:after="240"/>
      <w:jc w:val="both"/>
    </w:pPr>
  </w:style>
  <w:style w:type="character" w:customStyle="1" w:styleId="OdsekChar">
    <w:name w:val="Odsek Char"/>
    <w:basedOn w:val="Predvolenpsmoodseku"/>
    <w:link w:val="Odsek"/>
    <w:rsid w:val="006328EE"/>
    <w:rPr>
      <w:rFonts w:ascii="Arial Narrow" w:hAnsi="Arial Narrow" w:cs="Book Antiqua"/>
    </w:rPr>
  </w:style>
  <w:style w:type="paragraph" w:customStyle="1" w:styleId="poznmka">
    <w:name w:val="poznámka"/>
    <w:basedOn w:val="Normlny"/>
    <w:link w:val="poznmkaChar"/>
    <w:qFormat/>
    <w:rsid w:val="006328EE"/>
    <w:pPr>
      <w:spacing w:before="40"/>
      <w:jc w:val="right"/>
    </w:pPr>
    <w:rPr>
      <w:rFonts w:cs="Arial Narrow"/>
      <w:i/>
      <w:iCs/>
      <w:sz w:val="16"/>
      <w:szCs w:val="16"/>
    </w:rPr>
  </w:style>
  <w:style w:type="character" w:customStyle="1" w:styleId="poznmkaChar">
    <w:name w:val="poznámka Char"/>
    <w:basedOn w:val="Predvolenpsmoodseku"/>
    <w:link w:val="poznmka"/>
    <w:rsid w:val="006328EE"/>
    <w:rPr>
      <w:rFonts w:ascii="Arial Narrow" w:hAnsi="Arial Narrow" w:cs="Arial Narrow"/>
      <w:i/>
      <w:iCs/>
      <w:sz w:val="16"/>
      <w:szCs w:val="16"/>
    </w:rPr>
  </w:style>
  <w:style w:type="paragraph" w:customStyle="1" w:styleId="Tabuka">
    <w:name w:val="Tabuľka"/>
    <w:basedOn w:val="Normlny"/>
    <w:qFormat/>
    <w:rsid w:val="0068465B"/>
    <w:pPr>
      <w:pBdr>
        <w:top w:val="nil"/>
        <w:left w:val="nil"/>
        <w:bottom w:val="nil"/>
        <w:right w:val="nil"/>
        <w:between w:val="nil"/>
        <w:bar w:val="nil"/>
      </w:pBdr>
      <w:spacing w:after="200"/>
    </w:pPr>
    <w:rPr>
      <w:rFonts w:eastAsia="Arial Narrow" w:cs="Arial Narrow"/>
      <w:b/>
      <w:bCs/>
      <w:color w:val="2C9ADC" w:themeColor="accent1"/>
      <w:sz w:val="20"/>
      <w:szCs w:val="20"/>
      <w:bdr w:val="nil"/>
    </w:rPr>
  </w:style>
  <w:style w:type="paragraph" w:customStyle="1" w:styleId="Box">
    <w:name w:val="Box"/>
    <w:qFormat/>
    <w:rsid w:val="00DF662D"/>
    <w:pPr>
      <w:spacing w:before="120" w:after="240"/>
    </w:pPr>
    <w:rPr>
      <w:rFonts w:ascii="Arial Narrow" w:eastAsiaTheme="majorEastAsia" w:hAnsi="Arial Narrow" w:cstheme="majorBidi"/>
      <w:b/>
      <w:bCs/>
      <w:sz w:val="20"/>
      <w:szCs w:val="36"/>
      <w:lang w:eastAsia="en-US"/>
    </w:rPr>
  </w:style>
  <w:style w:type="paragraph" w:customStyle="1" w:styleId="Graf">
    <w:name w:val="Graf"/>
    <w:qFormat/>
    <w:rsid w:val="00DF662D"/>
    <w:pPr>
      <w:spacing w:after="200" w:line="276" w:lineRule="auto"/>
    </w:pPr>
    <w:rPr>
      <w:rFonts w:ascii="Arial Narrow" w:eastAsia="Arial Narrow" w:hAnsi="Arial Narrow" w:cs="Arial Narrow"/>
      <w:b/>
      <w:bCs/>
      <w:color w:val="2C9ADC" w:themeColor="accent1"/>
      <w:sz w:val="20"/>
      <w:szCs w:val="36"/>
      <w:lang w:eastAsia="en-US"/>
    </w:rPr>
  </w:style>
  <w:style w:type="paragraph" w:styleId="Zoznamobrzkov">
    <w:name w:val="table of figures"/>
    <w:basedOn w:val="Normlny"/>
    <w:next w:val="Normlny"/>
    <w:uiPriority w:val="99"/>
    <w:unhideWhenUsed/>
    <w:rsid w:val="00D26CC2"/>
  </w:style>
  <w:style w:type="table" w:customStyle="1" w:styleId="UHPGRAF">
    <w:name w:val="UHP_GRAF"/>
    <w:basedOn w:val="Normlnatabuka"/>
    <w:uiPriority w:val="99"/>
    <w:rsid w:val="00255686"/>
    <w:pPr>
      <w:spacing w:before="160"/>
      <w:contextualSpacing/>
      <w:jc w:val="both"/>
    </w:pPr>
    <w:rPr>
      <w:rFonts w:ascii="Arial Narrow" w:eastAsiaTheme="minorHAnsi" w:hAnsi="Arial Narrow" w:cstheme="minorBidi"/>
      <w:sz w:val="20"/>
      <w:szCs w:val="20"/>
    </w:rPr>
    <w:tblPr>
      <w:tblBorders>
        <w:bottom w:val="single" w:sz="4" w:space="0" w:color="auto"/>
      </w:tblBorders>
    </w:tblPr>
    <w:tcPr>
      <w:vAlign w:val="center"/>
    </w:tcPr>
    <w:tblStylePr w:type="firstRow">
      <w:pPr>
        <w:jc w:val="left"/>
      </w:pPr>
      <w:rPr>
        <w:rFonts w:ascii="Arial Narrow" w:hAnsi="Arial Narrow" w:hint="default"/>
        <w:b/>
        <w:i w:val="0"/>
        <w:iCs/>
        <w:sz w:val="20"/>
        <w:szCs w:val="20"/>
      </w:rPr>
      <w:tblPr/>
      <w:tcPr>
        <w:tcBorders>
          <w:top w:val="nil"/>
          <w:left w:val="nil"/>
          <w:bottom w:val="single" w:sz="4" w:space="0" w:color="auto"/>
          <w:right w:val="nil"/>
          <w:insideH w:val="nil"/>
          <w:insideV w:val="nil"/>
          <w:tl2br w:val="nil"/>
          <w:tr2bl w:val="nil"/>
        </w:tcBorders>
        <w:vAlign w:val="center"/>
      </w:tcPr>
    </w:tblStylePr>
    <w:tblStylePr w:type="lastRow">
      <w:pPr>
        <w:jc w:val="right"/>
      </w:pPr>
      <w:rPr>
        <w:b w:val="0"/>
        <w:i/>
        <w:color w:val="auto"/>
        <w:sz w:val="16"/>
        <w:szCs w:val="16"/>
      </w:rPr>
      <w:tblPr/>
      <w:tcPr>
        <w:tcBorders>
          <w:top w:val="single" w:sz="4" w:space="0" w:color="auto"/>
          <w:left w:val="nil"/>
          <w:bottom w:val="nil"/>
          <w:right w:val="nil"/>
          <w:insideH w:val="nil"/>
          <w:insideV w:val="nil"/>
          <w:tl2br w:val="nil"/>
          <w:tr2bl w:val="nil"/>
        </w:tcBorders>
      </w:tcPr>
    </w:tblStylePr>
    <w:tblStylePr w:type="firstCol">
      <w:rPr>
        <w:b/>
      </w:rPr>
      <w:tblPr/>
      <w:tcPr>
        <w:tcBorders>
          <w:top w:val="nil"/>
          <w:left w:val="nil"/>
          <w:bottom w:val="single" w:sz="4" w:space="0" w:color="auto"/>
          <w:right w:val="nil"/>
          <w:insideH w:val="nil"/>
          <w:insideV w:val="nil"/>
          <w:tl2br w:val="nil"/>
          <w:tr2bl w:val="nil"/>
        </w:tcBorders>
      </w:tcPr>
    </w:tblStylePr>
    <w:tblStylePr w:type="lastCol">
      <w:pPr>
        <w:jc w:val="right"/>
      </w:pPr>
      <w:rPr>
        <w:b/>
      </w:r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2">
    <w:name w:val="Char2"/>
    <w:basedOn w:val="Normlny"/>
    <w:link w:val="Odkaznapoznmkupodiarou"/>
    <w:uiPriority w:val="99"/>
    <w:rsid w:val="00204588"/>
    <w:pPr>
      <w:spacing w:line="240" w:lineRule="exact"/>
    </w:pPr>
    <w:rPr>
      <w:rFonts w:cs="Arial Narrow"/>
      <w:vertAlign w:val="superscript"/>
      <w:lang w:val="en-US" w:eastAsia="en-US"/>
    </w:rPr>
  </w:style>
  <w:style w:type="paragraph" w:customStyle="1" w:styleId="Telo">
    <w:name w:val="Telo"/>
    <w:rsid w:val="0020133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10956928">
      <w:bodyDiv w:val="1"/>
      <w:marLeft w:val="0"/>
      <w:marRight w:val="0"/>
      <w:marTop w:val="0"/>
      <w:marBottom w:val="0"/>
      <w:divBdr>
        <w:top w:val="none" w:sz="0" w:space="0" w:color="auto"/>
        <w:left w:val="none" w:sz="0" w:space="0" w:color="auto"/>
        <w:bottom w:val="none" w:sz="0" w:space="0" w:color="auto"/>
        <w:right w:val="none" w:sz="0" w:space="0" w:color="auto"/>
      </w:divBdr>
    </w:div>
    <w:div w:id="15664670">
      <w:bodyDiv w:val="1"/>
      <w:marLeft w:val="0"/>
      <w:marRight w:val="0"/>
      <w:marTop w:val="0"/>
      <w:marBottom w:val="0"/>
      <w:divBdr>
        <w:top w:val="none" w:sz="0" w:space="0" w:color="auto"/>
        <w:left w:val="none" w:sz="0" w:space="0" w:color="auto"/>
        <w:bottom w:val="none" w:sz="0" w:space="0" w:color="auto"/>
        <w:right w:val="none" w:sz="0" w:space="0" w:color="auto"/>
      </w:divBdr>
    </w:div>
    <w:div w:id="16465984">
      <w:bodyDiv w:val="1"/>
      <w:marLeft w:val="0"/>
      <w:marRight w:val="0"/>
      <w:marTop w:val="0"/>
      <w:marBottom w:val="0"/>
      <w:divBdr>
        <w:top w:val="none" w:sz="0" w:space="0" w:color="auto"/>
        <w:left w:val="none" w:sz="0" w:space="0" w:color="auto"/>
        <w:bottom w:val="none" w:sz="0" w:space="0" w:color="auto"/>
        <w:right w:val="none" w:sz="0" w:space="0" w:color="auto"/>
      </w:divBdr>
    </w:div>
    <w:div w:id="16975182">
      <w:bodyDiv w:val="1"/>
      <w:marLeft w:val="0"/>
      <w:marRight w:val="0"/>
      <w:marTop w:val="0"/>
      <w:marBottom w:val="0"/>
      <w:divBdr>
        <w:top w:val="none" w:sz="0" w:space="0" w:color="auto"/>
        <w:left w:val="none" w:sz="0" w:space="0" w:color="auto"/>
        <w:bottom w:val="none" w:sz="0" w:space="0" w:color="auto"/>
        <w:right w:val="none" w:sz="0" w:space="0" w:color="auto"/>
      </w:divBdr>
    </w:div>
    <w:div w:id="18313160">
      <w:bodyDiv w:val="1"/>
      <w:marLeft w:val="0"/>
      <w:marRight w:val="0"/>
      <w:marTop w:val="0"/>
      <w:marBottom w:val="0"/>
      <w:divBdr>
        <w:top w:val="none" w:sz="0" w:space="0" w:color="auto"/>
        <w:left w:val="none" w:sz="0" w:space="0" w:color="auto"/>
        <w:bottom w:val="none" w:sz="0" w:space="0" w:color="auto"/>
        <w:right w:val="none" w:sz="0" w:space="0" w:color="auto"/>
      </w:divBdr>
    </w:div>
    <w:div w:id="20204706">
      <w:bodyDiv w:val="1"/>
      <w:marLeft w:val="0"/>
      <w:marRight w:val="0"/>
      <w:marTop w:val="0"/>
      <w:marBottom w:val="0"/>
      <w:divBdr>
        <w:top w:val="none" w:sz="0" w:space="0" w:color="auto"/>
        <w:left w:val="none" w:sz="0" w:space="0" w:color="auto"/>
        <w:bottom w:val="none" w:sz="0" w:space="0" w:color="auto"/>
        <w:right w:val="none" w:sz="0" w:space="0" w:color="auto"/>
      </w:divBdr>
    </w:div>
    <w:div w:id="21515500">
      <w:bodyDiv w:val="1"/>
      <w:marLeft w:val="0"/>
      <w:marRight w:val="0"/>
      <w:marTop w:val="0"/>
      <w:marBottom w:val="0"/>
      <w:divBdr>
        <w:top w:val="none" w:sz="0" w:space="0" w:color="auto"/>
        <w:left w:val="none" w:sz="0" w:space="0" w:color="auto"/>
        <w:bottom w:val="none" w:sz="0" w:space="0" w:color="auto"/>
        <w:right w:val="none" w:sz="0" w:space="0" w:color="auto"/>
      </w:divBdr>
    </w:div>
    <w:div w:id="22630204">
      <w:bodyDiv w:val="1"/>
      <w:marLeft w:val="0"/>
      <w:marRight w:val="0"/>
      <w:marTop w:val="0"/>
      <w:marBottom w:val="0"/>
      <w:divBdr>
        <w:top w:val="none" w:sz="0" w:space="0" w:color="auto"/>
        <w:left w:val="none" w:sz="0" w:space="0" w:color="auto"/>
        <w:bottom w:val="none" w:sz="0" w:space="0" w:color="auto"/>
        <w:right w:val="none" w:sz="0" w:space="0" w:color="auto"/>
      </w:divBdr>
    </w:div>
    <w:div w:id="22942288">
      <w:bodyDiv w:val="1"/>
      <w:marLeft w:val="0"/>
      <w:marRight w:val="0"/>
      <w:marTop w:val="0"/>
      <w:marBottom w:val="0"/>
      <w:divBdr>
        <w:top w:val="none" w:sz="0" w:space="0" w:color="auto"/>
        <w:left w:val="none" w:sz="0" w:space="0" w:color="auto"/>
        <w:bottom w:val="none" w:sz="0" w:space="0" w:color="auto"/>
        <w:right w:val="none" w:sz="0" w:space="0" w:color="auto"/>
      </w:divBdr>
    </w:div>
    <w:div w:id="33502845">
      <w:bodyDiv w:val="1"/>
      <w:marLeft w:val="0"/>
      <w:marRight w:val="0"/>
      <w:marTop w:val="0"/>
      <w:marBottom w:val="0"/>
      <w:divBdr>
        <w:top w:val="none" w:sz="0" w:space="0" w:color="auto"/>
        <w:left w:val="none" w:sz="0" w:space="0" w:color="auto"/>
        <w:bottom w:val="none" w:sz="0" w:space="0" w:color="auto"/>
        <w:right w:val="none" w:sz="0" w:space="0" w:color="auto"/>
      </w:divBdr>
    </w:div>
    <w:div w:id="40401397">
      <w:bodyDiv w:val="1"/>
      <w:marLeft w:val="0"/>
      <w:marRight w:val="0"/>
      <w:marTop w:val="0"/>
      <w:marBottom w:val="0"/>
      <w:divBdr>
        <w:top w:val="none" w:sz="0" w:space="0" w:color="auto"/>
        <w:left w:val="none" w:sz="0" w:space="0" w:color="auto"/>
        <w:bottom w:val="none" w:sz="0" w:space="0" w:color="auto"/>
        <w:right w:val="none" w:sz="0" w:space="0" w:color="auto"/>
      </w:divBdr>
    </w:div>
    <w:div w:id="48958927">
      <w:bodyDiv w:val="1"/>
      <w:marLeft w:val="0"/>
      <w:marRight w:val="0"/>
      <w:marTop w:val="0"/>
      <w:marBottom w:val="0"/>
      <w:divBdr>
        <w:top w:val="none" w:sz="0" w:space="0" w:color="auto"/>
        <w:left w:val="none" w:sz="0" w:space="0" w:color="auto"/>
        <w:bottom w:val="none" w:sz="0" w:space="0" w:color="auto"/>
        <w:right w:val="none" w:sz="0" w:space="0" w:color="auto"/>
      </w:divBdr>
    </w:div>
    <w:div w:id="51539918">
      <w:bodyDiv w:val="1"/>
      <w:marLeft w:val="0"/>
      <w:marRight w:val="0"/>
      <w:marTop w:val="0"/>
      <w:marBottom w:val="0"/>
      <w:divBdr>
        <w:top w:val="none" w:sz="0" w:space="0" w:color="auto"/>
        <w:left w:val="none" w:sz="0" w:space="0" w:color="auto"/>
        <w:bottom w:val="none" w:sz="0" w:space="0" w:color="auto"/>
        <w:right w:val="none" w:sz="0" w:space="0" w:color="auto"/>
      </w:divBdr>
    </w:div>
    <w:div w:id="55905360">
      <w:bodyDiv w:val="1"/>
      <w:marLeft w:val="0"/>
      <w:marRight w:val="0"/>
      <w:marTop w:val="0"/>
      <w:marBottom w:val="0"/>
      <w:divBdr>
        <w:top w:val="none" w:sz="0" w:space="0" w:color="auto"/>
        <w:left w:val="none" w:sz="0" w:space="0" w:color="auto"/>
        <w:bottom w:val="none" w:sz="0" w:space="0" w:color="auto"/>
        <w:right w:val="none" w:sz="0" w:space="0" w:color="auto"/>
      </w:divBdr>
    </w:div>
    <w:div w:id="60102444">
      <w:bodyDiv w:val="1"/>
      <w:marLeft w:val="0"/>
      <w:marRight w:val="0"/>
      <w:marTop w:val="0"/>
      <w:marBottom w:val="0"/>
      <w:divBdr>
        <w:top w:val="none" w:sz="0" w:space="0" w:color="auto"/>
        <w:left w:val="none" w:sz="0" w:space="0" w:color="auto"/>
        <w:bottom w:val="none" w:sz="0" w:space="0" w:color="auto"/>
        <w:right w:val="none" w:sz="0" w:space="0" w:color="auto"/>
      </w:divBdr>
    </w:div>
    <w:div w:id="72430727">
      <w:bodyDiv w:val="1"/>
      <w:marLeft w:val="0"/>
      <w:marRight w:val="0"/>
      <w:marTop w:val="0"/>
      <w:marBottom w:val="0"/>
      <w:divBdr>
        <w:top w:val="none" w:sz="0" w:space="0" w:color="auto"/>
        <w:left w:val="none" w:sz="0" w:space="0" w:color="auto"/>
        <w:bottom w:val="none" w:sz="0" w:space="0" w:color="auto"/>
        <w:right w:val="none" w:sz="0" w:space="0" w:color="auto"/>
      </w:divBdr>
    </w:div>
    <w:div w:id="81222929">
      <w:bodyDiv w:val="1"/>
      <w:marLeft w:val="0"/>
      <w:marRight w:val="0"/>
      <w:marTop w:val="0"/>
      <w:marBottom w:val="0"/>
      <w:divBdr>
        <w:top w:val="none" w:sz="0" w:space="0" w:color="auto"/>
        <w:left w:val="none" w:sz="0" w:space="0" w:color="auto"/>
        <w:bottom w:val="none" w:sz="0" w:space="0" w:color="auto"/>
        <w:right w:val="none" w:sz="0" w:space="0" w:color="auto"/>
      </w:divBdr>
    </w:div>
    <w:div w:id="88280920">
      <w:bodyDiv w:val="1"/>
      <w:marLeft w:val="0"/>
      <w:marRight w:val="0"/>
      <w:marTop w:val="0"/>
      <w:marBottom w:val="0"/>
      <w:divBdr>
        <w:top w:val="none" w:sz="0" w:space="0" w:color="auto"/>
        <w:left w:val="none" w:sz="0" w:space="0" w:color="auto"/>
        <w:bottom w:val="none" w:sz="0" w:space="0" w:color="auto"/>
        <w:right w:val="none" w:sz="0" w:space="0" w:color="auto"/>
      </w:divBdr>
    </w:div>
    <w:div w:id="89474278">
      <w:bodyDiv w:val="1"/>
      <w:marLeft w:val="0"/>
      <w:marRight w:val="0"/>
      <w:marTop w:val="0"/>
      <w:marBottom w:val="0"/>
      <w:divBdr>
        <w:top w:val="none" w:sz="0" w:space="0" w:color="auto"/>
        <w:left w:val="none" w:sz="0" w:space="0" w:color="auto"/>
        <w:bottom w:val="none" w:sz="0" w:space="0" w:color="auto"/>
        <w:right w:val="none" w:sz="0" w:space="0" w:color="auto"/>
      </w:divBdr>
    </w:div>
    <w:div w:id="92484051">
      <w:bodyDiv w:val="1"/>
      <w:marLeft w:val="0"/>
      <w:marRight w:val="0"/>
      <w:marTop w:val="0"/>
      <w:marBottom w:val="0"/>
      <w:divBdr>
        <w:top w:val="none" w:sz="0" w:space="0" w:color="auto"/>
        <w:left w:val="none" w:sz="0" w:space="0" w:color="auto"/>
        <w:bottom w:val="none" w:sz="0" w:space="0" w:color="auto"/>
        <w:right w:val="none" w:sz="0" w:space="0" w:color="auto"/>
      </w:divBdr>
    </w:div>
    <w:div w:id="93936911">
      <w:bodyDiv w:val="1"/>
      <w:marLeft w:val="0"/>
      <w:marRight w:val="0"/>
      <w:marTop w:val="0"/>
      <w:marBottom w:val="0"/>
      <w:divBdr>
        <w:top w:val="none" w:sz="0" w:space="0" w:color="auto"/>
        <w:left w:val="none" w:sz="0" w:space="0" w:color="auto"/>
        <w:bottom w:val="none" w:sz="0" w:space="0" w:color="auto"/>
        <w:right w:val="none" w:sz="0" w:space="0" w:color="auto"/>
      </w:divBdr>
    </w:div>
    <w:div w:id="97801972">
      <w:bodyDiv w:val="1"/>
      <w:marLeft w:val="0"/>
      <w:marRight w:val="0"/>
      <w:marTop w:val="0"/>
      <w:marBottom w:val="0"/>
      <w:divBdr>
        <w:top w:val="none" w:sz="0" w:space="0" w:color="auto"/>
        <w:left w:val="none" w:sz="0" w:space="0" w:color="auto"/>
        <w:bottom w:val="none" w:sz="0" w:space="0" w:color="auto"/>
        <w:right w:val="none" w:sz="0" w:space="0" w:color="auto"/>
      </w:divBdr>
    </w:div>
    <w:div w:id="107504342">
      <w:bodyDiv w:val="1"/>
      <w:marLeft w:val="0"/>
      <w:marRight w:val="0"/>
      <w:marTop w:val="0"/>
      <w:marBottom w:val="0"/>
      <w:divBdr>
        <w:top w:val="none" w:sz="0" w:space="0" w:color="auto"/>
        <w:left w:val="none" w:sz="0" w:space="0" w:color="auto"/>
        <w:bottom w:val="none" w:sz="0" w:space="0" w:color="auto"/>
        <w:right w:val="none" w:sz="0" w:space="0" w:color="auto"/>
      </w:divBdr>
    </w:div>
    <w:div w:id="113180736">
      <w:bodyDiv w:val="1"/>
      <w:marLeft w:val="0"/>
      <w:marRight w:val="0"/>
      <w:marTop w:val="0"/>
      <w:marBottom w:val="0"/>
      <w:divBdr>
        <w:top w:val="none" w:sz="0" w:space="0" w:color="auto"/>
        <w:left w:val="none" w:sz="0" w:space="0" w:color="auto"/>
        <w:bottom w:val="none" w:sz="0" w:space="0" w:color="auto"/>
        <w:right w:val="none" w:sz="0" w:space="0" w:color="auto"/>
      </w:divBdr>
    </w:div>
    <w:div w:id="114059592">
      <w:bodyDiv w:val="1"/>
      <w:marLeft w:val="0"/>
      <w:marRight w:val="0"/>
      <w:marTop w:val="0"/>
      <w:marBottom w:val="0"/>
      <w:divBdr>
        <w:top w:val="none" w:sz="0" w:space="0" w:color="auto"/>
        <w:left w:val="none" w:sz="0" w:space="0" w:color="auto"/>
        <w:bottom w:val="none" w:sz="0" w:space="0" w:color="auto"/>
        <w:right w:val="none" w:sz="0" w:space="0" w:color="auto"/>
      </w:divBdr>
    </w:div>
    <w:div w:id="116490131">
      <w:bodyDiv w:val="1"/>
      <w:marLeft w:val="0"/>
      <w:marRight w:val="0"/>
      <w:marTop w:val="0"/>
      <w:marBottom w:val="0"/>
      <w:divBdr>
        <w:top w:val="none" w:sz="0" w:space="0" w:color="auto"/>
        <w:left w:val="none" w:sz="0" w:space="0" w:color="auto"/>
        <w:bottom w:val="none" w:sz="0" w:space="0" w:color="auto"/>
        <w:right w:val="none" w:sz="0" w:space="0" w:color="auto"/>
      </w:divBdr>
    </w:div>
    <w:div w:id="128014206">
      <w:bodyDiv w:val="1"/>
      <w:marLeft w:val="0"/>
      <w:marRight w:val="0"/>
      <w:marTop w:val="0"/>
      <w:marBottom w:val="0"/>
      <w:divBdr>
        <w:top w:val="none" w:sz="0" w:space="0" w:color="auto"/>
        <w:left w:val="none" w:sz="0" w:space="0" w:color="auto"/>
        <w:bottom w:val="none" w:sz="0" w:space="0" w:color="auto"/>
        <w:right w:val="none" w:sz="0" w:space="0" w:color="auto"/>
      </w:divBdr>
    </w:div>
    <w:div w:id="128982333">
      <w:bodyDiv w:val="1"/>
      <w:marLeft w:val="0"/>
      <w:marRight w:val="0"/>
      <w:marTop w:val="0"/>
      <w:marBottom w:val="0"/>
      <w:divBdr>
        <w:top w:val="none" w:sz="0" w:space="0" w:color="auto"/>
        <w:left w:val="none" w:sz="0" w:space="0" w:color="auto"/>
        <w:bottom w:val="none" w:sz="0" w:space="0" w:color="auto"/>
        <w:right w:val="none" w:sz="0" w:space="0" w:color="auto"/>
      </w:divBdr>
    </w:div>
    <w:div w:id="132253830">
      <w:bodyDiv w:val="1"/>
      <w:marLeft w:val="0"/>
      <w:marRight w:val="0"/>
      <w:marTop w:val="0"/>
      <w:marBottom w:val="0"/>
      <w:divBdr>
        <w:top w:val="none" w:sz="0" w:space="0" w:color="auto"/>
        <w:left w:val="none" w:sz="0" w:space="0" w:color="auto"/>
        <w:bottom w:val="none" w:sz="0" w:space="0" w:color="auto"/>
        <w:right w:val="none" w:sz="0" w:space="0" w:color="auto"/>
      </w:divBdr>
    </w:div>
    <w:div w:id="139005014">
      <w:bodyDiv w:val="1"/>
      <w:marLeft w:val="0"/>
      <w:marRight w:val="0"/>
      <w:marTop w:val="0"/>
      <w:marBottom w:val="0"/>
      <w:divBdr>
        <w:top w:val="none" w:sz="0" w:space="0" w:color="auto"/>
        <w:left w:val="none" w:sz="0" w:space="0" w:color="auto"/>
        <w:bottom w:val="none" w:sz="0" w:space="0" w:color="auto"/>
        <w:right w:val="none" w:sz="0" w:space="0" w:color="auto"/>
      </w:divBdr>
    </w:div>
    <w:div w:id="147092668">
      <w:bodyDiv w:val="1"/>
      <w:marLeft w:val="0"/>
      <w:marRight w:val="0"/>
      <w:marTop w:val="0"/>
      <w:marBottom w:val="0"/>
      <w:divBdr>
        <w:top w:val="none" w:sz="0" w:space="0" w:color="auto"/>
        <w:left w:val="none" w:sz="0" w:space="0" w:color="auto"/>
        <w:bottom w:val="none" w:sz="0" w:space="0" w:color="auto"/>
        <w:right w:val="none" w:sz="0" w:space="0" w:color="auto"/>
      </w:divBdr>
    </w:div>
    <w:div w:id="150414977">
      <w:bodyDiv w:val="1"/>
      <w:marLeft w:val="0"/>
      <w:marRight w:val="0"/>
      <w:marTop w:val="0"/>
      <w:marBottom w:val="0"/>
      <w:divBdr>
        <w:top w:val="none" w:sz="0" w:space="0" w:color="auto"/>
        <w:left w:val="none" w:sz="0" w:space="0" w:color="auto"/>
        <w:bottom w:val="none" w:sz="0" w:space="0" w:color="auto"/>
        <w:right w:val="none" w:sz="0" w:space="0" w:color="auto"/>
      </w:divBdr>
    </w:div>
    <w:div w:id="154301417">
      <w:bodyDiv w:val="1"/>
      <w:marLeft w:val="0"/>
      <w:marRight w:val="0"/>
      <w:marTop w:val="0"/>
      <w:marBottom w:val="0"/>
      <w:divBdr>
        <w:top w:val="none" w:sz="0" w:space="0" w:color="auto"/>
        <w:left w:val="none" w:sz="0" w:space="0" w:color="auto"/>
        <w:bottom w:val="none" w:sz="0" w:space="0" w:color="auto"/>
        <w:right w:val="none" w:sz="0" w:space="0" w:color="auto"/>
      </w:divBdr>
    </w:div>
    <w:div w:id="157111221">
      <w:bodyDiv w:val="1"/>
      <w:marLeft w:val="0"/>
      <w:marRight w:val="0"/>
      <w:marTop w:val="0"/>
      <w:marBottom w:val="0"/>
      <w:divBdr>
        <w:top w:val="none" w:sz="0" w:space="0" w:color="auto"/>
        <w:left w:val="none" w:sz="0" w:space="0" w:color="auto"/>
        <w:bottom w:val="none" w:sz="0" w:space="0" w:color="auto"/>
        <w:right w:val="none" w:sz="0" w:space="0" w:color="auto"/>
      </w:divBdr>
    </w:div>
    <w:div w:id="157841636">
      <w:bodyDiv w:val="1"/>
      <w:marLeft w:val="0"/>
      <w:marRight w:val="0"/>
      <w:marTop w:val="0"/>
      <w:marBottom w:val="0"/>
      <w:divBdr>
        <w:top w:val="none" w:sz="0" w:space="0" w:color="auto"/>
        <w:left w:val="none" w:sz="0" w:space="0" w:color="auto"/>
        <w:bottom w:val="none" w:sz="0" w:space="0" w:color="auto"/>
        <w:right w:val="none" w:sz="0" w:space="0" w:color="auto"/>
      </w:divBdr>
    </w:div>
    <w:div w:id="157963176">
      <w:bodyDiv w:val="1"/>
      <w:marLeft w:val="0"/>
      <w:marRight w:val="0"/>
      <w:marTop w:val="0"/>
      <w:marBottom w:val="0"/>
      <w:divBdr>
        <w:top w:val="none" w:sz="0" w:space="0" w:color="auto"/>
        <w:left w:val="none" w:sz="0" w:space="0" w:color="auto"/>
        <w:bottom w:val="none" w:sz="0" w:space="0" w:color="auto"/>
        <w:right w:val="none" w:sz="0" w:space="0" w:color="auto"/>
      </w:divBdr>
    </w:div>
    <w:div w:id="161434754">
      <w:bodyDiv w:val="1"/>
      <w:marLeft w:val="0"/>
      <w:marRight w:val="0"/>
      <w:marTop w:val="0"/>
      <w:marBottom w:val="0"/>
      <w:divBdr>
        <w:top w:val="none" w:sz="0" w:space="0" w:color="auto"/>
        <w:left w:val="none" w:sz="0" w:space="0" w:color="auto"/>
        <w:bottom w:val="none" w:sz="0" w:space="0" w:color="auto"/>
        <w:right w:val="none" w:sz="0" w:space="0" w:color="auto"/>
      </w:divBdr>
    </w:div>
    <w:div w:id="163515948">
      <w:bodyDiv w:val="1"/>
      <w:marLeft w:val="0"/>
      <w:marRight w:val="0"/>
      <w:marTop w:val="0"/>
      <w:marBottom w:val="0"/>
      <w:divBdr>
        <w:top w:val="none" w:sz="0" w:space="0" w:color="auto"/>
        <w:left w:val="none" w:sz="0" w:space="0" w:color="auto"/>
        <w:bottom w:val="none" w:sz="0" w:space="0" w:color="auto"/>
        <w:right w:val="none" w:sz="0" w:space="0" w:color="auto"/>
      </w:divBdr>
    </w:div>
    <w:div w:id="163596486">
      <w:bodyDiv w:val="1"/>
      <w:marLeft w:val="0"/>
      <w:marRight w:val="0"/>
      <w:marTop w:val="0"/>
      <w:marBottom w:val="0"/>
      <w:divBdr>
        <w:top w:val="none" w:sz="0" w:space="0" w:color="auto"/>
        <w:left w:val="none" w:sz="0" w:space="0" w:color="auto"/>
        <w:bottom w:val="none" w:sz="0" w:space="0" w:color="auto"/>
        <w:right w:val="none" w:sz="0" w:space="0" w:color="auto"/>
      </w:divBdr>
    </w:div>
    <w:div w:id="164441627">
      <w:bodyDiv w:val="1"/>
      <w:marLeft w:val="0"/>
      <w:marRight w:val="0"/>
      <w:marTop w:val="0"/>
      <w:marBottom w:val="0"/>
      <w:divBdr>
        <w:top w:val="none" w:sz="0" w:space="0" w:color="auto"/>
        <w:left w:val="none" w:sz="0" w:space="0" w:color="auto"/>
        <w:bottom w:val="none" w:sz="0" w:space="0" w:color="auto"/>
        <w:right w:val="none" w:sz="0" w:space="0" w:color="auto"/>
      </w:divBdr>
    </w:div>
    <w:div w:id="165169640">
      <w:bodyDiv w:val="1"/>
      <w:marLeft w:val="0"/>
      <w:marRight w:val="0"/>
      <w:marTop w:val="0"/>
      <w:marBottom w:val="0"/>
      <w:divBdr>
        <w:top w:val="none" w:sz="0" w:space="0" w:color="auto"/>
        <w:left w:val="none" w:sz="0" w:space="0" w:color="auto"/>
        <w:bottom w:val="none" w:sz="0" w:space="0" w:color="auto"/>
        <w:right w:val="none" w:sz="0" w:space="0" w:color="auto"/>
      </w:divBdr>
    </w:div>
    <w:div w:id="165171706">
      <w:bodyDiv w:val="1"/>
      <w:marLeft w:val="0"/>
      <w:marRight w:val="0"/>
      <w:marTop w:val="0"/>
      <w:marBottom w:val="0"/>
      <w:divBdr>
        <w:top w:val="none" w:sz="0" w:space="0" w:color="auto"/>
        <w:left w:val="none" w:sz="0" w:space="0" w:color="auto"/>
        <w:bottom w:val="none" w:sz="0" w:space="0" w:color="auto"/>
        <w:right w:val="none" w:sz="0" w:space="0" w:color="auto"/>
      </w:divBdr>
    </w:div>
    <w:div w:id="172380167">
      <w:bodyDiv w:val="1"/>
      <w:marLeft w:val="0"/>
      <w:marRight w:val="0"/>
      <w:marTop w:val="0"/>
      <w:marBottom w:val="0"/>
      <w:divBdr>
        <w:top w:val="none" w:sz="0" w:space="0" w:color="auto"/>
        <w:left w:val="none" w:sz="0" w:space="0" w:color="auto"/>
        <w:bottom w:val="none" w:sz="0" w:space="0" w:color="auto"/>
        <w:right w:val="none" w:sz="0" w:space="0" w:color="auto"/>
      </w:divBdr>
    </w:div>
    <w:div w:id="176040823">
      <w:bodyDiv w:val="1"/>
      <w:marLeft w:val="0"/>
      <w:marRight w:val="0"/>
      <w:marTop w:val="0"/>
      <w:marBottom w:val="0"/>
      <w:divBdr>
        <w:top w:val="none" w:sz="0" w:space="0" w:color="auto"/>
        <w:left w:val="none" w:sz="0" w:space="0" w:color="auto"/>
        <w:bottom w:val="none" w:sz="0" w:space="0" w:color="auto"/>
        <w:right w:val="none" w:sz="0" w:space="0" w:color="auto"/>
      </w:divBdr>
    </w:div>
    <w:div w:id="180824052">
      <w:bodyDiv w:val="1"/>
      <w:marLeft w:val="0"/>
      <w:marRight w:val="0"/>
      <w:marTop w:val="0"/>
      <w:marBottom w:val="0"/>
      <w:divBdr>
        <w:top w:val="none" w:sz="0" w:space="0" w:color="auto"/>
        <w:left w:val="none" w:sz="0" w:space="0" w:color="auto"/>
        <w:bottom w:val="none" w:sz="0" w:space="0" w:color="auto"/>
        <w:right w:val="none" w:sz="0" w:space="0" w:color="auto"/>
      </w:divBdr>
    </w:div>
    <w:div w:id="181747696">
      <w:bodyDiv w:val="1"/>
      <w:marLeft w:val="0"/>
      <w:marRight w:val="0"/>
      <w:marTop w:val="0"/>
      <w:marBottom w:val="0"/>
      <w:divBdr>
        <w:top w:val="none" w:sz="0" w:space="0" w:color="auto"/>
        <w:left w:val="none" w:sz="0" w:space="0" w:color="auto"/>
        <w:bottom w:val="none" w:sz="0" w:space="0" w:color="auto"/>
        <w:right w:val="none" w:sz="0" w:space="0" w:color="auto"/>
      </w:divBdr>
    </w:div>
    <w:div w:id="189999180">
      <w:bodyDiv w:val="1"/>
      <w:marLeft w:val="0"/>
      <w:marRight w:val="0"/>
      <w:marTop w:val="0"/>
      <w:marBottom w:val="0"/>
      <w:divBdr>
        <w:top w:val="none" w:sz="0" w:space="0" w:color="auto"/>
        <w:left w:val="none" w:sz="0" w:space="0" w:color="auto"/>
        <w:bottom w:val="none" w:sz="0" w:space="0" w:color="auto"/>
        <w:right w:val="none" w:sz="0" w:space="0" w:color="auto"/>
      </w:divBdr>
    </w:div>
    <w:div w:id="190187811">
      <w:bodyDiv w:val="1"/>
      <w:marLeft w:val="0"/>
      <w:marRight w:val="0"/>
      <w:marTop w:val="0"/>
      <w:marBottom w:val="0"/>
      <w:divBdr>
        <w:top w:val="none" w:sz="0" w:space="0" w:color="auto"/>
        <w:left w:val="none" w:sz="0" w:space="0" w:color="auto"/>
        <w:bottom w:val="none" w:sz="0" w:space="0" w:color="auto"/>
        <w:right w:val="none" w:sz="0" w:space="0" w:color="auto"/>
      </w:divBdr>
    </w:div>
    <w:div w:id="192110579">
      <w:bodyDiv w:val="1"/>
      <w:marLeft w:val="0"/>
      <w:marRight w:val="0"/>
      <w:marTop w:val="0"/>
      <w:marBottom w:val="0"/>
      <w:divBdr>
        <w:top w:val="none" w:sz="0" w:space="0" w:color="auto"/>
        <w:left w:val="none" w:sz="0" w:space="0" w:color="auto"/>
        <w:bottom w:val="none" w:sz="0" w:space="0" w:color="auto"/>
        <w:right w:val="none" w:sz="0" w:space="0" w:color="auto"/>
      </w:divBdr>
    </w:div>
    <w:div w:id="194004495">
      <w:bodyDiv w:val="1"/>
      <w:marLeft w:val="0"/>
      <w:marRight w:val="0"/>
      <w:marTop w:val="0"/>
      <w:marBottom w:val="0"/>
      <w:divBdr>
        <w:top w:val="none" w:sz="0" w:space="0" w:color="auto"/>
        <w:left w:val="none" w:sz="0" w:space="0" w:color="auto"/>
        <w:bottom w:val="none" w:sz="0" w:space="0" w:color="auto"/>
        <w:right w:val="none" w:sz="0" w:space="0" w:color="auto"/>
      </w:divBdr>
    </w:div>
    <w:div w:id="206112529">
      <w:bodyDiv w:val="1"/>
      <w:marLeft w:val="0"/>
      <w:marRight w:val="0"/>
      <w:marTop w:val="0"/>
      <w:marBottom w:val="0"/>
      <w:divBdr>
        <w:top w:val="none" w:sz="0" w:space="0" w:color="auto"/>
        <w:left w:val="none" w:sz="0" w:space="0" w:color="auto"/>
        <w:bottom w:val="none" w:sz="0" w:space="0" w:color="auto"/>
        <w:right w:val="none" w:sz="0" w:space="0" w:color="auto"/>
      </w:divBdr>
    </w:div>
    <w:div w:id="229078720">
      <w:bodyDiv w:val="1"/>
      <w:marLeft w:val="0"/>
      <w:marRight w:val="0"/>
      <w:marTop w:val="0"/>
      <w:marBottom w:val="0"/>
      <w:divBdr>
        <w:top w:val="none" w:sz="0" w:space="0" w:color="auto"/>
        <w:left w:val="none" w:sz="0" w:space="0" w:color="auto"/>
        <w:bottom w:val="none" w:sz="0" w:space="0" w:color="auto"/>
        <w:right w:val="none" w:sz="0" w:space="0" w:color="auto"/>
      </w:divBdr>
    </w:div>
    <w:div w:id="233273456">
      <w:bodyDiv w:val="1"/>
      <w:marLeft w:val="0"/>
      <w:marRight w:val="0"/>
      <w:marTop w:val="0"/>
      <w:marBottom w:val="0"/>
      <w:divBdr>
        <w:top w:val="none" w:sz="0" w:space="0" w:color="auto"/>
        <w:left w:val="none" w:sz="0" w:space="0" w:color="auto"/>
        <w:bottom w:val="none" w:sz="0" w:space="0" w:color="auto"/>
        <w:right w:val="none" w:sz="0" w:space="0" w:color="auto"/>
      </w:divBdr>
    </w:div>
    <w:div w:id="233661787">
      <w:bodyDiv w:val="1"/>
      <w:marLeft w:val="0"/>
      <w:marRight w:val="0"/>
      <w:marTop w:val="0"/>
      <w:marBottom w:val="0"/>
      <w:divBdr>
        <w:top w:val="none" w:sz="0" w:space="0" w:color="auto"/>
        <w:left w:val="none" w:sz="0" w:space="0" w:color="auto"/>
        <w:bottom w:val="none" w:sz="0" w:space="0" w:color="auto"/>
        <w:right w:val="none" w:sz="0" w:space="0" w:color="auto"/>
      </w:divBdr>
    </w:div>
    <w:div w:id="234322020">
      <w:bodyDiv w:val="1"/>
      <w:marLeft w:val="0"/>
      <w:marRight w:val="0"/>
      <w:marTop w:val="0"/>
      <w:marBottom w:val="0"/>
      <w:divBdr>
        <w:top w:val="none" w:sz="0" w:space="0" w:color="auto"/>
        <w:left w:val="none" w:sz="0" w:space="0" w:color="auto"/>
        <w:bottom w:val="none" w:sz="0" w:space="0" w:color="auto"/>
        <w:right w:val="none" w:sz="0" w:space="0" w:color="auto"/>
      </w:divBdr>
    </w:div>
    <w:div w:id="237980878">
      <w:bodyDiv w:val="1"/>
      <w:marLeft w:val="0"/>
      <w:marRight w:val="0"/>
      <w:marTop w:val="0"/>
      <w:marBottom w:val="0"/>
      <w:divBdr>
        <w:top w:val="none" w:sz="0" w:space="0" w:color="auto"/>
        <w:left w:val="none" w:sz="0" w:space="0" w:color="auto"/>
        <w:bottom w:val="none" w:sz="0" w:space="0" w:color="auto"/>
        <w:right w:val="none" w:sz="0" w:space="0" w:color="auto"/>
      </w:divBdr>
      <w:divsChild>
        <w:div w:id="1924608905">
          <w:marLeft w:val="1987"/>
          <w:marRight w:val="0"/>
          <w:marTop w:val="240"/>
          <w:marBottom w:val="0"/>
          <w:divBdr>
            <w:top w:val="none" w:sz="0" w:space="0" w:color="auto"/>
            <w:left w:val="none" w:sz="0" w:space="0" w:color="auto"/>
            <w:bottom w:val="none" w:sz="0" w:space="0" w:color="auto"/>
            <w:right w:val="none" w:sz="0" w:space="0" w:color="auto"/>
          </w:divBdr>
        </w:div>
        <w:div w:id="929503235">
          <w:marLeft w:val="1987"/>
          <w:marRight w:val="0"/>
          <w:marTop w:val="240"/>
          <w:marBottom w:val="0"/>
          <w:divBdr>
            <w:top w:val="none" w:sz="0" w:space="0" w:color="auto"/>
            <w:left w:val="none" w:sz="0" w:space="0" w:color="auto"/>
            <w:bottom w:val="none" w:sz="0" w:space="0" w:color="auto"/>
            <w:right w:val="none" w:sz="0" w:space="0" w:color="auto"/>
          </w:divBdr>
        </w:div>
        <w:div w:id="1722706778">
          <w:marLeft w:val="1987"/>
          <w:marRight w:val="0"/>
          <w:marTop w:val="240"/>
          <w:marBottom w:val="0"/>
          <w:divBdr>
            <w:top w:val="none" w:sz="0" w:space="0" w:color="auto"/>
            <w:left w:val="none" w:sz="0" w:space="0" w:color="auto"/>
            <w:bottom w:val="none" w:sz="0" w:space="0" w:color="auto"/>
            <w:right w:val="none" w:sz="0" w:space="0" w:color="auto"/>
          </w:divBdr>
        </w:div>
      </w:divsChild>
    </w:div>
    <w:div w:id="238101434">
      <w:bodyDiv w:val="1"/>
      <w:marLeft w:val="0"/>
      <w:marRight w:val="0"/>
      <w:marTop w:val="0"/>
      <w:marBottom w:val="0"/>
      <w:divBdr>
        <w:top w:val="none" w:sz="0" w:space="0" w:color="auto"/>
        <w:left w:val="none" w:sz="0" w:space="0" w:color="auto"/>
        <w:bottom w:val="none" w:sz="0" w:space="0" w:color="auto"/>
        <w:right w:val="none" w:sz="0" w:space="0" w:color="auto"/>
      </w:divBdr>
    </w:div>
    <w:div w:id="243415830">
      <w:bodyDiv w:val="1"/>
      <w:marLeft w:val="0"/>
      <w:marRight w:val="0"/>
      <w:marTop w:val="0"/>
      <w:marBottom w:val="0"/>
      <w:divBdr>
        <w:top w:val="none" w:sz="0" w:space="0" w:color="auto"/>
        <w:left w:val="none" w:sz="0" w:space="0" w:color="auto"/>
        <w:bottom w:val="none" w:sz="0" w:space="0" w:color="auto"/>
        <w:right w:val="none" w:sz="0" w:space="0" w:color="auto"/>
      </w:divBdr>
    </w:div>
    <w:div w:id="249244154">
      <w:bodyDiv w:val="1"/>
      <w:marLeft w:val="0"/>
      <w:marRight w:val="0"/>
      <w:marTop w:val="0"/>
      <w:marBottom w:val="0"/>
      <w:divBdr>
        <w:top w:val="none" w:sz="0" w:space="0" w:color="auto"/>
        <w:left w:val="none" w:sz="0" w:space="0" w:color="auto"/>
        <w:bottom w:val="none" w:sz="0" w:space="0" w:color="auto"/>
        <w:right w:val="none" w:sz="0" w:space="0" w:color="auto"/>
      </w:divBdr>
    </w:div>
    <w:div w:id="249504720">
      <w:bodyDiv w:val="1"/>
      <w:marLeft w:val="0"/>
      <w:marRight w:val="0"/>
      <w:marTop w:val="0"/>
      <w:marBottom w:val="0"/>
      <w:divBdr>
        <w:top w:val="none" w:sz="0" w:space="0" w:color="auto"/>
        <w:left w:val="none" w:sz="0" w:space="0" w:color="auto"/>
        <w:bottom w:val="none" w:sz="0" w:space="0" w:color="auto"/>
        <w:right w:val="none" w:sz="0" w:space="0" w:color="auto"/>
      </w:divBdr>
    </w:div>
    <w:div w:id="261302436">
      <w:bodyDiv w:val="1"/>
      <w:marLeft w:val="0"/>
      <w:marRight w:val="0"/>
      <w:marTop w:val="0"/>
      <w:marBottom w:val="0"/>
      <w:divBdr>
        <w:top w:val="none" w:sz="0" w:space="0" w:color="auto"/>
        <w:left w:val="none" w:sz="0" w:space="0" w:color="auto"/>
        <w:bottom w:val="none" w:sz="0" w:space="0" w:color="auto"/>
        <w:right w:val="none" w:sz="0" w:space="0" w:color="auto"/>
      </w:divBdr>
    </w:div>
    <w:div w:id="268856116">
      <w:bodyDiv w:val="1"/>
      <w:marLeft w:val="0"/>
      <w:marRight w:val="0"/>
      <w:marTop w:val="0"/>
      <w:marBottom w:val="0"/>
      <w:divBdr>
        <w:top w:val="none" w:sz="0" w:space="0" w:color="auto"/>
        <w:left w:val="none" w:sz="0" w:space="0" w:color="auto"/>
        <w:bottom w:val="none" w:sz="0" w:space="0" w:color="auto"/>
        <w:right w:val="none" w:sz="0" w:space="0" w:color="auto"/>
      </w:divBdr>
    </w:div>
    <w:div w:id="277756963">
      <w:bodyDiv w:val="1"/>
      <w:marLeft w:val="0"/>
      <w:marRight w:val="0"/>
      <w:marTop w:val="0"/>
      <w:marBottom w:val="0"/>
      <w:divBdr>
        <w:top w:val="none" w:sz="0" w:space="0" w:color="auto"/>
        <w:left w:val="none" w:sz="0" w:space="0" w:color="auto"/>
        <w:bottom w:val="none" w:sz="0" w:space="0" w:color="auto"/>
        <w:right w:val="none" w:sz="0" w:space="0" w:color="auto"/>
      </w:divBdr>
    </w:div>
    <w:div w:id="281807301">
      <w:bodyDiv w:val="1"/>
      <w:marLeft w:val="0"/>
      <w:marRight w:val="0"/>
      <w:marTop w:val="0"/>
      <w:marBottom w:val="0"/>
      <w:divBdr>
        <w:top w:val="none" w:sz="0" w:space="0" w:color="auto"/>
        <w:left w:val="none" w:sz="0" w:space="0" w:color="auto"/>
        <w:bottom w:val="none" w:sz="0" w:space="0" w:color="auto"/>
        <w:right w:val="none" w:sz="0" w:space="0" w:color="auto"/>
      </w:divBdr>
    </w:div>
    <w:div w:id="301541143">
      <w:bodyDiv w:val="1"/>
      <w:marLeft w:val="0"/>
      <w:marRight w:val="0"/>
      <w:marTop w:val="0"/>
      <w:marBottom w:val="0"/>
      <w:divBdr>
        <w:top w:val="none" w:sz="0" w:space="0" w:color="auto"/>
        <w:left w:val="none" w:sz="0" w:space="0" w:color="auto"/>
        <w:bottom w:val="none" w:sz="0" w:space="0" w:color="auto"/>
        <w:right w:val="none" w:sz="0" w:space="0" w:color="auto"/>
      </w:divBdr>
    </w:div>
    <w:div w:id="308362471">
      <w:bodyDiv w:val="1"/>
      <w:marLeft w:val="0"/>
      <w:marRight w:val="0"/>
      <w:marTop w:val="0"/>
      <w:marBottom w:val="0"/>
      <w:divBdr>
        <w:top w:val="none" w:sz="0" w:space="0" w:color="auto"/>
        <w:left w:val="none" w:sz="0" w:space="0" w:color="auto"/>
        <w:bottom w:val="none" w:sz="0" w:space="0" w:color="auto"/>
        <w:right w:val="none" w:sz="0" w:space="0" w:color="auto"/>
      </w:divBdr>
    </w:div>
    <w:div w:id="339308624">
      <w:bodyDiv w:val="1"/>
      <w:marLeft w:val="0"/>
      <w:marRight w:val="0"/>
      <w:marTop w:val="0"/>
      <w:marBottom w:val="0"/>
      <w:divBdr>
        <w:top w:val="none" w:sz="0" w:space="0" w:color="auto"/>
        <w:left w:val="none" w:sz="0" w:space="0" w:color="auto"/>
        <w:bottom w:val="none" w:sz="0" w:space="0" w:color="auto"/>
        <w:right w:val="none" w:sz="0" w:space="0" w:color="auto"/>
      </w:divBdr>
    </w:div>
    <w:div w:id="340352433">
      <w:bodyDiv w:val="1"/>
      <w:marLeft w:val="0"/>
      <w:marRight w:val="0"/>
      <w:marTop w:val="0"/>
      <w:marBottom w:val="0"/>
      <w:divBdr>
        <w:top w:val="none" w:sz="0" w:space="0" w:color="auto"/>
        <w:left w:val="none" w:sz="0" w:space="0" w:color="auto"/>
        <w:bottom w:val="none" w:sz="0" w:space="0" w:color="auto"/>
        <w:right w:val="none" w:sz="0" w:space="0" w:color="auto"/>
      </w:divBdr>
    </w:div>
    <w:div w:id="344020219">
      <w:bodyDiv w:val="1"/>
      <w:marLeft w:val="0"/>
      <w:marRight w:val="0"/>
      <w:marTop w:val="0"/>
      <w:marBottom w:val="0"/>
      <w:divBdr>
        <w:top w:val="none" w:sz="0" w:space="0" w:color="auto"/>
        <w:left w:val="none" w:sz="0" w:space="0" w:color="auto"/>
        <w:bottom w:val="none" w:sz="0" w:space="0" w:color="auto"/>
        <w:right w:val="none" w:sz="0" w:space="0" w:color="auto"/>
      </w:divBdr>
    </w:div>
    <w:div w:id="346517757">
      <w:bodyDiv w:val="1"/>
      <w:marLeft w:val="0"/>
      <w:marRight w:val="0"/>
      <w:marTop w:val="0"/>
      <w:marBottom w:val="0"/>
      <w:divBdr>
        <w:top w:val="none" w:sz="0" w:space="0" w:color="auto"/>
        <w:left w:val="none" w:sz="0" w:space="0" w:color="auto"/>
        <w:bottom w:val="none" w:sz="0" w:space="0" w:color="auto"/>
        <w:right w:val="none" w:sz="0" w:space="0" w:color="auto"/>
      </w:divBdr>
    </w:div>
    <w:div w:id="358311861">
      <w:bodyDiv w:val="1"/>
      <w:marLeft w:val="0"/>
      <w:marRight w:val="0"/>
      <w:marTop w:val="0"/>
      <w:marBottom w:val="0"/>
      <w:divBdr>
        <w:top w:val="none" w:sz="0" w:space="0" w:color="auto"/>
        <w:left w:val="none" w:sz="0" w:space="0" w:color="auto"/>
        <w:bottom w:val="none" w:sz="0" w:space="0" w:color="auto"/>
        <w:right w:val="none" w:sz="0" w:space="0" w:color="auto"/>
      </w:divBdr>
    </w:div>
    <w:div w:id="360862671">
      <w:bodyDiv w:val="1"/>
      <w:marLeft w:val="0"/>
      <w:marRight w:val="0"/>
      <w:marTop w:val="0"/>
      <w:marBottom w:val="0"/>
      <w:divBdr>
        <w:top w:val="none" w:sz="0" w:space="0" w:color="auto"/>
        <w:left w:val="none" w:sz="0" w:space="0" w:color="auto"/>
        <w:bottom w:val="none" w:sz="0" w:space="0" w:color="auto"/>
        <w:right w:val="none" w:sz="0" w:space="0" w:color="auto"/>
      </w:divBdr>
    </w:div>
    <w:div w:id="361319867">
      <w:bodyDiv w:val="1"/>
      <w:marLeft w:val="0"/>
      <w:marRight w:val="0"/>
      <w:marTop w:val="0"/>
      <w:marBottom w:val="0"/>
      <w:divBdr>
        <w:top w:val="none" w:sz="0" w:space="0" w:color="auto"/>
        <w:left w:val="none" w:sz="0" w:space="0" w:color="auto"/>
        <w:bottom w:val="none" w:sz="0" w:space="0" w:color="auto"/>
        <w:right w:val="none" w:sz="0" w:space="0" w:color="auto"/>
      </w:divBdr>
    </w:div>
    <w:div w:id="366681971">
      <w:bodyDiv w:val="1"/>
      <w:marLeft w:val="0"/>
      <w:marRight w:val="0"/>
      <w:marTop w:val="0"/>
      <w:marBottom w:val="0"/>
      <w:divBdr>
        <w:top w:val="none" w:sz="0" w:space="0" w:color="auto"/>
        <w:left w:val="none" w:sz="0" w:space="0" w:color="auto"/>
        <w:bottom w:val="none" w:sz="0" w:space="0" w:color="auto"/>
        <w:right w:val="none" w:sz="0" w:space="0" w:color="auto"/>
      </w:divBdr>
    </w:div>
    <w:div w:id="367489325">
      <w:bodyDiv w:val="1"/>
      <w:marLeft w:val="0"/>
      <w:marRight w:val="0"/>
      <w:marTop w:val="0"/>
      <w:marBottom w:val="0"/>
      <w:divBdr>
        <w:top w:val="none" w:sz="0" w:space="0" w:color="auto"/>
        <w:left w:val="none" w:sz="0" w:space="0" w:color="auto"/>
        <w:bottom w:val="none" w:sz="0" w:space="0" w:color="auto"/>
        <w:right w:val="none" w:sz="0" w:space="0" w:color="auto"/>
      </w:divBdr>
    </w:div>
    <w:div w:id="371199801">
      <w:bodyDiv w:val="1"/>
      <w:marLeft w:val="0"/>
      <w:marRight w:val="0"/>
      <w:marTop w:val="0"/>
      <w:marBottom w:val="0"/>
      <w:divBdr>
        <w:top w:val="none" w:sz="0" w:space="0" w:color="auto"/>
        <w:left w:val="none" w:sz="0" w:space="0" w:color="auto"/>
        <w:bottom w:val="none" w:sz="0" w:space="0" w:color="auto"/>
        <w:right w:val="none" w:sz="0" w:space="0" w:color="auto"/>
      </w:divBdr>
    </w:div>
    <w:div w:id="372122349">
      <w:bodyDiv w:val="1"/>
      <w:marLeft w:val="0"/>
      <w:marRight w:val="0"/>
      <w:marTop w:val="0"/>
      <w:marBottom w:val="0"/>
      <w:divBdr>
        <w:top w:val="none" w:sz="0" w:space="0" w:color="auto"/>
        <w:left w:val="none" w:sz="0" w:space="0" w:color="auto"/>
        <w:bottom w:val="none" w:sz="0" w:space="0" w:color="auto"/>
        <w:right w:val="none" w:sz="0" w:space="0" w:color="auto"/>
      </w:divBdr>
    </w:div>
    <w:div w:id="375005071">
      <w:bodyDiv w:val="1"/>
      <w:marLeft w:val="0"/>
      <w:marRight w:val="0"/>
      <w:marTop w:val="0"/>
      <w:marBottom w:val="0"/>
      <w:divBdr>
        <w:top w:val="none" w:sz="0" w:space="0" w:color="auto"/>
        <w:left w:val="none" w:sz="0" w:space="0" w:color="auto"/>
        <w:bottom w:val="none" w:sz="0" w:space="0" w:color="auto"/>
        <w:right w:val="none" w:sz="0" w:space="0" w:color="auto"/>
      </w:divBdr>
    </w:div>
    <w:div w:id="377752159">
      <w:bodyDiv w:val="1"/>
      <w:marLeft w:val="0"/>
      <w:marRight w:val="0"/>
      <w:marTop w:val="0"/>
      <w:marBottom w:val="0"/>
      <w:divBdr>
        <w:top w:val="none" w:sz="0" w:space="0" w:color="auto"/>
        <w:left w:val="none" w:sz="0" w:space="0" w:color="auto"/>
        <w:bottom w:val="none" w:sz="0" w:space="0" w:color="auto"/>
        <w:right w:val="none" w:sz="0" w:space="0" w:color="auto"/>
      </w:divBdr>
    </w:div>
    <w:div w:id="392047952">
      <w:bodyDiv w:val="1"/>
      <w:marLeft w:val="0"/>
      <w:marRight w:val="0"/>
      <w:marTop w:val="0"/>
      <w:marBottom w:val="0"/>
      <w:divBdr>
        <w:top w:val="none" w:sz="0" w:space="0" w:color="auto"/>
        <w:left w:val="none" w:sz="0" w:space="0" w:color="auto"/>
        <w:bottom w:val="none" w:sz="0" w:space="0" w:color="auto"/>
        <w:right w:val="none" w:sz="0" w:space="0" w:color="auto"/>
      </w:divBdr>
    </w:div>
    <w:div w:id="395711993">
      <w:bodyDiv w:val="1"/>
      <w:marLeft w:val="0"/>
      <w:marRight w:val="0"/>
      <w:marTop w:val="0"/>
      <w:marBottom w:val="0"/>
      <w:divBdr>
        <w:top w:val="none" w:sz="0" w:space="0" w:color="auto"/>
        <w:left w:val="none" w:sz="0" w:space="0" w:color="auto"/>
        <w:bottom w:val="none" w:sz="0" w:space="0" w:color="auto"/>
        <w:right w:val="none" w:sz="0" w:space="0" w:color="auto"/>
      </w:divBdr>
    </w:div>
    <w:div w:id="397675883">
      <w:bodyDiv w:val="1"/>
      <w:marLeft w:val="0"/>
      <w:marRight w:val="0"/>
      <w:marTop w:val="0"/>
      <w:marBottom w:val="0"/>
      <w:divBdr>
        <w:top w:val="none" w:sz="0" w:space="0" w:color="auto"/>
        <w:left w:val="none" w:sz="0" w:space="0" w:color="auto"/>
        <w:bottom w:val="none" w:sz="0" w:space="0" w:color="auto"/>
        <w:right w:val="none" w:sz="0" w:space="0" w:color="auto"/>
      </w:divBdr>
    </w:div>
    <w:div w:id="404842487">
      <w:bodyDiv w:val="1"/>
      <w:marLeft w:val="0"/>
      <w:marRight w:val="0"/>
      <w:marTop w:val="0"/>
      <w:marBottom w:val="0"/>
      <w:divBdr>
        <w:top w:val="none" w:sz="0" w:space="0" w:color="auto"/>
        <w:left w:val="none" w:sz="0" w:space="0" w:color="auto"/>
        <w:bottom w:val="none" w:sz="0" w:space="0" w:color="auto"/>
        <w:right w:val="none" w:sz="0" w:space="0" w:color="auto"/>
      </w:divBdr>
    </w:div>
    <w:div w:id="424611977">
      <w:bodyDiv w:val="1"/>
      <w:marLeft w:val="0"/>
      <w:marRight w:val="0"/>
      <w:marTop w:val="0"/>
      <w:marBottom w:val="0"/>
      <w:divBdr>
        <w:top w:val="none" w:sz="0" w:space="0" w:color="auto"/>
        <w:left w:val="none" w:sz="0" w:space="0" w:color="auto"/>
        <w:bottom w:val="none" w:sz="0" w:space="0" w:color="auto"/>
        <w:right w:val="none" w:sz="0" w:space="0" w:color="auto"/>
      </w:divBdr>
    </w:div>
    <w:div w:id="425738142">
      <w:bodyDiv w:val="1"/>
      <w:marLeft w:val="0"/>
      <w:marRight w:val="0"/>
      <w:marTop w:val="0"/>
      <w:marBottom w:val="0"/>
      <w:divBdr>
        <w:top w:val="none" w:sz="0" w:space="0" w:color="auto"/>
        <w:left w:val="none" w:sz="0" w:space="0" w:color="auto"/>
        <w:bottom w:val="none" w:sz="0" w:space="0" w:color="auto"/>
        <w:right w:val="none" w:sz="0" w:space="0" w:color="auto"/>
      </w:divBdr>
    </w:div>
    <w:div w:id="430510669">
      <w:bodyDiv w:val="1"/>
      <w:marLeft w:val="0"/>
      <w:marRight w:val="0"/>
      <w:marTop w:val="0"/>
      <w:marBottom w:val="0"/>
      <w:divBdr>
        <w:top w:val="none" w:sz="0" w:space="0" w:color="auto"/>
        <w:left w:val="none" w:sz="0" w:space="0" w:color="auto"/>
        <w:bottom w:val="none" w:sz="0" w:space="0" w:color="auto"/>
        <w:right w:val="none" w:sz="0" w:space="0" w:color="auto"/>
      </w:divBdr>
    </w:div>
    <w:div w:id="430905180">
      <w:bodyDiv w:val="1"/>
      <w:marLeft w:val="0"/>
      <w:marRight w:val="0"/>
      <w:marTop w:val="0"/>
      <w:marBottom w:val="0"/>
      <w:divBdr>
        <w:top w:val="none" w:sz="0" w:space="0" w:color="auto"/>
        <w:left w:val="none" w:sz="0" w:space="0" w:color="auto"/>
        <w:bottom w:val="none" w:sz="0" w:space="0" w:color="auto"/>
        <w:right w:val="none" w:sz="0" w:space="0" w:color="auto"/>
      </w:divBdr>
    </w:div>
    <w:div w:id="444740332">
      <w:bodyDiv w:val="1"/>
      <w:marLeft w:val="0"/>
      <w:marRight w:val="0"/>
      <w:marTop w:val="0"/>
      <w:marBottom w:val="0"/>
      <w:divBdr>
        <w:top w:val="none" w:sz="0" w:space="0" w:color="auto"/>
        <w:left w:val="none" w:sz="0" w:space="0" w:color="auto"/>
        <w:bottom w:val="none" w:sz="0" w:space="0" w:color="auto"/>
        <w:right w:val="none" w:sz="0" w:space="0" w:color="auto"/>
      </w:divBdr>
    </w:div>
    <w:div w:id="450517121">
      <w:bodyDiv w:val="1"/>
      <w:marLeft w:val="0"/>
      <w:marRight w:val="0"/>
      <w:marTop w:val="0"/>
      <w:marBottom w:val="0"/>
      <w:divBdr>
        <w:top w:val="none" w:sz="0" w:space="0" w:color="auto"/>
        <w:left w:val="none" w:sz="0" w:space="0" w:color="auto"/>
        <w:bottom w:val="none" w:sz="0" w:space="0" w:color="auto"/>
        <w:right w:val="none" w:sz="0" w:space="0" w:color="auto"/>
      </w:divBdr>
    </w:div>
    <w:div w:id="456072987">
      <w:bodyDiv w:val="1"/>
      <w:marLeft w:val="0"/>
      <w:marRight w:val="0"/>
      <w:marTop w:val="0"/>
      <w:marBottom w:val="0"/>
      <w:divBdr>
        <w:top w:val="none" w:sz="0" w:space="0" w:color="auto"/>
        <w:left w:val="none" w:sz="0" w:space="0" w:color="auto"/>
        <w:bottom w:val="none" w:sz="0" w:space="0" w:color="auto"/>
        <w:right w:val="none" w:sz="0" w:space="0" w:color="auto"/>
      </w:divBdr>
    </w:div>
    <w:div w:id="462624154">
      <w:bodyDiv w:val="1"/>
      <w:marLeft w:val="0"/>
      <w:marRight w:val="0"/>
      <w:marTop w:val="0"/>
      <w:marBottom w:val="0"/>
      <w:divBdr>
        <w:top w:val="none" w:sz="0" w:space="0" w:color="auto"/>
        <w:left w:val="none" w:sz="0" w:space="0" w:color="auto"/>
        <w:bottom w:val="none" w:sz="0" w:space="0" w:color="auto"/>
        <w:right w:val="none" w:sz="0" w:space="0" w:color="auto"/>
      </w:divBdr>
    </w:div>
    <w:div w:id="463623258">
      <w:bodyDiv w:val="1"/>
      <w:marLeft w:val="0"/>
      <w:marRight w:val="0"/>
      <w:marTop w:val="0"/>
      <w:marBottom w:val="0"/>
      <w:divBdr>
        <w:top w:val="none" w:sz="0" w:space="0" w:color="auto"/>
        <w:left w:val="none" w:sz="0" w:space="0" w:color="auto"/>
        <w:bottom w:val="none" w:sz="0" w:space="0" w:color="auto"/>
        <w:right w:val="none" w:sz="0" w:space="0" w:color="auto"/>
      </w:divBdr>
    </w:div>
    <w:div w:id="467675502">
      <w:bodyDiv w:val="1"/>
      <w:marLeft w:val="0"/>
      <w:marRight w:val="0"/>
      <w:marTop w:val="0"/>
      <w:marBottom w:val="0"/>
      <w:divBdr>
        <w:top w:val="none" w:sz="0" w:space="0" w:color="auto"/>
        <w:left w:val="none" w:sz="0" w:space="0" w:color="auto"/>
        <w:bottom w:val="none" w:sz="0" w:space="0" w:color="auto"/>
        <w:right w:val="none" w:sz="0" w:space="0" w:color="auto"/>
      </w:divBdr>
    </w:div>
    <w:div w:id="479620267">
      <w:bodyDiv w:val="1"/>
      <w:marLeft w:val="0"/>
      <w:marRight w:val="0"/>
      <w:marTop w:val="0"/>
      <w:marBottom w:val="0"/>
      <w:divBdr>
        <w:top w:val="none" w:sz="0" w:space="0" w:color="auto"/>
        <w:left w:val="none" w:sz="0" w:space="0" w:color="auto"/>
        <w:bottom w:val="none" w:sz="0" w:space="0" w:color="auto"/>
        <w:right w:val="none" w:sz="0" w:space="0" w:color="auto"/>
      </w:divBdr>
    </w:div>
    <w:div w:id="486169597">
      <w:bodyDiv w:val="1"/>
      <w:marLeft w:val="0"/>
      <w:marRight w:val="0"/>
      <w:marTop w:val="0"/>
      <w:marBottom w:val="0"/>
      <w:divBdr>
        <w:top w:val="none" w:sz="0" w:space="0" w:color="auto"/>
        <w:left w:val="none" w:sz="0" w:space="0" w:color="auto"/>
        <w:bottom w:val="none" w:sz="0" w:space="0" w:color="auto"/>
        <w:right w:val="none" w:sz="0" w:space="0" w:color="auto"/>
      </w:divBdr>
    </w:div>
    <w:div w:id="486214633">
      <w:bodyDiv w:val="1"/>
      <w:marLeft w:val="0"/>
      <w:marRight w:val="0"/>
      <w:marTop w:val="0"/>
      <w:marBottom w:val="0"/>
      <w:divBdr>
        <w:top w:val="none" w:sz="0" w:space="0" w:color="auto"/>
        <w:left w:val="none" w:sz="0" w:space="0" w:color="auto"/>
        <w:bottom w:val="none" w:sz="0" w:space="0" w:color="auto"/>
        <w:right w:val="none" w:sz="0" w:space="0" w:color="auto"/>
      </w:divBdr>
    </w:div>
    <w:div w:id="486942424">
      <w:bodyDiv w:val="1"/>
      <w:marLeft w:val="0"/>
      <w:marRight w:val="0"/>
      <w:marTop w:val="0"/>
      <w:marBottom w:val="0"/>
      <w:divBdr>
        <w:top w:val="none" w:sz="0" w:space="0" w:color="auto"/>
        <w:left w:val="none" w:sz="0" w:space="0" w:color="auto"/>
        <w:bottom w:val="none" w:sz="0" w:space="0" w:color="auto"/>
        <w:right w:val="none" w:sz="0" w:space="0" w:color="auto"/>
      </w:divBdr>
    </w:div>
    <w:div w:id="494762923">
      <w:bodyDiv w:val="1"/>
      <w:marLeft w:val="0"/>
      <w:marRight w:val="0"/>
      <w:marTop w:val="0"/>
      <w:marBottom w:val="0"/>
      <w:divBdr>
        <w:top w:val="none" w:sz="0" w:space="0" w:color="auto"/>
        <w:left w:val="none" w:sz="0" w:space="0" w:color="auto"/>
        <w:bottom w:val="none" w:sz="0" w:space="0" w:color="auto"/>
        <w:right w:val="none" w:sz="0" w:space="0" w:color="auto"/>
      </w:divBdr>
    </w:div>
    <w:div w:id="499009651">
      <w:bodyDiv w:val="1"/>
      <w:marLeft w:val="0"/>
      <w:marRight w:val="0"/>
      <w:marTop w:val="0"/>
      <w:marBottom w:val="0"/>
      <w:divBdr>
        <w:top w:val="none" w:sz="0" w:space="0" w:color="auto"/>
        <w:left w:val="none" w:sz="0" w:space="0" w:color="auto"/>
        <w:bottom w:val="none" w:sz="0" w:space="0" w:color="auto"/>
        <w:right w:val="none" w:sz="0" w:space="0" w:color="auto"/>
      </w:divBdr>
    </w:div>
    <w:div w:id="499466806">
      <w:bodyDiv w:val="1"/>
      <w:marLeft w:val="0"/>
      <w:marRight w:val="0"/>
      <w:marTop w:val="0"/>
      <w:marBottom w:val="0"/>
      <w:divBdr>
        <w:top w:val="none" w:sz="0" w:space="0" w:color="auto"/>
        <w:left w:val="none" w:sz="0" w:space="0" w:color="auto"/>
        <w:bottom w:val="none" w:sz="0" w:space="0" w:color="auto"/>
        <w:right w:val="none" w:sz="0" w:space="0" w:color="auto"/>
      </w:divBdr>
    </w:div>
    <w:div w:id="500707437">
      <w:bodyDiv w:val="1"/>
      <w:marLeft w:val="0"/>
      <w:marRight w:val="0"/>
      <w:marTop w:val="0"/>
      <w:marBottom w:val="0"/>
      <w:divBdr>
        <w:top w:val="none" w:sz="0" w:space="0" w:color="auto"/>
        <w:left w:val="none" w:sz="0" w:space="0" w:color="auto"/>
        <w:bottom w:val="none" w:sz="0" w:space="0" w:color="auto"/>
        <w:right w:val="none" w:sz="0" w:space="0" w:color="auto"/>
      </w:divBdr>
    </w:div>
    <w:div w:id="508837881">
      <w:bodyDiv w:val="1"/>
      <w:marLeft w:val="0"/>
      <w:marRight w:val="0"/>
      <w:marTop w:val="0"/>
      <w:marBottom w:val="0"/>
      <w:divBdr>
        <w:top w:val="none" w:sz="0" w:space="0" w:color="auto"/>
        <w:left w:val="none" w:sz="0" w:space="0" w:color="auto"/>
        <w:bottom w:val="none" w:sz="0" w:space="0" w:color="auto"/>
        <w:right w:val="none" w:sz="0" w:space="0" w:color="auto"/>
      </w:divBdr>
    </w:div>
    <w:div w:id="509485972">
      <w:bodyDiv w:val="1"/>
      <w:marLeft w:val="0"/>
      <w:marRight w:val="0"/>
      <w:marTop w:val="0"/>
      <w:marBottom w:val="0"/>
      <w:divBdr>
        <w:top w:val="none" w:sz="0" w:space="0" w:color="auto"/>
        <w:left w:val="none" w:sz="0" w:space="0" w:color="auto"/>
        <w:bottom w:val="none" w:sz="0" w:space="0" w:color="auto"/>
        <w:right w:val="none" w:sz="0" w:space="0" w:color="auto"/>
      </w:divBdr>
    </w:div>
    <w:div w:id="512232959">
      <w:bodyDiv w:val="1"/>
      <w:marLeft w:val="0"/>
      <w:marRight w:val="0"/>
      <w:marTop w:val="0"/>
      <w:marBottom w:val="0"/>
      <w:divBdr>
        <w:top w:val="none" w:sz="0" w:space="0" w:color="auto"/>
        <w:left w:val="none" w:sz="0" w:space="0" w:color="auto"/>
        <w:bottom w:val="none" w:sz="0" w:space="0" w:color="auto"/>
        <w:right w:val="none" w:sz="0" w:space="0" w:color="auto"/>
      </w:divBdr>
    </w:div>
    <w:div w:id="514922714">
      <w:bodyDiv w:val="1"/>
      <w:marLeft w:val="0"/>
      <w:marRight w:val="0"/>
      <w:marTop w:val="0"/>
      <w:marBottom w:val="0"/>
      <w:divBdr>
        <w:top w:val="none" w:sz="0" w:space="0" w:color="auto"/>
        <w:left w:val="none" w:sz="0" w:space="0" w:color="auto"/>
        <w:bottom w:val="none" w:sz="0" w:space="0" w:color="auto"/>
        <w:right w:val="none" w:sz="0" w:space="0" w:color="auto"/>
      </w:divBdr>
    </w:div>
    <w:div w:id="515311464">
      <w:bodyDiv w:val="1"/>
      <w:marLeft w:val="0"/>
      <w:marRight w:val="0"/>
      <w:marTop w:val="0"/>
      <w:marBottom w:val="0"/>
      <w:divBdr>
        <w:top w:val="none" w:sz="0" w:space="0" w:color="auto"/>
        <w:left w:val="none" w:sz="0" w:space="0" w:color="auto"/>
        <w:bottom w:val="none" w:sz="0" w:space="0" w:color="auto"/>
        <w:right w:val="none" w:sz="0" w:space="0" w:color="auto"/>
      </w:divBdr>
    </w:div>
    <w:div w:id="515659440">
      <w:bodyDiv w:val="1"/>
      <w:marLeft w:val="0"/>
      <w:marRight w:val="0"/>
      <w:marTop w:val="0"/>
      <w:marBottom w:val="0"/>
      <w:divBdr>
        <w:top w:val="none" w:sz="0" w:space="0" w:color="auto"/>
        <w:left w:val="none" w:sz="0" w:space="0" w:color="auto"/>
        <w:bottom w:val="none" w:sz="0" w:space="0" w:color="auto"/>
        <w:right w:val="none" w:sz="0" w:space="0" w:color="auto"/>
      </w:divBdr>
    </w:div>
    <w:div w:id="515727331">
      <w:bodyDiv w:val="1"/>
      <w:marLeft w:val="0"/>
      <w:marRight w:val="0"/>
      <w:marTop w:val="0"/>
      <w:marBottom w:val="0"/>
      <w:divBdr>
        <w:top w:val="none" w:sz="0" w:space="0" w:color="auto"/>
        <w:left w:val="none" w:sz="0" w:space="0" w:color="auto"/>
        <w:bottom w:val="none" w:sz="0" w:space="0" w:color="auto"/>
        <w:right w:val="none" w:sz="0" w:space="0" w:color="auto"/>
      </w:divBdr>
    </w:div>
    <w:div w:id="520778148">
      <w:bodyDiv w:val="1"/>
      <w:marLeft w:val="0"/>
      <w:marRight w:val="0"/>
      <w:marTop w:val="0"/>
      <w:marBottom w:val="0"/>
      <w:divBdr>
        <w:top w:val="none" w:sz="0" w:space="0" w:color="auto"/>
        <w:left w:val="none" w:sz="0" w:space="0" w:color="auto"/>
        <w:bottom w:val="none" w:sz="0" w:space="0" w:color="auto"/>
        <w:right w:val="none" w:sz="0" w:space="0" w:color="auto"/>
      </w:divBdr>
    </w:div>
    <w:div w:id="525024533">
      <w:bodyDiv w:val="1"/>
      <w:marLeft w:val="0"/>
      <w:marRight w:val="0"/>
      <w:marTop w:val="0"/>
      <w:marBottom w:val="0"/>
      <w:divBdr>
        <w:top w:val="none" w:sz="0" w:space="0" w:color="auto"/>
        <w:left w:val="none" w:sz="0" w:space="0" w:color="auto"/>
        <w:bottom w:val="none" w:sz="0" w:space="0" w:color="auto"/>
        <w:right w:val="none" w:sz="0" w:space="0" w:color="auto"/>
      </w:divBdr>
    </w:div>
    <w:div w:id="525758295">
      <w:bodyDiv w:val="1"/>
      <w:marLeft w:val="0"/>
      <w:marRight w:val="0"/>
      <w:marTop w:val="0"/>
      <w:marBottom w:val="0"/>
      <w:divBdr>
        <w:top w:val="none" w:sz="0" w:space="0" w:color="auto"/>
        <w:left w:val="none" w:sz="0" w:space="0" w:color="auto"/>
        <w:bottom w:val="none" w:sz="0" w:space="0" w:color="auto"/>
        <w:right w:val="none" w:sz="0" w:space="0" w:color="auto"/>
      </w:divBdr>
    </w:div>
    <w:div w:id="540360904">
      <w:bodyDiv w:val="1"/>
      <w:marLeft w:val="0"/>
      <w:marRight w:val="0"/>
      <w:marTop w:val="0"/>
      <w:marBottom w:val="0"/>
      <w:divBdr>
        <w:top w:val="none" w:sz="0" w:space="0" w:color="auto"/>
        <w:left w:val="none" w:sz="0" w:space="0" w:color="auto"/>
        <w:bottom w:val="none" w:sz="0" w:space="0" w:color="auto"/>
        <w:right w:val="none" w:sz="0" w:space="0" w:color="auto"/>
      </w:divBdr>
    </w:div>
    <w:div w:id="548684091">
      <w:bodyDiv w:val="1"/>
      <w:marLeft w:val="0"/>
      <w:marRight w:val="0"/>
      <w:marTop w:val="0"/>
      <w:marBottom w:val="0"/>
      <w:divBdr>
        <w:top w:val="none" w:sz="0" w:space="0" w:color="auto"/>
        <w:left w:val="none" w:sz="0" w:space="0" w:color="auto"/>
        <w:bottom w:val="none" w:sz="0" w:space="0" w:color="auto"/>
        <w:right w:val="none" w:sz="0" w:space="0" w:color="auto"/>
      </w:divBdr>
    </w:div>
    <w:div w:id="572742174">
      <w:bodyDiv w:val="1"/>
      <w:marLeft w:val="0"/>
      <w:marRight w:val="0"/>
      <w:marTop w:val="0"/>
      <w:marBottom w:val="0"/>
      <w:divBdr>
        <w:top w:val="none" w:sz="0" w:space="0" w:color="auto"/>
        <w:left w:val="none" w:sz="0" w:space="0" w:color="auto"/>
        <w:bottom w:val="none" w:sz="0" w:space="0" w:color="auto"/>
        <w:right w:val="none" w:sz="0" w:space="0" w:color="auto"/>
      </w:divBdr>
    </w:div>
    <w:div w:id="574751110">
      <w:bodyDiv w:val="1"/>
      <w:marLeft w:val="0"/>
      <w:marRight w:val="0"/>
      <w:marTop w:val="0"/>
      <w:marBottom w:val="0"/>
      <w:divBdr>
        <w:top w:val="none" w:sz="0" w:space="0" w:color="auto"/>
        <w:left w:val="none" w:sz="0" w:space="0" w:color="auto"/>
        <w:bottom w:val="none" w:sz="0" w:space="0" w:color="auto"/>
        <w:right w:val="none" w:sz="0" w:space="0" w:color="auto"/>
      </w:divBdr>
    </w:div>
    <w:div w:id="576862499">
      <w:bodyDiv w:val="1"/>
      <w:marLeft w:val="0"/>
      <w:marRight w:val="0"/>
      <w:marTop w:val="0"/>
      <w:marBottom w:val="0"/>
      <w:divBdr>
        <w:top w:val="none" w:sz="0" w:space="0" w:color="auto"/>
        <w:left w:val="none" w:sz="0" w:space="0" w:color="auto"/>
        <w:bottom w:val="none" w:sz="0" w:space="0" w:color="auto"/>
        <w:right w:val="none" w:sz="0" w:space="0" w:color="auto"/>
      </w:divBdr>
    </w:div>
    <w:div w:id="594364057">
      <w:bodyDiv w:val="1"/>
      <w:marLeft w:val="0"/>
      <w:marRight w:val="0"/>
      <w:marTop w:val="0"/>
      <w:marBottom w:val="0"/>
      <w:divBdr>
        <w:top w:val="none" w:sz="0" w:space="0" w:color="auto"/>
        <w:left w:val="none" w:sz="0" w:space="0" w:color="auto"/>
        <w:bottom w:val="none" w:sz="0" w:space="0" w:color="auto"/>
        <w:right w:val="none" w:sz="0" w:space="0" w:color="auto"/>
      </w:divBdr>
    </w:div>
    <w:div w:id="606740336">
      <w:bodyDiv w:val="1"/>
      <w:marLeft w:val="0"/>
      <w:marRight w:val="0"/>
      <w:marTop w:val="0"/>
      <w:marBottom w:val="0"/>
      <w:divBdr>
        <w:top w:val="none" w:sz="0" w:space="0" w:color="auto"/>
        <w:left w:val="none" w:sz="0" w:space="0" w:color="auto"/>
        <w:bottom w:val="none" w:sz="0" w:space="0" w:color="auto"/>
        <w:right w:val="none" w:sz="0" w:space="0" w:color="auto"/>
      </w:divBdr>
    </w:div>
    <w:div w:id="611473736">
      <w:bodyDiv w:val="1"/>
      <w:marLeft w:val="0"/>
      <w:marRight w:val="0"/>
      <w:marTop w:val="0"/>
      <w:marBottom w:val="0"/>
      <w:divBdr>
        <w:top w:val="none" w:sz="0" w:space="0" w:color="auto"/>
        <w:left w:val="none" w:sz="0" w:space="0" w:color="auto"/>
        <w:bottom w:val="none" w:sz="0" w:space="0" w:color="auto"/>
        <w:right w:val="none" w:sz="0" w:space="0" w:color="auto"/>
      </w:divBdr>
    </w:div>
    <w:div w:id="612177927">
      <w:bodyDiv w:val="1"/>
      <w:marLeft w:val="0"/>
      <w:marRight w:val="0"/>
      <w:marTop w:val="0"/>
      <w:marBottom w:val="0"/>
      <w:divBdr>
        <w:top w:val="none" w:sz="0" w:space="0" w:color="auto"/>
        <w:left w:val="none" w:sz="0" w:space="0" w:color="auto"/>
        <w:bottom w:val="none" w:sz="0" w:space="0" w:color="auto"/>
        <w:right w:val="none" w:sz="0" w:space="0" w:color="auto"/>
      </w:divBdr>
    </w:div>
    <w:div w:id="624772737">
      <w:bodyDiv w:val="1"/>
      <w:marLeft w:val="0"/>
      <w:marRight w:val="0"/>
      <w:marTop w:val="0"/>
      <w:marBottom w:val="0"/>
      <w:divBdr>
        <w:top w:val="none" w:sz="0" w:space="0" w:color="auto"/>
        <w:left w:val="none" w:sz="0" w:space="0" w:color="auto"/>
        <w:bottom w:val="none" w:sz="0" w:space="0" w:color="auto"/>
        <w:right w:val="none" w:sz="0" w:space="0" w:color="auto"/>
      </w:divBdr>
    </w:div>
    <w:div w:id="639379587">
      <w:bodyDiv w:val="1"/>
      <w:marLeft w:val="0"/>
      <w:marRight w:val="0"/>
      <w:marTop w:val="0"/>
      <w:marBottom w:val="0"/>
      <w:divBdr>
        <w:top w:val="none" w:sz="0" w:space="0" w:color="auto"/>
        <w:left w:val="none" w:sz="0" w:space="0" w:color="auto"/>
        <w:bottom w:val="none" w:sz="0" w:space="0" w:color="auto"/>
        <w:right w:val="none" w:sz="0" w:space="0" w:color="auto"/>
      </w:divBdr>
    </w:div>
    <w:div w:id="667292637">
      <w:bodyDiv w:val="1"/>
      <w:marLeft w:val="0"/>
      <w:marRight w:val="0"/>
      <w:marTop w:val="0"/>
      <w:marBottom w:val="0"/>
      <w:divBdr>
        <w:top w:val="none" w:sz="0" w:space="0" w:color="auto"/>
        <w:left w:val="none" w:sz="0" w:space="0" w:color="auto"/>
        <w:bottom w:val="none" w:sz="0" w:space="0" w:color="auto"/>
        <w:right w:val="none" w:sz="0" w:space="0" w:color="auto"/>
      </w:divBdr>
    </w:div>
    <w:div w:id="680200332">
      <w:bodyDiv w:val="1"/>
      <w:marLeft w:val="0"/>
      <w:marRight w:val="0"/>
      <w:marTop w:val="0"/>
      <w:marBottom w:val="0"/>
      <w:divBdr>
        <w:top w:val="none" w:sz="0" w:space="0" w:color="auto"/>
        <w:left w:val="none" w:sz="0" w:space="0" w:color="auto"/>
        <w:bottom w:val="none" w:sz="0" w:space="0" w:color="auto"/>
        <w:right w:val="none" w:sz="0" w:space="0" w:color="auto"/>
      </w:divBdr>
    </w:div>
    <w:div w:id="684091514">
      <w:bodyDiv w:val="1"/>
      <w:marLeft w:val="0"/>
      <w:marRight w:val="0"/>
      <w:marTop w:val="0"/>
      <w:marBottom w:val="0"/>
      <w:divBdr>
        <w:top w:val="none" w:sz="0" w:space="0" w:color="auto"/>
        <w:left w:val="none" w:sz="0" w:space="0" w:color="auto"/>
        <w:bottom w:val="none" w:sz="0" w:space="0" w:color="auto"/>
        <w:right w:val="none" w:sz="0" w:space="0" w:color="auto"/>
      </w:divBdr>
    </w:div>
    <w:div w:id="692996187">
      <w:bodyDiv w:val="1"/>
      <w:marLeft w:val="0"/>
      <w:marRight w:val="0"/>
      <w:marTop w:val="0"/>
      <w:marBottom w:val="0"/>
      <w:divBdr>
        <w:top w:val="none" w:sz="0" w:space="0" w:color="auto"/>
        <w:left w:val="none" w:sz="0" w:space="0" w:color="auto"/>
        <w:bottom w:val="none" w:sz="0" w:space="0" w:color="auto"/>
        <w:right w:val="none" w:sz="0" w:space="0" w:color="auto"/>
      </w:divBdr>
    </w:div>
    <w:div w:id="698238991">
      <w:bodyDiv w:val="1"/>
      <w:marLeft w:val="0"/>
      <w:marRight w:val="0"/>
      <w:marTop w:val="0"/>
      <w:marBottom w:val="0"/>
      <w:divBdr>
        <w:top w:val="none" w:sz="0" w:space="0" w:color="auto"/>
        <w:left w:val="none" w:sz="0" w:space="0" w:color="auto"/>
        <w:bottom w:val="none" w:sz="0" w:space="0" w:color="auto"/>
        <w:right w:val="none" w:sz="0" w:space="0" w:color="auto"/>
      </w:divBdr>
    </w:div>
    <w:div w:id="713651510">
      <w:bodyDiv w:val="1"/>
      <w:marLeft w:val="0"/>
      <w:marRight w:val="0"/>
      <w:marTop w:val="0"/>
      <w:marBottom w:val="0"/>
      <w:divBdr>
        <w:top w:val="none" w:sz="0" w:space="0" w:color="auto"/>
        <w:left w:val="none" w:sz="0" w:space="0" w:color="auto"/>
        <w:bottom w:val="none" w:sz="0" w:space="0" w:color="auto"/>
        <w:right w:val="none" w:sz="0" w:space="0" w:color="auto"/>
      </w:divBdr>
    </w:div>
    <w:div w:id="714934316">
      <w:bodyDiv w:val="1"/>
      <w:marLeft w:val="0"/>
      <w:marRight w:val="0"/>
      <w:marTop w:val="0"/>
      <w:marBottom w:val="0"/>
      <w:divBdr>
        <w:top w:val="none" w:sz="0" w:space="0" w:color="auto"/>
        <w:left w:val="none" w:sz="0" w:space="0" w:color="auto"/>
        <w:bottom w:val="none" w:sz="0" w:space="0" w:color="auto"/>
        <w:right w:val="none" w:sz="0" w:space="0" w:color="auto"/>
      </w:divBdr>
    </w:div>
    <w:div w:id="716511296">
      <w:bodyDiv w:val="1"/>
      <w:marLeft w:val="0"/>
      <w:marRight w:val="0"/>
      <w:marTop w:val="0"/>
      <w:marBottom w:val="0"/>
      <w:divBdr>
        <w:top w:val="none" w:sz="0" w:space="0" w:color="auto"/>
        <w:left w:val="none" w:sz="0" w:space="0" w:color="auto"/>
        <w:bottom w:val="none" w:sz="0" w:space="0" w:color="auto"/>
        <w:right w:val="none" w:sz="0" w:space="0" w:color="auto"/>
      </w:divBdr>
    </w:div>
    <w:div w:id="716710279">
      <w:bodyDiv w:val="1"/>
      <w:marLeft w:val="0"/>
      <w:marRight w:val="0"/>
      <w:marTop w:val="0"/>
      <w:marBottom w:val="0"/>
      <w:divBdr>
        <w:top w:val="none" w:sz="0" w:space="0" w:color="auto"/>
        <w:left w:val="none" w:sz="0" w:space="0" w:color="auto"/>
        <w:bottom w:val="none" w:sz="0" w:space="0" w:color="auto"/>
        <w:right w:val="none" w:sz="0" w:space="0" w:color="auto"/>
      </w:divBdr>
    </w:div>
    <w:div w:id="716710426">
      <w:bodyDiv w:val="1"/>
      <w:marLeft w:val="0"/>
      <w:marRight w:val="0"/>
      <w:marTop w:val="0"/>
      <w:marBottom w:val="0"/>
      <w:divBdr>
        <w:top w:val="none" w:sz="0" w:space="0" w:color="auto"/>
        <w:left w:val="none" w:sz="0" w:space="0" w:color="auto"/>
        <w:bottom w:val="none" w:sz="0" w:space="0" w:color="auto"/>
        <w:right w:val="none" w:sz="0" w:space="0" w:color="auto"/>
      </w:divBdr>
    </w:div>
    <w:div w:id="724182989">
      <w:bodyDiv w:val="1"/>
      <w:marLeft w:val="0"/>
      <w:marRight w:val="0"/>
      <w:marTop w:val="0"/>
      <w:marBottom w:val="0"/>
      <w:divBdr>
        <w:top w:val="none" w:sz="0" w:space="0" w:color="auto"/>
        <w:left w:val="none" w:sz="0" w:space="0" w:color="auto"/>
        <w:bottom w:val="none" w:sz="0" w:space="0" w:color="auto"/>
        <w:right w:val="none" w:sz="0" w:space="0" w:color="auto"/>
      </w:divBdr>
    </w:div>
    <w:div w:id="732627094">
      <w:bodyDiv w:val="1"/>
      <w:marLeft w:val="0"/>
      <w:marRight w:val="0"/>
      <w:marTop w:val="0"/>
      <w:marBottom w:val="0"/>
      <w:divBdr>
        <w:top w:val="none" w:sz="0" w:space="0" w:color="auto"/>
        <w:left w:val="none" w:sz="0" w:space="0" w:color="auto"/>
        <w:bottom w:val="none" w:sz="0" w:space="0" w:color="auto"/>
        <w:right w:val="none" w:sz="0" w:space="0" w:color="auto"/>
      </w:divBdr>
    </w:div>
    <w:div w:id="735133223">
      <w:bodyDiv w:val="1"/>
      <w:marLeft w:val="0"/>
      <w:marRight w:val="0"/>
      <w:marTop w:val="0"/>
      <w:marBottom w:val="0"/>
      <w:divBdr>
        <w:top w:val="none" w:sz="0" w:space="0" w:color="auto"/>
        <w:left w:val="none" w:sz="0" w:space="0" w:color="auto"/>
        <w:bottom w:val="none" w:sz="0" w:space="0" w:color="auto"/>
        <w:right w:val="none" w:sz="0" w:space="0" w:color="auto"/>
      </w:divBdr>
      <w:divsChild>
        <w:div w:id="1641615415">
          <w:marLeft w:val="1166"/>
          <w:marRight w:val="0"/>
          <w:marTop w:val="240"/>
          <w:marBottom w:val="0"/>
          <w:divBdr>
            <w:top w:val="none" w:sz="0" w:space="0" w:color="auto"/>
            <w:left w:val="none" w:sz="0" w:space="0" w:color="auto"/>
            <w:bottom w:val="none" w:sz="0" w:space="0" w:color="auto"/>
            <w:right w:val="none" w:sz="0" w:space="0" w:color="auto"/>
          </w:divBdr>
        </w:div>
      </w:divsChild>
    </w:div>
    <w:div w:id="739210726">
      <w:bodyDiv w:val="1"/>
      <w:marLeft w:val="0"/>
      <w:marRight w:val="0"/>
      <w:marTop w:val="0"/>
      <w:marBottom w:val="0"/>
      <w:divBdr>
        <w:top w:val="none" w:sz="0" w:space="0" w:color="auto"/>
        <w:left w:val="none" w:sz="0" w:space="0" w:color="auto"/>
        <w:bottom w:val="none" w:sz="0" w:space="0" w:color="auto"/>
        <w:right w:val="none" w:sz="0" w:space="0" w:color="auto"/>
      </w:divBdr>
    </w:div>
    <w:div w:id="754208062">
      <w:bodyDiv w:val="1"/>
      <w:marLeft w:val="0"/>
      <w:marRight w:val="0"/>
      <w:marTop w:val="0"/>
      <w:marBottom w:val="0"/>
      <w:divBdr>
        <w:top w:val="none" w:sz="0" w:space="0" w:color="auto"/>
        <w:left w:val="none" w:sz="0" w:space="0" w:color="auto"/>
        <w:bottom w:val="none" w:sz="0" w:space="0" w:color="auto"/>
        <w:right w:val="none" w:sz="0" w:space="0" w:color="auto"/>
      </w:divBdr>
    </w:div>
    <w:div w:id="754595454">
      <w:bodyDiv w:val="1"/>
      <w:marLeft w:val="0"/>
      <w:marRight w:val="0"/>
      <w:marTop w:val="0"/>
      <w:marBottom w:val="0"/>
      <w:divBdr>
        <w:top w:val="none" w:sz="0" w:space="0" w:color="auto"/>
        <w:left w:val="none" w:sz="0" w:space="0" w:color="auto"/>
        <w:bottom w:val="none" w:sz="0" w:space="0" w:color="auto"/>
        <w:right w:val="none" w:sz="0" w:space="0" w:color="auto"/>
      </w:divBdr>
    </w:div>
    <w:div w:id="754672407">
      <w:bodyDiv w:val="1"/>
      <w:marLeft w:val="0"/>
      <w:marRight w:val="0"/>
      <w:marTop w:val="0"/>
      <w:marBottom w:val="0"/>
      <w:divBdr>
        <w:top w:val="none" w:sz="0" w:space="0" w:color="auto"/>
        <w:left w:val="none" w:sz="0" w:space="0" w:color="auto"/>
        <w:bottom w:val="none" w:sz="0" w:space="0" w:color="auto"/>
        <w:right w:val="none" w:sz="0" w:space="0" w:color="auto"/>
      </w:divBdr>
    </w:div>
    <w:div w:id="755171595">
      <w:bodyDiv w:val="1"/>
      <w:marLeft w:val="0"/>
      <w:marRight w:val="0"/>
      <w:marTop w:val="0"/>
      <w:marBottom w:val="0"/>
      <w:divBdr>
        <w:top w:val="none" w:sz="0" w:space="0" w:color="auto"/>
        <w:left w:val="none" w:sz="0" w:space="0" w:color="auto"/>
        <w:bottom w:val="none" w:sz="0" w:space="0" w:color="auto"/>
        <w:right w:val="none" w:sz="0" w:space="0" w:color="auto"/>
      </w:divBdr>
    </w:div>
    <w:div w:id="757023817">
      <w:bodyDiv w:val="1"/>
      <w:marLeft w:val="0"/>
      <w:marRight w:val="0"/>
      <w:marTop w:val="0"/>
      <w:marBottom w:val="0"/>
      <w:divBdr>
        <w:top w:val="none" w:sz="0" w:space="0" w:color="auto"/>
        <w:left w:val="none" w:sz="0" w:space="0" w:color="auto"/>
        <w:bottom w:val="none" w:sz="0" w:space="0" w:color="auto"/>
        <w:right w:val="none" w:sz="0" w:space="0" w:color="auto"/>
      </w:divBdr>
    </w:div>
    <w:div w:id="768888865">
      <w:bodyDiv w:val="1"/>
      <w:marLeft w:val="0"/>
      <w:marRight w:val="0"/>
      <w:marTop w:val="0"/>
      <w:marBottom w:val="0"/>
      <w:divBdr>
        <w:top w:val="none" w:sz="0" w:space="0" w:color="auto"/>
        <w:left w:val="none" w:sz="0" w:space="0" w:color="auto"/>
        <w:bottom w:val="none" w:sz="0" w:space="0" w:color="auto"/>
        <w:right w:val="none" w:sz="0" w:space="0" w:color="auto"/>
      </w:divBdr>
    </w:div>
    <w:div w:id="771976596">
      <w:bodyDiv w:val="1"/>
      <w:marLeft w:val="0"/>
      <w:marRight w:val="0"/>
      <w:marTop w:val="0"/>
      <w:marBottom w:val="0"/>
      <w:divBdr>
        <w:top w:val="none" w:sz="0" w:space="0" w:color="auto"/>
        <w:left w:val="none" w:sz="0" w:space="0" w:color="auto"/>
        <w:bottom w:val="none" w:sz="0" w:space="0" w:color="auto"/>
        <w:right w:val="none" w:sz="0" w:space="0" w:color="auto"/>
      </w:divBdr>
    </w:div>
    <w:div w:id="786314083">
      <w:bodyDiv w:val="1"/>
      <w:marLeft w:val="0"/>
      <w:marRight w:val="0"/>
      <w:marTop w:val="0"/>
      <w:marBottom w:val="0"/>
      <w:divBdr>
        <w:top w:val="none" w:sz="0" w:space="0" w:color="auto"/>
        <w:left w:val="none" w:sz="0" w:space="0" w:color="auto"/>
        <w:bottom w:val="none" w:sz="0" w:space="0" w:color="auto"/>
        <w:right w:val="none" w:sz="0" w:space="0" w:color="auto"/>
      </w:divBdr>
    </w:div>
    <w:div w:id="794374060">
      <w:bodyDiv w:val="1"/>
      <w:marLeft w:val="0"/>
      <w:marRight w:val="0"/>
      <w:marTop w:val="0"/>
      <w:marBottom w:val="0"/>
      <w:divBdr>
        <w:top w:val="none" w:sz="0" w:space="0" w:color="auto"/>
        <w:left w:val="none" w:sz="0" w:space="0" w:color="auto"/>
        <w:bottom w:val="none" w:sz="0" w:space="0" w:color="auto"/>
        <w:right w:val="none" w:sz="0" w:space="0" w:color="auto"/>
      </w:divBdr>
    </w:div>
    <w:div w:id="795565274">
      <w:bodyDiv w:val="1"/>
      <w:marLeft w:val="0"/>
      <w:marRight w:val="0"/>
      <w:marTop w:val="0"/>
      <w:marBottom w:val="0"/>
      <w:divBdr>
        <w:top w:val="none" w:sz="0" w:space="0" w:color="auto"/>
        <w:left w:val="none" w:sz="0" w:space="0" w:color="auto"/>
        <w:bottom w:val="none" w:sz="0" w:space="0" w:color="auto"/>
        <w:right w:val="none" w:sz="0" w:space="0" w:color="auto"/>
      </w:divBdr>
    </w:div>
    <w:div w:id="797335748">
      <w:bodyDiv w:val="1"/>
      <w:marLeft w:val="0"/>
      <w:marRight w:val="0"/>
      <w:marTop w:val="0"/>
      <w:marBottom w:val="0"/>
      <w:divBdr>
        <w:top w:val="none" w:sz="0" w:space="0" w:color="auto"/>
        <w:left w:val="none" w:sz="0" w:space="0" w:color="auto"/>
        <w:bottom w:val="none" w:sz="0" w:space="0" w:color="auto"/>
        <w:right w:val="none" w:sz="0" w:space="0" w:color="auto"/>
      </w:divBdr>
    </w:div>
    <w:div w:id="799105209">
      <w:bodyDiv w:val="1"/>
      <w:marLeft w:val="0"/>
      <w:marRight w:val="0"/>
      <w:marTop w:val="0"/>
      <w:marBottom w:val="0"/>
      <w:divBdr>
        <w:top w:val="none" w:sz="0" w:space="0" w:color="auto"/>
        <w:left w:val="none" w:sz="0" w:space="0" w:color="auto"/>
        <w:bottom w:val="none" w:sz="0" w:space="0" w:color="auto"/>
        <w:right w:val="none" w:sz="0" w:space="0" w:color="auto"/>
      </w:divBdr>
    </w:div>
    <w:div w:id="809250635">
      <w:bodyDiv w:val="1"/>
      <w:marLeft w:val="0"/>
      <w:marRight w:val="0"/>
      <w:marTop w:val="0"/>
      <w:marBottom w:val="0"/>
      <w:divBdr>
        <w:top w:val="none" w:sz="0" w:space="0" w:color="auto"/>
        <w:left w:val="none" w:sz="0" w:space="0" w:color="auto"/>
        <w:bottom w:val="none" w:sz="0" w:space="0" w:color="auto"/>
        <w:right w:val="none" w:sz="0" w:space="0" w:color="auto"/>
      </w:divBdr>
    </w:div>
    <w:div w:id="813060515">
      <w:bodyDiv w:val="1"/>
      <w:marLeft w:val="0"/>
      <w:marRight w:val="0"/>
      <w:marTop w:val="0"/>
      <w:marBottom w:val="0"/>
      <w:divBdr>
        <w:top w:val="none" w:sz="0" w:space="0" w:color="auto"/>
        <w:left w:val="none" w:sz="0" w:space="0" w:color="auto"/>
        <w:bottom w:val="none" w:sz="0" w:space="0" w:color="auto"/>
        <w:right w:val="none" w:sz="0" w:space="0" w:color="auto"/>
      </w:divBdr>
    </w:div>
    <w:div w:id="827400202">
      <w:bodyDiv w:val="1"/>
      <w:marLeft w:val="0"/>
      <w:marRight w:val="0"/>
      <w:marTop w:val="0"/>
      <w:marBottom w:val="0"/>
      <w:divBdr>
        <w:top w:val="none" w:sz="0" w:space="0" w:color="auto"/>
        <w:left w:val="none" w:sz="0" w:space="0" w:color="auto"/>
        <w:bottom w:val="none" w:sz="0" w:space="0" w:color="auto"/>
        <w:right w:val="none" w:sz="0" w:space="0" w:color="auto"/>
      </w:divBdr>
    </w:div>
    <w:div w:id="832063059">
      <w:bodyDiv w:val="1"/>
      <w:marLeft w:val="0"/>
      <w:marRight w:val="0"/>
      <w:marTop w:val="0"/>
      <w:marBottom w:val="0"/>
      <w:divBdr>
        <w:top w:val="none" w:sz="0" w:space="0" w:color="auto"/>
        <w:left w:val="none" w:sz="0" w:space="0" w:color="auto"/>
        <w:bottom w:val="none" w:sz="0" w:space="0" w:color="auto"/>
        <w:right w:val="none" w:sz="0" w:space="0" w:color="auto"/>
      </w:divBdr>
    </w:div>
    <w:div w:id="832911013">
      <w:bodyDiv w:val="1"/>
      <w:marLeft w:val="0"/>
      <w:marRight w:val="0"/>
      <w:marTop w:val="0"/>
      <w:marBottom w:val="0"/>
      <w:divBdr>
        <w:top w:val="none" w:sz="0" w:space="0" w:color="auto"/>
        <w:left w:val="none" w:sz="0" w:space="0" w:color="auto"/>
        <w:bottom w:val="none" w:sz="0" w:space="0" w:color="auto"/>
        <w:right w:val="none" w:sz="0" w:space="0" w:color="auto"/>
      </w:divBdr>
    </w:div>
    <w:div w:id="839925601">
      <w:bodyDiv w:val="1"/>
      <w:marLeft w:val="0"/>
      <w:marRight w:val="0"/>
      <w:marTop w:val="0"/>
      <w:marBottom w:val="0"/>
      <w:divBdr>
        <w:top w:val="none" w:sz="0" w:space="0" w:color="auto"/>
        <w:left w:val="none" w:sz="0" w:space="0" w:color="auto"/>
        <w:bottom w:val="none" w:sz="0" w:space="0" w:color="auto"/>
        <w:right w:val="none" w:sz="0" w:space="0" w:color="auto"/>
      </w:divBdr>
    </w:div>
    <w:div w:id="843326188">
      <w:bodyDiv w:val="1"/>
      <w:marLeft w:val="0"/>
      <w:marRight w:val="0"/>
      <w:marTop w:val="0"/>
      <w:marBottom w:val="0"/>
      <w:divBdr>
        <w:top w:val="none" w:sz="0" w:space="0" w:color="auto"/>
        <w:left w:val="none" w:sz="0" w:space="0" w:color="auto"/>
        <w:bottom w:val="none" w:sz="0" w:space="0" w:color="auto"/>
        <w:right w:val="none" w:sz="0" w:space="0" w:color="auto"/>
      </w:divBdr>
    </w:div>
    <w:div w:id="846335080">
      <w:bodyDiv w:val="1"/>
      <w:marLeft w:val="0"/>
      <w:marRight w:val="0"/>
      <w:marTop w:val="0"/>
      <w:marBottom w:val="0"/>
      <w:divBdr>
        <w:top w:val="none" w:sz="0" w:space="0" w:color="auto"/>
        <w:left w:val="none" w:sz="0" w:space="0" w:color="auto"/>
        <w:bottom w:val="none" w:sz="0" w:space="0" w:color="auto"/>
        <w:right w:val="none" w:sz="0" w:space="0" w:color="auto"/>
      </w:divBdr>
    </w:div>
    <w:div w:id="847450365">
      <w:bodyDiv w:val="1"/>
      <w:marLeft w:val="0"/>
      <w:marRight w:val="0"/>
      <w:marTop w:val="0"/>
      <w:marBottom w:val="0"/>
      <w:divBdr>
        <w:top w:val="none" w:sz="0" w:space="0" w:color="auto"/>
        <w:left w:val="none" w:sz="0" w:space="0" w:color="auto"/>
        <w:bottom w:val="none" w:sz="0" w:space="0" w:color="auto"/>
        <w:right w:val="none" w:sz="0" w:space="0" w:color="auto"/>
      </w:divBdr>
    </w:div>
    <w:div w:id="850678803">
      <w:bodyDiv w:val="1"/>
      <w:marLeft w:val="0"/>
      <w:marRight w:val="0"/>
      <w:marTop w:val="0"/>
      <w:marBottom w:val="0"/>
      <w:divBdr>
        <w:top w:val="none" w:sz="0" w:space="0" w:color="auto"/>
        <w:left w:val="none" w:sz="0" w:space="0" w:color="auto"/>
        <w:bottom w:val="none" w:sz="0" w:space="0" w:color="auto"/>
        <w:right w:val="none" w:sz="0" w:space="0" w:color="auto"/>
      </w:divBdr>
    </w:div>
    <w:div w:id="851576964">
      <w:bodyDiv w:val="1"/>
      <w:marLeft w:val="0"/>
      <w:marRight w:val="0"/>
      <w:marTop w:val="0"/>
      <w:marBottom w:val="0"/>
      <w:divBdr>
        <w:top w:val="none" w:sz="0" w:space="0" w:color="auto"/>
        <w:left w:val="none" w:sz="0" w:space="0" w:color="auto"/>
        <w:bottom w:val="none" w:sz="0" w:space="0" w:color="auto"/>
        <w:right w:val="none" w:sz="0" w:space="0" w:color="auto"/>
      </w:divBdr>
      <w:divsChild>
        <w:div w:id="213590493">
          <w:marLeft w:val="0"/>
          <w:marRight w:val="0"/>
          <w:marTop w:val="0"/>
          <w:marBottom w:val="0"/>
          <w:divBdr>
            <w:top w:val="none" w:sz="0" w:space="0" w:color="auto"/>
            <w:left w:val="none" w:sz="0" w:space="0" w:color="auto"/>
            <w:bottom w:val="none" w:sz="0" w:space="0" w:color="auto"/>
            <w:right w:val="none" w:sz="0" w:space="0" w:color="auto"/>
          </w:divBdr>
        </w:div>
        <w:div w:id="919412737">
          <w:marLeft w:val="0"/>
          <w:marRight w:val="0"/>
          <w:marTop w:val="0"/>
          <w:marBottom w:val="0"/>
          <w:divBdr>
            <w:top w:val="none" w:sz="0" w:space="0" w:color="auto"/>
            <w:left w:val="none" w:sz="0" w:space="0" w:color="auto"/>
            <w:bottom w:val="none" w:sz="0" w:space="0" w:color="auto"/>
            <w:right w:val="none" w:sz="0" w:space="0" w:color="auto"/>
          </w:divBdr>
        </w:div>
        <w:div w:id="1188371858">
          <w:marLeft w:val="0"/>
          <w:marRight w:val="0"/>
          <w:marTop w:val="0"/>
          <w:marBottom w:val="0"/>
          <w:divBdr>
            <w:top w:val="none" w:sz="0" w:space="0" w:color="auto"/>
            <w:left w:val="none" w:sz="0" w:space="0" w:color="auto"/>
            <w:bottom w:val="none" w:sz="0" w:space="0" w:color="auto"/>
            <w:right w:val="none" w:sz="0" w:space="0" w:color="auto"/>
          </w:divBdr>
        </w:div>
        <w:div w:id="1375274997">
          <w:marLeft w:val="0"/>
          <w:marRight w:val="0"/>
          <w:marTop w:val="0"/>
          <w:marBottom w:val="0"/>
          <w:divBdr>
            <w:top w:val="none" w:sz="0" w:space="0" w:color="auto"/>
            <w:left w:val="none" w:sz="0" w:space="0" w:color="auto"/>
            <w:bottom w:val="none" w:sz="0" w:space="0" w:color="auto"/>
            <w:right w:val="none" w:sz="0" w:space="0" w:color="auto"/>
          </w:divBdr>
        </w:div>
        <w:div w:id="1653487819">
          <w:marLeft w:val="0"/>
          <w:marRight w:val="0"/>
          <w:marTop w:val="0"/>
          <w:marBottom w:val="0"/>
          <w:divBdr>
            <w:top w:val="none" w:sz="0" w:space="0" w:color="auto"/>
            <w:left w:val="none" w:sz="0" w:space="0" w:color="auto"/>
            <w:bottom w:val="none" w:sz="0" w:space="0" w:color="auto"/>
            <w:right w:val="none" w:sz="0" w:space="0" w:color="auto"/>
          </w:divBdr>
        </w:div>
      </w:divsChild>
    </w:div>
    <w:div w:id="865406803">
      <w:bodyDiv w:val="1"/>
      <w:marLeft w:val="0"/>
      <w:marRight w:val="0"/>
      <w:marTop w:val="0"/>
      <w:marBottom w:val="0"/>
      <w:divBdr>
        <w:top w:val="none" w:sz="0" w:space="0" w:color="auto"/>
        <w:left w:val="none" w:sz="0" w:space="0" w:color="auto"/>
        <w:bottom w:val="none" w:sz="0" w:space="0" w:color="auto"/>
        <w:right w:val="none" w:sz="0" w:space="0" w:color="auto"/>
      </w:divBdr>
    </w:div>
    <w:div w:id="878474564">
      <w:bodyDiv w:val="1"/>
      <w:marLeft w:val="0"/>
      <w:marRight w:val="0"/>
      <w:marTop w:val="0"/>
      <w:marBottom w:val="0"/>
      <w:divBdr>
        <w:top w:val="none" w:sz="0" w:space="0" w:color="auto"/>
        <w:left w:val="none" w:sz="0" w:space="0" w:color="auto"/>
        <w:bottom w:val="none" w:sz="0" w:space="0" w:color="auto"/>
        <w:right w:val="none" w:sz="0" w:space="0" w:color="auto"/>
      </w:divBdr>
    </w:div>
    <w:div w:id="891238171">
      <w:bodyDiv w:val="1"/>
      <w:marLeft w:val="0"/>
      <w:marRight w:val="0"/>
      <w:marTop w:val="0"/>
      <w:marBottom w:val="0"/>
      <w:divBdr>
        <w:top w:val="none" w:sz="0" w:space="0" w:color="auto"/>
        <w:left w:val="none" w:sz="0" w:space="0" w:color="auto"/>
        <w:bottom w:val="none" w:sz="0" w:space="0" w:color="auto"/>
        <w:right w:val="none" w:sz="0" w:space="0" w:color="auto"/>
      </w:divBdr>
      <w:divsChild>
        <w:div w:id="1049501723">
          <w:marLeft w:val="0"/>
          <w:marRight w:val="0"/>
          <w:marTop w:val="0"/>
          <w:marBottom w:val="0"/>
          <w:divBdr>
            <w:top w:val="none" w:sz="0" w:space="0" w:color="auto"/>
            <w:left w:val="none" w:sz="0" w:space="0" w:color="auto"/>
            <w:bottom w:val="none" w:sz="0" w:space="0" w:color="auto"/>
            <w:right w:val="none" w:sz="0" w:space="0" w:color="auto"/>
          </w:divBdr>
          <w:divsChild>
            <w:div w:id="2058698157">
              <w:marLeft w:val="0"/>
              <w:marRight w:val="0"/>
              <w:marTop w:val="0"/>
              <w:marBottom w:val="0"/>
              <w:divBdr>
                <w:top w:val="none" w:sz="0" w:space="0" w:color="auto"/>
                <w:left w:val="none" w:sz="0" w:space="0" w:color="auto"/>
                <w:bottom w:val="none" w:sz="0" w:space="0" w:color="auto"/>
                <w:right w:val="none" w:sz="0" w:space="0" w:color="auto"/>
              </w:divBdr>
              <w:divsChild>
                <w:div w:id="107287406">
                  <w:marLeft w:val="0"/>
                  <w:marRight w:val="0"/>
                  <w:marTop w:val="0"/>
                  <w:marBottom w:val="0"/>
                  <w:divBdr>
                    <w:top w:val="none" w:sz="0" w:space="0" w:color="auto"/>
                    <w:left w:val="none" w:sz="0" w:space="0" w:color="auto"/>
                    <w:bottom w:val="none" w:sz="0" w:space="0" w:color="auto"/>
                    <w:right w:val="none" w:sz="0" w:space="0" w:color="auto"/>
                  </w:divBdr>
                  <w:divsChild>
                    <w:div w:id="6166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32674">
      <w:bodyDiv w:val="1"/>
      <w:marLeft w:val="0"/>
      <w:marRight w:val="0"/>
      <w:marTop w:val="0"/>
      <w:marBottom w:val="0"/>
      <w:divBdr>
        <w:top w:val="none" w:sz="0" w:space="0" w:color="auto"/>
        <w:left w:val="none" w:sz="0" w:space="0" w:color="auto"/>
        <w:bottom w:val="none" w:sz="0" w:space="0" w:color="auto"/>
        <w:right w:val="none" w:sz="0" w:space="0" w:color="auto"/>
      </w:divBdr>
    </w:div>
    <w:div w:id="894126454">
      <w:bodyDiv w:val="1"/>
      <w:marLeft w:val="0"/>
      <w:marRight w:val="0"/>
      <w:marTop w:val="0"/>
      <w:marBottom w:val="0"/>
      <w:divBdr>
        <w:top w:val="none" w:sz="0" w:space="0" w:color="auto"/>
        <w:left w:val="none" w:sz="0" w:space="0" w:color="auto"/>
        <w:bottom w:val="none" w:sz="0" w:space="0" w:color="auto"/>
        <w:right w:val="none" w:sz="0" w:space="0" w:color="auto"/>
      </w:divBdr>
    </w:div>
    <w:div w:id="900406116">
      <w:bodyDiv w:val="1"/>
      <w:marLeft w:val="0"/>
      <w:marRight w:val="0"/>
      <w:marTop w:val="0"/>
      <w:marBottom w:val="0"/>
      <w:divBdr>
        <w:top w:val="none" w:sz="0" w:space="0" w:color="auto"/>
        <w:left w:val="none" w:sz="0" w:space="0" w:color="auto"/>
        <w:bottom w:val="none" w:sz="0" w:space="0" w:color="auto"/>
        <w:right w:val="none" w:sz="0" w:space="0" w:color="auto"/>
      </w:divBdr>
    </w:div>
    <w:div w:id="905258829">
      <w:bodyDiv w:val="1"/>
      <w:marLeft w:val="0"/>
      <w:marRight w:val="0"/>
      <w:marTop w:val="0"/>
      <w:marBottom w:val="0"/>
      <w:divBdr>
        <w:top w:val="none" w:sz="0" w:space="0" w:color="auto"/>
        <w:left w:val="none" w:sz="0" w:space="0" w:color="auto"/>
        <w:bottom w:val="none" w:sz="0" w:space="0" w:color="auto"/>
        <w:right w:val="none" w:sz="0" w:space="0" w:color="auto"/>
      </w:divBdr>
    </w:div>
    <w:div w:id="919101239">
      <w:bodyDiv w:val="1"/>
      <w:marLeft w:val="0"/>
      <w:marRight w:val="0"/>
      <w:marTop w:val="0"/>
      <w:marBottom w:val="0"/>
      <w:divBdr>
        <w:top w:val="none" w:sz="0" w:space="0" w:color="auto"/>
        <w:left w:val="none" w:sz="0" w:space="0" w:color="auto"/>
        <w:bottom w:val="none" w:sz="0" w:space="0" w:color="auto"/>
        <w:right w:val="none" w:sz="0" w:space="0" w:color="auto"/>
      </w:divBdr>
    </w:div>
    <w:div w:id="919563054">
      <w:bodyDiv w:val="1"/>
      <w:marLeft w:val="0"/>
      <w:marRight w:val="0"/>
      <w:marTop w:val="0"/>
      <w:marBottom w:val="0"/>
      <w:divBdr>
        <w:top w:val="none" w:sz="0" w:space="0" w:color="auto"/>
        <w:left w:val="none" w:sz="0" w:space="0" w:color="auto"/>
        <w:bottom w:val="none" w:sz="0" w:space="0" w:color="auto"/>
        <w:right w:val="none" w:sz="0" w:space="0" w:color="auto"/>
      </w:divBdr>
    </w:div>
    <w:div w:id="920990003">
      <w:bodyDiv w:val="1"/>
      <w:marLeft w:val="0"/>
      <w:marRight w:val="0"/>
      <w:marTop w:val="0"/>
      <w:marBottom w:val="0"/>
      <w:divBdr>
        <w:top w:val="none" w:sz="0" w:space="0" w:color="auto"/>
        <w:left w:val="none" w:sz="0" w:space="0" w:color="auto"/>
        <w:bottom w:val="none" w:sz="0" w:space="0" w:color="auto"/>
        <w:right w:val="none" w:sz="0" w:space="0" w:color="auto"/>
      </w:divBdr>
    </w:div>
    <w:div w:id="924538670">
      <w:bodyDiv w:val="1"/>
      <w:marLeft w:val="0"/>
      <w:marRight w:val="0"/>
      <w:marTop w:val="0"/>
      <w:marBottom w:val="0"/>
      <w:divBdr>
        <w:top w:val="none" w:sz="0" w:space="0" w:color="auto"/>
        <w:left w:val="none" w:sz="0" w:space="0" w:color="auto"/>
        <w:bottom w:val="none" w:sz="0" w:space="0" w:color="auto"/>
        <w:right w:val="none" w:sz="0" w:space="0" w:color="auto"/>
      </w:divBdr>
    </w:div>
    <w:div w:id="926157979">
      <w:bodyDiv w:val="1"/>
      <w:marLeft w:val="0"/>
      <w:marRight w:val="0"/>
      <w:marTop w:val="0"/>
      <w:marBottom w:val="0"/>
      <w:divBdr>
        <w:top w:val="none" w:sz="0" w:space="0" w:color="auto"/>
        <w:left w:val="none" w:sz="0" w:space="0" w:color="auto"/>
        <w:bottom w:val="none" w:sz="0" w:space="0" w:color="auto"/>
        <w:right w:val="none" w:sz="0" w:space="0" w:color="auto"/>
      </w:divBdr>
    </w:div>
    <w:div w:id="928395083">
      <w:bodyDiv w:val="1"/>
      <w:marLeft w:val="0"/>
      <w:marRight w:val="0"/>
      <w:marTop w:val="0"/>
      <w:marBottom w:val="0"/>
      <w:divBdr>
        <w:top w:val="none" w:sz="0" w:space="0" w:color="auto"/>
        <w:left w:val="none" w:sz="0" w:space="0" w:color="auto"/>
        <w:bottom w:val="none" w:sz="0" w:space="0" w:color="auto"/>
        <w:right w:val="none" w:sz="0" w:space="0" w:color="auto"/>
      </w:divBdr>
    </w:div>
    <w:div w:id="937251033">
      <w:bodyDiv w:val="1"/>
      <w:marLeft w:val="0"/>
      <w:marRight w:val="0"/>
      <w:marTop w:val="0"/>
      <w:marBottom w:val="0"/>
      <w:divBdr>
        <w:top w:val="none" w:sz="0" w:space="0" w:color="auto"/>
        <w:left w:val="none" w:sz="0" w:space="0" w:color="auto"/>
        <w:bottom w:val="none" w:sz="0" w:space="0" w:color="auto"/>
        <w:right w:val="none" w:sz="0" w:space="0" w:color="auto"/>
      </w:divBdr>
    </w:div>
    <w:div w:id="945311909">
      <w:bodyDiv w:val="1"/>
      <w:marLeft w:val="0"/>
      <w:marRight w:val="0"/>
      <w:marTop w:val="0"/>
      <w:marBottom w:val="0"/>
      <w:divBdr>
        <w:top w:val="none" w:sz="0" w:space="0" w:color="auto"/>
        <w:left w:val="none" w:sz="0" w:space="0" w:color="auto"/>
        <w:bottom w:val="none" w:sz="0" w:space="0" w:color="auto"/>
        <w:right w:val="none" w:sz="0" w:space="0" w:color="auto"/>
      </w:divBdr>
    </w:div>
    <w:div w:id="956331526">
      <w:bodyDiv w:val="1"/>
      <w:marLeft w:val="0"/>
      <w:marRight w:val="0"/>
      <w:marTop w:val="0"/>
      <w:marBottom w:val="0"/>
      <w:divBdr>
        <w:top w:val="none" w:sz="0" w:space="0" w:color="auto"/>
        <w:left w:val="none" w:sz="0" w:space="0" w:color="auto"/>
        <w:bottom w:val="none" w:sz="0" w:space="0" w:color="auto"/>
        <w:right w:val="none" w:sz="0" w:space="0" w:color="auto"/>
      </w:divBdr>
    </w:div>
    <w:div w:id="960958757">
      <w:bodyDiv w:val="1"/>
      <w:marLeft w:val="0"/>
      <w:marRight w:val="0"/>
      <w:marTop w:val="0"/>
      <w:marBottom w:val="0"/>
      <w:divBdr>
        <w:top w:val="none" w:sz="0" w:space="0" w:color="auto"/>
        <w:left w:val="none" w:sz="0" w:space="0" w:color="auto"/>
        <w:bottom w:val="none" w:sz="0" w:space="0" w:color="auto"/>
        <w:right w:val="none" w:sz="0" w:space="0" w:color="auto"/>
      </w:divBdr>
    </w:div>
    <w:div w:id="963072852">
      <w:bodyDiv w:val="1"/>
      <w:marLeft w:val="0"/>
      <w:marRight w:val="0"/>
      <w:marTop w:val="0"/>
      <w:marBottom w:val="0"/>
      <w:divBdr>
        <w:top w:val="none" w:sz="0" w:space="0" w:color="auto"/>
        <w:left w:val="none" w:sz="0" w:space="0" w:color="auto"/>
        <w:bottom w:val="none" w:sz="0" w:space="0" w:color="auto"/>
        <w:right w:val="none" w:sz="0" w:space="0" w:color="auto"/>
      </w:divBdr>
    </w:div>
    <w:div w:id="969749967">
      <w:bodyDiv w:val="1"/>
      <w:marLeft w:val="0"/>
      <w:marRight w:val="0"/>
      <w:marTop w:val="0"/>
      <w:marBottom w:val="0"/>
      <w:divBdr>
        <w:top w:val="none" w:sz="0" w:space="0" w:color="auto"/>
        <w:left w:val="none" w:sz="0" w:space="0" w:color="auto"/>
        <w:bottom w:val="none" w:sz="0" w:space="0" w:color="auto"/>
        <w:right w:val="none" w:sz="0" w:space="0" w:color="auto"/>
      </w:divBdr>
    </w:div>
    <w:div w:id="971178635">
      <w:bodyDiv w:val="1"/>
      <w:marLeft w:val="0"/>
      <w:marRight w:val="0"/>
      <w:marTop w:val="0"/>
      <w:marBottom w:val="0"/>
      <w:divBdr>
        <w:top w:val="none" w:sz="0" w:space="0" w:color="auto"/>
        <w:left w:val="none" w:sz="0" w:space="0" w:color="auto"/>
        <w:bottom w:val="none" w:sz="0" w:space="0" w:color="auto"/>
        <w:right w:val="none" w:sz="0" w:space="0" w:color="auto"/>
      </w:divBdr>
    </w:div>
    <w:div w:id="982199153">
      <w:bodyDiv w:val="1"/>
      <w:marLeft w:val="0"/>
      <w:marRight w:val="0"/>
      <w:marTop w:val="0"/>
      <w:marBottom w:val="0"/>
      <w:divBdr>
        <w:top w:val="none" w:sz="0" w:space="0" w:color="auto"/>
        <w:left w:val="none" w:sz="0" w:space="0" w:color="auto"/>
        <w:bottom w:val="none" w:sz="0" w:space="0" w:color="auto"/>
        <w:right w:val="none" w:sz="0" w:space="0" w:color="auto"/>
      </w:divBdr>
    </w:div>
    <w:div w:id="982274014">
      <w:bodyDiv w:val="1"/>
      <w:marLeft w:val="0"/>
      <w:marRight w:val="0"/>
      <w:marTop w:val="0"/>
      <w:marBottom w:val="0"/>
      <w:divBdr>
        <w:top w:val="none" w:sz="0" w:space="0" w:color="auto"/>
        <w:left w:val="none" w:sz="0" w:space="0" w:color="auto"/>
        <w:bottom w:val="none" w:sz="0" w:space="0" w:color="auto"/>
        <w:right w:val="none" w:sz="0" w:space="0" w:color="auto"/>
      </w:divBdr>
    </w:div>
    <w:div w:id="989746356">
      <w:bodyDiv w:val="1"/>
      <w:marLeft w:val="0"/>
      <w:marRight w:val="0"/>
      <w:marTop w:val="0"/>
      <w:marBottom w:val="0"/>
      <w:divBdr>
        <w:top w:val="none" w:sz="0" w:space="0" w:color="auto"/>
        <w:left w:val="none" w:sz="0" w:space="0" w:color="auto"/>
        <w:bottom w:val="none" w:sz="0" w:space="0" w:color="auto"/>
        <w:right w:val="none" w:sz="0" w:space="0" w:color="auto"/>
      </w:divBdr>
    </w:div>
    <w:div w:id="991786298">
      <w:bodyDiv w:val="1"/>
      <w:marLeft w:val="0"/>
      <w:marRight w:val="0"/>
      <w:marTop w:val="0"/>
      <w:marBottom w:val="0"/>
      <w:divBdr>
        <w:top w:val="none" w:sz="0" w:space="0" w:color="auto"/>
        <w:left w:val="none" w:sz="0" w:space="0" w:color="auto"/>
        <w:bottom w:val="none" w:sz="0" w:space="0" w:color="auto"/>
        <w:right w:val="none" w:sz="0" w:space="0" w:color="auto"/>
      </w:divBdr>
    </w:div>
    <w:div w:id="1003313765">
      <w:bodyDiv w:val="1"/>
      <w:marLeft w:val="0"/>
      <w:marRight w:val="0"/>
      <w:marTop w:val="0"/>
      <w:marBottom w:val="0"/>
      <w:divBdr>
        <w:top w:val="none" w:sz="0" w:space="0" w:color="auto"/>
        <w:left w:val="none" w:sz="0" w:space="0" w:color="auto"/>
        <w:bottom w:val="none" w:sz="0" w:space="0" w:color="auto"/>
        <w:right w:val="none" w:sz="0" w:space="0" w:color="auto"/>
      </w:divBdr>
    </w:div>
    <w:div w:id="1004816292">
      <w:bodyDiv w:val="1"/>
      <w:marLeft w:val="0"/>
      <w:marRight w:val="0"/>
      <w:marTop w:val="0"/>
      <w:marBottom w:val="0"/>
      <w:divBdr>
        <w:top w:val="none" w:sz="0" w:space="0" w:color="auto"/>
        <w:left w:val="none" w:sz="0" w:space="0" w:color="auto"/>
        <w:bottom w:val="none" w:sz="0" w:space="0" w:color="auto"/>
        <w:right w:val="none" w:sz="0" w:space="0" w:color="auto"/>
      </w:divBdr>
    </w:div>
    <w:div w:id="1005325200">
      <w:bodyDiv w:val="1"/>
      <w:marLeft w:val="0"/>
      <w:marRight w:val="0"/>
      <w:marTop w:val="0"/>
      <w:marBottom w:val="0"/>
      <w:divBdr>
        <w:top w:val="none" w:sz="0" w:space="0" w:color="auto"/>
        <w:left w:val="none" w:sz="0" w:space="0" w:color="auto"/>
        <w:bottom w:val="none" w:sz="0" w:space="0" w:color="auto"/>
        <w:right w:val="none" w:sz="0" w:space="0" w:color="auto"/>
      </w:divBdr>
    </w:div>
    <w:div w:id="1014188372">
      <w:bodyDiv w:val="1"/>
      <w:marLeft w:val="0"/>
      <w:marRight w:val="0"/>
      <w:marTop w:val="0"/>
      <w:marBottom w:val="0"/>
      <w:divBdr>
        <w:top w:val="none" w:sz="0" w:space="0" w:color="auto"/>
        <w:left w:val="none" w:sz="0" w:space="0" w:color="auto"/>
        <w:bottom w:val="none" w:sz="0" w:space="0" w:color="auto"/>
        <w:right w:val="none" w:sz="0" w:space="0" w:color="auto"/>
      </w:divBdr>
    </w:div>
    <w:div w:id="1020203531">
      <w:bodyDiv w:val="1"/>
      <w:marLeft w:val="0"/>
      <w:marRight w:val="0"/>
      <w:marTop w:val="0"/>
      <w:marBottom w:val="0"/>
      <w:divBdr>
        <w:top w:val="none" w:sz="0" w:space="0" w:color="auto"/>
        <w:left w:val="none" w:sz="0" w:space="0" w:color="auto"/>
        <w:bottom w:val="none" w:sz="0" w:space="0" w:color="auto"/>
        <w:right w:val="none" w:sz="0" w:space="0" w:color="auto"/>
      </w:divBdr>
    </w:div>
    <w:div w:id="1021784790">
      <w:bodyDiv w:val="1"/>
      <w:marLeft w:val="0"/>
      <w:marRight w:val="0"/>
      <w:marTop w:val="0"/>
      <w:marBottom w:val="0"/>
      <w:divBdr>
        <w:top w:val="none" w:sz="0" w:space="0" w:color="auto"/>
        <w:left w:val="none" w:sz="0" w:space="0" w:color="auto"/>
        <w:bottom w:val="none" w:sz="0" w:space="0" w:color="auto"/>
        <w:right w:val="none" w:sz="0" w:space="0" w:color="auto"/>
      </w:divBdr>
    </w:div>
    <w:div w:id="1023483219">
      <w:bodyDiv w:val="1"/>
      <w:marLeft w:val="0"/>
      <w:marRight w:val="0"/>
      <w:marTop w:val="0"/>
      <w:marBottom w:val="0"/>
      <w:divBdr>
        <w:top w:val="none" w:sz="0" w:space="0" w:color="auto"/>
        <w:left w:val="none" w:sz="0" w:space="0" w:color="auto"/>
        <w:bottom w:val="none" w:sz="0" w:space="0" w:color="auto"/>
        <w:right w:val="none" w:sz="0" w:space="0" w:color="auto"/>
      </w:divBdr>
    </w:div>
    <w:div w:id="1023677351">
      <w:bodyDiv w:val="1"/>
      <w:marLeft w:val="0"/>
      <w:marRight w:val="0"/>
      <w:marTop w:val="0"/>
      <w:marBottom w:val="0"/>
      <w:divBdr>
        <w:top w:val="none" w:sz="0" w:space="0" w:color="auto"/>
        <w:left w:val="none" w:sz="0" w:space="0" w:color="auto"/>
        <w:bottom w:val="none" w:sz="0" w:space="0" w:color="auto"/>
        <w:right w:val="none" w:sz="0" w:space="0" w:color="auto"/>
      </w:divBdr>
    </w:div>
    <w:div w:id="1027559810">
      <w:bodyDiv w:val="1"/>
      <w:marLeft w:val="0"/>
      <w:marRight w:val="0"/>
      <w:marTop w:val="0"/>
      <w:marBottom w:val="0"/>
      <w:divBdr>
        <w:top w:val="none" w:sz="0" w:space="0" w:color="auto"/>
        <w:left w:val="none" w:sz="0" w:space="0" w:color="auto"/>
        <w:bottom w:val="none" w:sz="0" w:space="0" w:color="auto"/>
        <w:right w:val="none" w:sz="0" w:space="0" w:color="auto"/>
      </w:divBdr>
    </w:div>
    <w:div w:id="1034841183">
      <w:bodyDiv w:val="1"/>
      <w:marLeft w:val="0"/>
      <w:marRight w:val="0"/>
      <w:marTop w:val="0"/>
      <w:marBottom w:val="0"/>
      <w:divBdr>
        <w:top w:val="none" w:sz="0" w:space="0" w:color="auto"/>
        <w:left w:val="none" w:sz="0" w:space="0" w:color="auto"/>
        <w:bottom w:val="none" w:sz="0" w:space="0" w:color="auto"/>
        <w:right w:val="none" w:sz="0" w:space="0" w:color="auto"/>
      </w:divBdr>
    </w:div>
    <w:div w:id="1053456848">
      <w:bodyDiv w:val="1"/>
      <w:marLeft w:val="0"/>
      <w:marRight w:val="0"/>
      <w:marTop w:val="0"/>
      <w:marBottom w:val="0"/>
      <w:divBdr>
        <w:top w:val="none" w:sz="0" w:space="0" w:color="auto"/>
        <w:left w:val="none" w:sz="0" w:space="0" w:color="auto"/>
        <w:bottom w:val="none" w:sz="0" w:space="0" w:color="auto"/>
        <w:right w:val="none" w:sz="0" w:space="0" w:color="auto"/>
      </w:divBdr>
    </w:div>
    <w:div w:id="1059209116">
      <w:bodyDiv w:val="1"/>
      <w:marLeft w:val="0"/>
      <w:marRight w:val="0"/>
      <w:marTop w:val="0"/>
      <w:marBottom w:val="0"/>
      <w:divBdr>
        <w:top w:val="none" w:sz="0" w:space="0" w:color="auto"/>
        <w:left w:val="none" w:sz="0" w:space="0" w:color="auto"/>
        <w:bottom w:val="none" w:sz="0" w:space="0" w:color="auto"/>
        <w:right w:val="none" w:sz="0" w:space="0" w:color="auto"/>
      </w:divBdr>
    </w:div>
    <w:div w:id="1064523613">
      <w:bodyDiv w:val="1"/>
      <w:marLeft w:val="0"/>
      <w:marRight w:val="0"/>
      <w:marTop w:val="0"/>
      <w:marBottom w:val="0"/>
      <w:divBdr>
        <w:top w:val="none" w:sz="0" w:space="0" w:color="auto"/>
        <w:left w:val="none" w:sz="0" w:space="0" w:color="auto"/>
        <w:bottom w:val="none" w:sz="0" w:space="0" w:color="auto"/>
        <w:right w:val="none" w:sz="0" w:space="0" w:color="auto"/>
      </w:divBdr>
    </w:div>
    <w:div w:id="1073359064">
      <w:bodyDiv w:val="1"/>
      <w:marLeft w:val="0"/>
      <w:marRight w:val="0"/>
      <w:marTop w:val="0"/>
      <w:marBottom w:val="0"/>
      <w:divBdr>
        <w:top w:val="none" w:sz="0" w:space="0" w:color="auto"/>
        <w:left w:val="none" w:sz="0" w:space="0" w:color="auto"/>
        <w:bottom w:val="none" w:sz="0" w:space="0" w:color="auto"/>
        <w:right w:val="none" w:sz="0" w:space="0" w:color="auto"/>
      </w:divBdr>
    </w:div>
    <w:div w:id="1076166743">
      <w:bodyDiv w:val="1"/>
      <w:marLeft w:val="0"/>
      <w:marRight w:val="0"/>
      <w:marTop w:val="0"/>
      <w:marBottom w:val="0"/>
      <w:divBdr>
        <w:top w:val="none" w:sz="0" w:space="0" w:color="auto"/>
        <w:left w:val="none" w:sz="0" w:space="0" w:color="auto"/>
        <w:bottom w:val="none" w:sz="0" w:space="0" w:color="auto"/>
        <w:right w:val="none" w:sz="0" w:space="0" w:color="auto"/>
      </w:divBdr>
    </w:div>
    <w:div w:id="1080172134">
      <w:bodyDiv w:val="1"/>
      <w:marLeft w:val="0"/>
      <w:marRight w:val="0"/>
      <w:marTop w:val="0"/>
      <w:marBottom w:val="0"/>
      <w:divBdr>
        <w:top w:val="none" w:sz="0" w:space="0" w:color="auto"/>
        <w:left w:val="none" w:sz="0" w:space="0" w:color="auto"/>
        <w:bottom w:val="none" w:sz="0" w:space="0" w:color="auto"/>
        <w:right w:val="none" w:sz="0" w:space="0" w:color="auto"/>
      </w:divBdr>
    </w:div>
    <w:div w:id="1081100545">
      <w:bodyDiv w:val="1"/>
      <w:marLeft w:val="0"/>
      <w:marRight w:val="0"/>
      <w:marTop w:val="0"/>
      <w:marBottom w:val="0"/>
      <w:divBdr>
        <w:top w:val="none" w:sz="0" w:space="0" w:color="auto"/>
        <w:left w:val="none" w:sz="0" w:space="0" w:color="auto"/>
        <w:bottom w:val="none" w:sz="0" w:space="0" w:color="auto"/>
        <w:right w:val="none" w:sz="0" w:space="0" w:color="auto"/>
      </w:divBdr>
    </w:div>
    <w:div w:id="1086263848">
      <w:bodyDiv w:val="1"/>
      <w:marLeft w:val="0"/>
      <w:marRight w:val="0"/>
      <w:marTop w:val="0"/>
      <w:marBottom w:val="0"/>
      <w:divBdr>
        <w:top w:val="none" w:sz="0" w:space="0" w:color="auto"/>
        <w:left w:val="none" w:sz="0" w:space="0" w:color="auto"/>
        <w:bottom w:val="none" w:sz="0" w:space="0" w:color="auto"/>
        <w:right w:val="none" w:sz="0" w:space="0" w:color="auto"/>
      </w:divBdr>
    </w:div>
    <w:div w:id="1087969332">
      <w:marLeft w:val="0"/>
      <w:marRight w:val="0"/>
      <w:marTop w:val="0"/>
      <w:marBottom w:val="0"/>
      <w:divBdr>
        <w:top w:val="none" w:sz="0" w:space="0" w:color="auto"/>
        <w:left w:val="none" w:sz="0" w:space="0" w:color="auto"/>
        <w:bottom w:val="none" w:sz="0" w:space="0" w:color="auto"/>
        <w:right w:val="none" w:sz="0" w:space="0" w:color="auto"/>
      </w:divBdr>
    </w:div>
    <w:div w:id="1087969333">
      <w:marLeft w:val="0"/>
      <w:marRight w:val="0"/>
      <w:marTop w:val="0"/>
      <w:marBottom w:val="0"/>
      <w:divBdr>
        <w:top w:val="none" w:sz="0" w:space="0" w:color="auto"/>
        <w:left w:val="none" w:sz="0" w:space="0" w:color="auto"/>
        <w:bottom w:val="none" w:sz="0" w:space="0" w:color="auto"/>
        <w:right w:val="none" w:sz="0" w:space="0" w:color="auto"/>
      </w:divBdr>
    </w:div>
    <w:div w:id="1087969334">
      <w:marLeft w:val="0"/>
      <w:marRight w:val="0"/>
      <w:marTop w:val="0"/>
      <w:marBottom w:val="0"/>
      <w:divBdr>
        <w:top w:val="none" w:sz="0" w:space="0" w:color="auto"/>
        <w:left w:val="none" w:sz="0" w:space="0" w:color="auto"/>
        <w:bottom w:val="none" w:sz="0" w:space="0" w:color="auto"/>
        <w:right w:val="none" w:sz="0" w:space="0" w:color="auto"/>
      </w:divBdr>
    </w:div>
    <w:div w:id="1087969335">
      <w:marLeft w:val="0"/>
      <w:marRight w:val="0"/>
      <w:marTop w:val="0"/>
      <w:marBottom w:val="0"/>
      <w:divBdr>
        <w:top w:val="none" w:sz="0" w:space="0" w:color="auto"/>
        <w:left w:val="none" w:sz="0" w:space="0" w:color="auto"/>
        <w:bottom w:val="none" w:sz="0" w:space="0" w:color="auto"/>
        <w:right w:val="none" w:sz="0" w:space="0" w:color="auto"/>
      </w:divBdr>
    </w:div>
    <w:div w:id="1087969336">
      <w:marLeft w:val="0"/>
      <w:marRight w:val="0"/>
      <w:marTop w:val="0"/>
      <w:marBottom w:val="0"/>
      <w:divBdr>
        <w:top w:val="none" w:sz="0" w:space="0" w:color="auto"/>
        <w:left w:val="none" w:sz="0" w:space="0" w:color="auto"/>
        <w:bottom w:val="none" w:sz="0" w:space="0" w:color="auto"/>
        <w:right w:val="none" w:sz="0" w:space="0" w:color="auto"/>
      </w:divBdr>
    </w:div>
    <w:div w:id="1087969337">
      <w:marLeft w:val="0"/>
      <w:marRight w:val="0"/>
      <w:marTop w:val="0"/>
      <w:marBottom w:val="0"/>
      <w:divBdr>
        <w:top w:val="none" w:sz="0" w:space="0" w:color="auto"/>
        <w:left w:val="none" w:sz="0" w:space="0" w:color="auto"/>
        <w:bottom w:val="none" w:sz="0" w:space="0" w:color="auto"/>
        <w:right w:val="none" w:sz="0" w:space="0" w:color="auto"/>
      </w:divBdr>
    </w:div>
    <w:div w:id="1087969340">
      <w:marLeft w:val="0"/>
      <w:marRight w:val="0"/>
      <w:marTop w:val="0"/>
      <w:marBottom w:val="0"/>
      <w:divBdr>
        <w:top w:val="none" w:sz="0" w:space="0" w:color="auto"/>
        <w:left w:val="none" w:sz="0" w:space="0" w:color="auto"/>
        <w:bottom w:val="none" w:sz="0" w:space="0" w:color="auto"/>
        <w:right w:val="none" w:sz="0" w:space="0" w:color="auto"/>
      </w:divBdr>
    </w:div>
    <w:div w:id="1087969341">
      <w:marLeft w:val="0"/>
      <w:marRight w:val="0"/>
      <w:marTop w:val="0"/>
      <w:marBottom w:val="0"/>
      <w:divBdr>
        <w:top w:val="none" w:sz="0" w:space="0" w:color="auto"/>
        <w:left w:val="none" w:sz="0" w:space="0" w:color="auto"/>
        <w:bottom w:val="none" w:sz="0" w:space="0" w:color="auto"/>
        <w:right w:val="none" w:sz="0" w:space="0" w:color="auto"/>
      </w:divBdr>
    </w:div>
    <w:div w:id="1087969342">
      <w:marLeft w:val="0"/>
      <w:marRight w:val="0"/>
      <w:marTop w:val="0"/>
      <w:marBottom w:val="0"/>
      <w:divBdr>
        <w:top w:val="none" w:sz="0" w:space="0" w:color="auto"/>
        <w:left w:val="none" w:sz="0" w:space="0" w:color="auto"/>
        <w:bottom w:val="none" w:sz="0" w:space="0" w:color="auto"/>
        <w:right w:val="none" w:sz="0" w:space="0" w:color="auto"/>
      </w:divBdr>
    </w:div>
    <w:div w:id="1087969343">
      <w:marLeft w:val="0"/>
      <w:marRight w:val="0"/>
      <w:marTop w:val="0"/>
      <w:marBottom w:val="0"/>
      <w:divBdr>
        <w:top w:val="none" w:sz="0" w:space="0" w:color="auto"/>
        <w:left w:val="none" w:sz="0" w:space="0" w:color="auto"/>
        <w:bottom w:val="none" w:sz="0" w:space="0" w:color="auto"/>
        <w:right w:val="none" w:sz="0" w:space="0" w:color="auto"/>
      </w:divBdr>
    </w:div>
    <w:div w:id="1087969344">
      <w:marLeft w:val="0"/>
      <w:marRight w:val="0"/>
      <w:marTop w:val="0"/>
      <w:marBottom w:val="0"/>
      <w:divBdr>
        <w:top w:val="none" w:sz="0" w:space="0" w:color="auto"/>
        <w:left w:val="none" w:sz="0" w:space="0" w:color="auto"/>
        <w:bottom w:val="none" w:sz="0" w:space="0" w:color="auto"/>
        <w:right w:val="none" w:sz="0" w:space="0" w:color="auto"/>
      </w:divBdr>
    </w:div>
    <w:div w:id="1087969345">
      <w:marLeft w:val="0"/>
      <w:marRight w:val="0"/>
      <w:marTop w:val="0"/>
      <w:marBottom w:val="0"/>
      <w:divBdr>
        <w:top w:val="none" w:sz="0" w:space="0" w:color="auto"/>
        <w:left w:val="none" w:sz="0" w:space="0" w:color="auto"/>
        <w:bottom w:val="none" w:sz="0" w:space="0" w:color="auto"/>
        <w:right w:val="none" w:sz="0" w:space="0" w:color="auto"/>
      </w:divBdr>
    </w:div>
    <w:div w:id="1087969346">
      <w:marLeft w:val="0"/>
      <w:marRight w:val="0"/>
      <w:marTop w:val="0"/>
      <w:marBottom w:val="0"/>
      <w:divBdr>
        <w:top w:val="none" w:sz="0" w:space="0" w:color="auto"/>
        <w:left w:val="none" w:sz="0" w:space="0" w:color="auto"/>
        <w:bottom w:val="none" w:sz="0" w:space="0" w:color="auto"/>
        <w:right w:val="none" w:sz="0" w:space="0" w:color="auto"/>
      </w:divBdr>
      <w:divsChild>
        <w:div w:id="1087969357">
          <w:marLeft w:val="0"/>
          <w:marRight w:val="0"/>
          <w:marTop w:val="0"/>
          <w:marBottom w:val="0"/>
          <w:divBdr>
            <w:top w:val="none" w:sz="0" w:space="0" w:color="auto"/>
            <w:left w:val="none" w:sz="0" w:space="0" w:color="auto"/>
            <w:bottom w:val="none" w:sz="0" w:space="0" w:color="auto"/>
            <w:right w:val="none" w:sz="0" w:space="0" w:color="auto"/>
          </w:divBdr>
          <w:divsChild>
            <w:div w:id="10879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9347">
      <w:marLeft w:val="0"/>
      <w:marRight w:val="0"/>
      <w:marTop w:val="0"/>
      <w:marBottom w:val="0"/>
      <w:divBdr>
        <w:top w:val="none" w:sz="0" w:space="0" w:color="auto"/>
        <w:left w:val="none" w:sz="0" w:space="0" w:color="auto"/>
        <w:bottom w:val="none" w:sz="0" w:space="0" w:color="auto"/>
        <w:right w:val="none" w:sz="0" w:space="0" w:color="auto"/>
      </w:divBdr>
    </w:div>
    <w:div w:id="1087969348">
      <w:marLeft w:val="0"/>
      <w:marRight w:val="0"/>
      <w:marTop w:val="0"/>
      <w:marBottom w:val="0"/>
      <w:divBdr>
        <w:top w:val="none" w:sz="0" w:space="0" w:color="auto"/>
        <w:left w:val="none" w:sz="0" w:space="0" w:color="auto"/>
        <w:bottom w:val="none" w:sz="0" w:space="0" w:color="auto"/>
        <w:right w:val="none" w:sz="0" w:space="0" w:color="auto"/>
      </w:divBdr>
      <w:divsChild>
        <w:div w:id="1087969339">
          <w:marLeft w:val="0"/>
          <w:marRight w:val="0"/>
          <w:marTop w:val="0"/>
          <w:marBottom w:val="0"/>
          <w:divBdr>
            <w:top w:val="none" w:sz="0" w:space="0" w:color="auto"/>
            <w:left w:val="none" w:sz="0" w:space="0" w:color="auto"/>
            <w:bottom w:val="none" w:sz="0" w:space="0" w:color="auto"/>
            <w:right w:val="none" w:sz="0" w:space="0" w:color="auto"/>
          </w:divBdr>
          <w:divsChild>
            <w:div w:id="1087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9349">
      <w:marLeft w:val="0"/>
      <w:marRight w:val="0"/>
      <w:marTop w:val="0"/>
      <w:marBottom w:val="0"/>
      <w:divBdr>
        <w:top w:val="none" w:sz="0" w:space="0" w:color="auto"/>
        <w:left w:val="none" w:sz="0" w:space="0" w:color="auto"/>
        <w:bottom w:val="none" w:sz="0" w:space="0" w:color="auto"/>
        <w:right w:val="none" w:sz="0" w:space="0" w:color="auto"/>
      </w:divBdr>
    </w:div>
    <w:div w:id="1087969350">
      <w:marLeft w:val="0"/>
      <w:marRight w:val="0"/>
      <w:marTop w:val="0"/>
      <w:marBottom w:val="0"/>
      <w:divBdr>
        <w:top w:val="none" w:sz="0" w:space="0" w:color="auto"/>
        <w:left w:val="none" w:sz="0" w:space="0" w:color="auto"/>
        <w:bottom w:val="none" w:sz="0" w:space="0" w:color="auto"/>
        <w:right w:val="none" w:sz="0" w:space="0" w:color="auto"/>
      </w:divBdr>
    </w:div>
    <w:div w:id="1087969351">
      <w:marLeft w:val="0"/>
      <w:marRight w:val="0"/>
      <w:marTop w:val="0"/>
      <w:marBottom w:val="0"/>
      <w:divBdr>
        <w:top w:val="none" w:sz="0" w:space="0" w:color="auto"/>
        <w:left w:val="none" w:sz="0" w:space="0" w:color="auto"/>
        <w:bottom w:val="none" w:sz="0" w:space="0" w:color="auto"/>
        <w:right w:val="none" w:sz="0" w:space="0" w:color="auto"/>
      </w:divBdr>
    </w:div>
    <w:div w:id="1087969352">
      <w:marLeft w:val="0"/>
      <w:marRight w:val="0"/>
      <w:marTop w:val="0"/>
      <w:marBottom w:val="0"/>
      <w:divBdr>
        <w:top w:val="none" w:sz="0" w:space="0" w:color="auto"/>
        <w:left w:val="none" w:sz="0" w:space="0" w:color="auto"/>
        <w:bottom w:val="none" w:sz="0" w:space="0" w:color="auto"/>
        <w:right w:val="none" w:sz="0" w:space="0" w:color="auto"/>
      </w:divBdr>
    </w:div>
    <w:div w:id="1087969353">
      <w:marLeft w:val="0"/>
      <w:marRight w:val="0"/>
      <w:marTop w:val="0"/>
      <w:marBottom w:val="0"/>
      <w:divBdr>
        <w:top w:val="none" w:sz="0" w:space="0" w:color="auto"/>
        <w:left w:val="none" w:sz="0" w:space="0" w:color="auto"/>
        <w:bottom w:val="none" w:sz="0" w:space="0" w:color="auto"/>
        <w:right w:val="none" w:sz="0" w:space="0" w:color="auto"/>
      </w:divBdr>
    </w:div>
    <w:div w:id="1087969354">
      <w:marLeft w:val="0"/>
      <w:marRight w:val="0"/>
      <w:marTop w:val="0"/>
      <w:marBottom w:val="0"/>
      <w:divBdr>
        <w:top w:val="none" w:sz="0" w:space="0" w:color="auto"/>
        <w:left w:val="none" w:sz="0" w:space="0" w:color="auto"/>
        <w:bottom w:val="none" w:sz="0" w:space="0" w:color="auto"/>
        <w:right w:val="none" w:sz="0" w:space="0" w:color="auto"/>
      </w:divBdr>
    </w:div>
    <w:div w:id="1087969356">
      <w:marLeft w:val="0"/>
      <w:marRight w:val="0"/>
      <w:marTop w:val="0"/>
      <w:marBottom w:val="0"/>
      <w:divBdr>
        <w:top w:val="none" w:sz="0" w:space="0" w:color="auto"/>
        <w:left w:val="none" w:sz="0" w:space="0" w:color="auto"/>
        <w:bottom w:val="none" w:sz="0" w:space="0" w:color="auto"/>
        <w:right w:val="none" w:sz="0" w:space="0" w:color="auto"/>
      </w:divBdr>
    </w:div>
    <w:div w:id="1093237315">
      <w:bodyDiv w:val="1"/>
      <w:marLeft w:val="0"/>
      <w:marRight w:val="0"/>
      <w:marTop w:val="0"/>
      <w:marBottom w:val="0"/>
      <w:divBdr>
        <w:top w:val="none" w:sz="0" w:space="0" w:color="auto"/>
        <w:left w:val="none" w:sz="0" w:space="0" w:color="auto"/>
        <w:bottom w:val="none" w:sz="0" w:space="0" w:color="auto"/>
        <w:right w:val="none" w:sz="0" w:space="0" w:color="auto"/>
      </w:divBdr>
    </w:div>
    <w:div w:id="1097597020">
      <w:bodyDiv w:val="1"/>
      <w:marLeft w:val="0"/>
      <w:marRight w:val="0"/>
      <w:marTop w:val="0"/>
      <w:marBottom w:val="0"/>
      <w:divBdr>
        <w:top w:val="none" w:sz="0" w:space="0" w:color="auto"/>
        <w:left w:val="none" w:sz="0" w:space="0" w:color="auto"/>
        <w:bottom w:val="none" w:sz="0" w:space="0" w:color="auto"/>
        <w:right w:val="none" w:sz="0" w:space="0" w:color="auto"/>
      </w:divBdr>
    </w:div>
    <w:div w:id="1100418733">
      <w:bodyDiv w:val="1"/>
      <w:marLeft w:val="0"/>
      <w:marRight w:val="0"/>
      <w:marTop w:val="0"/>
      <w:marBottom w:val="0"/>
      <w:divBdr>
        <w:top w:val="none" w:sz="0" w:space="0" w:color="auto"/>
        <w:left w:val="none" w:sz="0" w:space="0" w:color="auto"/>
        <w:bottom w:val="none" w:sz="0" w:space="0" w:color="auto"/>
        <w:right w:val="none" w:sz="0" w:space="0" w:color="auto"/>
      </w:divBdr>
    </w:div>
    <w:div w:id="1112674577">
      <w:bodyDiv w:val="1"/>
      <w:marLeft w:val="0"/>
      <w:marRight w:val="0"/>
      <w:marTop w:val="0"/>
      <w:marBottom w:val="0"/>
      <w:divBdr>
        <w:top w:val="none" w:sz="0" w:space="0" w:color="auto"/>
        <w:left w:val="none" w:sz="0" w:space="0" w:color="auto"/>
        <w:bottom w:val="none" w:sz="0" w:space="0" w:color="auto"/>
        <w:right w:val="none" w:sz="0" w:space="0" w:color="auto"/>
      </w:divBdr>
    </w:div>
    <w:div w:id="1115294463">
      <w:bodyDiv w:val="1"/>
      <w:marLeft w:val="0"/>
      <w:marRight w:val="0"/>
      <w:marTop w:val="0"/>
      <w:marBottom w:val="0"/>
      <w:divBdr>
        <w:top w:val="none" w:sz="0" w:space="0" w:color="auto"/>
        <w:left w:val="none" w:sz="0" w:space="0" w:color="auto"/>
        <w:bottom w:val="none" w:sz="0" w:space="0" w:color="auto"/>
        <w:right w:val="none" w:sz="0" w:space="0" w:color="auto"/>
      </w:divBdr>
    </w:div>
    <w:div w:id="1118917891">
      <w:bodyDiv w:val="1"/>
      <w:marLeft w:val="0"/>
      <w:marRight w:val="0"/>
      <w:marTop w:val="0"/>
      <w:marBottom w:val="0"/>
      <w:divBdr>
        <w:top w:val="none" w:sz="0" w:space="0" w:color="auto"/>
        <w:left w:val="none" w:sz="0" w:space="0" w:color="auto"/>
        <w:bottom w:val="none" w:sz="0" w:space="0" w:color="auto"/>
        <w:right w:val="none" w:sz="0" w:space="0" w:color="auto"/>
      </w:divBdr>
    </w:div>
    <w:div w:id="1127048918">
      <w:bodyDiv w:val="1"/>
      <w:marLeft w:val="0"/>
      <w:marRight w:val="0"/>
      <w:marTop w:val="0"/>
      <w:marBottom w:val="0"/>
      <w:divBdr>
        <w:top w:val="none" w:sz="0" w:space="0" w:color="auto"/>
        <w:left w:val="none" w:sz="0" w:space="0" w:color="auto"/>
        <w:bottom w:val="none" w:sz="0" w:space="0" w:color="auto"/>
        <w:right w:val="none" w:sz="0" w:space="0" w:color="auto"/>
      </w:divBdr>
    </w:div>
    <w:div w:id="1128667403">
      <w:bodyDiv w:val="1"/>
      <w:marLeft w:val="0"/>
      <w:marRight w:val="0"/>
      <w:marTop w:val="0"/>
      <w:marBottom w:val="0"/>
      <w:divBdr>
        <w:top w:val="none" w:sz="0" w:space="0" w:color="auto"/>
        <w:left w:val="none" w:sz="0" w:space="0" w:color="auto"/>
        <w:bottom w:val="none" w:sz="0" w:space="0" w:color="auto"/>
        <w:right w:val="none" w:sz="0" w:space="0" w:color="auto"/>
      </w:divBdr>
    </w:div>
    <w:div w:id="1133674012">
      <w:bodyDiv w:val="1"/>
      <w:marLeft w:val="0"/>
      <w:marRight w:val="0"/>
      <w:marTop w:val="0"/>
      <w:marBottom w:val="0"/>
      <w:divBdr>
        <w:top w:val="none" w:sz="0" w:space="0" w:color="auto"/>
        <w:left w:val="none" w:sz="0" w:space="0" w:color="auto"/>
        <w:bottom w:val="none" w:sz="0" w:space="0" w:color="auto"/>
        <w:right w:val="none" w:sz="0" w:space="0" w:color="auto"/>
      </w:divBdr>
    </w:div>
    <w:div w:id="1137838359">
      <w:bodyDiv w:val="1"/>
      <w:marLeft w:val="0"/>
      <w:marRight w:val="0"/>
      <w:marTop w:val="0"/>
      <w:marBottom w:val="0"/>
      <w:divBdr>
        <w:top w:val="none" w:sz="0" w:space="0" w:color="auto"/>
        <w:left w:val="none" w:sz="0" w:space="0" w:color="auto"/>
        <w:bottom w:val="none" w:sz="0" w:space="0" w:color="auto"/>
        <w:right w:val="none" w:sz="0" w:space="0" w:color="auto"/>
      </w:divBdr>
    </w:div>
    <w:div w:id="1139688530">
      <w:bodyDiv w:val="1"/>
      <w:marLeft w:val="0"/>
      <w:marRight w:val="0"/>
      <w:marTop w:val="0"/>
      <w:marBottom w:val="0"/>
      <w:divBdr>
        <w:top w:val="none" w:sz="0" w:space="0" w:color="auto"/>
        <w:left w:val="none" w:sz="0" w:space="0" w:color="auto"/>
        <w:bottom w:val="none" w:sz="0" w:space="0" w:color="auto"/>
        <w:right w:val="none" w:sz="0" w:space="0" w:color="auto"/>
      </w:divBdr>
    </w:div>
    <w:div w:id="1145194565">
      <w:bodyDiv w:val="1"/>
      <w:marLeft w:val="0"/>
      <w:marRight w:val="0"/>
      <w:marTop w:val="0"/>
      <w:marBottom w:val="0"/>
      <w:divBdr>
        <w:top w:val="none" w:sz="0" w:space="0" w:color="auto"/>
        <w:left w:val="none" w:sz="0" w:space="0" w:color="auto"/>
        <w:bottom w:val="none" w:sz="0" w:space="0" w:color="auto"/>
        <w:right w:val="none" w:sz="0" w:space="0" w:color="auto"/>
      </w:divBdr>
    </w:div>
    <w:div w:id="1148977533">
      <w:bodyDiv w:val="1"/>
      <w:marLeft w:val="0"/>
      <w:marRight w:val="0"/>
      <w:marTop w:val="0"/>
      <w:marBottom w:val="0"/>
      <w:divBdr>
        <w:top w:val="none" w:sz="0" w:space="0" w:color="auto"/>
        <w:left w:val="none" w:sz="0" w:space="0" w:color="auto"/>
        <w:bottom w:val="none" w:sz="0" w:space="0" w:color="auto"/>
        <w:right w:val="none" w:sz="0" w:space="0" w:color="auto"/>
      </w:divBdr>
    </w:div>
    <w:div w:id="1159923528">
      <w:bodyDiv w:val="1"/>
      <w:marLeft w:val="0"/>
      <w:marRight w:val="0"/>
      <w:marTop w:val="0"/>
      <w:marBottom w:val="0"/>
      <w:divBdr>
        <w:top w:val="none" w:sz="0" w:space="0" w:color="auto"/>
        <w:left w:val="none" w:sz="0" w:space="0" w:color="auto"/>
        <w:bottom w:val="none" w:sz="0" w:space="0" w:color="auto"/>
        <w:right w:val="none" w:sz="0" w:space="0" w:color="auto"/>
      </w:divBdr>
    </w:div>
    <w:div w:id="1166287418">
      <w:bodyDiv w:val="1"/>
      <w:marLeft w:val="0"/>
      <w:marRight w:val="0"/>
      <w:marTop w:val="0"/>
      <w:marBottom w:val="0"/>
      <w:divBdr>
        <w:top w:val="none" w:sz="0" w:space="0" w:color="auto"/>
        <w:left w:val="none" w:sz="0" w:space="0" w:color="auto"/>
        <w:bottom w:val="none" w:sz="0" w:space="0" w:color="auto"/>
        <w:right w:val="none" w:sz="0" w:space="0" w:color="auto"/>
      </w:divBdr>
    </w:div>
    <w:div w:id="1174879076">
      <w:bodyDiv w:val="1"/>
      <w:marLeft w:val="0"/>
      <w:marRight w:val="0"/>
      <w:marTop w:val="0"/>
      <w:marBottom w:val="0"/>
      <w:divBdr>
        <w:top w:val="none" w:sz="0" w:space="0" w:color="auto"/>
        <w:left w:val="none" w:sz="0" w:space="0" w:color="auto"/>
        <w:bottom w:val="none" w:sz="0" w:space="0" w:color="auto"/>
        <w:right w:val="none" w:sz="0" w:space="0" w:color="auto"/>
      </w:divBdr>
    </w:div>
    <w:div w:id="1177965113">
      <w:bodyDiv w:val="1"/>
      <w:marLeft w:val="0"/>
      <w:marRight w:val="0"/>
      <w:marTop w:val="0"/>
      <w:marBottom w:val="0"/>
      <w:divBdr>
        <w:top w:val="none" w:sz="0" w:space="0" w:color="auto"/>
        <w:left w:val="none" w:sz="0" w:space="0" w:color="auto"/>
        <w:bottom w:val="none" w:sz="0" w:space="0" w:color="auto"/>
        <w:right w:val="none" w:sz="0" w:space="0" w:color="auto"/>
      </w:divBdr>
    </w:div>
    <w:div w:id="1178616633">
      <w:bodyDiv w:val="1"/>
      <w:marLeft w:val="0"/>
      <w:marRight w:val="0"/>
      <w:marTop w:val="0"/>
      <w:marBottom w:val="0"/>
      <w:divBdr>
        <w:top w:val="none" w:sz="0" w:space="0" w:color="auto"/>
        <w:left w:val="none" w:sz="0" w:space="0" w:color="auto"/>
        <w:bottom w:val="none" w:sz="0" w:space="0" w:color="auto"/>
        <w:right w:val="none" w:sz="0" w:space="0" w:color="auto"/>
      </w:divBdr>
    </w:div>
    <w:div w:id="1223492080">
      <w:bodyDiv w:val="1"/>
      <w:marLeft w:val="0"/>
      <w:marRight w:val="0"/>
      <w:marTop w:val="0"/>
      <w:marBottom w:val="0"/>
      <w:divBdr>
        <w:top w:val="none" w:sz="0" w:space="0" w:color="auto"/>
        <w:left w:val="none" w:sz="0" w:space="0" w:color="auto"/>
        <w:bottom w:val="none" w:sz="0" w:space="0" w:color="auto"/>
        <w:right w:val="none" w:sz="0" w:space="0" w:color="auto"/>
      </w:divBdr>
    </w:div>
    <w:div w:id="1232427520">
      <w:bodyDiv w:val="1"/>
      <w:marLeft w:val="0"/>
      <w:marRight w:val="0"/>
      <w:marTop w:val="0"/>
      <w:marBottom w:val="0"/>
      <w:divBdr>
        <w:top w:val="none" w:sz="0" w:space="0" w:color="auto"/>
        <w:left w:val="none" w:sz="0" w:space="0" w:color="auto"/>
        <w:bottom w:val="none" w:sz="0" w:space="0" w:color="auto"/>
        <w:right w:val="none" w:sz="0" w:space="0" w:color="auto"/>
      </w:divBdr>
    </w:div>
    <w:div w:id="1234005343">
      <w:bodyDiv w:val="1"/>
      <w:marLeft w:val="0"/>
      <w:marRight w:val="0"/>
      <w:marTop w:val="0"/>
      <w:marBottom w:val="0"/>
      <w:divBdr>
        <w:top w:val="none" w:sz="0" w:space="0" w:color="auto"/>
        <w:left w:val="none" w:sz="0" w:space="0" w:color="auto"/>
        <w:bottom w:val="none" w:sz="0" w:space="0" w:color="auto"/>
        <w:right w:val="none" w:sz="0" w:space="0" w:color="auto"/>
      </w:divBdr>
    </w:div>
    <w:div w:id="1236277666">
      <w:bodyDiv w:val="1"/>
      <w:marLeft w:val="0"/>
      <w:marRight w:val="0"/>
      <w:marTop w:val="0"/>
      <w:marBottom w:val="0"/>
      <w:divBdr>
        <w:top w:val="none" w:sz="0" w:space="0" w:color="auto"/>
        <w:left w:val="none" w:sz="0" w:space="0" w:color="auto"/>
        <w:bottom w:val="none" w:sz="0" w:space="0" w:color="auto"/>
        <w:right w:val="none" w:sz="0" w:space="0" w:color="auto"/>
      </w:divBdr>
    </w:div>
    <w:div w:id="1242255198">
      <w:bodyDiv w:val="1"/>
      <w:marLeft w:val="0"/>
      <w:marRight w:val="0"/>
      <w:marTop w:val="0"/>
      <w:marBottom w:val="0"/>
      <w:divBdr>
        <w:top w:val="none" w:sz="0" w:space="0" w:color="auto"/>
        <w:left w:val="none" w:sz="0" w:space="0" w:color="auto"/>
        <w:bottom w:val="none" w:sz="0" w:space="0" w:color="auto"/>
        <w:right w:val="none" w:sz="0" w:space="0" w:color="auto"/>
      </w:divBdr>
    </w:div>
    <w:div w:id="1242982111">
      <w:bodyDiv w:val="1"/>
      <w:marLeft w:val="0"/>
      <w:marRight w:val="0"/>
      <w:marTop w:val="0"/>
      <w:marBottom w:val="0"/>
      <w:divBdr>
        <w:top w:val="none" w:sz="0" w:space="0" w:color="auto"/>
        <w:left w:val="none" w:sz="0" w:space="0" w:color="auto"/>
        <w:bottom w:val="none" w:sz="0" w:space="0" w:color="auto"/>
        <w:right w:val="none" w:sz="0" w:space="0" w:color="auto"/>
      </w:divBdr>
    </w:div>
    <w:div w:id="1245603678">
      <w:bodyDiv w:val="1"/>
      <w:marLeft w:val="0"/>
      <w:marRight w:val="0"/>
      <w:marTop w:val="0"/>
      <w:marBottom w:val="0"/>
      <w:divBdr>
        <w:top w:val="none" w:sz="0" w:space="0" w:color="auto"/>
        <w:left w:val="none" w:sz="0" w:space="0" w:color="auto"/>
        <w:bottom w:val="none" w:sz="0" w:space="0" w:color="auto"/>
        <w:right w:val="none" w:sz="0" w:space="0" w:color="auto"/>
      </w:divBdr>
    </w:div>
    <w:div w:id="1252154582">
      <w:bodyDiv w:val="1"/>
      <w:marLeft w:val="0"/>
      <w:marRight w:val="0"/>
      <w:marTop w:val="0"/>
      <w:marBottom w:val="0"/>
      <w:divBdr>
        <w:top w:val="none" w:sz="0" w:space="0" w:color="auto"/>
        <w:left w:val="none" w:sz="0" w:space="0" w:color="auto"/>
        <w:bottom w:val="none" w:sz="0" w:space="0" w:color="auto"/>
        <w:right w:val="none" w:sz="0" w:space="0" w:color="auto"/>
      </w:divBdr>
    </w:div>
    <w:div w:id="1254239283">
      <w:bodyDiv w:val="1"/>
      <w:marLeft w:val="0"/>
      <w:marRight w:val="0"/>
      <w:marTop w:val="0"/>
      <w:marBottom w:val="0"/>
      <w:divBdr>
        <w:top w:val="none" w:sz="0" w:space="0" w:color="auto"/>
        <w:left w:val="none" w:sz="0" w:space="0" w:color="auto"/>
        <w:bottom w:val="none" w:sz="0" w:space="0" w:color="auto"/>
        <w:right w:val="none" w:sz="0" w:space="0" w:color="auto"/>
      </w:divBdr>
    </w:div>
    <w:div w:id="1263875591">
      <w:bodyDiv w:val="1"/>
      <w:marLeft w:val="0"/>
      <w:marRight w:val="0"/>
      <w:marTop w:val="0"/>
      <w:marBottom w:val="0"/>
      <w:divBdr>
        <w:top w:val="none" w:sz="0" w:space="0" w:color="auto"/>
        <w:left w:val="none" w:sz="0" w:space="0" w:color="auto"/>
        <w:bottom w:val="none" w:sz="0" w:space="0" w:color="auto"/>
        <w:right w:val="none" w:sz="0" w:space="0" w:color="auto"/>
      </w:divBdr>
    </w:div>
    <w:div w:id="1267888591">
      <w:bodyDiv w:val="1"/>
      <w:marLeft w:val="0"/>
      <w:marRight w:val="0"/>
      <w:marTop w:val="0"/>
      <w:marBottom w:val="0"/>
      <w:divBdr>
        <w:top w:val="none" w:sz="0" w:space="0" w:color="auto"/>
        <w:left w:val="none" w:sz="0" w:space="0" w:color="auto"/>
        <w:bottom w:val="none" w:sz="0" w:space="0" w:color="auto"/>
        <w:right w:val="none" w:sz="0" w:space="0" w:color="auto"/>
      </w:divBdr>
    </w:div>
    <w:div w:id="1270817272">
      <w:bodyDiv w:val="1"/>
      <w:marLeft w:val="0"/>
      <w:marRight w:val="0"/>
      <w:marTop w:val="0"/>
      <w:marBottom w:val="0"/>
      <w:divBdr>
        <w:top w:val="none" w:sz="0" w:space="0" w:color="auto"/>
        <w:left w:val="none" w:sz="0" w:space="0" w:color="auto"/>
        <w:bottom w:val="none" w:sz="0" w:space="0" w:color="auto"/>
        <w:right w:val="none" w:sz="0" w:space="0" w:color="auto"/>
      </w:divBdr>
    </w:div>
    <w:div w:id="1284387431">
      <w:bodyDiv w:val="1"/>
      <w:marLeft w:val="0"/>
      <w:marRight w:val="0"/>
      <w:marTop w:val="0"/>
      <w:marBottom w:val="0"/>
      <w:divBdr>
        <w:top w:val="none" w:sz="0" w:space="0" w:color="auto"/>
        <w:left w:val="none" w:sz="0" w:space="0" w:color="auto"/>
        <w:bottom w:val="none" w:sz="0" w:space="0" w:color="auto"/>
        <w:right w:val="none" w:sz="0" w:space="0" w:color="auto"/>
      </w:divBdr>
    </w:div>
    <w:div w:id="1297225510">
      <w:bodyDiv w:val="1"/>
      <w:marLeft w:val="0"/>
      <w:marRight w:val="0"/>
      <w:marTop w:val="0"/>
      <w:marBottom w:val="0"/>
      <w:divBdr>
        <w:top w:val="none" w:sz="0" w:space="0" w:color="auto"/>
        <w:left w:val="none" w:sz="0" w:space="0" w:color="auto"/>
        <w:bottom w:val="none" w:sz="0" w:space="0" w:color="auto"/>
        <w:right w:val="none" w:sz="0" w:space="0" w:color="auto"/>
      </w:divBdr>
    </w:div>
    <w:div w:id="1301571657">
      <w:bodyDiv w:val="1"/>
      <w:marLeft w:val="0"/>
      <w:marRight w:val="0"/>
      <w:marTop w:val="0"/>
      <w:marBottom w:val="0"/>
      <w:divBdr>
        <w:top w:val="none" w:sz="0" w:space="0" w:color="auto"/>
        <w:left w:val="none" w:sz="0" w:space="0" w:color="auto"/>
        <w:bottom w:val="none" w:sz="0" w:space="0" w:color="auto"/>
        <w:right w:val="none" w:sz="0" w:space="0" w:color="auto"/>
      </w:divBdr>
    </w:div>
    <w:div w:id="1304651872">
      <w:bodyDiv w:val="1"/>
      <w:marLeft w:val="0"/>
      <w:marRight w:val="0"/>
      <w:marTop w:val="0"/>
      <w:marBottom w:val="0"/>
      <w:divBdr>
        <w:top w:val="none" w:sz="0" w:space="0" w:color="auto"/>
        <w:left w:val="none" w:sz="0" w:space="0" w:color="auto"/>
        <w:bottom w:val="none" w:sz="0" w:space="0" w:color="auto"/>
        <w:right w:val="none" w:sz="0" w:space="0" w:color="auto"/>
      </w:divBdr>
    </w:div>
    <w:div w:id="1305354110">
      <w:bodyDiv w:val="1"/>
      <w:marLeft w:val="0"/>
      <w:marRight w:val="0"/>
      <w:marTop w:val="0"/>
      <w:marBottom w:val="0"/>
      <w:divBdr>
        <w:top w:val="none" w:sz="0" w:space="0" w:color="auto"/>
        <w:left w:val="none" w:sz="0" w:space="0" w:color="auto"/>
        <w:bottom w:val="none" w:sz="0" w:space="0" w:color="auto"/>
        <w:right w:val="none" w:sz="0" w:space="0" w:color="auto"/>
      </w:divBdr>
    </w:div>
    <w:div w:id="1307007642">
      <w:bodyDiv w:val="1"/>
      <w:marLeft w:val="0"/>
      <w:marRight w:val="0"/>
      <w:marTop w:val="0"/>
      <w:marBottom w:val="0"/>
      <w:divBdr>
        <w:top w:val="none" w:sz="0" w:space="0" w:color="auto"/>
        <w:left w:val="none" w:sz="0" w:space="0" w:color="auto"/>
        <w:bottom w:val="none" w:sz="0" w:space="0" w:color="auto"/>
        <w:right w:val="none" w:sz="0" w:space="0" w:color="auto"/>
      </w:divBdr>
    </w:div>
    <w:div w:id="1331980789">
      <w:bodyDiv w:val="1"/>
      <w:marLeft w:val="0"/>
      <w:marRight w:val="0"/>
      <w:marTop w:val="0"/>
      <w:marBottom w:val="0"/>
      <w:divBdr>
        <w:top w:val="none" w:sz="0" w:space="0" w:color="auto"/>
        <w:left w:val="none" w:sz="0" w:space="0" w:color="auto"/>
        <w:bottom w:val="none" w:sz="0" w:space="0" w:color="auto"/>
        <w:right w:val="none" w:sz="0" w:space="0" w:color="auto"/>
      </w:divBdr>
    </w:div>
    <w:div w:id="1338119426">
      <w:bodyDiv w:val="1"/>
      <w:marLeft w:val="0"/>
      <w:marRight w:val="0"/>
      <w:marTop w:val="0"/>
      <w:marBottom w:val="0"/>
      <w:divBdr>
        <w:top w:val="none" w:sz="0" w:space="0" w:color="auto"/>
        <w:left w:val="none" w:sz="0" w:space="0" w:color="auto"/>
        <w:bottom w:val="none" w:sz="0" w:space="0" w:color="auto"/>
        <w:right w:val="none" w:sz="0" w:space="0" w:color="auto"/>
      </w:divBdr>
    </w:div>
    <w:div w:id="1363091674">
      <w:bodyDiv w:val="1"/>
      <w:marLeft w:val="0"/>
      <w:marRight w:val="0"/>
      <w:marTop w:val="0"/>
      <w:marBottom w:val="0"/>
      <w:divBdr>
        <w:top w:val="none" w:sz="0" w:space="0" w:color="auto"/>
        <w:left w:val="none" w:sz="0" w:space="0" w:color="auto"/>
        <w:bottom w:val="none" w:sz="0" w:space="0" w:color="auto"/>
        <w:right w:val="none" w:sz="0" w:space="0" w:color="auto"/>
      </w:divBdr>
    </w:div>
    <w:div w:id="1396244813">
      <w:bodyDiv w:val="1"/>
      <w:marLeft w:val="0"/>
      <w:marRight w:val="0"/>
      <w:marTop w:val="0"/>
      <w:marBottom w:val="0"/>
      <w:divBdr>
        <w:top w:val="none" w:sz="0" w:space="0" w:color="auto"/>
        <w:left w:val="none" w:sz="0" w:space="0" w:color="auto"/>
        <w:bottom w:val="none" w:sz="0" w:space="0" w:color="auto"/>
        <w:right w:val="none" w:sz="0" w:space="0" w:color="auto"/>
      </w:divBdr>
    </w:div>
    <w:div w:id="1397624196">
      <w:bodyDiv w:val="1"/>
      <w:marLeft w:val="0"/>
      <w:marRight w:val="0"/>
      <w:marTop w:val="0"/>
      <w:marBottom w:val="0"/>
      <w:divBdr>
        <w:top w:val="none" w:sz="0" w:space="0" w:color="auto"/>
        <w:left w:val="none" w:sz="0" w:space="0" w:color="auto"/>
        <w:bottom w:val="none" w:sz="0" w:space="0" w:color="auto"/>
        <w:right w:val="none" w:sz="0" w:space="0" w:color="auto"/>
      </w:divBdr>
    </w:div>
    <w:div w:id="1398627534">
      <w:bodyDiv w:val="1"/>
      <w:marLeft w:val="0"/>
      <w:marRight w:val="0"/>
      <w:marTop w:val="0"/>
      <w:marBottom w:val="0"/>
      <w:divBdr>
        <w:top w:val="none" w:sz="0" w:space="0" w:color="auto"/>
        <w:left w:val="none" w:sz="0" w:space="0" w:color="auto"/>
        <w:bottom w:val="none" w:sz="0" w:space="0" w:color="auto"/>
        <w:right w:val="none" w:sz="0" w:space="0" w:color="auto"/>
      </w:divBdr>
    </w:div>
    <w:div w:id="1399279003">
      <w:bodyDiv w:val="1"/>
      <w:marLeft w:val="0"/>
      <w:marRight w:val="0"/>
      <w:marTop w:val="0"/>
      <w:marBottom w:val="0"/>
      <w:divBdr>
        <w:top w:val="none" w:sz="0" w:space="0" w:color="auto"/>
        <w:left w:val="none" w:sz="0" w:space="0" w:color="auto"/>
        <w:bottom w:val="none" w:sz="0" w:space="0" w:color="auto"/>
        <w:right w:val="none" w:sz="0" w:space="0" w:color="auto"/>
      </w:divBdr>
    </w:div>
    <w:div w:id="1400906658">
      <w:bodyDiv w:val="1"/>
      <w:marLeft w:val="0"/>
      <w:marRight w:val="0"/>
      <w:marTop w:val="0"/>
      <w:marBottom w:val="0"/>
      <w:divBdr>
        <w:top w:val="none" w:sz="0" w:space="0" w:color="auto"/>
        <w:left w:val="none" w:sz="0" w:space="0" w:color="auto"/>
        <w:bottom w:val="none" w:sz="0" w:space="0" w:color="auto"/>
        <w:right w:val="none" w:sz="0" w:space="0" w:color="auto"/>
      </w:divBdr>
    </w:div>
    <w:div w:id="1402800168">
      <w:bodyDiv w:val="1"/>
      <w:marLeft w:val="0"/>
      <w:marRight w:val="0"/>
      <w:marTop w:val="0"/>
      <w:marBottom w:val="0"/>
      <w:divBdr>
        <w:top w:val="none" w:sz="0" w:space="0" w:color="auto"/>
        <w:left w:val="none" w:sz="0" w:space="0" w:color="auto"/>
        <w:bottom w:val="none" w:sz="0" w:space="0" w:color="auto"/>
        <w:right w:val="none" w:sz="0" w:space="0" w:color="auto"/>
      </w:divBdr>
    </w:div>
    <w:div w:id="1411808553">
      <w:bodyDiv w:val="1"/>
      <w:marLeft w:val="0"/>
      <w:marRight w:val="0"/>
      <w:marTop w:val="0"/>
      <w:marBottom w:val="0"/>
      <w:divBdr>
        <w:top w:val="none" w:sz="0" w:space="0" w:color="auto"/>
        <w:left w:val="none" w:sz="0" w:space="0" w:color="auto"/>
        <w:bottom w:val="none" w:sz="0" w:space="0" w:color="auto"/>
        <w:right w:val="none" w:sz="0" w:space="0" w:color="auto"/>
      </w:divBdr>
    </w:div>
    <w:div w:id="1432047653">
      <w:bodyDiv w:val="1"/>
      <w:marLeft w:val="0"/>
      <w:marRight w:val="0"/>
      <w:marTop w:val="0"/>
      <w:marBottom w:val="0"/>
      <w:divBdr>
        <w:top w:val="none" w:sz="0" w:space="0" w:color="auto"/>
        <w:left w:val="none" w:sz="0" w:space="0" w:color="auto"/>
        <w:bottom w:val="none" w:sz="0" w:space="0" w:color="auto"/>
        <w:right w:val="none" w:sz="0" w:space="0" w:color="auto"/>
      </w:divBdr>
    </w:div>
    <w:div w:id="1432966673">
      <w:bodyDiv w:val="1"/>
      <w:marLeft w:val="0"/>
      <w:marRight w:val="0"/>
      <w:marTop w:val="0"/>
      <w:marBottom w:val="0"/>
      <w:divBdr>
        <w:top w:val="none" w:sz="0" w:space="0" w:color="auto"/>
        <w:left w:val="none" w:sz="0" w:space="0" w:color="auto"/>
        <w:bottom w:val="none" w:sz="0" w:space="0" w:color="auto"/>
        <w:right w:val="none" w:sz="0" w:space="0" w:color="auto"/>
      </w:divBdr>
    </w:div>
    <w:div w:id="1435783337">
      <w:bodyDiv w:val="1"/>
      <w:marLeft w:val="0"/>
      <w:marRight w:val="0"/>
      <w:marTop w:val="0"/>
      <w:marBottom w:val="0"/>
      <w:divBdr>
        <w:top w:val="none" w:sz="0" w:space="0" w:color="auto"/>
        <w:left w:val="none" w:sz="0" w:space="0" w:color="auto"/>
        <w:bottom w:val="none" w:sz="0" w:space="0" w:color="auto"/>
        <w:right w:val="none" w:sz="0" w:space="0" w:color="auto"/>
      </w:divBdr>
    </w:div>
    <w:div w:id="1460878592">
      <w:bodyDiv w:val="1"/>
      <w:marLeft w:val="0"/>
      <w:marRight w:val="0"/>
      <w:marTop w:val="0"/>
      <w:marBottom w:val="0"/>
      <w:divBdr>
        <w:top w:val="none" w:sz="0" w:space="0" w:color="auto"/>
        <w:left w:val="none" w:sz="0" w:space="0" w:color="auto"/>
        <w:bottom w:val="none" w:sz="0" w:space="0" w:color="auto"/>
        <w:right w:val="none" w:sz="0" w:space="0" w:color="auto"/>
      </w:divBdr>
    </w:div>
    <w:div w:id="1460955812">
      <w:bodyDiv w:val="1"/>
      <w:marLeft w:val="0"/>
      <w:marRight w:val="0"/>
      <w:marTop w:val="0"/>
      <w:marBottom w:val="0"/>
      <w:divBdr>
        <w:top w:val="none" w:sz="0" w:space="0" w:color="auto"/>
        <w:left w:val="none" w:sz="0" w:space="0" w:color="auto"/>
        <w:bottom w:val="none" w:sz="0" w:space="0" w:color="auto"/>
        <w:right w:val="none" w:sz="0" w:space="0" w:color="auto"/>
      </w:divBdr>
    </w:div>
    <w:div w:id="1462923478">
      <w:bodyDiv w:val="1"/>
      <w:marLeft w:val="0"/>
      <w:marRight w:val="0"/>
      <w:marTop w:val="0"/>
      <w:marBottom w:val="0"/>
      <w:divBdr>
        <w:top w:val="none" w:sz="0" w:space="0" w:color="auto"/>
        <w:left w:val="none" w:sz="0" w:space="0" w:color="auto"/>
        <w:bottom w:val="none" w:sz="0" w:space="0" w:color="auto"/>
        <w:right w:val="none" w:sz="0" w:space="0" w:color="auto"/>
      </w:divBdr>
    </w:div>
    <w:div w:id="1463424174">
      <w:bodyDiv w:val="1"/>
      <w:marLeft w:val="0"/>
      <w:marRight w:val="0"/>
      <w:marTop w:val="0"/>
      <w:marBottom w:val="0"/>
      <w:divBdr>
        <w:top w:val="none" w:sz="0" w:space="0" w:color="auto"/>
        <w:left w:val="none" w:sz="0" w:space="0" w:color="auto"/>
        <w:bottom w:val="none" w:sz="0" w:space="0" w:color="auto"/>
        <w:right w:val="none" w:sz="0" w:space="0" w:color="auto"/>
      </w:divBdr>
    </w:div>
    <w:div w:id="1465544825">
      <w:bodyDiv w:val="1"/>
      <w:marLeft w:val="0"/>
      <w:marRight w:val="0"/>
      <w:marTop w:val="0"/>
      <w:marBottom w:val="0"/>
      <w:divBdr>
        <w:top w:val="none" w:sz="0" w:space="0" w:color="auto"/>
        <w:left w:val="none" w:sz="0" w:space="0" w:color="auto"/>
        <w:bottom w:val="none" w:sz="0" w:space="0" w:color="auto"/>
        <w:right w:val="none" w:sz="0" w:space="0" w:color="auto"/>
      </w:divBdr>
    </w:div>
    <w:div w:id="1479765524">
      <w:bodyDiv w:val="1"/>
      <w:marLeft w:val="0"/>
      <w:marRight w:val="0"/>
      <w:marTop w:val="0"/>
      <w:marBottom w:val="0"/>
      <w:divBdr>
        <w:top w:val="none" w:sz="0" w:space="0" w:color="auto"/>
        <w:left w:val="none" w:sz="0" w:space="0" w:color="auto"/>
        <w:bottom w:val="none" w:sz="0" w:space="0" w:color="auto"/>
        <w:right w:val="none" w:sz="0" w:space="0" w:color="auto"/>
      </w:divBdr>
    </w:div>
    <w:div w:id="1481654157">
      <w:bodyDiv w:val="1"/>
      <w:marLeft w:val="0"/>
      <w:marRight w:val="0"/>
      <w:marTop w:val="0"/>
      <w:marBottom w:val="0"/>
      <w:divBdr>
        <w:top w:val="none" w:sz="0" w:space="0" w:color="auto"/>
        <w:left w:val="none" w:sz="0" w:space="0" w:color="auto"/>
        <w:bottom w:val="none" w:sz="0" w:space="0" w:color="auto"/>
        <w:right w:val="none" w:sz="0" w:space="0" w:color="auto"/>
      </w:divBdr>
    </w:div>
    <w:div w:id="1493835469">
      <w:bodyDiv w:val="1"/>
      <w:marLeft w:val="0"/>
      <w:marRight w:val="0"/>
      <w:marTop w:val="0"/>
      <w:marBottom w:val="0"/>
      <w:divBdr>
        <w:top w:val="none" w:sz="0" w:space="0" w:color="auto"/>
        <w:left w:val="none" w:sz="0" w:space="0" w:color="auto"/>
        <w:bottom w:val="none" w:sz="0" w:space="0" w:color="auto"/>
        <w:right w:val="none" w:sz="0" w:space="0" w:color="auto"/>
      </w:divBdr>
    </w:div>
    <w:div w:id="1503660994">
      <w:bodyDiv w:val="1"/>
      <w:marLeft w:val="0"/>
      <w:marRight w:val="0"/>
      <w:marTop w:val="0"/>
      <w:marBottom w:val="0"/>
      <w:divBdr>
        <w:top w:val="none" w:sz="0" w:space="0" w:color="auto"/>
        <w:left w:val="none" w:sz="0" w:space="0" w:color="auto"/>
        <w:bottom w:val="none" w:sz="0" w:space="0" w:color="auto"/>
        <w:right w:val="none" w:sz="0" w:space="0" w:color="auto"/>
      </w:divBdr>
    </w:div>
    <w:div w:id="1504857538">
      <w:bodyDiv w:val="1"/>
      <w:marLeft w:val="0"/>
      <w:marRight w:val="0"/>
      <w:marTop w:val="0"/>
      <w:marBottom w:val="0"/>
      <w:divBdr>
        <w:top w:val="none" w:sz="0" w:space="0" w:color="auto"/>
        <w:left w:val="none" w:sz="0" w:space="0" w:color="auto"/>
        <w:bottom w:val="none" w:sz="0" w:space="0" w:color="auto"/>
        <w:right w:val="none" w:sz="0" w:space="0" w:color="auto"/>
      </w:divBdr>
    </w:div>
    <w:div w:id="1506826494">
      <w:bodyDiv w:val="1"/>
      <w:marLeft w:val="0"/>
      <w:marRight w:val="0"/>
      <w:marTop w:val="0"/>
      <w:marBottom w:val="0"/>
      <w:divBdr>
        <w:top w:val="none" w:sz="0" w:space="0" w:color="auto"/>
        <w:left w:val="none" w:sz="0" w:space="0" w:color="auto"/>
        <w:bottom w:val="none" w:sz="0" w:space="0" w:color="auto"/>
        <w:right w:val="none" w:sz="0" w:space="0" w:color="auto"/>
      </w:divBdr>
    </w:div>
    <w:div w:id="1507476961">
      <w:bodyDiv w:val="1"/>
      <w:marLeft w:val="0"/>
      <w:marRight w:val="0"/>
      <w:marTop w:val="0"/>
      <w:marBottom w:val="0"/>
      <w:divBdr>
        <w:top w:val="none" w:sz="0" w:space="0" w:color="auto"/>
        <w:left w:val="none" w:sz="0" w:space="0" w:color="auto"/>
        <w:bottom w:val="none" w:sz="0" w:space="0" w:color="auto"/>
        <w:right w:val="none" w:sz="0" w:space="0" w:color="auto"/>
      </w:divBdr>
    </w:div>
    <w:div w:id="1508910048">
      <w:bodyDiv w:val="1"/>
      <w:marLeft w:val="0"/>
      <w:marRight w:val="0"/>
      <w:marTop w:val="0"/>
      <w:marBottom w:val="0"/>
      <w:divBdr>
        <w:top w:val="none" w:sz="0" w:space="0" w:color="auto"/>
        <w:left w:val="none" w:sz="0" w:space="0" w:color="auto"/>
        <w:bottom w:val="none" w:sz="0" w:space="0" w:color="auto"/>
        <w:right w:val="none" w:sz="0" w:space="0" w:color="auto"/>
      </w:divBdr>
    </w:div>
    <w:div w:id="1521620365">
      <w:bodyDiv w:val="1"/>
      <w:marLeft w:val="0"/>
      <w:marRight w:val="0"/>
      <w:marTop w:val="0"/>
      <w:marBottom w:val="0"/>
      <w:divBdr>
        <w:top w:val="none" w:sz="0" w:space="0" w:color="auto"/>
        <w:left w:val="none" w:sz="0" w:space="0" w:color="auto"/>
        <w:bottom w:val="none" w:sz="0" w:space="0" w:color="auto"/>
        <w:right w:val="none" w:sz="0" w:space="0" w:color="auto"/>
      </w:divBdr>
    </w:div>
    <w:div w:id="1524440257">
      <w:bodyDiv w:val="1"/>
      <w:marLeft w:val="0"/>
      <w:marRight w:val="0"/>
      <w:marTop w:val="0"/>
      <w:marBottom w:val="0"/>
      <w:divBdr>
        <w:top w:val="none" w:sz="0" w:space="0" w:color="auto"/>
        <w:left w:val="none" w:sz="0" w:space="0" w:color="auto"/>
        <w:bottom w:val="none" w:sz="0" w:space="0" w:color="auto"/>
        <w:right w:val="none" w:sz="0" w:space="0" w:color="auto"/>
      </w:divBdr>
    </w:div>
    <w:div w:id="1542128487">
      <w:bodyDiv w:val="1"/>
      <w:marLeft w:val="0"/>
      <w:marRight w:val="0"/>
      <w:marTop w:val="0"/>
      <w:marBottom w:val="0"/>
      <w:divBdr>
        <w:top w:val="none" w:sz="0" w:space="0" w:color="auto"/>
        <w:left w:val="none" w:sz="0" w:space="0" w:color="auto"/>
        <w:bottom w:val="none" w:sz="0" w:space="0" w:color="auto"/>
        <w:right w:val="none" w:sz="0" w:space="0" w:color="auto"/>
      </w:divBdr>
    </w:div>
    <w:div w:id="1543706782">
      <w:bodyDiv w:val="1"/>
      <w:marLeft w:val="0"/>
      <w:marRight w:val="0"/>
      <w:marTop w:val="0"/>
      <w:marBottom w:val="0"/>
      <w:divBdr>
        <w:top w:val="none" w:sz="0" w:space="0" w:color="auto"/>
        <w:left w:val="none" w:sz="0" w:space="0" w:color="auto"/>
        <w:bottom w:val="none" w:sz="0" w:space="0" w:color="auto"/>
        <w:right w:val="none" w:sz="0" w:space="0" w:color="auto"/>
      </w:divBdr>
    </w:div>
    <w:div w:id="1546599424">
      <w:bodyDiv w:val="1"/>
      <w:marLeft w:val="0"/>
      <w:marRight w:val="0"/>
      <w:marTop w:val="0"/>
      <w:marBottom w:val="0"/>
      <w:divBdr>
        <w:top w:val="none" w:sz="0" w:space="0" w:color="auto"/>
        <w:left w:val="none" w:sz="0" w:space="0" w:color="auto"/>
        <w:bottom w:val="none" w:sz="0" w:space="0" w:color="auto"/>
        <w:right w:val="none" w:sz="0" w:space="0" w:color="auto"/>
      </w:divBdr>
    </w:div>
    <w:div w:id="1558276348">
      <w:bodyDiv w:val="1"/>
      <w:marLeft w:val="0"/>
      <w:marRight w:val="0"/>
      <w:marTop w:val="0"/>
      <w:marBottom w:val="0"/>
      <w:divBdr>
        <w:top w:val="none" w:sz="0" w:space="0" w:color="auto"/>
        <w:left w:val="none" w:sz="0" w:space="0" w:color="auto"/>
        <w:bottom w:val="none" w:sz="0" w:space="0" w:color="auto"/>
        <w:right w:val="none" w:sz="0" w:space="0" w:color="auto"/>
      </w:divBdr>
    </w:div>
    <w:div w:id="1565725637">
      <w:bodyDiv w:val="1"/>
      <w:marLeft w:val="0"/>
      <w:marRight w:val="0"/>
      <w:marTop w:val="0"/>
      <w:marBottom w:val="0"/>
      <w:divBdr>
        <w:top w:val="none" w:sz="0" w:space="0" w:color="auto"/>
        <w:left w:val="none" w:sz="0" w:space="0" w:color="auto"/>
        <w:bottom w:val="none" w:sz="0" w:space="0" w:color="auto"/>
        <w:right w:val="none" w:sz="0" w:space="0" w:color="auto"/>
      </w:divBdr>
    </w:div>
    <w:div w:id="1566257249">
      <w:bodyDiv w:val="1"/>
      <w:marLeft w:val="0"/>
      <w:marRight w:val="0"/>
      <w:marTop w:val="0"/>
      <w:marBottom w:val="0"/>
      <w:divBdr>
        <w:top w:val="none" w:sz="0" w:space="0" w:color="auto"/>
        <w:left w:val="none" w:sz="0" w:space="0" w:color="auto"/>
        <w:bottom w:val="none" w:sz="0" w:space="0" w:color="auto"/>
        <w:right w:val="none" w:sz="0" w:space="0" w:color="auto"/>
      </w:divBdr>
    </w:div>
    <w:div w:id="1576087075">
      <w:bodyDiv w:val="1"/>
      <w:marLeft w:val="0"/>
      <w:marRight w:val="0"/>
      <w:marTop w:val="0"/>
      <w:marBottom w:val="0"/>
      <w:divBdr>
        <w:top w:val="none" w:sz="0" w:space="0" w:color="auto"/>
        <w:left w:val="none" w:sz="0" w:space="0" w:color="auto"/>
        <w:bottom w:val="none" w:sz="0" w:space="0" w:color="auto"/>
        <w:right w:val="none" w:sz="0" w:space="0" w:color="auto"/>
      </w:divBdr>
    </w:div>
    <w:div w:id="1579513207">
      <w:bodyDiv w:val="1"/>
      <w:marLeft w:val="0"/>
      <w:marRight w:val="0"/>
      <w:marTop w:val="0"/>
      <w:marBottom w:val="0"/>
      <w:divBdr>
        <w:top w:val="none" w:sz="0" w:space="0" w:color="auto"/>
        <w:left w:val="none" w:sz="0" w:space="0" w:color="auto"/>
        <w:bottom w:val="none" w:sz="0" w:space="0" w:color="auto"/>
        <w:right w:val="none" w:sz="0" w:space="0" w:color="auto"/>
      </w:divBdr>
    </w:div>
    <w:div w:id="1582569592">
      <w:bodyDiv w:val="1"/>
      <w:marLeft w:val="0"/>
      <w:marRight w:val="0"/>
      <w:marTop w:val="0"/>
      <w:marBottom w:val="0"/>
      <w:divBdr>
        <w:top w:val="none" w:sz="0" w:space="0" w:color="auto"/>
        <w:left w:val="none" w:sz="0" w:space="0" w:color="auto"/>
        <w:bottom w:val="none" w:sz="0" w:space="0" w:color="auto"/>
        <w:right w:val="none" w:sz="0" w:space="0" w:color="auto"/>
      </w:divBdr>
    </w:div>
    <w:div w:id="1583446967">
      <w:bodyDiv w:val="1"/>
      <w:marLeft w:val="0"/>
      <w:marRight w:val="0"/>
      <w:marTop w:val="0"/>
      <w:marBottom w:val="0"/>
      <w:divBdr>
        <w:top w:val="none" w:sz="0" w:space="0" w:color="auto"/>
        <w:left w:val="none" w:sz="0" w:space="0" w:color="auto"/>
        <w:bottom w:val="none" w:sz="0" w:space="0" w:color="auto"/>
        <w:right w:val="none" w:sz="0" w:space="0" w:color="auto"/>
      </w:divBdr>
    </w:div>
    <w:div w:id="1588731647">
      <w:bodyDiv w:val="1"/>
      <w:marLeft w:val="0"/>
      <w:marRight w:val="0"/>
      <w:marTop w:val="0"/>
      <w:marBottom w:val="0"/>
      <w:divBdr>
        <w:top w:val="none" w:sz="0" w:space="0" w:color="auto"/>
        <w:left w:val="none" w:sz="0" w:space="0" w:color="auto"/>
        <w:bottom w:val="none" w:sz="0" w:space="0" w:color="auto"/>
        <w:right w:val="none" w:sz="0" w:space="0" w:color="auto"/>
      </w:divBdr>
    </w:div>
    <w:div w:id="1598102421">
      <w:bodyDiv w:val="1"/>
      <w:marLeft w:val="0"/>
      <w:marRight w:val="0"/>
      <w:marTop w:val="0"/>
      <w:marBottom w:val="0"/>
      <w:divBdr>
        <w:top w:val="none" w:sz="0" w:space="0" w:color="auto"/>
        <w:left w:val="none" w:sz="0" w:space="0" w:color="auto"/>
        <w:bottom w:val="none" w:sz="0" w:space="0" w:color="auto"/>
        <w:right w:val="none" w:sz="0" w:space="0" w:color="auto"/>
      </w:divBdr>
    </w:div>
    <w:div w:id="1610887568">
      <w:bodyDiv w:val="1"/>
      <w:marLeft w:val="0"/>
      <w:marRight w:val="0"/>
      <w:marTop w:val="0"/>
      <w:marBottom w:val="0"/>
      <w:divBdr>
        <w:top w:val="none" w:sz="0" w:space="0" w:color="auto"/>
        <w:left w:val="none" w:sz="0" w:space="0" w:color="auto"/>
        <w:bottom w:val="none" w:sz="0" w:space="0" w:color="auto"/>
        <w:right w:val="none" w:sz="0" w:space="0" w:color="auto"/>
      </w:divBdr>
    </w:div>
    <w:div w:id="1616591995">
      <w:bodyDiv w:val="1"/>
      <w:marLeft w:val="0"/>
      <w:marRight w:val="0"/>
      <w:marTop w:val="0"/>
      <w:marBottom w:val="0"/>
      <w:divBdr>
        <w:top w:val="none" w:sz="0" w:space="0" w:color="auto"/>
        <w:left w:val="none" w:sz="0" w:space="0" w:color="auto"/>
        <w:bottom w:val="none" w:sz="0" w:space="0" w:color="auto"/>
        <w:right w:val="none" w:sz="0" w:space="0" w:color="auto"/>
      </w:divBdr>
    </w:div>
    <w:div w:id="1624576926">
      <w:bodyDiv w:val="1"/>
      <w:marLeft w:val="0"/>
      <w:marRight w:val="0"/>
      <w:marTop w:val="0"/>
      <w:marBottom w:val="0"/>
      <w:divBdr>
        <w:top w:val="none" w:sz="0" w:space="0" w:color="auto"/>
        <w:left w:val="none" w:sz="0" w:space="0" w:color="auto"/>
        <w:bottom w:val="none" w:sz="0" w:space="0" w:color="auto"/>
        <w:right w:val="none" w:sz="0" w:space="0" w:color="auto"/>
      </w:divBdr>
    </w:div>
    <w:div w:id="1651707827">
      <w:bodyDiv w:val="1"/>
      <w:marLeft w:val="0"/>
      <w:marRight w:val="0"/>
      <w:marTop w:val="0"/>
      <w:marBottom w:val="0"/>
      <w:divBdr>
        <w:top w:val="none" w:sz="0" w:space="0" w:color="auto"/>
        <w:left w:val="none" w:sz="0" w:space="0" w:color="auto"/>
        <w:bottom w:val="none" w:sz="0" w:space="0" w:color="auto"/>
        <w:right w:val="none" w:sz="0" w:space="0" w:color="auto"/>
      </w:divBdr>
    </w:div>
    <w:div w:id="1658608649">
      <w:bodyDiv w:val="1"/>
      <w:marLeft w:val="0"/>
      <w:marRight w:val="0"/>
      <w:marTop w:val="0"/>
      <w:marBottom w:val="0"/>
      <w:divBdr>
        <w:top w:val="none" w:sz="0" w:space="0" w:color="auto"/>
        <w:left w:val="none" w:sz="0" w:space="0" w:color="auto"/>
        <w:bottom w:val="none" w:sz="0" w:space="0" w:color="auto"/>
        <w:right w:val="none" w:sz="0" w:space="0" w:color="auto"/>
      </w:divBdr>
    </w:div>
    <w:div w:id="1662655481">
      <w:bodyDiv w:val="1"/>
      <w:marLeft w:val="0"/>
      <w:marRight w:val="0"/>
      <w:marTop w:val="0"/>
      <w:marBottom w:val="0"/>
      <w:divBdr>
        <w:top w:val="none" w:sz="0" w:space="0" w:color="auto"/>
        <w:left w:val="none" w:sz="0" w:space="0" w:color="auto"/>
        <w:bottom w:val="none" w:sz="0" w:space="0" w:color="auto"/>
        <w:right w:val="none" w:sz="0" w:space="0" w:color="auto"/>
      </w:divBdr>
    </w:div>
    <w:div w:id="1670330808">
      <w:bodyDiv w:val="1"/>
      <w:marLeft w:val="0"/>
      <w:marRight w:val="0"/>
      <w:marTop w:val="0"/>
      <w:marBottom w:val="0"/>
      <w:divBdr>
        <w:top w:val="none" w:sz="0" w:space="0" w:color="auto"/>
        <w:left w:val="none" w:sz="0" w:space="0" w:color="auto"/>
        <w:bottom w:val="none" w:sz="0" w:space="0" w:color="auto"/>
        <w:right w:val="none" w:sz="0" w:space="0" w:color="auto"/>
      </w:divBdr>
    </w:div>
    <w:div w:id="1673216680">
      <w:bodyDiv w:val="1"/>
      <w:marLeft w:val="0"/>
      <w:marRight w:val="0"/>
      <w:marTop w:val="0"/>
      <w:marBottom w:val="0"/>
      <w:divBdr>
        <w:top w:val="none" w:sz="0" w:space="0" w:color="auto"/>
        <w:left w:val="none" w:sz="0" w:space="0" w:color="auto"/>
        <w:bottom w:val="none" w:sz="0" w:space="0" w:color="auto"/>
        <w:right w:val="none" w:sz="0" w:space="0" w:color="auto"/>
      </w:divBdr>
    </w:div>
    <w:div w:id="1673407493">
      <w:bodyDiv w:val="1"/>
      <w:marLeft w:val="0"/>
      <w:marRight w:val="0"/>
      <w:marTop w:val="0"/>
      <w:marBottom w:val="0"/>
      <w:divBdr>
        <w:top w:val="none" w:sz="0" w:space="0" w:color="auto"/>
        <w:left w:val="none" w:sz="0" w:space="0" w:color="auto"/>
        <w:bottom w:val="none" w:sz="0" w:space="0" w:color="auto"/>
        <w:right w:val="none" w:sz="0" w:space="0" w:color="auto"/>
      </w:divBdr>
    </w:div>
    <w:div w:id="1674256514">
      <w:bodyDiv w:val="1"/>
      <w:marLeft w:val="0"/>
      <w:marRight w:val="0"/>
      <w:marTop w:val="0"/>
      <w:marBottom w:val="0"/>
      <w:divBdr>
        <w:top w:val="none" w:sz="0" w:space="0" w:color="auto"/>
        <w:left w:val="none" w:sz="0" w:space="0" w:color="auto"/>
        <w:bottom w:val="none" w:sz="0" w:space="0" w:color="auto"/>
        <w:right w:val="none" w:sz="0" w:space="0" w:color="auto"/>
      </w:divBdr>
    </w:div>
    <w:div w:id="1674990366">
      <w:bodyDiv w:val="1"/>
      <w:marLeft w:val="0"/>
      <w:marRight w:val="0"/>
      <w:marTop w:val="0"/>
      <w:marBottom w:val="0"/>
      <w:divBdr>
        <w:top w:val="none" w:sz="0" w:space="0" w:color="auto"/>
        <w:left w:val="none" w:sz="0" w:space="0" w:color="auto"/>
        <w:bottom w:val="none" w:sz="0" w:space="0" w:color="auto"/>
        <w:right w:val="none" w:sz="0" w:space="0" w:color="auto"/>
      </w:divBdr>
    </w:div>
    <w:div w:id="1684891377">
      <w:bodyDiv w:val="1"/>
      <w:marLeft w:val="0"/>
      <w:marRight w:val="0"/>
      <w:marTop w:val="0"/>
      <w:marBottom w:val="0"/>
      <w:divBdr>
        <w:top w:val="none" w:sz="0" w:space="0" w:color="auto"/>
        <w:left w:val="none" w:sz="0" w:space="0" w:color="auto"/>
        <w:bottom w:val="none" w:sz="0" w:space="0" w:color="auto"/>
        <w:right w:val="none" w:sz="0" w:space="0" w:color="auto"/>
      </w:divBdr>
    </w:div>
    <w:div w:id="1686904304">
      <w:bodyDiv w:val="1"/>
      <w:marLeft w:val="0"/>
      <w:marRight w:val="0"/>
      <w:marTop w:val="0"/>
      <w:marBottom w:val="0"/>
      <w:divBdr>
        <w:top w:val="none" w:sz="0" w:space="0" w:color="auto"/>
        <w:left w:val="none" w:sz="0" w:space="0" w:color="auto"/>
        <w:bottom w:val="none" w:sz="0" w:space="0" w:color="auto"/>
        <w:right w:val="none" w:sz="0" w:space="0" w:color="auto"/>
      </w:divBdr>
    </w:div>
    <w:div w:id="1691056561">
      <w:bodyDiv w:val="1"/>
      <w:marLeft w:val="0"/>
      <w:marRight w:val="0"/>
      <w:marTop w:val="0"/>
      <w:marBottom w:val="0"/>
      <w:divBdr>
        <w:top w:val="none" w:sz="0" w:space="0" w:color="auto"/>
        <w:left w:val="none" w:sz="0" w:space="0" w:color="auto"/>
        <w:bottom w:val="none" w:sz="0" w:space="0" w:color="auto"/>
        <w:right w:val="none" w:sz="0" w:space="0" w:color="auto"/>
      </w:divBdr>
    </w:div>
    <w:div w:id="1695957777">
      <w:bodyDiv w:val="1"/>
      <w:marLeft w:val="0"/>
      <w:marRight w:val="0"/>
      <w:marTop w:val="0"/>
      <w:marBottom w:val="0"/>
      <w:divBdr>
        <w:top w:val="none" w:sz="0" w:space="0" w:color="auto"/>
        <w:left w:val="none" w:sz="0" w:space="0" w:color="auto"/>
        <w:bottom w:val="none" w:sz="0" w:space="0" w:color="auto"/>
        <w:right w:val="none" w:sz="0" w:space="0" w:color="auto"/>
      </w:divBdr>
    </w:div>
    <w:div w:id="1699889258">
      <w:bodyDiv w:val="1"/>
      <w:marLeft w:val="0"/>
      <w:marRight w:val="0"/>
      <w:marTop w:val="0"/>
      <w:marBottom w:val="0"/>
      <w:divBdr>
        <w:top w:val="none" w:sz="0" w:space="0" w:color="auto"/>
        <w:left w:val="none" w:sz="0" w:space="0" w:color="auto"/>
        <w:bottom w:val="none" w:sz="0" w:space="0" w:color="auto"/>
        <w:right w:val="none" w:sz="0" w:space="0" w:color="auto"/>
      </w:divBdr>
    </w:div>
    <w:div w:id="1711342803">
      <w:bodyDiv w:val="1"/>
      <w:marLeft w:val="0"/>
      <w:marRight w:val="0"/>
      <w:marTop w:val="0"/>
      <w:marBottom w:val="0"/>
      <w:divBdr>
        <w:top w:val="none" w:sz="0" w:space="0" w:color="auto"/>
        <w:left w:val="none" w:sz="0" w:space="0" w:color="auto"/>
        <w:bottom w:val="none" w:sz="0" w:space="0" w:color="auto"/>
        <w:right w:val="none" w:sz="0" w:space="0" w:color="auto"/>
      </w:divBdr>
    </w:div>
    <w:div w:id="1727797436">
      <w:bodyDiv w:val="1"/>
      <w:marLeft w:val="0"/>
      <w:marRight w:val="0"/>
      <w:marTop w:val="0"/>
      <w:marBottom w:val="0"/>
      <w:divBdr>
        <w:top w:val="none" w:sz="0" w:space="0" w:color="auto"/>
        <w:left w:val="none" w:sz="0" w:space="0" w:color="auto"/>
        <w:bottom w:val="none" w:sz="0" w:space="0" w:color="auto"/>
        <w:right w:val="none" w:sz="0" w:space="0" w:color="auto"/>
      </w:divBdr>
      <w:divsChild>
        <w:div w:id="21975872">
          <w:marLeft w:val="255"/>
          <w:marRight w:val="0"/>
          <w:marTop w:val="0"/>
          <w:marBottom w:val="0"/>
          <w:divBdr>
            <w:top w:val="none" w:sz="0" w:space="0" w:color="auto"/>
            <w:left w:val="none" w:sz="0" w:space="0" w:color="auto"/>
            <w:bottom w:val="none" w:sz="0" w:space="0" w:color="auto"/>
            <w:right w:val="none" w:sz="0" w:space="0" w:color="auto"/>
          </w:divBdr>
        </w:div>
      </w:divsChild>
    </w:div>
    <w:div w:id="1732536630">
      <w:bodyDiv w:val="1"/>
      <w:marLeft w:val="0"/>
      <w:marRight w:val="0"/>
      <w:marTop w:val="0"/>
      <w:marBottom w:val="0"/>
      <w:divBdr>
        <w:top w:val="none" w:sz="0" w:space="0" w:color="auto"/>
        <w:left w:val="none" w:sz="0" w:space="0" w:color="auto"/>
        <w:bottom w:val="none" w:sz="0" w:space="0" w:color="auto"/>
        <w:right w:val="none" w:sz="0" w:space="0" w:color="auto"/>
      </w:divBdr>
    </w:div>
    <w:div w:id="1739667094">
      <w:bodyDiv w:val="1"/>
      <w:marLeft w:val="0"/>
      <w:marRight w:val="0"/>
      <w:marTop w:val="0"/>
      <w:marBottom w:val="0"/>
      <w:divBdr>
        <w:top w:val="none" w:sz="0" w:space="0" w:color="auto"/>
        <w:left w:val="none" w:sz="0" w:space="0" w:color="auto"/>
        <w:bottom w:val="none" w:sz="0" w:space="0" w:color="auto"/>
        <w:right w:val="none" w:sz="0" w:space="0" w:color="auto"/>
      </w:divBdr>
    </w:div>
    <w:div w:id="1749309211">
      <w:bodyDiv w:val="1"/>
      <w:marLeft w:val="0"/>
      <w:marRight w:val="0"/>
      <w:marTop w:val="0"/>
      <w:marBottom w:val="0"/>
      <w:divBdr>
        <w:top w:val="none" w:sz="0" w:space="0" w:color="auto"/>
        <w:left w:val="none" w:sz="0" w:space="0" w:color="auto"/>
        <w:bottom w:val="none" w:sz="0" w:space="0" w:color="auto"/>
        <w:right w:val="none" w:sz="0" w:space="0" w:color="auto"/>
      </w:divBdr>
    </w:div>
    <w:div w:id="1758096433">
      <w:bodyDiv w:val="1"/>
      <w:marLeft w:val="0"/>
      <w:marRight w:val="0"/>
      <w:marTop w:val="0"/>
      <w:marBottom w:val="0"/>
      <w:divBdr>
        <w:top w:val="none" w:sz="0" w:space="0" w:color="auto"/>
        <w:left w:val="none" w:sz="0" w:space="0" w:color="auto"/>
        <w:bottom w:val="none" w:sz="0" w:space="0" w:color="auto"/>
        <w:right w:val="none" w:sz="0" w:space="0" w:color="auto"/>
      </w:divBdr>
    </w:div>
    <w:div w:id="1758555387">
      <w:bodyDiv w:val="1"/>
      <w:marLeft w:val="0"/>
      <w:marRight w:val="0"/>
      <w:marTop w:val="0"/>
      <w:marBottom w:val="0"/>
      <w:divBdr>
        <w:top w:val="none" w:sz="0" w:space="0" w:color="auto"/>
        <w:left w:val="none" w:sz="0" w:space="0" w:color="auto"/>
        <w:bottom w:val="none" w:sz="0" w:space="0" w:color="auto"/>
        <w:right w:val="none" w:sz="0" w:space="0" w:color="auto"/>
      </w:divBdr>
    </w:div>
    <w:div w:id="1758557036">
      <w:bodyDiv w:val="1"/>
      <w:marLeft w:val="0"/>
      <w:marRight w:val="0"/>
      <w:marTop w:val="0"/>
      <w:marBottom w:val="0"/>
      <w:divBdr>
        <w:top w:val="none" w:sz="0" w:space="0" w:color="auto"/>
        <w:left w:val="none" w:sz="0" w:space="0" w:color="auto"/>
        <w:bottom w:val="none" w:sz="0" w:space="0" w:color="auto"/>
        <w:right w:val="none" w:sz="0" w:space="0" w:color="auto"/>
      </w:divBdr>
    </w:div>
    <w:div w:id="1763211880">
      <w:bodyDiv w:val="1"/>
      <w:marLeft w:val="0"/>
      <w:marRight w:val="0"/>
      <w:marTop w:val="0"/>
      <w:marBottom w:val="0"/>
      <w:divBdr>
        <w:top w:val="none" w:sz="0" w:space="0" w:color="auto"/>
        <w:left w:val="none" w:sz="0" w:space="0" w:color="auto"/>
        <w:bottom w:val="none" w:sz="0" w:space="0" w:color="auto"/>
        <w:right w:val="none" w:sz="0" w:space="0" w:color="auto"/>
      </w:divBdr>
    </w:div>
    <w:div w:id="1777751399">
      <w:bodyDiv w:val="1"/>
      <w:marLeft w:val="0"/>
      <w:marRight w:val="0"/>
      <w:marTop w:val="0"/>
      <w:marBottom w:val="0"/>
      <w:divBdr>
        <w:top w:val="none" w:sz="0" w:space="0" w:color="auto"/>
        <w:left w:val="none" w:sz="0" w:space="0" w:color="auto"/>
        <w:bottom w:val="none" w:sz="0" w:space="0" w:color="auto"/>
        <w:right w:val="none" w:sz="0" w:space="0" w:color="auto"/>
      </w:divBdr>
    </w:div>
    <w:div w:id="1778522128">
      <w:bodyDiv w:val="1"/>
      <w:marLeft w:val="0"/>
      <w:marRight w:val="0"/>
      <w:marTop w:val="0"/>
      <w:marBottom w:val="0"/>
      <w:divBdr>
        <w:top w:val="none" w:sz="0" w:space="0" w:color="auto"/>
        <w:left w:val="none" w:sz="0" w:space="0" w:color="auto"/>
        <w:bottom w:val="none" w:sz="0" w:space="0" w:color="auto"/>
        <w:right w:val="none" w:sz="0" w:space="0" w:color="auto"/>
      </w:divBdr>
    </w:div>
    <w:div w:id="1779058396">
      <w:bodyDiv w:val="1"/>
      <w:marLeft w:val="0"/>
      <w:marRight w:val="0"/>
      <w:marTop w:val="0"/>
      <w:marBottom w:val="0"/>
      <w:divBdr>
        <w:top w:val="none" w:sz="0" w:space="0" w:color="auto"/>
        <w:left w:val="none" w:sz="0" w:space="0" w:color="auto"/>
        <w:bottom w:val="none" w:sz="0" w:space="0" w:color="auto"/>
        <w:right w:val="none" w:sz="0" w:space="0" w:color="auto"/>
      </w:divBdr>
    </w:div>
    <w:div w:id="1781800505">
      <w:bodyDiv w:val="1"/>
      <w:marLeft w:val="0"/>
      <w:marRight w:val="0"/>
      <w:marTop w:val="0"/>
      <w:marBottom w:val="0"/>
      <w:divBdr>
        <w:top w:val="none" w:sz="0" w:space="0" w:color="auto"/>
        <w:left w:val="none" w:sz="0" w:space="0" w:color="auto"/>
        <w:bottom w:val="none" w:sz="0" w:space="0" w:color="auto"/>
        <w:right w:val="none" w:sz="0" w:space="0" w:color="auto"/>
      </w:divBdr>
      <w:divsChild>
        <w:div w:id="1525827732">
          <w:marLeft w:val="1267"/>
          <w:marRight w:val="0"/>
          <w:marTop w:val="240"/>
          <w:marBottom w:val="0"/>
          <w:divBdr>
            <w:top w:val="none" w:sz="0" w:space="0" w:color="auto"/>
            <w:left w:val="none" w:sz="0" w:space="0" w:color="auto"/>
            <w:bottom w:val="none" w:sz="0" w:space="0" w:color="auto"/>
            <w:right w:val="none" w:sz="0" w:space="0" w:color="auto"/>
          </w:divBdr>
        </w:div>
      </w:divsChild>
    </w:div>
    <w:div w:id="1783455819">
      <w:bodyDiv w:val="1"/>
      <w:marLeft w:val="0"/>
      <w:marRight w:val="0"/>
      <w:marTop w:val="0"/>
      <w:marBottom w:val="0"/>
      <w:divBdr>
        <w:top w:val="none" w:sz="0" w:space="0" w:color="auto"/>
        <w:left w:val="none" w:sz="0" w:space="0" w:color="auto"/>
        <w:bottom w:val="none" w:sz="0" w:space="0" w:color="auto"/>
        <w:right w:val="none" w:sz="0" w:space="0" w:color="auto"/>
      </w:divBdr>
    </w:div>
    <w:div w:id="1783527043">
      <w:bodyDiv w:val="1"/>
      <w:marLeft w:val="0"/>
      <w:marRight w:val="0"/>
      <w:marTop w:val="0"/>
      <w:marBottom w:val="0"/>
      <w:divBdr>
        <w:top w:val="none" w:sz="0" w:space="0" w:color="auto"/>
        <w:left w:val="none" w:sz="0" w:space="0" w:color="auto"/>
        <w:bottom w:val="none" w:sz="0" w:space="0" w:color="auto"/>
        <w:right w:val="none" w:sz="0" w:space="0" w:color="auto"/>
      </w:divBdr>
    </w:div>
    <w:div w:id="1800340987">
      <w:bodyDiv w:val="1"/>
      <w:marLeft w:val="0"/>
      <w:marRight w:val="0"/>
      <w:marTop w:val="0"/>
      <w:marBottom w:val="0"/>
      <w:divBdr>
        <w:top w:val="none" w:sz="0" w:space="0" w:color="auto"/>
        <w:left w:val="none" w:sz="0" w:space="0" w:color="auto"/>
        <w:bottom w:val="none" w:sz="0" w:space="0" w:color="auto"/>
        <w:right w:val="none" w:sz="0" w:space="0" w:color="auto"/>
      </w:divBdr>
    </w:div>
    <w:div w:id="1810781798">
      <w:bodyDiv w:val="1"/>
      <w:marLeft w:val="0"/>
      <w:marRight w:val="0"/>
      <w:marTop w:val="0"/>
      <w:marBottom w:val="0"/>
      <w:divBdr>
        <w:top w:val="none" w:sz="0" w:space="0" w:color="auto"/>
        <w:left w:val="none" w:sz="0" w:space="0" w:color="auto"/>
        <w:bottom w:val="none" w:sz="0" w:space="0" w:color="auto"/>
        <w:right w:val="none" w:sz="0" w:space="0" w:color="auto"/>
      </w:divBdr>
    </w:div>
    <w:div w:id="1813477388">
      <w:bodyDiv w:val="1"/>
      <w:marLeft w:val="0"/>
      <w:marRight w:val="0"/>
      <w:marTop w:val="0"/>
      <w:marBottom w:val="0"/>
      <w:divBdr>
        <w:top w:val="none" w:sz="0" w:space="0" w:color="auto"/>
        <w:left w:val="none" w:sz="0" w:space="0" w:color="auto"/>
        <w:bottom w:val="none" w:sz="0" w:space="0" w:color="auto"/>
        <w:right w:val="none" w:sz="0" w:space="0" w:color="auto"/>
      </w:divBdr>
    </w:div>
    <w:div w:id="1820607756">
      <w:bodyDiv w:val="1"/>
      <w:marLeft w:val="0"/>
      <w:marRight w:val="0"/>
      <w:marTop w:val="0"/>
      <w:marBottom w:val="0"/>
      <w:divBdr>
        <w:top w:val="none" w:sz="0" w:space="0" w:color="auto"/>
        <w:left w:val="none" w:sz="0" w:space="0" w:color="auto"/>
        <w:bottom w:val="none" w:sz="0" w:space="0" w:color="auto"/>
        <w:right w:val="none" w:sz="0" w:space="0" w:color="auto"/>
      </w:divBdr>
    </w:div>
    <w:div w:id="1828941153">
      <w:bodyDiv w:val="1"/>
      <w:marLeft w:val="0"/>
      <w:marRight w:val="0"/>
      <w:marTop w:val="0"/>
      <w:marBottom w:val="0"/>
      <w:divBdr>
        <w:top w:val="none" w:sz="0" w:space="0" w:color="auto"/>
        <w:left w:val="none" w:sz="0" w:space="0" w:color="auto"/>
        <w:bottom w:val="none" w:sz="0" w:space="0" w:color="auto"/>
        <w:right w:val="none" w:sz="0" w:space="0" w:color="auto"/>
      </w:divBdr>
    </w:div>
    <w:div w:id="1833645609">
      <w:bodyDiv w:val="1"/>
      <w:marLeft w:val="0"/>
      <w:marRight w:val="0"/>
      <w:marTop w:val="0"/>
      <w:marBottom w:val="0"/>
      <w:divBdr>
        <w:top w:val="none" w:sz="0" w:space="0" w:color="auto"/>
        <w:left w:val="none" w:sz="0" w:space="0" w:color="auto"/>
        <w:bottom w:val="none" w:sz="0" w:space="0" w:color="auto"/>
        <w:right w:val="none" w:sz="0" w:space="0" w:color="auto"/>
      </w:divBdr>
    </w:div>
    <w:div w:id="1835561385">
      <w:bodyDiv w:val="1"/>
      <w:marLeft w:val="0"/>
      <w:marRight w:val="0"/>
      <w:marTop w:val="0"/>
      <w:marBottom w:val="0"/>
      <w:divBdr>
        <w:top w:val="none" w:sz="0" w:space="0" w:color="auto"/>
        <w:left w:val="none" w:sz="0" w:space="0" w:color="auto"/>
        <w:bottom w:val="none" w:sz="0" w:space="0" w:color="auto"/>
        <w:right w:val="none" w:sz="0" w:space="0" w:color="auto"/>
      </w:divBdr>
    </w:div>
    <w:div w:id="1835992329">
      <w:bodyDiv w:val="1"/>
      <w:marLeft w:val="0"/>
      <w:marRight w:val="0"/>
      <w:marTop w:val="0"/>
      <w:marBottom w:val="0"/>
      <w:divBdr>
        <w:top w:val="none" w:sz="0" w:space="0" w:color="auto"/>
        <w:left w:val="none" w:sz="0" w:space="0" w:color="auto"/>
        <w:bottom w:val="none" w:sz="0" w:space="0" w:color="auto"/>
        <w:right w:val="none" w:sz="0" w:space="0" w:color="auto"/>
      </w:divBdr>
    </w:div>
    <w:div w:id="1850876318">
      <w:bodyDiv w:val="1"/>
      <w:marLeft w:val="0"/>
      <w:marRight w:val="0"/>
      <w:marTop w:val="0"/>
      <w:marBottom w:val="0"/>
      <w:divBdr>
        <w:top w:val="none" w:sz="0" w:space="0" w:color="auto"/>
        <w:left w:val="none" w:sz="0" w:space="0" w:color="auto"/>
        <w:bottom w:val="none" w:sz="0" w:space="0" w:color="auto"/>
        <w:right w:val="none" w:sz="0" w:space="0" w:color="auto"/>
      </w:divBdr>
    </w:div>
    <w:div w:id="1857498571">
      <w:bodyDiv w:val="1"/>
      <w:marLeft w:val="0"/>
      <w:marRight w:val="0"/>
      <w:marTop w:val="0"/>
      <w:marBottom w:val="0"/>
      <w:divBdr>
        <w:top w:val="none" w:sz="0" w:space="0" w:color="auto"/>
        <w:left w:val="none" w:sz="0" w:space="0" w:color="auto"/>
        <w:bottom w:val="none" w:sz="0" w:space="0" w:color="auto"/>
        <w:right w:val="none" w:sz="0" w:space="0" w:color="auto"/>
      </w:divBdr>
    </w:div>
    <w:div w:id="1857650160">
      <w:bodyDiv w:val="1"/>
      <w:marLeft w:val="0"/>
      <w:marRight w:val="0"/>
      <w:marTop w:val="0"/>
      <w:marBottom w:val="0"/>
      <w:divBdr>
        <w:top w:val="none" w:sz="0" w:space="0" w:color="auto"/>
        <w:left w:val="none" w:sz="0" w:space="0" w:color="auto"/>
        <w:bottom w:val="none" w:sz="0" w:space="0" w:color="auto"/>
        <w:right w:val="none" w:sz="0" w:space="0" w:color="auto"/>
      </w:divBdr>
    </w:div>
    <w:div w:id="1859612495">
      <w:bodyDiv w:val="1"/>
      <w:marLeft w:val="0"/>
      <w:marRight w:val="0"/>
      <w:marTop w:val="0"/>
      <w:marBottom w:val="0"/>
      <w:divBdr>
        <w:top w:val="none" w:sz="0" w:space="0" w:color="auto"/>
        <w:left w:val="none" w:sz="0" w:space="0" w:color="auto"/>
        <w:bottom w:val="none" w:sz="0" w:space="0" w:color="auto"/>
        <w:right w:val="none" w:sz="0" w:space="0" w:color="auto"/>
      </w:divBdr>
    </w:div>
    <w:div w:id="1864124812">
      <w:bodyDiv w:val="1"/>
      <w:marLeft w:val="0"/>
      <w:marRight w:val="0"/>
      <w:marTop w:val="0"/>
      <w:marBottom w:val="0"/>
      <w:divBdr>
        <w:top w:val="none" w:sz="0" w:space="0" w:color="auto"/>
        <w:left w:val="none" w:sz="0" w:space="0" w:color="auto"/>
        <w:bottom w:val="none" w:sz="0" w:space="0" w:color="auto"/>
        <w:right w:val="none" w:sz="0" w:space="0" w:color="auto"/>
      </w:divBdr>
    </w:div>
    <w:div w:id="1867325743">
      <w:bodyDiv w:val="1"/>
      <w:marLeft w:val="0"/>
      <w:marRight w:val="0"/>
      <w:marTop w:val="0"/>
      <w:marBottom w:val="0"/>
      <w:divBdr>
        <w:top w:val="none" w:sz="0" w:space="0" w:color="auto"/>
        <w:left w:val="none" w:sz="0" w:space="0" w:color="auto"/>
        <w:bottom w:val="none" w:sz="0" w:space="0" w:color="auto"/>
        <w:right w:val="none" w:sz="0" w:space="0" w:color="auto"/>
      </w:divBdr>
    </w:div>
    <w:div w:id="1868372488">
      <w:bodyDiv w:val="1"/>
      <w:marLeft w:val="0"/>
      <w:marRight w:val="0"/>
      <w:marTop w:val="0"/>
      <w:marBottom w:val="0"/>
      <w:divBdr>
        <w:top w:val="none" w:sz="0" w:space="0" w:color="auto"/>
        <w:left w:val="none" w:sz="0" w:space="0" w:color="auto"/>
        <w:bottom w:val="none" w:sz="0" w:space="0" w:color="auto"/>
        <w:right w:val="none" w:sz="0" w:space="0" w:color="auto"/>
      </w:divBdr>
    </w:div>
    <w:div w:id="1869484558">
      <w:bodyDiv w:val="1"/>
      <w:marLeft w:val="0"/>
      <w:marRight w:val="0"/>
      <w:marTop w:val="0"/>
      <w:marBottom w:val="0"/>
      <w:divBdr>
        <w:top w:val="none" w:sz="0" w:space="0" w:color="auto"/>
        <w:left w:val="none" w:sz="0" w:space="0" w:color="auto"/>
        <w:bottom w:val="none" w:sz="0" w:space="0" w:color="auto"/>
        <w:right w:val="none" w:sz="0" w:space="0" w:color="auto"/>
      </w:divBdr>
    </w:div>
    <w:div w:id="1877808351">
      <w:bodyDiv w:val="1"/>
      <w:marLeft w:val="0"/>
      <w:marRight w:val="0"/>
      <w:marTop w:val="0"/>
      <w:marBottom w:val="0"/>
      <w:divBdr>
        <w:top w:val="none" w:sz="0" w:space="0" w:color="auto"/>
        <w:left w:val="none" w:sz="0" w:space="0" w:color="auto"/>
        <w:bottom w:val="none" w:sz="0" w:space="0" w:color="auto"/>
        <w:right w:val="none" w:sz="0" w:space="0" w:color="auto"/>
      </w:divBdr>
    </w:div>
    <w:div w:id="1878198990">
      <w:bodyDiv w:val="1"/>
      <w:marLeft w:val="0"/>
      <w:marRight w:val="0"/>
      <w:marTop w:val="0"/>
      <w:marBottom w:val="0"/>
      <w:divBdr>
        <w:top w:val="none" w:sz="0" w:space="0" w:color="auto"/>
        <w:left w:val="none" w:sz="0" w:space="0" w:color="auto"/>
        <w:bottom w:val="none" w:sz="0" w:space="0" w:color="auto"/>
        <w:right w:val="none" w:sz="0" w:space="0" w:color="auto"/>
      </w:divBdr>
    </w:div>
    <w:div w:id="1889219268">
      <w:bodyDiv w:val="1"/>
      <w:marLeft w:val="0"/>
      <w:marRight w:val="0"/>
      <w:marTop w:val="0"/>
      <w:marBottom w:val="0"/>
      <w:divBdr>
        <w:top w:val="none" w:sz="0" w:space="0" w:color="auto"/>
        <w:left w:val="none" w:sz="0" w:space="0" w:color="auto"/>
        <w:bottom w:val="none" w:sz="0" w:space="0" w:color="auto"/>
        <w:right w:val="none" w:sz="0" w:space="0" w:color="auto"/>
      </w:divBdr>
    </w:div>
    <w:div w:id="1892689054">
      <w:bodyDiv w:val="1"/>
      <w:marLeft w:val="0"/>
      <w:marRight w:val="0"/>
      <w:marTop w:val="0"/>
      <w:marBottom w:val="0"/>
      <w:divBdr>
        <w:top w:val="none" w:sz="0" w:space="0" w:color="auto"/>
        <w:left w:val="none" w:sz="0" w:space="0" w:color="auto"/>
        <w:bottom w:val="none" w:sz="0" w:space="0" w:color="auto"/>
        <w:right w:val="none" w:sz="0" w:space="0" w:color="auto"/>
      </w:divBdr>
    </w:div>
    <w:div w:id="1904178788">
      <w:bodyDiv w:val="1"/>
      <w:marLeft w:val="0"/>
      <w:marRight w:val="0"/>
      <w:marTop w:val="0"/>
      <w:marBottom w:val="0"/>
      <w:divBdr>
        <w:top w:val="none" w:sz="0" w:space="0" w:color="auto"/>
        <w:left w:val="none" w:sz="0" w:space="0" w:color="auto"/>
        <w:bottom w:val="none" w:sz="0" w:space="0" w:color="auto"/>
        <w:right w:val="none" w:sz="0" w:space="0" w:color="auto"/>
      </w:divBdr>
    </w:div>
    <w:div w:id="1907253187">
      <w:bodyDiv w:val="1"/>
      <w:marLeft w:val="0"/>
      <w:marRight w:val="0"/>
      <w:marTop w:val="0"/>
      <w:marBottom w:val="0"/>
      <w:divBdr>
        <w:top w:val="none" w:sz="0" w:space="0" w:color="auto"/>
        <w:left w:val="none" w:sz="0" w:space="0" w:color="auto"/>
        <w:bottom w:val="none" w:sz="0" w:space="0" w:color="auto"/>
        <w:right w:val="none" w:sz="0" w:space="0" w:color="auto"/>
      </w:divBdr>
    </w:div>
    <w:div w:id="1907447707">
      <w:bodyDiv w:val="1"/>
      <w:marLeft w:val="0"/>
      <w:marRight w:val="0"/>
      <w:marTop w:val="0"/>
      <w:marBottom w:val="0"/>
      <w:divBdr>
        <w:top w:val="none" w:sz="0" w:space="0" w:color="auto"/>
        <w:left w:val="none" w:sz="0" w:space="0" w:color="auto"/>
        <w:bottom w:val="none" w:sz="0" w:space="0" w:color="auto"/>
        <w:right w:val="none" w:sz="0" w:space="0" w:color="auto"/>
      </w:divBdr>
    </w:div>
    <w:div w:id="1909267516">
      <w:bodyDiv w:val="1"/>
      <w:marLeft w:val="0"/>
      <w:marRight w:val="0"/>
      <w:marTop w:val="0"/>
      <w:marBottom w:val="0"/>
      <w:divBdr>
        <w:top w:val="none" w:sz="0" w:space="0" w:color="auto"/>
        <w:left w:val="none" w:sz="0" w:space="0" w:color="auto"/>
        <w:bottom w:val="none" w:sz="0" w:space="0" w:color="auto"/>
        <w:right w:val="none" w:sz="0" w:space="0" w:color="auto"/>
      </w:divBdr>
    </w:div>
    <w:div w:id="1915776540">
      <w:bodyDiv w:val="1"/>
      <w:marLeft w:val="0"/>
      <w:marRight w:val="0"/>
      <w:marTop w:val="0"/>
      <w:marBottom w:val="0"/>
      <w:divBdr>
        <w:top w:val="none" w:sz="0" w:space="0" w:color="auto"/>
        <w:left w:val="none" w:sz="0" w:space="0" w:color="auto"/>
        <w:bottom w:val="none" w:sz="0" w:space="0" w:color="auto"/>
        <w:right w:val="none" w:sz="0" w:space="0" w:color="auto"/>
      </w:divBdr>
    </w:div>
    <w:div w:id="1926183432">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43224171">
      <w:bodyDiv w:val="1"/>
      <w:marLeft w:val="0"/>
      <w:marRight w:val="0"/>
      <w:marTop w:val="0"/>
      <w:marBottom w:val="0"/>
      <w:divBdr>
        <w:top w:val="none" w:sz="0" w:space="0" w:color="auto"/>
        <w:left w:val="none" w:sz="0" w:space="0" w:color="auto"/>
        <w:bottom w:val="none" w:sz="0" w:space="0" w:color="auto"/>
        <w:right w:val="none" w:sz="0" w:space="0" w:color="auto"/>
      </w:divBdr>
    </w:div>
    <w:div w:id="1958023368">
      <w:bodyDiv w:val="1"/>
      <w:marLeft w:val="0"/>
      <w:marRight w:val="0"/>
      <w:marTop w:val="0"/>
      <w:marBottom w:val="0"/>
      <w:divBdr>
        <w:top w:val="none" w:sz="0" w:space="0" w:color="auto"/>
        <w:left w:val="none" w:sz="0" w:space="0" w:color="auto"/>
        <w:bottom w:val="none" w:sz="0" w:space="0" w:color="auto"/>
        <w:right w:val="none" w:sz="0" w:space="0" w:color="auto"/>
      </w:divBdr>
    </w:div>
    <w:div w:id="1960524053">
      <w:bodyDiv w:val="1"/>
      <w:marLeft w:val="0"/>
      <w:marRight w:val="0"/>
      <w:marTop w:val="0"/>
      <w:marBottom w:val="0"/>
      <w:divBdr>
        <w:top w:val="none" w:sz="0" w:space="0" w:color="auto"/>
        <w:left w:val="none" w:sz="0" w:space="0" w:color="auto"/>
        <w:bottom w:val="none" w:sz="0" w:space="0" w:color="auto"/>
        <w:right w:val="none" w:sz="0" w:space="0" w:color="auto"/>
      </w:divBdr>
    </w:div>
    <w:div w:id="1972468658">
      <w:bodyDiv w:val="1"/>
      <w:marLeft w:val="0"/>
      <w:marRight w:val="0"/>
      <w:marTop w:val="0"/>
      <w:marBottom w:val="0"/>
      <w:divBdr>
        <w:top w:val="none" w:sz="0" w:space="0" w:color="auto"/>
        <w:left w:val="none" w:sz="0" w:space="0" w:color="auto"/>
        <w:bottom w:val="none" w:sz="0" w:space="0" w:color="auto"/>
        <w:right w:val="none" w:sz="0" w:space="0" w:color="auto"/>
      </w:divBdr>
    </w:div>
    <w:div w:id="1989287354">
      <w:bodyDiv w:val="1"/>
      <w:marLeft w:val="0"/>
      <w:marRight w:val="0"/>
      <w:marTop w:val="0"/>
      <w:marBottom w:val="0"/>
      <w:divBdr>
        <w:top w:val="none" w:sz="0" w:space="0" w:color="auto"/>
        <w:left w:val="none" w:sz="0" w:space="0" w:color="auto"/>
        <w:bottom w:val="none" w:sz="0" w:space="0" w:color="auto"/>
        <w:right w:val="none" w:sz="0" w:space="0" w:color="auto"/>
      </w:divBdr>
    </w:div>
    <w:div w:id="1995454007">
      <w:bodyDiv w:val="1"/>
      <w:marLeft w:val="0"/>
      <w:marRight w:val="0"/>
      <w:marTop w:val="0"/>
      <w:marBottom w:val="0"/>
      <w:divBdr>
        <w:top w:val="none" w:sz="0" w:space="0" w:color="auto"/>
        <w:left w:val="none" w:sz="0" w:space="0" w:color="auto"/>
        <w:bottom w:val="none" w:sz="0" w:space="0" w:color="auto"/>
        <w:right w:val="none" w:sz="0" w:space="0" w:color="auto"/>
      </w:divBdr>
    </w:div>
    <w:div w:id="2010520468">
      <w:bodyDiv w:val="1"/>
      <w:marLeft w:val="0"/>
      <w:marRight w:val="0"/>
      <w:marTop w:val="0"/>
      <w:marBottom w:val="0"/>
      <w:divBdr>
        <w:top w:val="none" w:sz="0" w:space="0" w:color="auto"/>
        <w:left w:val="none" w:sz="0" w:space="0" w:color="auto"/>
        <w:bottom w:val="none" w:sz="0" w:space="0" w:color="auto"/>
        <w:right w:val="none" w:sz="0" w:space="0" w:color="auto"/>
      </w:divBdr>
    </w:div>
    <w:div w:id="2014069809">
      <w:bodyDiv w:val="1"/>
      <w:marLeft w:val="0"/>
      <w:marRight w:val="0"/>
      <w:marTop w:val="0"/>
      <w:marBottom w:val="0"/>
      <w:divBdr>
        <w:top w:val="none" w:sz="0" w:space="0" w:color="auto"/>
        <w:left w:val="none" w:sz="0" w:space="0" w:color="auto"/>
        <w:bottom w:val="none" w:sz="0" w:space="0" w:color="auto"/>
        <w:right w:val="none" w:sz="0" w:space="0" w:color="auto"/>
      </w:divBdr>
    </w:div>
    <w:div w:id="2017531463">
      <w:bodyDiv w:val="1"/>
      <w:marLeft w:val="0"/>
      <w:marRight w:val="0"/>
      <w:marTop w:val="0"/>
      <w:marBottom w:val="0"/>
      <w:divBdr>
        <w:top w:val="none" w:sz="0" w:space="0" w:color="auto"/>
        <w:left w:val="none" w:sz="0" w:space="0" w:color="auto"/>
        <w:bottom w:val="none" w:sz="0" w:space="0" w:color="auto"/>
        <w:right w:val="none" w:sz="0" w:space="0" w:color="auto"/>
      </w:divBdr>
    </w:div>
    <w:div w:id="2024284937">
      <w:bodyDiv w:val="1"/>
      <w:marLeft w:val="0"/>
      <w:marRight w:val="0"/>
      <w:marTop w:val="0"/>
      <w:marBottom w:val="0"/>
      <w:divBdr>
        <w:top w:val="none" w:sz="0" w:space="0" w:color="auto"/>
        <w:left w:val="none" w:sz="0" w:space="0" w:color="auto"/>
        <w:bottom w:val="none" w:sz="0" w:space="0" w:color="auto"/>
        <w:right w:val="none" w:sz="0" w:space="0" w:color="auto"/>
      </w:divBdr>
    </w:div>
    <w:div w:id="2025131099">
      <w:bodyDiv w:val="1"/>
      <w:marLeft w:val="0"/>
      <w:marRight w:val="0"/>
      <w:marTop w:val="0"/>
      <w:marBottom w:val="0"/>
      <w:divBdr>
        <w:top w:val="none" w:sz="0" w:space="0" w:color="auto"/>
        <w:left w:val="none" w:sz="0" w:space="0" w:color="auto"/>
        <w:bottom w:val="none" w:sz="0" w:space="0" w:color="auto"/>
        <w:right w:val="none" w:sz="0" w:space="0" w:color="auto"/>
      </w:divBdr>
    </w:div>
    <w:div w:id="2025399396">
      <w:bodyDiv w:val="1"/>
      <w:marLeft w:val="0"/>
      <w:marRight w:val="0"/>
      <w:marTop w:val="0"/>
      <w:marBottom w:val="0"/>
      <w:divBdr>
        <w:top w:val="none" w:sz="0" w:space="0" w:color="auto"/>
        <w:left w:val="none" w:sz="0" w:space="0" w:color="auto"/>
        <w:bottom w:val="none" w:sz="0" w:space="0" w:color="auto"/>
        <w:right w:val="none" w:sz="0" w:space="0" w:color="auto"/>
      </w:divBdr>
    </w:div>
    <w:div w:id="2030326622">
      <w:bodyDiv w:val="1"/>
      <w:marLeft w:val="0"/>
      <w:marRight w:val="0"/>
      <w:marTop w:val="0"/>
      <w:marBottom w:val="0"/>
      <w:divBdr>
        <w:top w:val="none" w:sz="0" w:space="0" w:color="auto"/>
        <w:left w:val="none" w:sz="0" w:space="0" w:color="auto"/>
        <w:bottom w:val="none" w:sz="0" w:space="0" w:color="auto"/>
        <w:right w:val="none" w:sz="0" w:space="0" w:color="auto"/>
      </w:divBdr>
    </w:div>
    <w:div w:id="2037925177">
      <w:bodyDiv w:val="1"/>
      <w:marLeft w:val="0"/>
      <w:marRight w:val="0"/>
      <w:marTop w:val="0"/>
      <w:marBottom w:val="0"/>
      <w:divBdr>
        <w:top w:val="none" w:sz="0" w:space="0" w:color="auto"/>
        <w:left w:val="none" w:sz="0" w:space="0" w:color="auto"/>
        <w:bottom w:val="none" w:sz="0" w:space="0" w:color="auto"/>
        <w:right w:val="none" w:sz="0" w:space="0" w:color="auto"/>
      </w:divBdr>
    </w:div>
    <w:div w:id="2049600919">
      <w:bodyDiv w:val="1"/>
      <w:marLeft w:val="0"/>
      <w:marRight w:val="0"/>
      <w:marTop w:val="0"/>
      <w:marBottom w:val="0"/>
      <w:divBdr>
        <w:top w:val="none" w:sz="0" w:space="0" w:color="auto"/>
        <w:left w:val="none" w:sz="0" w:space="0" w:color="auto"/>
        <w:bottom w:val="none" w:sz="0" w:space="0" w:color="auto"/>
        <w:right w:val="none" w:sz="0" w:space="0" w:color="auto"/>
      </w:divBdr>
    </w:div>
    <w:div w:id="2056926853">
      <w:bodyDiv w:val="1"/>
      <w:marLeft w:val="0"/>
      <w:marRight w:val="0"/>
      <w:marTop w:val="0"/>
      <w:marBottom w:val="0"/>
      <w:divBdr>
        <w:top w:val="none" w:sz="0" w:space="0" w:color="auto"/>
        <w:left w:val="none" w:sz="0" w:space="0" w:color="auto"/>
        <w:bottom w:val="none" w:sz="0" w:space="0" w:color="auto"/>
        <w:right w:val="none" w:sz="0" w:space="0" w:color="auto"/>
      </w:divBdr>
    </w:div>
    <w:div w:id="2068069701">
      <w:bodyDiv w:val="1"/>
      <w:marLeft w:val="0"/>
      <w:marRight w:val="0"/>
      <w:marTop w:val="0"/>
      <w:marBottom w:val="0"/>
      <w:divBdr>
        <w:top w:val="none" w:sz="0" w:space="0" w:color="auto"/>
        <w:left w:val="none" w:sz="0" w:space="0" w:color="auto"/>
        <w:bottom w:val="none" w:sz="0" w:space="0" w:color="auto"/>
        <w:right w:val="none" w:sz="0" w:space="0" w:color="auto"/>
      </w:divBdr>
    </w:div>
    <w:div w:id="2081368588">
      <w:bodyDiv w:val="1"/>
      <w:marLeft w:val="0"/>
      <w:marRight w:val="0"/>
      <w:marTop w:val="0"/>
      <w:marBottom w:val="0"/>
      <w:divBdr>
        <w:top w:val="none" w:sz="0" w:space="0" w:color="auto"/>
        <w:left w:val="none" w:sz="0" w:space="0" w:color="auto"/>
        <w:bottom w:val="none" w:sz="0" w:space="0" w:color="auto"/>
        <w:right w:val="none" w:sz="0" w:space="0" w:color="auto"/>
      </w:divBdr>
    </w:div>
    <w:div w:id="2084259770">
      <w:bodyDiv w:val="1"/>
      <w:marLeft w:val="0"/>
      <w:marRight w:val="0"/>
      <w:marTop w:val="0"/>
      <w:marBottom w:val="0"/>
      <w:divBdr>
        <w:top w:val="none" w:sz="0" w:space="0" w:color="auto"/>
        <w:left w:val="none" w:sz="0" w:space="0" w:color="auto"/>
        <w:bottom w:val="none" w:sz="0" w:space="0" w:color="auto"/>
        <w:right w:val="none" w:sz="0" w:space="0" w:color="auto"/>
      </w:divBdr>
    </w:div>
    <w:div w:id="2084444121">
      <w:bodyDiv w:val="1"/>
      <w:marLeft w:val="0"/>
      <w:marRight w:val="0"/>
      <w:marTop w:val="0"/>
      <w:marBottom w:val="0"/>
      <w:divBdr>
        <w:top w:val="none" w:sz="0" w:space="0" w:color="auto"/>
        <w:left w:val="none" w:sz="0" w:space="0" w:color="auto"/>
        <w:bottom w:val="none" w:sz="0" w:space="0" w:color="auto"/>
        <w:right w:val="none" w:sz="0" w:space="0" w:color="auto"/>
      </w:divBdr>
    </w:div>
    <w:div w:id="2086292764">
      <w:bodyDiv w:val="1"/>
      <w:marLeft w:val="0"/>
      <w:marRight w:val="0"/>
      <w:marTop w:val="0"/>
      <w:marBottom w:val="0"/>
      <w:divBdr>
        <w:top w:val="none" w:sz="0" w:space="0" w:color="auto"/>
        <w:left w:val="none" w:sz="0" w:space="0" w:color="auto"/>
        <w:bottom w:val="none" w:sz="0" w:space="0" w:color="auto"/>
        <w:right w:val="none" w:sz="0" w:space="0" w:color="auto"/>
      </w:divBdr>
    </w:div>
    <w:div w:id="2121147870">
      <w:bodyDiv w:val="1"/>
      <w:marLeft w:val="0"/>
      <w:marRight w:val="0"/>
      <w:marTop w:val="0"/>
      <w:marBottom w:val="0"/>
      <w:divBdr>
        <w:top w:val="none" w:sz="0" w:space="0" w:color="auto"/>
        <w:left w:val="none" w:sz="0" w:space="0" w:color="auto"/>
        <w:bottom w:val="none" w:sz="0" w:space="0" w:color="auto"/>
        <w:right w:val="none" w:sz="0" w:space="0" w:color="auto"/>
      </w:divBdr>
    </w:div>
    <w:div w:id="2125424269">
      <w:bodyDiv w:val="1"/>
      <w:marLeft w:val="0"/>
      <w:marRight w:val="0"/>
      <w:marTop w:val="0"/>
      <w:marBottom w:val="0"/>
      <w:divBdr>
        <w:top w:val="none" w:sz="0" w:space="0" w:color="auto"/>
        <w:left w:val="none" w:sz="0" w:space="0" w:color="auto"/>
        <w:bottom w:val="none" w:sz="0" w:space="0" w:color="auto"/>
        <w:right w:val="none" w:sz="0" w:space="0" w:color="auto"/>
      </w:divBdr>
    </w:div>
    <w:div w:id="2126075146">
      <w:bodyDiv w:val="1"/>
      <w:marLeft w:val="0"/>
      <w:marRight w:val="0"/>
      <w:marTop w:val="0"/>
      <w:marBottom w:val="0"/>
      <w:divBdr>
        <w:top w:val="none" w:sz="0" w:space="0" w:color="auto"/>
        <w:left w:val="none" w:sz="0" w:space="0" w:color="auto"/>
        <w:bottom w:val="none" w:sz="0" w:space="0" w:color="auto"/>
        <w:right w:val="none" w:sz="0" w:space="0" w:color="auto"/>
      </w:divBdr>
    </w:div>
    <w:div w:id="2127193254">
      <w:bodyDiv w:val="1"/>
      <w:marLeft w:val="0"/>
      <w:marRight w:val="0"/>
      <w:marTop w:val="0"/>
      <w:marBottom w:val="0"/>
      <w:divBdr>
        <w:top w:val="none" w:sz="0" w:space="0" w:color="auto"/>
        <w:left w:val="none" w:sz="0" w:space="0" w:color="auto"/>
        <w:bottom w:val="none" w:sz="0" w:space="0" w:color="auto"/>
        <w:right w:val="none" w:sz="0" w:space="0" w:color="auto"/>
      </w:divBdr>
    </w:div>
    <w:div w:id="2132894051">
      <w:bodyDiv w:val="1"/>
      <w:marLeft w:val="0"/>
      <w:marRight w:val="0"/>
      <w:marTop w:val="0"/>
      <w:marBottom w:val="0"/>
      <w:divBdr>
        <w:top w:val="none" w:sz="0" w:space="0" w:color="auto"/>
        <w:left w:val="none" w:sz="0" w:space="0" w:color="auto"/>
        <w:bottom w:val="none" w:sz="0" w:space="0" w:color="auto"/>
        <w:right w:val="none" w:sz="0" w:space="0" w:color="auto"/>
      </w:divBdr>
    </w:div>
    <w:div w:id="2135172372">
      <w:bodyDiv w:val="1"/>
      <w:marLeft w:val="0"/>
      <w:marRight w:val="0"/>
      <w:marTop w:val="0"/>
      <w:marBottom w:val="0"/>
      <w:divBdr>
        <w:top w:val="none" w:sz="0" w:space="0" w:color="auto"/>
        <w:left w:val="none" w:sz="0" w:space="0" w:color="auto"/>
        <w:bottom w:val="none" w:sz="0" w:space="0" w:color="auto"/>
        <w:right w:val="none" w:sz="0" w:space="0" w:color="auto"/>
      </w:divBdr>
    </w:div>
    <w:div w:id="2140023911">
      <w:bodyDiv w:val="1"/>
      <w:marLeft w:val="0"/>
      <w:marRight w:val="0"/>
      <w:marTop w:val="0"/>
      <w:marBottom w:val="0"/>
      <w:divBdr>
        <w:top w:val="none" w:sz="0" w:space="0" w:color="auto"/>
        <w:left w:val="none" w:sz="0" w:space="0" w:color="auto"/>
        <w:bottom w:val="none" w:sz="0" w:space="0" w:color="auto"/>
        <w:right w:val="none" w:sz="0" w:space="0" w:color="auto"/>
      </w:divBdr>
    </w:div>
    <w:div w:id="214291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0.xml"/><Relationship Id="rId21" Type="http://schemas.openxmlformats.org/officeDocument/2006/relationships/chart" Target="charts/chart7.xml"/><Relationship Id="rId34" Type="http://schemas.openxmlformats.org/officeDocument/2006/relationships/chart" Target="charts/chart18.xml"/><Relationship Id="rId42" Type="http://schemas.openxmlformats.org/officeDocument/2006/relationships/image" Target="media/image5.png"/><Relationship Id="rId47" Type="http://schemas.openxmlformats.org/officeDocument/2006/relationships/chart" Target="charts/chart24.xml"/><Relationship Id="rId50" Type="http://schemas.openxmlformats.org/officeDocument/2006/relationships/chart" Target="charts/chart27.xml"/><Relationship Id="rId55" Type="http://schemas.openxmlformats.org/officeDocument/2006/relationships/hyperlink" Target="https://www.mfsr.sk/sk/financie/institut-financnej-politiky/publikacie-ifp/ekonomicke-analyzy/55-elasticity-taxable-income-slovakia-august-2021.html" TargetMode="External"/><Relationship Id="rId63" Type="http://schemas.openxmlformats.org/officeDocument/2006/relationships/hyperlink" Target="https://www.mindop.sk/priority/cesty" TargetMode="External"/><Relationship Id="rId68" Type="http://schemas.openxmlformats.org/officeDocument/2006/relationships/hyperlink" Target="https://www.mosr.sk/data/files/4305_investicne-plany-mo-sr_planovane-projekty-s-vyskou-financnych-prostriedkov-na-ich-realizaciu-v-obdobi-rokov-2022-az-2026-002.pdf" TargetMode="External"/><Relationship Id="rId76" Type="http://schemas.openxmlformats.org/officeDocument/2006/relationships/hyperlink" Target="https://www.mirri.gov.sk/wp-content/uploads/2022/01/MIRRI-SR-Postup-pri-priprave-investicnych-projektov.pdf"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mfsr.sk/sk/ministerstvo/kapitola-mf-sr/priorizacia-investicii-kapitoly-mf-sr/" TargetMode="Externa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chart" Target="charts/chart15.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chart" Target="charts/chart17.xml"/><Relationship Id="rId37" Type="http://schemas.openxmlformats.org/officeDocument/2006/relationships/header" Target="header2.xml"/><Relationship Id="rId40" Type="http://schemas.openxmlformats.org/officeDocument/2006/relationships/chart" Target="charts/chart21.xml"/><Relationship Id="rId45" Type="http://schemas.openxmlformats.org/officeDocument/2006/relationships/image" Target="media/image8.png"/><Relationship Id="rId53" Type="http://schemas.openxmlformats.org/officeDocument/2006/relationships/image" Target="media/image9.png"/><Relationship Id="rId58" Type="http://schemas.openxmlformats.org/officeDocument/2006/relationships/hyperlink" Target="https://www.imf.org/external/np/pp/eng/2015/042015.pdf" TargetMode="External"/><Relationship Id="rId66" Type="http://schemas.openxmlformats.org/officeDocument/2006/relationships/hyperlink" Target="https://www.mindop.sk/priority/zeleznicny-harmonogram" TargetMode="External"/><Relationship Id="rId74" Type="http://schemas.openxmlformats.org/officeDocument/2006/relationships/hyperlink" Target="https://web.ac-mssr.sk/investicna-strategia/" TargetMode="External"/><Relationship Id="rId79" Type="http://schemas.openxmlformats.org/officeDocument/2006/relationships/hyperlink" Target="https://www.minedu.sk/investicie/" TargetMode="External"/><Relationship Id="rId5" Type="http://schemas.openxmlformats.org/officeDocument/2006/relationships/settings" Target="settings.xml"/><Relationship Id="rId61" Type="http://schemas.openxmlformats.org/officeDocument/2006/relationships/chart" Target="charts/chart30.xml"/><Relationship Id="rId82" Type="http://schemas.openxmlformats.org/officeDocument/2006/relationships/chart" Target="charts/chart32.xml"/><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chart" Target="charts/chart16.xml"/><Relationship Id="rId44" Type="http://schemas.openxmlformats.org/officeDocument/2006/relationships/image" Target="media/image7.png"/><Relationship Id="rId52" Type="http://schemas.openxmlformats.org/officeDocument/2006/relationships/chart" Target="charts/chart29.xml"/><Relationship Id="rId60" Type="http://schemas.openxmlformats.org/officeDocument/2006/relationships/image" Target="media/image12.png"/><Relationship Id="rId65" Type="http://schemas.openxmlformats.org/officeDocument/2006/relationships/hyperlink" Target="https://www.mindop.sk/priority/zeleznice" TargetMode="External"/><Relationship Id="rId73" Type="http://schemas.openxmlformats.org/officeDocument/2006/relationships/hyperlink" Target="https://web.ac-mssr.sk/investicna-strategia/" TargetMode="External"/><Relationship Id="rId78" Type="http://schemas.openxmlformats.org/officeDocument/2006/relationships/hyperlink" Target="https://www.minedu.sk/investicie/" TargetMode="External"/><Relationship Id="rId81" Type="http://schemas.openxmlformats.org/officeDocument/2006/relationships/hyperlink" Target="https://www.minzp.sk/iep/strategicke-materialy/priorizacia-investicnych-projektov-rezorte-ministerstva-zivotneho-prostredia-sr.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Layout" Target="diagrams/layout1.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image" Target="media/image2.png"/><Relationship Id="rId35" Type="http://schemas.openxmlformats.org/officeDocument/2006/relationships/header" Target="header1.xml"/><Relationship Id="rId43" Type="http://schemas.openxmlformats.org/officeDocument/2006/relationships/image" Target="media/image6.png"/><Relationship Id="rId48" Type="http://schemas.openxmlformats.org/officeDocument/2006/relationships/chart" Target="charts/chart25.xml"/><Relationship Id="rId56" Type="http://schemas.openxmlformats.org/officeDocument/2006/relationships/hyperlink" Target="https://www.econstor.eu/bitstream/10419/50575/1/619013052.pdf" TargetMode="External"/><Relationship Id="rId64" Type="http://schemas.openxmlformats.org/officeDocument/2006/relationships/hyperlink" Target="https://www.mindop.sk/priority/cestny-harmonogram" TargetMode="External"/><Relationship Id="rId69" Type="http://schemas.openxmlformats.org/officeDocument/2006/relationships/hyperlink" Target="https://www.minv.sk/swift_data/source/images/MIP_MV_V1.pdf" TargetMode="External"/><Relationship Id="rId77" Type="http://schemas.openxmlformats.org/officeDocument/2006/relationships/hyperlink" Target="https://www.mirri.gov.sk/wp-content/uploads/2019/09/Zoznam-priorizovanych-investicii-MIRRI-SR-s-hodnotou-nad-1.-mil.-EUR.pdf" TargetMode="External"/><Relationship Id="rId8" Type="http://schemas.openxmlformats.org/officeDocument/2006/relationships/endnotes" Target="endnotes.xml"/><Relationship Id="rId51" Type="http://schemas.openxmlformats.org/officeDocument/2006/relationships/chart" Target="charts/chart28.xml"/><Relationship Id="rId72" Type="http://schemas.openxmlformats.org/officeDocument/2006/relationships/hyperlink" Target="https://www.health.gov.sk/?Metodicky-pokyn-prioritizacia" TargetMode="External"/><Relationship Id="rId80" Type="http://schemas.openxmlformats.org/officeDocument/2006/relationships/hyperlink" Target="https://www.minzp.sk/iep/strategicke-materialy/priorizacia-investicnych-projektov-rezorte-ministerstva-zivotneho-prostredia-sr.html" TargetMode="External"/><Relationship Id="rId3" Type="http://schemas.openxmlformats.org/officeDocument/2006/relationships/numbering" Target="numbering.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chart" Target="charts/chart11.xml"/><Relationship Id="rId33" Type="http://schemas.openxmlformats.org/officeDocument/2006/relationships/image" Target="media/image3.png"/><Relationship Id="rId38" Type="http://schemas.openxmlformats.org/officeDocument/2006/relationships/chart" Target="charts/chart19.xml"/><Relationship Id="rId46" Type="http://schemas.openxmlformats.org/officeDocument/2006/relationships/chart" Target="charts/chart23.xml"/><Relationship Id="rId59" Type="http://schemas.openxmlformats.org/officeDocument/2006/relationships/image" Target="media/image11.png"/><Relationship Id="rId67" Type="http://schemas.openxmlformats.org/officeDocument/2006/relationships/hyperlink" Target="https://www.mosr.sk/data/files/4292_urcovanie-investicnych-priorit-mo-sr-metodika-priorizovania-investicii.pdf" TargetMode="External"/><Relationship Id="rId20" Type="http://schemas.openxmlformats.org/officeDocument/2006/relationships/chart" Target="charts/chart6.xml"/><Relationship Id="rId41" Type="http://schemas.openxmlformats.org/officeDocument/2006/relationships/chart" Target="charts/chart22.xml"/><Relationship Id="rId54" Type="http://schemas.openxmlformats.org/officeDocument/2006/relationships/image" Target="media/image10.png"/><Relationship Id="rId62" Type="http://schemas.openxmlformats.org/officeDocument/2006/relationships/chart" Target="charts/chart31.xml"/><Relationship Id="rId70" Type="http://schemas.openxmlformats.org/officeDocument/2006/relationships/hyperlink" Target="https://www.mfsr.sk/sk/ministerstvo/kapitola-mf-sr/priorizacia-investicii-kapitoly-mf-sr/" TargetMode="External"/><Relationship Id="rId75" Type="http://schemas.openxmlformats.org/officeDocument/2006/relationships/hyperlink" Target="https://www.culture.gov.sk/ministerstvo/institut-kulturnej-politiky/investicie/"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oter" Target="footer1.xml"/><Relationship Id="rId49" Type="http://schemas.openxmlformats.org/officeDocument/2006/relationships/chart" Target="charts/chart26.xml"/><Relationship Id="rId57" Type="http://schemas.openxmlformats.org/officeDocument/2006/relationships/hyperlink" Target="https://www.imf.org/en/Publications/WP/Issues/2016/12/31/Tax-Composition-and-Growth-A-Broad-Cross-Country-Perspective-40067"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rsr.sk/web/Default.aspx?sid=zakony/zakon&amp;ZakZborID=13&amp;CisObdobia=8&amp;CPT=486" TargetMode="External"/><Relationship Id="rId13" Type="http://schemas.openxmlformats.org/officeDocument/2006/relationships/hyperlink" Target="https://rokovania.gov.sk/RVL/Resolution/19965/1" TargetMode="External"/><Relationship Id="rId3" Type="http://schemas.openxmlformats.org/officeDocument/2006/relationships/hyperlink" Target="https://www.slov-lex.sk/pravne-predpisy/SK/ZZ/2020/422/20250101.html" TargetMode="External"/><Relationship Id="rId7" Type="http://schemas.openxmlformats.org/officeDocument/2006/relationships/hyperlink" Target="https://www.slov-lex.sk/legislativne-procesy/SK/PI/2021/122" TargetMode="External"/><Relationship Id="rId12" Type="http://schemas.openxmlformats.org/officeDocument/2006/relationships/hyperlink" Target="https://rokovania.gov.sk/RVL/Resolution/18792/1" TargetMode="External"/><Relationship Id="rId17" Type="http://schemas.openxmlformats.org/officeDocument/2006/relationships/hyperlink" Target="http://ec.europa.eu/economy_finance/publications/eeip/pdf/ip021_en.pdf" TargetMode="External"/><Relationship Id="rId2" Type="http://schemas.openxmlformats.org/officeDocument/2006/relationships/hyperlink" Target="https://ec.europa.eu/info/sites/default/files/economy-finance/com_2022_85_1_en_act_en.pdf" TargetMode="External"/><Relationship Id="rId16" Type="http://schemas.openxmlformats.org/officeDocument/2006/relationships/hyperlink" Target="https://www.mfsr.sk/files/archiv/83/Priebeznaimplementacnasprava2021.pdf" TargetMode="External"/><Relationship Id="rId1" Type="http://schemas.openxmlformats.org/officeDocument/2006/relationships/hyperlink" Target="https://www.mfsr.sk/sk/financie/institut-financnej-politiky/ekonomicke-prognozy/makroekonomicke-prognozy/55-zasadnutie-vyboru-makroekonomicke-prognozy-marec-2021.html" TargetMode="External"/><Relationship Id="rId6" Type="http://schemas.openxmlformats.org/officeDocument/2006/relationships/hyperlink" Target="https://www.oecd-ilibrary.org/sites/10498db9-en/index.html?itemId=/content/component/10498db9-en" TargetMode="External"/><Relationship Id="rId11" Type="http://schemas.openxmlformats.org/officeDocument/2006/relationships/hyperlink" Target="https://www.slov-lex.sk/pravne-predpisy/SK/ZZ/2004/523/" TargetMode="External"/><Relationship Id="rId5" Type="http://schemas.openxmlformats.org/officeDocument/2006/relationships/hyperlink" Target="https://rokovania.gov.sk/RVL/Material/27091/1" TargetMode="External"/><Relationship Id="rId15" Type="http://schemas.openxmlformats.org/officeDocument/2006/relationships/hyperlink" Target="https://hsr.rokovania.sk/205432020-/" TargetMode="External"/><Relationship Id="rId10" Type="http://schemas.openxmlformats.org/officeDocument/2006/relationships/hyperlink" Target="https://ec.europa.eu/taxation_customs/news/vat-gap-eu-countries-lost-eu134-billion-vat-revenues-2019-2021-12-02_en" TargetMode="External"/><Relationship Id="rId4" Type="http://schemas.openxmlformats.org/officeDocument/2006/relationships/hyperlink" Target="https://www.slov-lex.sk/pravne-predpisy/SK/ZZ/1992/460/20230101.html" TargetMode="External"/><Relationship Id="rId9" Type="http://schemas.openxmlformats.org/officeDocument/2006/relationships/hyperlink" Target="https://www.tadat.org/assets/files/Slovak_Republic_FINAL_PAR.pdf" TargetMode="External"/><Relationship Id="rId14" Type="http://schemas.openxmlformats.org/officeDocument/2006/relationships/hyperlink" Target="https://www.mfsr.sk/sk/financie/hodnota-za-peniaze/hodnotenie-investicnych-projektov/hodnotenie-investicnych-projektov.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Tabu&#318;ky\PS_2022_Tabulky_Komple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Program_stability\2022\Tabu&#318;ky\PS_2022_Tabulky_Komplet.xlsx" TargetMode="External"/><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oleObject" Target="file:///\\mf.mfsr.sk\DfsRoot\ADRESARE\IFP_NEW\5_MATERIALY\5_3_Strategicke_materialy\Program_stability\2022\Tabu&#318;ky\PS_2022_Tabulky_Komple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mf.mfsr.sk\DfsRoot\ADRESARE\IFP_NEW\5_MATERIALY\5_3_Strategicke_materialy\Program_stability\2022\Tabu&#318;ky\PS_2022_Tabulky_Komplet.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Tabu&#318;ky\PS_2022_Tabulky_Komplet.xlsx" TargetMode="External"/><Relationship Id="rId2" Type="http://schemas.microsoft.com/office/2011/relationships/chartColorStyle" Target="colors5.xml"/><Relationship Id="rId1" Type="http://schemas.microsoft.com/office/2011/relationships/chartStyle" Target="style5.xml"/></Relationships>
</file>

<file path=word/charts/_rels/chart14.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Tabu&#318;ky\PS_2022_Tabulky_Komplet.xlsx" TargetMode="External"/><Relationship Id="rId2" Type="http://schemas.microsoft.com/office/2011/relationships/chartColorStyle" Target="colors6.xml"/><Relationship Id="rId1" Type="http://schemas.microsoft.com/office/2011/relationships/chartStyle" Target="style6.xm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mf.mfsr.sk\DfsRoot\ADRESARE\IFP_NEW\5_MATERIALY\5_3_Strategicke_materialy\Program_stability\2022\Vstupy\Skutocnost_2021\Waterfall_skutocnost_2021_opravene.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mf.mfsr.sk\DfsRoot\ADRESARE\IFP_NEW\5_MATERIALY\5_3_Strategicke_materialy\Program_stability\2022\Vstupy\OS-ka\Waterfall_OS_2022.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Vstupy\Skutocnost_2021\Waterfall_skutocnost_2021.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mf.mfsr.sk\DfsRoot\ADRESARE\IFP_NEW\5_MATERIALY\5_3_Strategicke_materialy\Program_stability\2022\pomoc_ukrajina\Ukrajina_master.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mf.mfsr.sk\DfsRoot\ADRESARE\IFP_NEW\2_FISKAL\04_Konsolidacne_usilie_fis_impulz\01_Model\MASTER_FILE_marec_2022_PS.xlsm"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mf.mfsr.sk\DfsRoot\ADRESARE\IFP_NEW\2_FISKAL\05_Dlh\01%20-%20Prognoza\2022\DLH_Model_2022_PS_2022.xlsm"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mf.mfsr.sk\DfsRoot\ADRESARE\IFP_NEW\5_MATERIALY\5_3_Strategicke_materialy\Program_stability\2022\Vstupy\EK_Fiskalny%20impulz_2022.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mf.mfsr.sk\DfsRoot\ADRESARE\IFP_NEW\5_MATERIALY\5_3_Strategicke_materialy\Program_stability\2022\Vstupy\EK_Fiskalny%20impulz_2022.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5" Type="http://schemas.openxmlformats.org/officeDocument/2006/relationships/chartUserShapes" Target="../drawings/drawing4.xml"/><Relationship Id="rId4" Type="http://schemas.openxmlformats.org/officeDocument/2006/relationships/oleObject" Target="file:///\\mf.mfsr.sk\DfsRoot\ADRESARE\IFP_NEW\5_MATERIALY\5_3_Strategicke_materialy\Program_stability\2022\Vstupy\EK_Fiskalny%20impulz_2022.xlsx" TargetMode="External"/></Relationships>
</file>

<file path=word/charts/_rels/chart23.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mf.mfsr.sk\DfsRoot\ADRESARE\IFP_NEW\2_FISKAL\05_Dlh\01%20-%20Prognoza\2022\DLH_Model_2022_PS_2022.xlsm" TargetMode="External"/><Relationship Id="rId1" Type="http://schemas.openxmlformats.org/officeDocument/2006/relationships/themeOverride" Target="../theme/themeOverride13.xml"/></Relationships>
</file>

<file path=word/charts/_rels/chart24.xml.rels><?xml version="1.0" encoding="UTF-8" standalone="yes"?>
<Relationships xmlns="http://schemas.openxmlformats.org/package/2006/relationships"><Relationship Id="rId2" Type="http://schemas.openxmlformats.org/officeDocument/2006/relationships/oleObject" Target="file:///\\mf.mfsr.sk\DfsRoot\ADRESARE\IFP_NEW\2_FISKAL\05_Dlh\01%20-%20Prognoza\2022\DLH_Model_2022_PS_2022.xlsm" TargetMode="External"/><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mf.mfsr.sk\DfsRoot\ADRESARE\IFP_NEW\5_MATERIALY\5_3_Strategicke_materialy\Program_stability\2022\Vstupy\Dlh\Dlh_dlhodoba%20projekcia_2040_altscenare.xlsx" TargetMode="External"/></Relationships>
</file>

<file path=word/charts/_rels/chart26.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Vstupy\Udrzatelnost\S1_indicator_level.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6.xm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5.xml"/><Relationship Id="rId1" Type="http://schemas.microsoft.com/office/2011/relationships/chartStyle" Target="style15.xml"/><Relationship Id="rId5" Type="http://schemas.openxmlformats.org/officeDocument/2006/relationships/chartUserShapes" Target="../drawings/drawing7.xml"/><Relationship Id="rId4" Type="http://schemas.openxmlformats.org/officeDocument/2006/relationships/oleObject" Target="file:///\\mf.mfsr.sk\DfsRoot\ADRESARE\IFP_NEW\5_MATERIALY\5_3_Strategicke_materialy\Program_stability\2022\Vstupy\Udrzatelnost\S2_indicator_level.xlsx" TargetMode="External"/></Relationships>
</file>

<file path=word/charts/_rels/chart28.xml.rels><?xml version="1.0" encoding="UTF-8" standalone="yes"?>
<Relationships xmlns="http://schemas.openxmlformats.org/package/2006/relationships"><Relationship Id="rId2" Type="http://schemas.openxmlformats.org/officeDocument/2006/relationships/oleObject" Target="file:///C:\Users\pmartiska\Documents\IFP\9_Program%20stability\2022\po%20reforme\grafy\Grafy%20na%20FB%20MPK%20ZoSP%2020210929.xlsx" TargetMode="External"/><Relationship Id="rId1" Type="http://schemas.openxmlformats.org/officeDocument/2006/relationships/themeOverride" Target="../theme/themeOverride17.xml"/></Relationships>
</file>

<file path=word/charts/_rels/chart29.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pmartiska\Documents\IFP\9_Program%20stability\2022\po%20reforme\grafy\Do%20S2%20ZoSP%20vl&#225;da%2020220425.xlsx" TargetMode="External"/><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kalovec\Downloads\WUI_Dat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mf.mfsr.sk\DfsRoot\ADRESARE\IFP_NEW\5_MATERIALY\5_3_Strategicke_materialy\Program_stability\2022\Vstupy\Kvalita%20VF\COFOG.xls" TargetMode="External"/></Relationships>
</file>

<file path=word/charts/_rels/chart31.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Vstupy\Kvalita%20VF\COFOG.xls" TargetMode="External"/><Relationship Id="rId2" Type="http://schemas.microsoft.com/office/2011/relationships/chartColorStyle" Target="colors16.xml"/><Relationship Id="rId1" Type="http://schemas.microsoft.com/office/2011/relationships/chartStyle" Target="style16.xml"/></Relationships>
</file>

<file path=word/charts/_rels/chart32.xml.rels><?xml version="1.0" encoding="UTF-8" standalone="yes"?>
<Relationships xmlns="http://schemas.openxmlformats.org/package/2006/relationships"><Relationship Id="rId3" Type="http://schemas.openxmlformats.org/officeDocument/2006/relationships/oleObject" Target="file:///\\mf.mfsr.sk\DfsRoot\ADRESARE\UHP\00_HODNOTA_ZA_PENIAZE\00_SPENDING_REVIEW\25_DOT&#193;CIE\01_D&#193;TA\mapovanie_summary_220406.xlsx" TargetMode="Externa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chartUserShapes" Target="../drawings/drawing9.xml"/></Relationships>
</file>

<file path=word/charts/_rels/chart4.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Tabu&#318;ky\PS_2022_Tabulky_Komplet.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Program_stability\2022\Tabu&#318;ky\PS_2022_Tabulky_Komplet.xlsx"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Program_stability\2022\Tabu&#318;ky\PS_2022_Tabulky_Komplet.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Program_stability\2022\Tabu&#318;ky\PS_2022_Tabulky_Komplet.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oleObject" Target="file:///\\mf.mfsr.sk\DfsRoot\ADRESARE\IFP_NEW\5_MATERIALY\5_3_Strategicke_materialy\Program_stability\2022\Tabu&#318;ky\PS_2022_Tabulky_Komplet.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2" Type="http://schemas.openxmlformats.org/officeDocument/2006/relationships/oleObject" Target="file:///\\mf.mfsr.sk\DfsRoot\ADRESARE\IFP_NEW\5_MATERIALY\5_3_Strategicke_materialy\Program_stability\2022\Tabu&#318;ky\PS_2022_Tabulky_Komplet.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739434902381057E-2"/>
          <c:y val="0.21100718998100526"/>
          <c:w val="0.91351843249686038"/>
          <c:h val="0.67571978756658013"/>
        </c:manualLayout>
      </c:layout>
      <c:barChart>
        <c:barDir val="col"/>
        <c:grouping val="stacked"/>
        <c:varyColors val="0"/>
        <c:ser>
          <c:idx val="3"/>
          <c:order val="1"/>
          <c:tx>
            <c:v>Štrukturálne saldo</c:v>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800" b="1" i="0" u="none" strike="noStrike" kern="1200" baseline="0">
                    <a:solidFill>
                      <a:schemeClr val="bg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'Zhrnutie '!$B$20:$G$20</c:f>
              <c:numCache>
                <c:formatCode>General</c:formatCode>
                <c:ptCount val="6"/>
                <c:pt idx="0">
                  <c:v>2020</c:v>
                </c:pt>
                <c:pt idx="1">
                  <c:v>2021</c:v>
                </c:pt>
                <c:pt idx="2">
                  <c:v>2022</c:v>
                </c:pt>
                <c:pt idx="3">
                  <c:v>2023</c:v>
                </c:pt>
                <c:pt idx="4">
                  <c:v>2024</c:v>
                </c:pt>
                <c:pt idx="5">
                  <c:v>2025</c:v>
                </c:pt>
              </c:numCache>
            </c:numRef>
          </c:cat>
          <c:val>
            <c:numRef>
              <c:f>'Zhrnutie '!$B$25:$G$25</c:f>
              <c:numCache>
                <c:formatCode>0.0</c:formatCode>
                <c:ptCount val="6"/>
                <c:pt idx="0">
                  <c:v>-2.420555717838754</c:v>
                </c:pt>
                <c:pt idx="1">
                  <c:v>-2.0635855456614034</c:v>
                </c:pt>
                <c:pt idx="2">
                  <c:v>-3.7688995961748843</c:v>
                </c:pt>
                <c:pt idx="3">
                  <c:v>-2.9927862707724007</c:v>
                </c:pt>
                <c:pt idx="4">
                  <c:v>-2.4990313515294234</c:v>
                </c:pt>
                <c:pt idx="5">
                  <c:v>-1.9990313515294234</c:v>
                </c:pt>
              </c:numCache>
            </c:numRef>
          </c:val>
          <c:extLst xmlns:c16r2="http://schemas.microsoft.com/office/drawing/2015/06/chart">
            <c:ext xmlns:c16="http://schemas.microsoft.com/office/drawing/2014/chart" uri="{C3380CC4-5D6E-409C-BE32-E72D297353CC}">
              <c16:uniqueId val="{00000000-0AB9-470F-AB43-32363A11D5E3}"/>
            </c:ext>
          </c:extLst>
        </c:ser>
        <c:ser>
          <c:idx val="1"/>
          <c:order val="3"/>
          <c:tx>
            <c:strRef>
              <c:f>'Zhrnutie '!$A$22</c:f>
              <c:strCache>
                <c:ptCount val="1"/>
                <c:pt idx="0">
                  <c:v>Cyklická zložka</c:v>
                </c:pt>
              </c:strCache>
            </c:strRef>
          </c:tx>
          <c:spPr>
            <a:solidFill>
              <a:schemeClr val="accent1">
                <a:lumMod val="20000"/>
                <a:lumOff val="80000"/>
              </a:schemeClr>
            </a:solidFill>
            <a:ln>
              <a:noFill/>
            </a:ln>
            <a:effectLst/>
          </c:spPr>
          <c:invertIfNegative val="0"/>
          <c:val>
            <c:numRef>
              <c:f>'Zhrnutie '!$B$22:$G$22</c:f>
              <c:numCache>
                <c:formatCode>0.0</c:formatCode>
                <c:ptCount val="6"/>
                <c:pt idx="0">
                  <c:v>-1.2033255243057102</c:v>
                </c:pt>
                <c:pt idx="1">
                  <c:v>-0.59199843483403747</c:v>
                </c:pt>
                <c:pt idx="2">
                  <c:v>-0.33542875066051131</c:v>
                </c:pt>
                <c:pt idx="3">
                  <c:v>0.59453602758345592</c:v>
                </c:pt>
                <c:pt idx="4">
                  <c:v>0.17527910866542679</c:v>
                </c:pt>
                <c:pt idx="5">
                  <c:v>-2.5271755475309167E-2</c:v>
                </c:pt>
              </c:numCache>
            </c:numRef>
          </c:val>
          <c:extLst xmlns:c16r2="http://schemas.microsoft.com/office/drawing/2015/06/chart">
            <c:ext xmlns:c16="http://schemas.microsoft.com/office/drawing/2014/chart" uri="{C3380CC4-5D6E-409C-BE32-E72D297353CC}">
              <c16:uniqueId val="{00000001-0AB9-470F-AB43-32363A11D5E3}"/>
            </c:ext>
          </c:extLst>
        </c:ser>
        <c:ser>
          <c:idx val="2"/>
          <c:order val="4"/>
          <c:tx>
            <c:strRef>
              <c:f>'Zhrnutie '!$A$23</c:f>
              <c:strCache>
                <c:ptCount val="1"/>
                <c:pt idx="0">
                  <c:v>Jednorazovké opatrenia COVID19</c:v>
                </c:pt>
              </c:strCache>
            </c:strRef>
          </c:tx>
          <c:spPr>
            <a:solidFill>
              <a:schemeClr val="tx1">
                <a:lumMod val="65000"/>
                <a:lumOff val="35000"/>
              </a:schemeClr>
            </a:solidFill>
            <a:ln>
              <a:noFill/>
            </a:ln>
            <a:effectLst/>
          </c:spPr>
          <c:invertIfNegative val="0"/>
          <c:val>
            <c:numRef>
              <c:f>'Zhrnutie '!$B$23:$G$23</c:f>
              <c:numCache>
                <c:formatCode>0.0</c:formatCode>
                <c:ptCount val="6"/>
                <c:pt idx="0">
                  <c:v>-1.9214873763433484</c:v>
                </c:pt>
                <c:pt idx="1">
                  <c:v>-3.0855094667506555</c:v>
                </c:pt>
                <c:pt idx="2">
                  <c:v>-0.97096369967021812</c:v>
                </c:pt>
                <c:pt idx="3">
                  <c:v>0</c:v>
                </c:pt>
                <c:pt idx="4">
                  <c:v>0</c:v>
                </c:pt>
                <c:pt idx="5">
                  <c:v>0</c:v>
                </c:pt>
              </c:numCache>
            </c:numRef>
          </c:val>
          <c:extLst xmlns:c16r2="http://schemas.microsoft.com/office/drawing/2015/06/chart">
            <c:ext xmlns:c16="http://schemas.microsoft.com/office/drawing/2014/chart" uri="{C3380CC4-5D6E-409C-BE32-E72D297353CC}">
              <c16:uniqueId val="{00000002-0AB9-470F-AB43-32363A11D5E3}"/>
            </c:ext>
          </c:extLst>
        </c:ser>
        <c:ser>
          <c:idx val="4"/>
          <c:order val="5"/>
          <c:tx>
            <c:strRef>
              <c:f>'Zhrnutie '!$A$24</c:f>
              <c:strCache>
                <c:ptCount val="1"/>
                <c:pt idx="0">
                  <c:v>Jednorazovké opatrenia ostatné</c:v>
                </c:pt>
              </c:strCache>
            </c:strRef>
          </c:tx>
          <c:spPr>
            <a:solidFill>
              <a:schemeClr val="tx1">
                <a:lumMod val="50000"/>
                <a:lumOff val="50000"/>
              </a:schemeClr>
            </a:solidFill>
            <a:ln>
              <a:noFill/>
            </a:ln>
            <a:effectLst/>
          </c:spPr>
          <c:invertIfNegative val="0"/>
          <c:val>
            <c:numRef>
              <c:f>'Zhrnutie '!$B$24:$G$24</c:f>
              <c:numCache>
                <c:formatCode>0.0</c:formatCode>
                <c:ptCount val="6"/>
                <c:pt idx="0">
                  <c:v>7.7107489132215212E-2</c:v>
                </c:pt>
                <c:pt idx="1">
                  <c:v>-0.40901949928002779</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3-0AB9-470F-AB43-32363A11D5E3}"/>
            </c:ext>
          </c:extLst>
        </c:ser>
        <c:dLbls>
          <c:showLegendKey val="0"/>
          <c:showVal val="0"/>
          <c:showCatName val="0"/>
          <c:showSerName val="0"/>
          <c:showPercent val="0"/>
          <c:showBubbleSize val="0"/>
        </c:dLbls>
        <c:gapWidth val="150"/>
        <c:overlap val="100"/>
        <c:axId val="499388384"/>
        <c:axId val="499388776"/>
      </c:barChart>
      <c:lineChart>
        <c:grouping val="standard"/>
        <c:varyColors val="0"/>
        <c:ser>
          <c:idx val="0"/>
          <c:order val="0"/>
          <c:tx>
            <c:v>Nominálne saldo</c:v>
          </c:tx>
          <c:spPr>
            <a:ln w="28575" cap="rnd">
              <a:noFill/>
              <a:round/>
            </a:ln>
            <a:effectLst/>
          </c:spPr>
          <c:marker>
            <c:symbol val="circle"/>
            <c:size val="5"/>
            <c:spPr>
              <a:solidFill>
                <a:schemeClr val="tx1"/>
              </a:solidFill>
              <a:ln w="9525">
                <a:noFill/>
              </a:ln>
              <a:effectLst/>
            </c:spPr>
          </c:marker>
          <c:dLbls>
            <c:spPr>
              <a:noFill/>
              <a:ln>
                <a:noFill/>
              </a:ln>
              <a:effectLst/>
            </c:spPr>
            <c:txPr>
              <a:bodyPr rot="0" spcFirstLastPara="1" vertOverflow="ellipsis" vert="horz" wrap="square" anchor="ctr" anchorCtr="1"/>
              <a:lstStyle/>
              <a:p>
                <a:pPr>
                  <a:defRPr sz="800" b="1"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'Zhrnutie '!$B$20:$G$20</c:f>
              <c:numCache>
                <c:formatCode>General</c:formatCode>
                <c:ptCount val="6"/>
                <c:pt idx="0">
                  <c:v>2020</c:v>
                </c:pt>
                <c:pt idx="1">
                  <c:v>2021</c:v>
                </c:pt>
                <c:pt idx="2">
                  <c:v>2022</c:v>
                </c:pt>
                <c:pt idx="3">
                  <c:v>2023</c:v>
                </c:pt>
                <c:pt idx="4">
                  <c:v>2024</c:v>
                </c:pt>
                <c:pt idx="5">
                  <c:v>2025</c:v>
                </c:pt>
              </c:numCache>
            </c:numRef>
          </c:cat>
          <c:val>
            <c:numRef>
              <c:f>'Zhrnutie '!$B$21:$G$21</c:f>
              <c:numCache>
                <c:formatCode>0.0</c:formatCode>
                <c:ptCount val="6"/>
                <c:pt idx="0">
                  <c:v>-5.4682611293555974</c:v>
                </c:pt>
                <c:pt idx="1">
                  <c:v>-6.1501129465261242</c:v>
                </c:pt>
                <c:pt idx="2">
                  <c:v>-5.0704446148469824</c:v>
                </c:pt>
                <c:pt idx="3">
                  <c:v>-2.3982502431889445</c:v>
                </c:pt>
                <c:pt idx="4">
                  <c:v>-2.3237522428639967</c:v>
                </c:pt>
                <c:pt idx="5">
                  <c:v>-2.0243031070047324</c:v>
                </c:pt>
              </c:numCache>
            </c:numRef>
          </c:val>
          <c:smooth val="0"/>
          <c:extLst xmlns:c16r2="http://schemas.microsoft.com/office/drawing/2015/06/chart">
            <c:ext xmlns:c16="http://schemas.microsoft.com/office/drawing/2014/chart" uri="{C3380CC4-5D6E-409C-BE32-E72D297353CC}">
              <c16:uniqueId val="{00000004-0AB9-470F-AB43-32363A11D5E3}"/>
            </c:ext>
          </c:extLst>
        </c:ser>
        <c:dLbls>
          <c:showLegendKey val="0"/>
          <c:showVal val="0"/>
          <c:showCatName val="0"/>
          <c:showSerName val="0"/>
          <c:showPercent val="0"/>
          <c:showBubbleSize val="0"/>
        </c:dLbls>
        <c:marker val="1"/>
        <c:smooth val="0"/>
        <c:axId val="499388384"/>
        <c:axId val="499388776"/>
        <c:extLst xmlns:c16r2="http://schemas.microsoft.com/office/drawing/2015/06/chart">
          <c:ext xmlns:c15="http://schemas.microsoft.com/office/drawing/2012/chart" uri="{02D57815-91ED-43cb-92C2-25804820EDAC}">
            <c15:filteredLineSeries>
              <c15:ser>
                <c:idx val="6"/>
                <c:order val="2"/>
                <c:tx>
                  <c:v>Konsolidačné úsilie</c:v>
                </c:tx>
                <c:spPr>
                  <a:ln w="28575" cap="rnd">
                    <a:solidFill>
                      <a:schemeClr val="tx1"/>
                    </a:solidFill>
                    <a:round/>
                  </a:ln>
                  <a:effectLst/>
                </c:spPr>
                <c:marker>
                  <c:symbol val="none"/>
                </c:marker>
                <c:dLbls>
                  <c:dLbl>
                    <c:idx val="3"/>
                    <c:layout>
                      <c:manualLayout>
                        <c:x val="-2.4996902137183249E-2"/>
                        <c:y val="-3.79072325502880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AB9-470F-AB43-32363A11D5E3}"/>
                      </c:ext>
                      <c:ext uri="{CE6537A1-D6FC-4f65-9D91-7224C49458BB}"/>
                    </c:extLst>
                  </c:dLbl>
                  <c:dLbl>
                    <c:idx val="4"/>
                    <c:layout>
                      <c:manualLayout>
                        <c:x val="-3.0824101417572546E-2"/>
                        <c:y val="-6.056461061724798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AB9-470F-AB43-32363A11D5E3}"/>
                      </c:ext>
                      <c:ext uri="{CE6537A1-D6FC-4f65-9D91-7224C49458BB}"/>
                    </c:extLst>
                  </c:dLbl>
                  <c:dLbl>
                    <c:idx val="5"/>
                    <c:layout>
                      <c:manualLayout>
                        <c:x val="-2.074618336127208E-2"/>
                        <c:y val="-4.40145218832584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AB9-470F-AB43-32363A11D5E3}"/>
                      </c:ext>
                      <c:ex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6"/>
                    <c:pt idx="0">
                      <c:v>2014</c:v>
                    </c:pt>
                    <c:pt idx="1">
                      <c:v>2015</c:v>
                    </c:pt>
                    <c:pt idx="2">
                      <c:v>2016</c:v>
                    </c:pt>
                    <c:pt idx="3">
                      <c:v>2017</c:v>
                    </c:pt>
                    <c:pt idx="4">
                      <c:v>2018</c:v>
                    </c:pt>
                    <c:pt idx="5">
                      <c:v>2019</c:v>
                    </c:pt>
                  </c:numLit>
                </c:cat>
                <c:val>
                  <c:numRef>
                    <c:extLst xmlns:c16r2="http://schemas.microsoft.com/office/drawing/2015/06/chart">
                      <c:ext uri="{02D57815-91ED-43cb-92C2-25804820EDAC}">
                        <c15:formulaRef>
                          <c15:sqref>'Zhrnutie '!$B$26:$G$26</c15:sqref>
                        </c15:formulaRef>
                      </c:ext>
                    </c:extLst>
                    <c:numCache>
                      <c:formatCode>0.00</c:formatCode>
                      <c:ptCount val="6"/>
                      <c:pt idx="0">
                        <c:v>-0.42181565091873563</c:v>
                      </c:pt>
                      <c:pt idx="1">
                        <c:v>0.37554259188285855</c:v>
                      </c:pt>
                      <c:pt idx="2">
                        <c:v>-1.7238864702189889</c:v>
                      </c:pt>
                      <c:pt idx="3">
                        <c:v>0.634745955602106</c:v>
                      </c:pt>
                      <c:pt idx="4">
                        <c:v>0.47623525832686209</c:v>
                      </c:pt>
                      <c:pt idx="5">
                        <c:v>0.5</c:v>
                      </c:pt>
                    </c:numCache>
                  </c:numRef>
                </c:val>
                <c:smooth val="0"/>
                <c:extLst xmlns:c16r2="http://schemas.microsoft.com/office/drawing/2015/06/chart">
                  <c:ext xmlns:c16="http://schemas.microsoft.com/office/drawing/2014/chart" uri="{C3380CC4-5D6E-409C-BE32-E72D297353CC}">
                    <c16:uniqueId val="{00000008-0AB9-470F-AB43-32363A11D5E3}"/>
                  </c:ext>
                </c:extLst>
              </c15:ser>
            </c15:filteredLineSeries>
          </c:ext>
        </c:extLst>
      </c:lineChart>
      <c:catAx>
        <c:axId val="499388384"/>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99388776"/>
        <c:crosses val="autoZero"/>
        <c:auto val="1"/>
        <c:lblAlgn val="ctr"/>
        <c:lblOffset val="100"/>
        <c:noMultiLvlLbl val="0"/>
      </c:catAx>
      <c:valAx>
        <c:axId val="499388776"/>
        <c:scaling>
          <c:orientation val="minMax"/>
        </c:scaling>
        <c:delete val="0"/>
        <c:axPos val="l"/>
        <c:majorGridlines>
          <c:spPr>
            <a:ln w="9525" cap="flat" cmpd="sng" algn="ctr">
              <a:solidFill>
                <a:schemeClr val="bg1">
                  <a:lumMod val="75000"/>
                  <a:alpha val="56000"/>
                </a:schemeClr>
              </a:solidFill>
              <a:prstDash val="sysDot"/>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99388384"/>
        <c:crosses val="autoZero"/>
        <c:crossBetween val="between"/>
      </c:valAx>
      <c:spPr>
        <a:noFill/>
        <a:ln>
          <a:noFill/>
        </a:ln>
        <a:effectLst/>
      </c:spPr>
    </c:plotArea>
    <c:legend>
      <c:legendPos val="t"/>
      <c:layout>
        <c:manualLayout>
          <c:xMode val="edge"/>
          <c:yMode val="edge"/>
          <c:x val="6.509994083639456E-2"/>
          <c:y val="1.1930778847630117E-2"/>
          <c:w val="0.85492690420564765"/>
          <c:h val="0.17881341433992057"/>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sk-SK"/>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3768358742392E-2"/>
          <c:y val="8.4437714516454654E-2"/>
          <c:w val="0.91819511922711794"/>
          <c:h val="0.77126567512394284"/>
        </c:manualLayout>
      </c:layout>
      <c:lineChart>
        <c:grouping val="standard"/>
        <c:varyColors val="0"/>
        <c:ser>
          <c:idx val="3"/>
          <c:order val="0"/>
          <c:tx>
            <c:strRef>
              <c:f>'Graf 7'!$J$4</c:f>
              <c:strCache>
                <c:ptCount val="1"/>
                <c:pt idx="0">
                  <c:v>Cena ropy (USD/bl.)</c:v>
                </c:pt>
              </c:strCache>
            </c:strRef>
          </c:tx>
          <c:spPr>
            <a:ln w="19050">
              <a:solidFill>
                <a:srgbClr val="2C9ADC"/>
              </a:solidFill>
              <a:prstDash val="solid"/>
            </a:ln>
          </c:spPr>
          <c:marker>
            <c:symbol val="none"/>
          </c:marker>
          <c:cat>
            <c:numRef>
              <c:f>'Graf 7'!$I$5:$I$280</c:f>
              <c:numCache>
                <c:formatCode>m/d/yyyy</c:formatCode>
                <c:ptCount val="276"/>
                <c:pt idx="0">
                  <c:v>44637</c:v>
                </c:pt>
                <c:pt idx="1">
                  <c:v>44636</c:v>
                </c:pt>
                <c:pt idx="2">
                  <c:v>44635</c:v>
                </c:pt>
                <c:pt idx="3">
                  <c:v>44634</c:v>
                </c:pt>
                <c:pt idx="4">
                  <c:v>44631</c:v>
                </c:pt>
                <c:pt idx="5">
                  <c:v>44630</c:v>
                </c:pt>
                <c:pt idx="6">
                  <c:v>44629</c:v>
                </c:pt>
                <c:pt idx="7">
                  <c:v>44628</c:v>
                </c:pt>
                <c:pt idx="8">
                  <c:v>44627</c:v>
                </c:pt>
                <c:pt idx="9">
                  <c:v>44624</c:v>
                </c:pt>
                <c:pt idx="10">
                  <c:v>44623</c:v>
                </c:pt>
                <c:pt idx="11">
                  <c:v>44622</c:v>
                </c:pt>
                <c:pt idx="12">
                  <c:v>44621</c:v>
                </c:pt>
                <c:pt idx="13">
                  <c:v>44620</c:v>
                </c:pt>
                <c:pt idx="14">
                  <c:v>44617</c:v>
                </c:pt>
                <c:pt idx="15">
                  <c:v>44616</c:v>
                </c:pt>
                <c:pt idx="16">
                  <c:v>44615</c:v>
                </c:pt>
                <c:pt idx="17">
                  <c:v>44614</c:v>
                </c:pt>
                <c:pt idx="18">
                  <c:v>44613</c:v>
                </c:pt>
                <c:pt idx="19">
                  <c:v>44610</c:v>
                </c:pt>
                <c:pt idx="20">
                  <c:v>44609</c:v>
                </c:pt>
                <c:pt idx="21">
                  <c:v>44608</c:v>
                </c:pt>
                <c:pt idx="22">
                  <c:v>44607</c:v>
                </c:pt>
                <c:pt idx="23">
                  <c:v>44606</c:v>
                </c:pt>
                <c:pt idx="24">
                  <c:v>44603</c:v>
                </c:pt>
                <c:pt idx="25">
                  <c:v>44602</c:v>
                </c:pt>
                <c:pt idx="26">
                  <c:v>44601</c:v>
                </c:pt>
                <c:pt idx="27">
                  <c:v>44600</c:v>
                </c:pt>
                <c:pt idx="28">
                  <c:v>44599</c:v>
                </c:pt>
                <c:pt idx="29">
                  <c:v>44596</c:v>
                </c:pt>
                <c:pt idx="30">
                  <c:v>44595</c:v>
                </c:pt>
                <c:pt idx="31">
                  <c:v>44594</c:v>
                </c:pt>
                <c:pt idx="32">
                  <c:v>44593</c:v>
                </c:pt>
                <c:pt idx="33">
                  <c:v>44592</c:v>
                </c:pt>
                <c:pt idx="34">
                  <c:v>44589</c:v>
                </c:pt>
                <c:pt idx="35">
                  <c:v>44588</c:v>
                </c:pt>
                <c:pt idx="36">
                  <c:v>44587</c:v>
                </c:pt>
                <c:pt idx="37">
                  <c:v>44586</c:v>
                </c:pt>
                <c:pt idx="38">
                  <c:v>44585</c:v>
                </c:pt>
                <c:pt idx="39">
                  <c:v>44582</c:v>
                </c:pt>
                <c:pt idx="40">
                  <c:v>44581</c:v>
                </c:pt>
                <c:pt idx="41">
                  <c:v>44580</c:v>
                </c:pt>
                <c:pt idx="42">
                  <c:v>44579</c:v>
                </c:pt>
                <c:pt idx="43">
                  <c:v>44578</c:v>
                </c:pt>
                <c:pt idx="44">
                  <c:v>44575</c:v>
                </c:pt>
                <c:pt idx="45">
                  <c:v>44574</c:v>
                </c:pt>
                <c:pt idx="46">
                  <c:v>44573</c:v>
                </c:pt>
                <c:pt idx="47">
                  <c:v>44572</c:v>
                </c:pt>
                <c:pt idx="48">
                  <c:v>44571</c:v>
                </c:pt>
                <c:pt idx="49">
                  <c:v>44568</c:v>
                </c:pt>
                <c:pt idx="50">
                  <c:v>44567</c:v>
                </c:pt>
                <c:pt idx="51">
                  <c:v>44566</c:v>
                </c:pt>
                <c:pt idx="52">
                  <c:v>44565</c:v>
                </c:pt>
                <c:pt idx="53">
                  <c:v>44564</c:v>
                </c:pt>
                <c:pt idx="54">
                  <c:v>44561</c:v>
                </c:pt>
                <c:pt idx="55">
                  <c:v>44560</c:v>
                </c:pt>
                <c:pt idx="56">
                  <c:v>44559</c:v>
                </c:pt>
                <c:pt idx="57">
                  <c:v>44558</c:v>
                </c:pt>
                <c:pt idx="58">
                  <c:v>44557</c:v>
                </c:pt>
                <c:pt idx="59">
                  <c:v>44554</c:v>
                </c:pt>
                <c:pt idx="60">
                  <c:v>44553</c:v>
                </c:pt>
                <c:pt idx="61">
                  <c:v>44552</c:v>
                </c:pt>
                <c:pt idx="62">
                  <c:v>44551</c:v>
                </c:pt>
                <c:pt idx="63">
                  <c:v>44550</c:v>
                </c:pt>
                <c:pt idx="64">
                  <c:v>44547</c:v>
                </c:pt>
                <c:pt idx="65">
                  <c:v>44546</c:v>
                </c:pt>
                <c:pt idx="66">
                  <c:v>44545</c:v>
                </c:pt>
                <c:pt idx="67">
                  <c:v>44544</c:v>
                </c:pt>
                <c:pt idx="68">
                  <c:v>44543</c:v>
                </c:pt>
                <c:pt idx="69">
                  <c:v>44540</c:v>
                </c:pt>
                <c:pt idx="70">
                  <c:v>44539</c:v>
                </c:pt>
                <c:pt idx="71">
                  <c:v>44538</c:v>
                </c:pt>
                <c:pt idx="72">
                  <c:v>44537</c:v>
                </c:pt>
                <c:pt idx="73">
                  <c:v>44536</c:v>
                </c:pt>
                <c:pt idx="74">
                  <c:v>44533</c:v>
                </c:pt>
                <c:pt idx="75">
                  <c:v>44532</c:v>
                </c:pt>
                <c:pt idx="76">
                  <c:v>44531</c:v>
                </c:pt>
                <c:pt idx="77">
                  <c:v>44530</c:v>
                </c:pt>
                <c:pt idx="78">
                  <c:v>44529</c:v>
                </c:pt>
                <c:pt idx="79">
                  <c:v>44526</c:v>
                </c:pt>
                <c:pt idx="80">
                  <c:v>44525</c:v>
                </c:pt>
                <c:pt idx="81">
                  <c:v>44524</c:v>
                </c:pt>
                <c:pt idx="82">
                  <c:v>44523</c:v>
                </c:pt>
                <c:pt idx="83">
                  <c:v>44522</c:v>
                </c:pt>
                <c:pt idx="84">
                  <c:v>44519</c:v>
                </c:pt>
                <c:pt idx="85">
                  <c:v>44518</c:v>
                </c:pt>
                <c:pt idx="86">
                  <c:v>44517</c:v>
                </c:pt>
                <c:pt idx="87">
                  <c:v>44516</c:v>
                </c:pt>
                <c:pt idx="88">
                  <c:v>44515</c:v>
                </c:pt>
                <c:pt idx="89">
                  <c:v>44512</c:v>
                </c:pt>
                <c:pt idx="90">
                  <c:v>44511</c:v>
                </c:pt>
                <c:pt idx="91">
                  <c:v>44510</c:v>
                </c:pt>
                <c:pt idx="92">
                  <c:v>44509</c:v>
                </c:pt>
                <c:pt idx="93">
                  <c:v>44508</c:v>
                </c:pt>
                <c:pt idx="94">
                  <c:v>44505</c:v>
                </c:pt>
                <c:pt idx="95">
                  <c:v>44504</c:v>
                </c:pt>
                <c:pt idx="96">
                  <c:v>44503</c:v>
                </c:pt>
                <c:pt idx="97">
                  <c:v>44502</c:v>
                </c:pt>
                <c:pt idx="98">
                  <c:v>44501</c:v>
                </c:pt>
                <c:pt idx="99">
                  <c:v>44498</c:v>
                </c:pt>
                <c:pt idx="100">
                  <c:v>44497</c:v>
                </c:pt>
                <c:pt idx="101">
                  <c:v>44496</c:v>
                </c:pt>
                <c:pt idx="102">
                  <c:v>44495</c:v>
                </c:pt>
                <c:pt idx="103">
                  <c:v>44494</c:v>
                </c:pt>
                <c:pt idx="104">
                  <c:v>44491</c:v>
                </c:pt>
                <c:pt idx="105">
                  <c:v>44490</c:v>
                </c:pt>
                <c:pt idx="106">
                  <c:v>44489</c:v>
                </c:pt>
                <c:pt idx="107">
                  <c:v>44488</c:v>
                </c:pt>
                <c:pt idx="108">
                  <c:v>44487</c:v>
                </c:pt>
                <c:pt idx="109">
                  <c:v>44484</c:v>
                </c:pt>
                <c:pt idx="110">
                  <c:v>44483</c:v>
                </c:pt>
                <c:pt idx="111">
                  <c:v>44482</c:v>
                </c:pt>
                <c:pt idx="112">
                  <c:v>44481</c:v>
                </c:pt>
                <c:pt idx="113">
                  <c:v>44480</c:v>
                </c:pt>
                <c:pt idx="114">
                  <c:v>44477</c:v>
                </c:pt>
                <c:pt idx="115">
                  <c:v>44476</c:v>
                </c:pt>
                <c:pt idx="116">
                  <c:v>44475</c:v>
                </c:pt>
                <c:pt idx="117">
                  <c:v>44474</c:v>
                </c:pt>
                <c:pt idx="118">
                  <c:v>44473</c:v>
                </c:pt>
                <c:pt idx="119">
                  <c:v>44470</c:v>
                </c:pt>
                <c:pt idx="120">
                  <c:v>44469</c:v>
                </c:pt>
                <c:pt idx="121">
                  <c:v>44468</c:v>
                </c:pt>
                <c:pt idx="122">
                  <c:v>44467</c:v>
                </c:pt>
                <c:pt idx="123">
                  <c:v>44466</c:v>
                </c:pt>
                <c:pt idx="124">
                  <c:v>44463</c:v>
                </c:pt>
                <c:pt idx="125">
                  <c:v>44462</c:v>
                </c:pt>
                <c:pt idx="126">
                  <c:v>44461</c:v>
                </c:pt>
                <c:pt idx="127">
                  <c:v>44460</c:v>
                </c:pt>
                <c:pt idx="128">
                  <c:v>44459</c:v>
                </c:pt>
                <c:pt idx="129">
                  <c:v>44456</c:v>
                </c:pt>
                <c:pt idx="130">
                  <c:v>44455</c:v>
                </c:pt>
                <c:pt idx="131">
                  <c:v>44454</c:v>
                </c:pt>
                <c:pt idx="132">
                  <c:v>44453</c:v>
                </c:pt>
                <c:pt idx="133">
                  <c:v>44452</c:v>
                </c:pt>
                <c:pt idx="134">
                  <c:v>44449</c:v>
                </c:pt>
                <c:pt idx="135">
                  <c:v>44448</c:v>
                </c:pt>
                <c:pt idx="136">
                  <c:v>44447</c:v>
                </c:pt>
                <c:pt idx="137">
                  <c:v>44446</c:v>
                </c:pt>
                <c:pt idx="138">
                  <c:v>44445</c:v>
                </c:pt>
                <c:pt idx="139">
                  <c:v>44442</c:v>
                </c:pt>
                <c:pt idx="140">
                  <c:v>44441</c:v>
                </c:pt>
                <c:pt idx="141">
                  <c:v>44440</c:v>
                </c:pt>
                <c:pt idx="142">
                  <c:v>44439</c:v>
                </c:pt>
                <c:pt idx="143">
                  <c:v>44438</c:v>
                </c:pt>
                <c:pt idx="144">
                  <c:v>44435</c:v>
                </c:pt>
                <c:pt idx="145">
                  <c:v>44434</c:v>
                </c:pt>
                <c:pt idx="146">
                  <c:v>44433</c:v>
                </c:pt>
                <c:pt idx="147">
                  <c:v>44432</c:v>
                </c:pt>
                <c:pt idx="148">
                  <c:v>44431</c:v>
                </c:pt>
                <c:pt idx="149">
                  <c:v>44428</c:v>
                </c:pt>
                <c:pt idx="150">
                  <c:v>44427</c:v>
                </c:pt>
                <c:pt idx="151">
                  <c:v>44426</c:v>
                </c:pt>
                <c:pt idx="152">
                  <c:v>44425</c:v>
                </c:pt>
                <c:pt idx="153">
                  <c:v>44424</c:v>
                </c:pt>
                <c:pt idx="154">
                  <c:v>44421</c:v>
                </c:pt>
                <c:pt idx="155">
                  <c:v>44420</c:v>
                </c:pt>
                <c:pt idx="156">
                  <c:v>44419</c:v>
                </c:pt>
                <c:pt idx="157">
                  <c:v>44418</c:v>
                </c:pt>
                <c:pt idx="158">
                  <c:v>44417</c:v>
                </c:pt>
                <c:pt idx="159">
                  <c:v>44414</c:v>
                </c:pt>
                <c:pt idx="160">
                  <c:v>44413</c:v>
                </c:pt>
                <c:pt idx="161">
                  <c:v>44412</c:v>
                </c:pt>
                <c:pt idx="162">
                  <c:v>44411</c:v>
                </c:pt>
                <c:pt idx="163">
                  <c:v>44410</c:v>
                </c:pt>
                <c:pt idx="164">
                  <c:v>44407</c:v>
                </c:pt>
                <c:pt idx="165">
                  <c:v>44406</c:v>
                </c:pt>
                <c:pt idx="166">
                  <c:v>44405</c:v>
                </c:pt>
                <c:pt idx="167">
                  <c:v>44404</c:v>
                </c:pt>
                <c:pt idx="168">
                  <c:v>44403</c:v>
                </c:pt>
                <c:pt idx="169">
                  <c:v>44400</c:v>
                </c:pt>
                <c:pt idx="170">
                  <c:v>44399</c:v>
                </c:pt>
                <c:pt idx="171">
                  <c:v>44398</c:v>
                </c:pt>
                <c:pt idx="172">
                  <c:v>44397</c:v>
                </c:pt>
                <c:pt idx="173">
                  <c:v>44396</c:v>
                </c:pt>
                <c:pt idx="174">
                  <c:v>44393</c:v>
                </c:pt>
                <c:pt idx="175">
                  <c:v>44392</c:v>
                </c:pt>
                <c:pt idx="176">
                  <c:v>44391</c:v>
                </c:pt>
                <c:pt idx="177">
                  <c:v>44390</c:v>
                </c:pt>
                <c:pt idx="178">
                  <c:v>44389</c:v>
                </c:pt>
                <c:pt idx="179">
                  <c:v>44386</c:v>
                </c:pt>
                <c:pt idx="180">
                  <c:v>44385</c:v>
                </c:pt>
                <c:pt idx="181">
                  <c:v>44384</c:v>
                </c:pt>
                <c:pt idx="182">
                  <c:v>44383</c:v>
                </c:pt>
                <c:pt idx="183">
                  <c:v>44382</c:v>
                </c:pt>
                <c:pt idx="184">
                  <c:v>44379</c:v>
                </c:pt>
                <c:pt idx="185">
                  <c:v>44378</c:v>
                </c:pt>
                <c:pt idx="186">
                  <c:v>44377</c:v>
                </c:pt>
                <c:pt idx="187">
                  <c:v>44376</c:v>
                </c:pt>
                <c:pt idx="188">
                  <c:v>44375</c:v>
                </c:pt>
                <c:pt idx="189">
                  <c:v>44372</c:v>
                </c:pt>
                <c:pt idx="190">
                  <c:v>44371</c:v>
                </c:pt>
                <c:pt idx="191">
                  <c:v>44370</c:v>
                </c:pt>
                <c:pt idx="192">
                  <c:v>44369</c:v>
                </c:pt>
                <c:pt idx="193">
                  <c:v>44368</c:v>
                </c:pt>
                <c:pt idx="194">
                  <c:v>44365</c:v>
                </c:pt>
                <c:pt idx="195">
                  <c:v>44364</c:v>
                </c:pt>
                <c:pt idx="196">
                  <c:v>44363</c:v>
                </c:pt>
                <c:pt idx="197">
                  <c:v>44362</c:v>
                </c:pt>
                <c:pt idx="198">
                  <c:v>44361</c:v>
                </c:pt>
                <c:pt idx="199">
                  <c:v>44358</c:v>
                </c:pt>
                <c:pt idx="200">
                  <c:v>44357</c:v>
                </c:pt>
                <c:pt idx="201">
                  <c:v>44356</c:v>
                </c:pt>
                <c:pt idx="202">
                  <c:v>44355</c:v>
                </c:pt>
                <c:pt idx="203">
                  <c:v>44354</c:v>
                </c:pt>
                <c:pt idx="204">
                  <c:v>44351</c:v>
                </c:pt>
                <c:pt idx="205">
                  <c:v>44350</c:v>
                </c:pt>
                <c:pt idx="206">
                  <c:v>44349</c:v>
                </c:pt>
                <c:pt idx="207">
                  <c:v>44348</c:v>
                </c:pt>
                <c:pt idx="208">
                  <c:v>44347</c:v>
                </c:pt>
                <c:pt idx="209">
                  <c:v>44344</c:v>
                </c:pt>
                <c:pt idx="210">
                  <c:v>44343</c:v>
                </c:pt>
                <c:pt idx="211">
                  <c:v>44342</c:v>
                </c:pt>
                <c:pt idx="212">
                  <c:v>44341</c:v>
                </c:pt>
                <c:pt idx="213">
                  <c:v>44340</c:v>
                </c:pt>
                <c:pt idx="214">
                  <c:v>44337</c:v>
                </c:pt>
                <c:pt idx="215">
                  <c:v>44336</c:v>
                </c:pt>
                <c:pt idx="216">
                  <c:v>44335</c:v>
                </c:pt>
                <c:pt idx="217">
                  <c:v>44334</c:v>
                </c:pt>
                <c:pt idx="218">
                  <c:v>44333</c:v>
                </c:pt>
                <c:pt idx="219">
                  <c:v>44330</c:v>
                </c:pt>
                <c:pt idx="220">
                  <c:v>44329</c:v>
                </c:pt>
                <c:pt idx="221">
                  <c:v>44328</c:v>
                </c:pt>
                <c:pt idx="222">
                  <c:v>44327</c:v>
                </c:pt>
                <c:pt idx="223">
                  <c:v>44326</c:v>
                </c:pt>
                <c:pt idx="224">
                  <c:v>44323</c:v>
                </c:pt>
                <c:pt idx="225">
                  <c:v>44322</c:v>
                </c:pt>
                <c:pt idx="226">
                  <c:v>44321</c:v>
                </c:pt>
                <c:pt idx="227">
                  <c:v>44320</c:v>
                </c:pt>
                <c:pt idx="228">
                  <c:v>44319</c:v>
                </c:pt>
                <c:pt idx="229">
                  <c:v>44316</c:v>
                </c:pt>
                <c:pt idx="230">
                  <c:v>44315</c:v>
                </c:pt>
                <c:pt idx="231">
                  <c:v>44314</c:v>
                </c:pt>
                <c:pt idx="232">
                  <c:v>44313</c:v>
                </c:pt>
                <c:pt idx="233">
                  <c:v>44312</c:v>
                </c:pt>
                <c:pt idx="234">
                  <c:v>44309</c:v>
                </c:pt>
                <c:pt idx="235">
                  <c:v>44308</c:v>
                </c:pt>
                <c:pt idx="236">
                  <c:v>44307</c:v>
                </c:pt>
                <c:pt idx="237">
                  <c:v>44306</c:v>
                </c:pt>
                <c:pt idx="238">
                  <c:v>44305</c:v>
                </c:pt>
                <c:pt idx="239">
                  <c:v>44302</c:v>
                </c:pt>
                <c:pt idx="240">
                  <c:v>44301</c:v>
                </c:pt>
                <c:pt idx="241">
                  <c:v>44300</c:v>
                </c:pt>
                <c:pt idx="242">
                  <c:v>44299</c:v>
                </c:pt>
                <c:pt idx="243">
                  <c:v>44298</c:v>
                </c:pt>
                <c:pt idx="244">
                  <c:v>44295</c:v>
                </c:pt>
                <c:pt idx="245">
                  <c:v>44294</c:v>
                </c:pt>
                <c:pt idx="246">
                  <c:v>44293</c:v>
                </c:pt>
                <c:pt idx="247">
                  <c:v>44292</c:v>
                </c:pt>
                <c:pt idx="248">
                  <c:v>44291</c:v>
                </c:pt>
                <c:pt idx="249">
                  <c:v>44287</c:v>
                </c:pt>
                <c:pt idx="250">
                  <c:v>44286</c:v>
                </c:pt>
                <c:pt idx="251">
                  <c:v>44285</c:v>
                </c:pt>
                <c:pt idx="252">
                  <c:v>44284</c:v>
                </c:pt>
                <c:pt idx="253">
                  <c:v>44281</c:v>
                </c:pt>
                <c:pt idx="254">
                  <c:v>44280</c:v>
                </c:pt>
                <c:pt idx="255">
                  <c:v>44279</c:v>
                </c:pt>
                <c:pt idx="256">
                  <c:v>44278</c:v>
                </c:pt>
                <c:pt idx="257">
                  <c:v>44277</c:v>
                </c:pt>
                <c:pt idx="258">
                  <c:v>44274</c:v>
                </c:pt>
                <c:pt idx="259">
                  <c:v>44273</c:v>
                </c:pt>
                <c:pt idx="260">
                  <c:v>44272</c:v>
                </c:pt>
                <c:pt idx="261">
                  <c:v>44271</c:v>
                </c:pt>
                <c:pt idx="262">
                  <c:v>44270</c:v>
                </c:pt>
                <c:pt idx="263">
                  <c:v>44267</c:v>
                </c:pt>
                <c:pt idx="264">
                  <c:v>44266</c:v>
                </c:pt>
                <c:pt idx="265">
                  <c:v>44265</c:v>
                </c:pt>
                <c:pt idx="266">
                  <c:v>44264</c:v>
                </c:pt>
                <c:pt idx="267">
                  <c:v>44263</c:v>
                </c:pt>
                <c:pt idx="268">
                  <c:v>44260</c:v>
                </c:pt>
                <c:pt idx="269">
                  <c:v>44259</c:v>
                </c:pt>
                <c:pt idx="270">
                  <c:v>44258</c:v>
                </c:pt>
                <c:pt idx="271">
                  <c:v>44257</c:v>
                </c:pt>
                <c:pt idx="272">
                  <c:v>44256</c:v>
                </c:pt>
                <c:pt idx="273">
                  <c:v>44253</c:v>
                </c:pt>
                <c:pt idx="274">
                  <c:v>44252</c:v>
                </c:pt>
                <c:pt idx="275">
                  <c:v>44251</c:v>
                </c:pt>
              </c:numCache>
            </c:numRef>
          </c:cat>
          <c:val>
            <c:numRef>
              <c:f>'Graf 7'!$J$5:$J$280</c:f>
              <c:numCache>
                <c:formatCode>0.0</c:formatCode>
                <c:ptCount val="276"/>
                <c:pt idx="0">
                  <c:v>101.21</c:v>
                </c:pt>
                <c:pt idx="1">
                  <c:v>98.02</c:v>
                </c:pt>
                <c:pt idx="2">
                  <c:v>99.91</c:v>
                </c:pt>
                <c:pt idx="3">
                  <c:v>106.9</c:v>
                </c:pt>
                <c:pt idx="4">
                  <c:v>112.67</c:v>
                </c:pt>
                <c:pt idx="5">
                  <c:v>109.33</c:v>
                </c:pt>
                <c:pt idx="6">
                  <c:v>111.14</c:v>
                </c:pt>
                <c:pt idx="7">
                  <c:v>127.98</c:v>
                </c:pt>
                <c:pt idx="8">
                  <c:v>123.21</c:v>
                </c:pt>
                <c:pt idx="9">
                  <c:v>118.11</c:v>
                </c:pt>
                <c:pt idx="10">
                  <c:v>110.46</c:v>
                </c:pt>
                <c:pt idx="11">
                  <c:v>112.93</c:v>
                </c:pt>
                <c:pt idx="12">
                  <c:v>104.97</c:v>
                </c:pt>
                <c:pt idx="13">
                  <c:v>100.99</c:v>
                </c:pt>
                <c:pt idx="14">
                  <c:v>97.93</c:v>
                </c:pt>
                <c:pt idx="15">
                  <c:v>99.08</c:v>
                </c:pt>
                <c:pt idx="16">
                  <c:v>96.84</c:v>
                </c:pt>
                <c:pt idx="17">
                  <c:v>96.84</c:v>
                </c:pt>
                <c:pt idx="18">
                  <c:v>95.39</c:v>
                </c:pt>
                <c:pt idx="19">
                  <c:v>93.54</c:v>
                </c:pt>
                <c:pt idx="20">
                  <c:v>92.97</c:v>
                </c:pt>
                <c:pt idx="21">
                  <c:v>94.81</c:v>
                </c:pt>
                <c:pt idx="22">
                  <c:v>93.28</c:v>
                </c:pt>
                <c:pt idx="23">
                  <c:v>96.48</c:v>
                </c:pt>
                <c:pt idx="24">
                  <c:v>94.44</c:v>
                </c:pt>
                <c:pt idx="25">
                  <c:v>91.41</c:v>
                </c:pt>
                <c:pt idx="26">
                  <c:v>91.55</c:v>
                </c:pt>
                <c:pt idx="27">
                  <c:v>90.78</c:v>
                </c:pt>
                <c:pt idx="28">
                  <c:v>92.69</c:v>
                </c:pt>
                <c:pt idx="29">
                  <c:v>93.27</c:v>
                </c:pt>
                <c:pt idx="30">
                  <c:v>91.11</c:v>
                </c:pt>
                <c:pt idx="31">
                  <c:v>89.47</c:v>
                </c:pt>
                <c:pt idx="32">
                  <c:v>89.16</c:v>
                </c:pt>
                <c:pt idx="33">
                  <c:v>91.21</c:v>
                </c:pt>
                <c:pt idx="34">
                  <c:v>90.03</c:v>
                </c:pt>
                <c:pt idx="35">
                  <c:v>89.34</c:v>
                </c:pt>
                <c:pt idx="36">
                  <c:v>89.96</c:v>
                </c:pt>
                <c:pt idx="37">
                  <c:v>88.2</c:v>
                </c:pt>
                <c:pt idx="38">
                  <c:v>86.27</c:v>
                </c:pt>
                <c:pt idx="39">
                  <c:v>87.89</c:v>
                </c:pt>
                <c:pt idx="40">
                  <c:v>88.38</c:v>
                </c:pt>
                <c:pt idx="41">
                  <c:v>88.44</c:v>
                </c:pt>
                <c:pt idx="42">
                  <c:v>87.51</c:v>
                </c:pt>
                <c:pt idx="43">
                  <c:v>86.48</c:v>
                </c:pt>
                <c:pt idx="44">
                  <c:v>86.06</c:v>
                </c:pt>
                <c:pt idx="45">
                  <c:v>84.47</c:v>
                </c:pt>
                <c:pt idx="46">
                  <c:v>84.67</c:v>
                </c:pt>
                <c:pt idx="47">
                  <c:v>83.72</c:v>
                </c:pt>
                <c:pt idx="48">
                  <c:v>80.87</c:v>
                </c:pt>
                <c:pt idx="49">
                  <c:v>81.75</c:v>
                </c:pt>
                <c:pt idx="50">
                  <c:v>81.99</c:v>
                </c:pt>
                <c:pt idx="51">
                  <c:v>80.8</c:v>
                </c:pt>
                <c:pt idx="52">
                  <c:v>80</c:v>
                </c:pt>
                <c:pt idx="53">
                  <c:v>78.98</c:v>
                </c:pt>
                <c:pt idx="54">
                  <c:v>77.78</c:v>
                </c:pt>
                <c:pt idx="55">
                  <c:v>79.319999999999993</c:v>
                </c:pt>
                <c:pt idx="56">
                  <c:v>79.23</c:v>
                </c:pt>
                <c:pt idx="57">
                  <c:v>78.94</c:v>
                </c:pt>
                <c:pt idx="58">
                  <c:v>78.599999999999994</c:v>
                </c:pt>
                <c:pt idx="59">
                  <c:v>76.14</c:v>
                </c:pt>
                <c:pt idx="60">
                  <c:v>76.849999999999994</c:v>
                </c:pt>
                <c:pt idx="61">
                  <c:v>75.290000000000006</c:v>
                </c:pt>
                <c:pt idx="62">
                  <c:v>73.98</c:v>
                </c:pt>
                <c:pt idx="63">
                  <c:v>71.52</c:v>
                </c:pt>
                <c:pt idx="64">
                  <c:v>73.52</c:v>
                </c:pt>
                <c:pt idx="65">
                  <c:v>75.02</c:v>
                </c:pt>
                <c:pt idx="66">
                  <c:v>73.88</c:v>
                </c:pt>
                <c:pt idx="67">
                  <c:v>73.7</c:v>
                </c:pt>
                <c:pt idx="68">
                  <c:v>74.39</c:v>
                </c:pt>
                <c:pt idx="69">
                  <c:v>75.150000000000006</c:v>
                </c:pt>
                <c:pt idx="70">
                  <c:v>74.42</c:v>
                </c:pt>
                <c:pt idx="71">
                  <c:v>75.819999999999993</c:v>
                </c:pt>
                <c:pt idx="72">
                  <c:v>75.44</c:v>
                </c:pt>
                <c:pt idx="73">
                  <c:v>73.08</c:v>
                </c:pt>
                <c:pt idx="74">
                  <c:v>69.88</c:v>
                </c:pt>
                <c:pt idx="75">
                  <c:v>69.67</c:v>
                </c:pt>
                <c:pt idx="76">
                  <c:v>68.87</c:v>
                </c:pt>
                <c:pt idx="77">
                  <c:v>70.569999999999993</c:v>
                </c:pt>
                <c:pt idx="78">
                  <c:v>73.44</c:v>
                </c:pt>
                <c:pt idx="79">
                  <c:v>72.72</c:v>
                </c:pt>
                <c:pt idx="80">
                  <c:v>82.22</c:v>
                </c:pt>
                <c:pt idx="81">
                  <c:v>82.25</c:v>
                </c:pt>
                <c:pt idx="82">
                  <c:v>82.31</c:v>
                </c:pt>
                <c:pt idx="83">
                  <c:v>79.7</c:v>
                </c:pt>
                <c:pt idx="84">
                  <c:v>78.89</c:v>
                </c:pt>
                <c:pt idx="85">
                  <c:v>81.239999999999995</c:v>
                </c:pt>
                <c:pt idx="86">
                  <c:v>80.28</c:v>
                </c:pt>
                <c:pt idx="87">
                  <c:v>82.43</c:v>
                </c:pt>
                <c:pt idx="88">
                  <c:v>82.05</c:v>
                </c:pt>
                <c:pt idx="89">
                  <c:v>82.17</c:v>
                </c:pt>
                <c:pt idx="90">
                  <c:v>82.87</c:v>
                </c:pt>
                <c:pt idx="91">
                  <c:v>82.64</c:v>
                </c:pt>
                <c:pt idx="92">
                  <c:v>84.78</c:v>
                </c:pt>
                <c:pt idx="93">
                  <c:v>83.43</c:v>
                </c:pt>
                <c:pt idx="94">
                  <c:v>82.74</c:v>
                </c:pt>
                <c:pt idx="95">
                  <c:v>80.540000000000006</c:v>
                </c:pt>
                <c:pt idx="96">
                  <c:v>81.99</c:v>
                </c:pt>
                <c:pt idx="97">
                  <c:v>84.72</c:v>
                </c:pt>
                <c:pt idx="98">
                  <c:v>84.71</c:v>
                </c:pt>
                <c:pt idx="99">
                  <c:v>84.38</c:v>
                </c:pt>
                <c:pt idx="100">
                  <c:v>84.32</c:v>
                </c:pt>
                <c:pt idx="101">
                  <c:v>84.58</c:v>
                </c:pt>
                <c:pt idx="102">
                  <c:v>86.4</c:v>
                </c:pt>
                <c:pt idx="103">
                  <c:v>85.99</c:v>
                </c:pt>
                <c:pt idx="104">
                  <c:v>85.53</c:v>
                </c:pt>
                <c:pt idx="105">
                  <c:v>84.61</c:v>
                </c:pt>
                <c:pt idx="106">
                  <c:v>85.82</c:v>
                </c:pt>
                <c:pt idx="107">
                  <c:v>85.08</c:v>
                </c:pt>
                <c:pt idx="108">
                  <c:v>84.33</c:v>
                </c:pt>
                <c:pt idx="109">
                  <c:v>84.86</c:v>
                </c:pt>
                <c:pt idx="110">
                  <c:v>84</c:v>
                </c:pt>
                <c:pt idx="111">
                  <c:v>83.18</c:v>
                </c:pt>
                <c:pt idx="112">
                  <c:v>83.42</c:v>
                </c:pt>
                <c:pt idx="113">
                  <c:v>83.65</c:v>
                </c:pt>
                <c:pt idx="114">
                  <c:v>82.39</c:v>
                </c:pt>
                <c:pt idx="115">
                  <c:v>81.95</c:v>
                </c:pt>
                <c:pt idx="116">
                  <c:v>81.08</c:v>
                </c:pt>
                <c:pt idx="117">
                  <c:v>82.56</c:v>
                </c:pt>
                <c:pt idx="118">
                  <c:v>81.260000000000005</c:v>
                </c:pt>
                <c:pt idx="119">
                  <c:v>79.28</c:v>
                </c:pt>
                <c:pt idx="120">
                  <c:v>78.52</c:v>
                </c:pt>
                <c:pt idx="121">
                  <c:v>78.64</c:v>
                </c:pt>
                <c:pt idx="122">
                  <c:v>79.09</c:v>
                </c:pt>
                <c:pt idx="123">
                  <c:v>79.53</c:v>
                </c:pt>
                <c:pt idx="124">
                  <c:v>78.09</c:v>
                </c:pt>
                <c:pt idx="125">
                  <c:v>77.25</c:v>
                </c:pt>
                <c:pt idx="126">
                  <c:v>76.19</c:v>
                </c:pt>
                <c:pt idx="127">
                  <c:v>74.36</c:v>
                </c:pt>
                <c:pt idx="128">
                  <c:v>73.92</c:v>
                </c:pt>
                <c:pt idx="129">
                  <c:v>75.34</c:v>
                </c:pt>
                <c:pt idx="130">
                  <c:v>75.67</c:v>
                </c:pt>
                <c:pt idx="131">
                  <c:v>75.459999999999994</c:v>
                </c:pt>
                <c:pt idx="132">
                  <c:v>73.599999999999994</c:v>
                </c:pt>
                <c:pt idx="133">
                  <c:v>73.510000000000005</c:v>
                </c:pt>
                <c:pt idx="134">
                  <c:v>72.92</c:v>
                </c:pt>
                <c:pt idx="135">
                  <c:v>71.45</c:v>
                </c:pt>
                <c:pt idx="136">
                  <c:v>72.599999999999994</c:v>
                </c:pt>
                <c:pt idx="137">
                  <c:v>71.69</c:v>
                </c:pt>
                <c:pt idx="138">
                  <c:v>72.22</c:v>
                </c:pt>
                <c:pt idx="139">
                  <c:v>72.61</c:v>
                </c:pt>
                <c:pt idx="140">
                  <c:v>73.03</c:v>
                </c:pt>
                <c:pt idx="141">
                  <c:v>71.59</c:v>
                </c:pt>
                <c:pt idx="142">
                  <c:v>72.989999999999995</c:v>
                </c:pt>
                <c:pt idx="143">
                  <c:v>73.41</c:v>
                </c:pt>
                <c:pt idx="144">
                  <c:v>72.7</c:v>
                </c:pt>
                <c:pt idx="145">
                  <c:v>71.069999999999993</c:v>
                </c:pt>
                <c:pt idx="146">
                  <c:v>72.25</c:v>
                </c:pt>
                <c:pt idx="147">
                  <c:v>71.05</c:v>
                </c:pt>
                <c:pt idx="148">
                  <c:v>68.75</c:v>
                </c:pt>
                <c:pt idx="149">
                  <c:v>65.180000000000007</c:v>
                </c:pt>
                <c:pt idx="150">
                  <c:v>66.45</c:v>
                </c:pt>
                <c:pt idx="151">
                  <c:v>68.23</c:v>
                </c:pt>
                <c:pt idx="152">
                  <c:v>69.03</c:v>
                </c:pt>
                <c:pt idx="153">
                  <c:v>69.510000000000005</c:v>
                </c:pt>
                <c:pt idx="154">
                  <c:v>70.59</c:v>
                </c:pt>
                <c:pt idx="155">
                  <c:v>71.31</c:v>
                </c:pt>
                <c:pt idx="156">
                  <c:v>71.44</c:v>
                </c:pt>
                <c:pt idx="157">
                  <c:v>70.63</c:v>
                </c:pt>
                <c:pt idx="158">
                  <c:v>69.040000000000006</c:v>
                </c:pt>
                <c:pt idx="159">
                  <c:v>70.7</c:v>
                </c:pt>
                <c:pt idx="160">
                  <c:v>71.290000000000006</c:v>
                </c:pt>
                <c:pt idx="161">
                  <c:v>70.38</c:v>
                </c:pt>
                <c:pt idx="162">
                  <c:v>72.41</c:v>
                </c:pt>
                <c:pt idx="163">
                  <c:v>72.89</c:v>
                </c:pt>
                <c:pt idx="164">
                  <c:v>76.33</c:v>
                </c:pt>
                <c:pt idx="165">
                  <c:v>76.05</c:v>
                </c:pt>
                <c:pt idx="166">
                  <c:v>74.739999999999995</c:v>
                </c:pt>
                <c:pt idx="167">
                  <c:v>74.48</c:v>
                </c:pt>
                <c:pt idx="168">
                  <c:v>74.5</c:v>
                </c:pt>
                <c:pt idx="169">
                  <c:v>74.099999999999994</c:v>
                </c:pt>
                <c:pt idx="170">
                  <c:v>73.790000000000006</c:v>
                </c:pt>
                <c:pt idx="171">
                  <c:v>72.23</c:v>
                </c:pt>
                <c:pt idx="172">
                  <c:v>69.349999999999994</c:v>
                </c:pt>
                <c:pt idx="173">
                  <c:v>68.62</c:v>
                </c:pt>
                <c:pt idx="174">
                  <c:v>73.59</c:v>
                </c:pt>
                <c:pt idx="175">
                  <c:v>73.47</c:v>
                </c:pt>
                <c:pt idx="176">
                  <c:v>74.760000000000005</c:v>
                </c:pt>
                <c:pt idx="177">
                  <c:v>76.489999999999995</c:v>
                </c:pt>
                <c:pt idx="178">
                  <c:v>75.16</c:v>
                </c:pt>
                <c:pt idx="179">
                  <c:v>75.55</c:v>
                </c:pt>
                <c:pt idx="180">
                  <c:v>74.12</c:v>
                </c:pt>
                <c:pt idx="181">
                  <c:v>73.430000000000007</c:v>
                </c:pt>
                <c:pt idx="182">
                  <c:v>74.53</c:v>
                </c:pt>
                <c:pt idx="183">
                  <c:v>77.16</c:v>
                </c:pt>
                <c:pt idx="184">
                  <c:v>76.17</c:v>
                </c:pt>
                <c:pt idx="185">
                  <c:v>75.84</c:v>
                </c:pt>
                <c:pt idx="186">
                  <c:v>75.13</c:v>
                </c:pt>
                <c:pt idx="187">
                  <c:v>74.760000000000005</c:v>
                </c:pt>
                <c:pt idx="188">
                  <c:v>74.680000000000007</c:v>
                </c:pt>
                <c:pt idx="189">
                  <c:v>76.180000000000007</c:v>
                </c:pt>
                <c:pt idx="190">
                  <c:v>75.56</c:v>
                </c:pt>
                <c:pt idx="191">
                  <c:v>75.19</c:v>
                </c:pt>
                <c:pt idx="192">
                  <c:v>74.81</c:v>
                </c:pt>
                <c:pt idx="193">
                  <c:v>74.900000000000006</c:v>
                </c:pt>
                <c:pt idx="194">
                  <c:v>73.510000000000005</c:v>
                </c:pt>
                <c:pt idx="195">
                  <c:v>73.08</c:v>
                </c:pt>
                <c:pt idx="196">
                  <c:v>74.39</c:v>
                </c:pt>
                <c:pt idx="197">
                  <c:v>73.989999999999995</c:v>
                </c:pt>
                <c:pt idx="198">
                  <c:v>72.86</c:v>
                </c:pt>
                <c:pt idx="199">
                  <c:v>72.69</c:v>
                </c:pt>
                <c:pt idx="200">
                  <c:v>72.52</c:v>
                </c:pt>
                <c:pt idx="201">
                  <c:v>72.22</c:v>
                </c:pt>
                <c:pt idx="202">
                  <c:v>72.22</c:v>
                </c:pt>
                <c:pt idx="203">
                  <c:v>71.489999999999995</c:v>
                </c:pt>
                <c:pt idx="204">
                  <c:v>71.89</c:v>
                </c:pt>
                <c:pt idx="205">
                  <c:v>71.31</c:v>
                </c:pt>
                <c:pt idx="206">
                  <c:v>71.349999999999994</c:v>
                </c:pt>
                <c:pt idx="207">
                  <c:v>70.25</c:v>
                </c:pt>
                <c:pt idx="208">
                  <c:v>69.319999999999993</c:v>
                </c:pt>
                <c:pt idx="209">
                  <c:v>69.63</c:v>
                </c:pt>
                <c:pt idx="210">
                  <c:v>69.459999999999994</c:v>
                </c:pt>
                <c:pt idx="211">
                  <c:v>68.87</c:v>
                </c:pt>
                <c:pt idx="212">
                  <c:v>68.650000000000006</c:v>
                </c:pt>
                <c:pt idx="213">
                  <c:v>68.459999999999994</c:v>
                </c:pt>
                <c:pt idx="214">
                  <c:v>66.44</c:v>
                </c:pt>
                <c:pt idx="215">
                  <c:v>65.11</c:v>
                </c:pt>
                <c:pt idx="216">
                  <c:v>66.66</c:v>
                </c:pt>
                <c:pt idx="217">
                  <c:v>68.709999999999994</c:v>
                </c:pt>
                <c:pt idx="218">
                  <c:v>69.459999999999994</c:v>
                </c:pt>
                <c:pt idx="219">
                  <c:v>68.709999999999994</c:v>
                </c:pt>
                <c:pt idx="220">
                  <c:v>67.05</c:v>
                </c:pt>
                <c:pt idx="221">
                  <c:v>69.319999999999993</c:v>
                </c:pt>
                <c:pt idx="222">
                  <c:v>68.55</c:v>
                </c:pt>
                <c:pt idx="223">
                  <c:v>68.319999999999993</c:v>
                </c:pt>
                <c:pt idx="224">
                  <c:v>68.28</c:v>
                </c:pt>
                <c:pt idx="225">
                  <c:v>68.09</c:v>
                </c:pt>
                <c:pt idx="226">
                  <c:v>68.959999999999994</c:v>
                </c:pt>
                <c:pt idx="227">
                  <c:v>68.88</c:v>
                </c:pt>
                <c:pt idx="228">
                  <c:v>67.56</c:v>
                </c:pt>
                <c:pt idx="229">
                  <c:v>67.25</c:v>
                </c:pt>
                <c:pt idx="230">
                  <c:v>68.56</c:v>
                </c:pt>
                <c:pt idx="231">
                  <c:v>67.27</c:v>
                </c:pt>
                <c:pt idx="232">
                  <c:v>66.42</c:v>
                </c:pt>
                <c:pt idx="233">
                  <c:v>65.650000000000006</c:v>
                </c:pt>
                <c:pt idx="234">
                  <c:v>66.11</c:v>
                </c:pt>
                <c:pt idx="235">
                  <c:v>65.400000000000006</c:v>
                </c:pt>
                <c:pt idx="236">
                  <c:v>65.319999999999993</c:v>
                </c:pt>
                <c:pt idx="237">
                  <c:v>66.569999999999993</c:v>
                </c:pt>
                <c:pt idx="238" formatCode="0.00">
                  <c:v>67.05</c:v>
                </c:pt>
                <c:pt idx="239" formatCode="0.00">
                  <c:v>66.77</c:v>
                </c:pt>
                <c:pt idx="240" formatCode="0.00">
                  <c:v>66.94</c:v>
                </c:pt>
                <c:pt idx="241" formatCode="0.00">
                  <c:v>66.58</c:v>
                </c:pt>
                <c:pt idx="242" formatCode="General">
                  <c:v>63.67</c:v>
                </c:pt>
                <c:pt idx="243" formatCode="General">
                  <c:v>63.28</c:v>
                </c:pt>
                <c:pt idx="244" formatCode="General">
                  <c:v>62.95</c:v>
                </c:pt>
                <c:pt idx="245" formatCode="General">
                  <c:v>63.2</c:v>
                </c:pt>
                <c:pt idx="246" formatCode="General">
                  <c:v>63.16</c:v>
                </c:pt>
                <c:pt idx="247" formatCode="General">
                  <c:v>62.74</c:v>
                </c:pt>
                <c:pt idx="248" formatCode="General">
                  <c:v>62.15</c:v>
                </c:pt>
                <c:pt idx="249" formatCode="General">
                  <c:v>64.86</c:v>
                </c:pt>
                <c:pt idx="250" formatCode="General">
                  <c:v>63.54</c:v>
                </c:pt>
                <c:pt idx="251" formatCode="General">
                  <c:v>64.14</c:v>
                </c:pt>
                <c:pt idx="252" formatCode="General">
                  <c:v>64.98</c:v>
                </c:pt>
                <c:pt idx="253" formatCode="General">
                  <c:v>64.569999999999993</c:v>
                </c:pt>
                <c:pt idx="254" formatCode="General">
                  <c:v>61.95</c:v>
                </c:pt>
                <c:pt idx="255" formatCode="General">
                  <c:v>64.41</c:v>
                </c:pt>
                <c:pt idx="256" formatCode="General">
                  <c:v>60.79</c:v>
                </c:pt>
                <c:pt idx="257" formatCode="General">
                  <c:v>64.62</c:v>
                </c:pt>
                <c:pt idx="258" formatCode="General">
                  <c:v>64.53</c:v>
                </c:pt>
                <c:pt idx="259" formatCode="General">
                  <c:v>63.28</c:v>
                </c:pt>
                <c:pt idx="260" formatCode="General">
                  <c:v>68</c:v>
                </c:pt>
                <c:pt idx="261" formatCode="General">
                  <c:v>68.39</c:v>
                </c:pt>
                <c:pt idx="262" formatCode="General">
                  <c:v>68.88</c:v>
                </c:pt>
                <c:pt idx="263" formatCode="General">
                  <c:v>69.22</c:v>
                </c:pt>
                <c:pt idx="264" formatCode="General">
                  <c:v>69.63</c:v>
                </c:pt>
                <c:pt idx="265" formatCode="General">
                  <c:v>67.900000000000006</c:v>
                </c:pt>
                <c:pt idx="266" formatCode="General">
                  <c:v>67.52</c:v>
                </c:pt>
                <c:pt idx="267" formatCode="General">
                  <c:v>68.239999999999995</c:v>
                </c:pt>
                <c:pt idx="268" formatCode="General">
                  <c:v>69.36</c:v>
                </c:pt>
                <c:pt idx="269" formatCode="General">
                  <c:v>66.739999999999995</c:v>
                </c:pt>
                <c:pt idx="270" formatCode="General">
                  <c:v>64.069999999999993</c:v>
                </c:pt>
                <c:pt idx="271" formatCode="General">
                  <c:v>62.7</c:v>
                </c:pt>
                <c:pt idx="272" formatCode="General">
                  <c:v>63.69</c:v>
                </c:pt>
                <c:pt idx="273" formatCode="General">
                  <c:v>66.13</c:v>
                </c:pt>
                <c:pt idx="274" formatCode="General">
                  <c:v>66.88</c:v>
                </c:pt>
                <c:pt idx="275" formatCode="General">
                  <c:v>67.040000000000006</c:v>
                </c:pt>
              </c:numCache>
            </c:numRef>
          </c:val>
          <c:smooth val="0"/>
          <c:extLst xmlns:c16r2="http://schemas.microsoft.com/office/drawing/2015/06/chart">
            <c:ext xmlns:c16="http://schemas.microsoft.com/office/drawing/2014/chart" uri="{C3380CC4-5D6E-409C-BE32-E72D297353CC}">
              <c16:uniqueId val="{00000000-578E-47FC-B408-E5E32338850F}"/>
            </c:ext>
          </c:extLst>
        </c:ser>
        <c:dLbls>
          <c:showLegendKey val="0"/>
          <c:showVal val="0"/>
          <c:showCatName val="0"/>
          <c:showSerName val="0"/>
          <c:showPercent val="0"/>
          <c:showBubbleSize val="0"/>
        </c:dLbls>
        <c:smooth val="0"/>
        <c:axId val="499478320"/>
        <c:axId val="499478712"/>
      </c:lineChart>
      <c:dateAx>
        <c:axId val="499478320"/>
        <c:scaling>
          <c:orientation val="minMax"/>
          <c:min val="44440"/>
        </c:scaling>
        <c:delete val="0"/>
        <c:axPos val="b"/>
        <c:numFmt formatCode="m/yyyy" sourceLinked="0"/>
        <c:majorTickMark val="out"/>
        <c:minorTickMark val="none"/>
        <c:tickLblPos val="low"/>
        <c:txPr>
          <a:bodyPr rot="-5400000" vert="horz"/>
          <a:lstStyle/>
          <a:p>
            <a:pPr>
              <a:defRPr/>
            </a:pPr>
            <a:endParaRPr lang="sk-SK"/>
          </a:p>
        </c:txPr>
        <c:crossAx val="499478712"/>
        <c:crosses val="autoZero"/>
        <c:auto val="1"/>
        <c:lblOffset val="100"/>
        <c:baseTimeUnit val="days"/>
        <c:majorUnit val="21"/>
        <c:majorTimeUnit val="days"/>
      </c:dateAx>
      <c:valAx>
        <c:axId val="499478712"/>
        <c:scaling>
          <c:orientation val="minMax"/>
          <c:max val="140"/>
          <c:min val="50"/>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rot="0" vert="horz"/>
          <a:lstStyle/>
          <a:p>
            <a:pPr>
              <a:defRPr/>
            </a:pPr>
            <a:endParaRPr lang="sk-SK"/>
          </a:p>
        </c:txPr>
        <c:crossAx val="499478320"/>
        <c:crosses val="autoZero"/>
        <c:crossBetween val="between"/>
      </c:valAx>
      <c:spPr>
        <a:noFill/>
      </c:spPr>
    </c:plotArea>
    <c:plotVisOnly val="1"/>
    <c:dispBlanksAs val="span"/>
    <c:showDLblsOverMax val="0"/>
  </c:chart>
  <c:spPr>
    <a:noFill/>
    <a:ln>
      <a:noFill/>
    </a:ln>
  </c:spPr>
  <c:txPr>
    <a:bodyPr/>
    <a:lstStyle/>
    <a:p>
      <a:pPr>
        <a:defRPr sz="800" b="0" i="0" u="none" strike="noStrike" baseline="0">
          <a:solidFill>
            <a:srgbClr val="000000"/>
          </a:solidFill>
          <a:latin typeface="NeueHaasGroteskDisp W02" panose="020B0504020202020204"/>
          <a:ea typeface="Calibri"/>
          <a:cs typeface="Calibri"/>
        </a:defRPr>
      </a:pPr>
      <a:endParaRPr lang="sk-SK"/>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56134052573629"/>
          <c:y val="0.11834319526627218"/>
          <c:w val="0.8317347816834294"/>
          <c:h val="0.68424265014210506"/>
        </c:manualLayout>
      </c:layout>
      <c:barChart>
        <c:barDir val="col"/>
        <c:grouping val="stacked"/>
        <c:varyColors val="0"/>
        <c:ser>
          <c:idx val="1"/>
          <c:order val="0"/>
          <c:tx>
            <c:strRef>
              <c:f>'Graf 8+Tab 4'!$K$6</c:f>
              <c:strCache>
                <c:ptCount val="1"/>
                <c:pt idx="0">
                  <c:v>Zamestnanosť</c:v>
                </c:pt>
              </c:strCache>
            </c:strRef>
          </c:tx>
          <c:spPr>
            <a:solidFill>
              <a:srgbClr val="2C9ADC"/>
            </a:solidFill>
          </c:spPr>
          <c:invertIfNegative val="0"/>
          <c:cat>
            <c:strRef>
              <c:f>'Graf 8+Tab 4'!$L$5:$AA$5</c:f>
              <c:strCache>
                <c:ptCount val="16"/>
                <c:pt idx="0">
                  <c:v>2010</c:v>
                </c:pt>
                <c:pt idx="1">
                  <c:v>2011</c:v>
                </c:pt>
                <c:pt idx="2">
                  <c:v>2012</c:v>
                </c:pt>
                <c:pt idx="3">
                  <c:v>2013</c:v>
                </c:pt>
                <c:pt idx="4">
                  <c:v>2014</c:v>
                </c:pt>
                <c:pt idx="5">
                  <c:v>2015</c:v>
                </c:pt>
                <c:pt idx="6">
                  <c:v>2016</c:v>
                </c:pt>
                <c:pt idx="7">
                  <c:v>2017</c:v>
                </c:pt>
                <c:pt idx="8">
                  <c:v>2018</c:v>
                </c:pt>
                <c:pt idx="9">
                  <c:v>2019</c:v>
                </c:pt>
                <c:pt idx="10">
                  <c:v>2020</c:v>
                </c:pt>
                <c:pt idx="11">
                  <c:v>2021F</c:v>
                </c:pt>
                <c:pt idx="12">
                  <c:v>2022F</c:v>
                </c:pt>
                <c:pt idx="13">
                  <c:v>2023F</c:v>
                </c:pt>
                <c:pt idx="14">
                  <c:v>2024F</c:v>
                </c:pt>
                <c:pt idx="15">
                  <c:v>2025F</c:v>
                </c:pt>
              </c:strCache>
            </c:strRef>
          </c:cat>
          <c:val>
            <c:numRef>
              <c:f>'Graf 8+Tab 4'!$L$6:$AA$6</c:f>
              <c:numCache>
                <c:formatCode>0.0</c:formatCode>
                <c:ptCount val="16"/>
                <c:pt idx="0">
                  <c:v>8.2429179441465064E-2</c:v>
                </c:pt>
                <c:pt idx="1">
                  <c:v>0.40994835602924617</c:v>
                </c:pt>
                <c:pt idx="2">
                  <c:v>0.23596458210039067</c:v>
                </c:pt>
                <c:pt idx="3">
                  <c:v>0.22532309943905071</c:v>
                </c:pt>
                <c:pt idx="4">
                  <c:v>0.41205235629633297</c:v>
                </c:pt>
                <c:pt idx="5">
                  <c:v>0.55614470548231731</c:v>
                </c:pt>
                <c:pt idx="6">
                  <c:v>0.62639874828291386</c:v>
                </c:pt>
                <c:pt idx="7">
                  <c:v>0.6001724349491061</c:v>
                </c:pt>
                <c:pt idx="8">
                  <c:v>0.54613782161266522</c:v>
                </c:pt>
                <c:pt idx="9">
                  <c:v>0.36395653292115554</c:v>
                </c:pt>
                <c:pt idx="10">
                  <c:v>-0.34961434299442273</c:v>
                </c:pt>
                <c:pt idx="11">
                  <c:v>-0.16540748001756767</c:v>
                </c:pt>
                <c:pt idx="12">
                  <c:v>-5.6749220932311779E-2</c:v>
                </c:pt>
                <c:pt idx="13">
                  <c:v>-7.6467436812074754E-2</c:v>
                </c:pt>
                <c:pt idx="14">
                  <c:v>-0.1573397525634681</c:v>
                </c:pt>
                <c:pt idx="15">
                  <c:v>-0.21871673296582009</c:v>
                </c:pt>
              </c:numCache>
            </c:numRef>
          </c:val>
          <c:extLst xmlns:c16r2="http://schemas.microsoft.com/office/drawing/2015/06/chart">
            <c:ext xmlns:c16="http://schemas.microsoft.com/office/drawing/2014/chart" uri="{C3380CC4-5D6E-409C-BE32-E72D297353CC}">
              <c16:uniqueId val="{00000000-FB74-4CA1-A750-3AE1E919959B}"/>
            </c:ext>
          </c:extLst>
        </c:ser>
        <c:ser>
          <c:idx val="2"/>
          <c:order val="1"/>
          <c:tx>
            <c:strRef>
              <c:f>'Graf 8+Tab 4'!$K$7</c:f>
              <c:strCache>
                <c:ptCount val="1"/>
                <c:pt idx="0">
                  <c:v>Zásoba kapitálu</c:v>
                </c:pt>
              </c:strCache>
            </c:strRef>
          </c:tx>
          <c:spPr>
            <a:solidFill>
              <a:srgbClr val="D6DCE5"/>
            </a:solidFill>
          </c:spPr>
          <c:invertIfNegative val="0"/>
          <c:cat>
            <c:strRef>
              <c:f>'Graf 8+Tab 4'!$L$5:$AA$5</c:f>
              <c:strCache>
                <c:ptCount val="16"/>
                <c:pt idx="0">
                  <c:v>2010</c:v>
                </c:pt>
                <c:pt idx="1">
                  <c:v>2011</c:v>
                </c:pt>
                <c:pt idx="2">
                  <c:v>2012</c:v>
                </c:pt>
                <c:pt idx="3">
                  <c:v>2013</c:v>
                </c:pt>
                <c:pt idx="4">
                  <c:v>2014</c:v>
                </c:pt>
                <c:pt idx="5">
                  <c:v>2015</c:v>
                </c:pt>
                <c:pt idx="6">
                  <c:v>2016</c:v>
                </c:pt>
                <c:pt idx="7">
                  <c:v>2017</c:v>
                </c:pt>
                <c:pt idx="8">
                  <c:v>2018</c:v>
                </c:pt>
                <c:pt idx="9">
                  <c:v>2019</c:v>
                </c:pt>
                <c:pt idx="10">
                  <c:v>2020</c:v>
                </c:pt>
                <c:pt idx="11">
                  <c:v>2021F</c:v>
                </c:pt>
                <c:pt idx="12">
                  <c:v>2022F</c:v>
                </c:pt>
                <c:pt idx="13">
                  <c:v>2023F</c:v>
                </c:pt>
                <c:pt idx="14">
                  <c:v>2024F</c:v>
                </c:pt>
                <c:pt idx="15">
                  <c:v>2025F</c:v>
                </c:pt>
              </c:strCache>
            </c:strRef>
          </c:cat>
          <c:val>
            <c:numRef>
              <c:f>'Graf 8+Tab 4'!$L$7:$AA$7</c:f>
              <c:numCache>
                <c:formatCode>0.0</c:formatCode>
                <c:ptCount val="16"/>
                <c:pt idx="0">
                  <c:v>0.1662247002515585</c:v>
                </c:pt>
                <c:pt idx="1">
                  <c:v>0.38537384389965418</c:v>
                </c:pt>
                <c:pt idx="2">
                  <c:v>0.47335339215784383</c:v>
                </c:pt>
                <c:pt idx="3">
                  <c:v>0.25703630775012049</c:v>
                </c:pt>
                <c:pt idx="4">
                  <c:v>0.29895612230331403</c:v>
                </c:pt>
                <c:pt idx="5">
                  <c:v>0.50920569129950577</c:v>
                </c:pt>
                <c:pt idx="6">
                  <c:v>0.82965919354791517</c:v>
                </c:pt>
                <c:pt idx="7">
                  <c:v>0.53909980171668936</c:v>
                </c:pt>
                <c:pt idx="8">
                  <c:v>0.6569777270070819</c:v>
                </c:pt>
                <c:pt idx="9">
                  <c:v>0.74575147313909296</c:v>
                </c:pt>
                <c:pt idx="10">
                  <c:v>0.74714755145625789</c:v>
                </c:pt>
                <c:pt idx="11">
                  <c:v>0.48079266840118084</c:v>
                </c:pt>
                <c:pt idx="12">
                  <c:v>0.66449827868802747</c:v>
                </c:pt>
                <c:pt idx="13">
                  <c:v>1.0752579743426904</c:v>
                </c:pt>
                <c:pt idx="14">
                  <c:v>1.2666834719427653</c:v>
                </c:pt>
                <c:pt idx="15">
                  <c:v>1.0959060691187117</c:v>
                </c:pt>
              </c:numCache>
            </c:numRef>
          </c:val>
          <c:extLst xmlns:c16r2="http://schemas.microsoft.com/office/drawing/2015/06/chart">
            <c:ext xmlns:c16="http://schemas.microsoft.com/office/drawing/2014/chart" uri="{C3380CC4-5D6E-409C-BE32-E72D297353CC}">
              <c16:uniqueId val="{00000001-FB74-4CA1-A750-3AE1E919959B}"/>
            </c:ext>
          </c:extLst>
        </c:ser>
        <c:ser>
          <c:idx val="3"/>
          <c:order val="2"/>
          <c:tx>
            <c:strRef>
              <c:f>'Graf 8+Tab 4'!$K$8</c:f>
              <c:strCache>
                <c:ptCount val="1"/>
                <c:pt idx="0">
                  <c:v>TFP</c:v>
                </c:pt>
              </c:strCache>
            </c:strRef>
          </c:tx>
          <c:spPr>
            <a:solidFill>
              <a:srgbClr val="555555"/>
            </a:solidFill>
          </c:spPr>
          <c:invertIfNegative val="0"/>
          <c:cat>
            <c:strRef>
              <c:f>'Graf 8+Tab 4'!$L$5:$AA$5</c:f>
              <c:strCache>
                <c:ptCount val="16"/>
                <c:pt idx="0">
                  <c:v>2010</c:v>
                </c:pt>
                <c:pt idx="1">
                  <c:v>2011</c:v>
                </c:pt>
                <c:pt idx="2">
                  <c:v>2012</c:v>
                </c:pt>
                <c:pt idx="3">
                  <c:v>2013</c:v>
                </c:pt>
                <c:pt idx="4">
                  <c:v>2014</c:v>
                </c:pt>
                <c:pt idx="5">
                  <c:v>2015</c:v>
                </c:pt>
                <c:pt idx="6">
                  <c:v>2016</c:v>
                </c:pt>
                <c:pt idx="7">
                  <c:v>2017</c:v>
                </c:pt>
                <c:pt idx="8">
                  <c:v>2018</c:v>
                </c:pt>
                <c:pt idx="9">
                  <c:v>2019</c:v>
                </c:pt>
                <c:pt idx="10">
                  <c:v>2020</c:v>
                </c:pt>
                <c:pt idx="11">
                  <c:v>2021F</c:v>
                </c:pt>
                <c:pt idx="12">
                  <c:v>2022F</c:v>
                </c:pt>
                <c:pt idx="13">
                  <c:v>2023F</c:v>
                </c:pt>
                <c:pt idx="14">
                  <c:v>2024F</c:v>
                </c:pt>
                <c:pt idx="15">
                  <c:v>2025F</c:v>
                </c:pt>
              </c:strCache>
            </c:strRef>
          </c:cat>
          <c:val>
            <c:numRef>
              <c:f>'Graf 8+Tab 4'!$L$8:$AA$8</c:f>
              <c:numCache>
                <c:formatCode>0.0</c:formatCode>
                <c:ptCount val="16"/>
                <c:pt idx="0">
                  <c:v>1.2883674665692846</c:v>
                </c:pt>
                <c:pt idx="1">
                  <c:v>1.7114657447650172</c:v>
                </c:pt>
                <c:pt idx="2">
                  <c:v>1.788841017858589</c:v>
                </c:pt>
                <c:pt idx="3">
                  <c:v>1.3127876565419028</c:v>
                </c:pt>
                <c:pt idx="4">
                  <c:v>1.1733192123615677</c:v>
                </c:pt>
                <c:pt idx="5">
                  <c:v>2.0041338864376534</c:v>
                </c:pt>
                <c:pt idx="6">
                  <c:v>1.1469647230510027</c:v>
                </c:pt>
                <c:pt idx="7">
                  <c:v>1.0040314110177473</c:v>
                </c:pt>
                <c:pt idx="8">
                  <c:v>1.3078118443990094</c:v>
                </c:pt>
                <c:pt idx="9">
                  <c:v>1.1351779162689812</c:v>
                </c:pt>
                <c:pt idx="10">
                  <c:v>0.28906393541290321</c:v>
                </c:pt>
                <c:pt idx="11">
                  <c:v>1.0246571544957783</c:v>
                </c:pt>
                <c:pt idx="12">
                  <c:v>0.80234621633330505</c:v>
                </c:pt>
                <c:pt idx="13">
                  <c:v>1.747925734825051</c:v>
                </c:pt>
                <c:pt idx="14">
                  <c:v>1.7735013207301309</c:v>
                </c:pt>
                <c:pt idx="15">
                  <c:v>1.4429214995045792</c:v>
                </c:pt>
              </c:numCache>
            </c:numRef>
          </c:val>
          <c:extLst xmlns:c16r2="http://schemas.microsoft.com/office/drawing/2015/06/chart">
            <c:ext xmlns:c16="http://schemas.microsoft.com/office/drawing/2014/chart" uri="{C3380CC4-5D6E-409C-BE32-E72D297353CC}">
              <c16:uniqueId val="{00000002-FB74-4CA1-A750-3AE1E919959B}"/>
            </c:ext>
          </c:extLst>
        </c:ser>
        <c:dLbls>
          <c:showLegendKey val="0"/>
          <c:showVal val="0"/>
          <c:showCatName val="0"/>
          <c:showSerName val="0"/>
          <c:showPercent val="0"/>
          <c:showBubbleSize val="0"/>
        </c:dLbls>
        <c:gapWidth val="150"/>
        <c:overlap val="100"/>
        <c:axId val="503905896"/>
        <c:axId val="503906288"/>
      </c:barChart>
      <c:lineChart>
        <c:grouping val="standard"/>
        <c:varyColors val="0"/>
        <c:ser>
          <c:idx val="0"/>
          <c:order val="3"/>
          <c:tx>
            <c:strRef>
              <c:f>'Graf 8+Tab 4'!$K$9</c:f>
              <c:strCache>
                <c:ptCount val="1"/>
                <c:pt idx="0">
                  <c:v>Pot. produkt</c:v>
                </c:pt>
              </c:strCache>
            </c:strRef>
          </c:tx>
          <c:spPr>
            <a:ln w="19050">
              <a:solidFill>
                <a:schemeClr val="tx1"/>
              </a:solidFill>
            </a:ln>
          </c:spPr>
          <c:marker>
            <c:symbol val="none"/>
          </c:marker>
          <c:cat>
            <c:strRef>
              <c:f>'Graf 8+Tab 4'!$L$5:$AA$5</c:f>
              <c:strCache>
                <c:ptCount val="16"/>
                <c:pt idx="0">
                  <c:v>2010</c:v>
                </c:pt>
                <c:pt idx="1">
                  <c:v>2011</c:v>
                </c:pt>
                <c:pt idx="2">
                  <c:v>2012</c:v>
                </c:pt>
                <c:pt idx="3">
                  <c:v>2013</c:v>
                </c:pt>
                <c:pt idx="4">
                  <c:v>2014</c:v>
                </c:pt>
                <c:pt idx="5">
                  <c:v>2015</c:v>
                </c:pt>
                <c:pt idx="6">
                  <c:v>2016</c:v>
                </c:pt>
                <c:pt idx="7">
                  <c:v>2017</c:v>
                </c:pt>
                <c:pt idx="8">
                  <c:v>2018</c:v>
                </c:pt>
                <c:pt idx="9">
                  <c:v>2019</c:v>
                </c:pt>
                <c:pt idx="10">
                  <c:v>2020</c:v>
                </c:pt>
                <c:pt idx="11">
                  <c:v>2021F</c:v>
                </c:pt>
                <c:pt idx="12">
                  <c:v>2022F</c:v>
                </c:pt>
                <c:pt idx="13">
                  <c:v>2023F</c:v>
                </c:pt>
                <c:pt idx="14">
                  <c:v>2024F</c:v>
                </c:pt>
                <c:pt idx="15">
                  <c:v>2025F</c:v>
                </c:pt>
              </c:strCache>
            </c:strRef>
          </c:cat>
          <c:val>
            <c:numRef>
              <c:f>'Graf 8+Tab 4'!$L$9:$AA$9</c:f>
              <c:numCache>
                <c:formatCode>0.0</c:formatCode>
                <c:ptCount val="16"/>
                <c:pt idx="0">
                  <c:v>1.5402102911241</c:v>
                </c:pt>
                <c:pt idx="1">
                  <c:v>2.5203236880782853</c:v>
                </c:pt>
                <c:pt idx="2">
                  <c:v>2.5107310089115487</c:v>
                </c:pt>
                <c:pt idx="3">
                  <c:v>1.8014756236803153</c:v>
                </c:pt>
                <c:pt idx="4">
                  <c:v>1.8924662307303386</c:v>
                </c:pt>
                <c:pt idx="5">
                  <c:v>3.0906746547865183</c:v>
                </c:pt>
                <c:pt idx="6">
                  <c:v>2.6197198888912476</c:v>
                </c:pt>
                <c:pt idx="7">
                  <c:v>2.154539012941914</c:v>
                </c:pt>
                <c:pt idx="8">
                  <c:v>2.5266552297070088</c:v>
                </c:pt>
                <c:pt idx="9">
                  <c:v>2.2571752425081915</c:v>
                </c:pt>
                <c:pt idx="10">
                  <c:v>0.68216578289821417</c:v>
                </c:pt>
                <c:pt idx="11">
                  <c:v>1.3413845555988901</c:v>
                </c:pt>
                <c:pt idx="12">
                  <c:v>1.4128404804746975</c:v>
                </c:pt>
                <c:pt idx="13">
                  <c:v>2.7587436745771576</c:v>
                </c:pt>
                <c:pt idx="14">
                  <c:v>2.8940191467675236</c:v>
                </c:pt>
                <c:pt idx="15">
                  <c:v>2.3253115107275457</c:v>
                </c:pt>
              </c:numCache>
            </c:numRef>
          </c:val>
          <c:smooth val="0"/>
          <c:extLst xmlns:c16r2="http://schemas.microsoft.com/office/drawing/2015/06/chart">
            <c:ext xmlns:c16="http://schemas.microsoft.com/office/drawing/2014/chart" uri="{C3380CC4-5D6E-409C-BE32-E72D297353CC}">
              <c16:uniqueId val="{00000003-FB74-4CA1-A750-3AE1E919959B}"/>
            </c:ext>
          </c:extLst>
        </c:ser>
        <c:dLbls>
          <c:showLegendKey val="0"/>
          <c:showVal val="0"/>
          <c:showCatName val="0"/>
          <c:showSerName val="0"/>
          <c:showPercent val="0"/>
          <c:showBubbleSize val="0"/>
        </c:dLbls>
        <c:marker val="1"/>
        <c:smooth val="0"/>
        <c:axId val="503905896"/>
        <c:axId val="503906288"/>
      </c:lineChart>
      <c:catAx>
        <c:axId val="503905896"/>
        <c:scaling>
          <c:orientation val="minMax"/>
        </c:scaling>
        <c:delete val="0"/>
        <c:axPos val="b"/>
        <c:numFmt formatCode="General" sourceLinked="1"/>
        <c:majorTickMark val="none"/>
        <c:minorTickMark val="none"/>
        <c:tickLblPos val="low"/>
        <c:spPr>
          <a:ln w="6350">
            <a:solidFill>
              <a:schemeClr val="tx1"/>
            </a:solidFill>
          </a:ln>
        </c:spPr>
        <c:crossAx val="503906288"/>
        <c:crosses val="autoZero"/>
        <c:auto val="1"/>
        <c:lblAlgn val="ctr"/>
        <c:lblOffset val="100"/>
        <c:noMultiLvlLbl val="0"/>
      </c:catAx>
      <c:valAx>
        <c:axId val="503906288"/>
        <c:scaling>
          <c:orientation val="minMax"/>
        </c:scaling>
        <c:delete val="0"/>
        <c:axPos val="l"/>
        <c:majorGridlines>
          <c:spPr>
            <a:ln w="6350">
              <a:solidFill>
                <a:schemeClr val="bg1">
                  <a:lumMod val="95000"/>
                </a:schemeClr>
              </a:solidFill>
              <a:prstDash val="sysDot"/>
            </a:ln>
          </c:spPr>
        </c:majorGridlines>
        <c:numFmt formatCode="0.0" sourceLinked="1"/>
        <c:majorTickMark val="out"/>
        <c:minorTickMark val="none"/>
        <c:tickLblPos val="nextTo"/>
        <c:spPr>
          <a:ln w="6350">
            <a:solidFill>
              <a:schemeClr val="tx1"/>
            </a:solidFill>
          </a:ln>
        </c:spPr>
        <c:crossAx val="503905896"/>
        <c:crosses val="autoZero"/>
        <c:crossBetween val="between"/>
      </c:valAx>
      <c:spPr>
        <a:noFill/>
      </c:spPr>
    </c:plotArea>
    <c:legend>
      <c:legendPos val="r"/>
      <c:layout>
        <c:manualLayout>
          <c:xMode val="edge"/>
          <c:yMode val="edge"/>
          <c:x val="7.0137857373506543E-2"/>
          <c:y val="1.8786157475221679E-2"/>
          <c:w val="0.88347748329566056"/>
          <c:h val="0.17427552890561021"/>
        </c:manualLayout>
      </c:layout>
      <c:overlay val="1"/>
    </c:legend>
    <c:plotVisOnly val="1"/>
    <c:dispBlanksAs val="gap"/>
    <c:showDLblsOverMax val="0"/>
  </c:chart>
  <c:spPr>
    <a:noFill/>
    <a:ln>
      <a:noFill/>
    </a:ln>
  </c:spPr>
  <c:txPr>
    <a:bodyPr/>
    <a:lstStyle/>
    <a:p>
      <a:pPr>
        <a:defRPr sz="800">
          <a:solidFill>
            <a:sysClr val="windowText" lastClr="000000"/>
          </a:solidFill>
          <a:latin typeface="Arial Narrow" panose="020B0606020202030204" pitchFamily="34" charset="0"/>
        </a:defRPr>
      </a:pPr>
      <a:endParaRPr lang="sk-SK"/>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'Graf 9 + Tab 5'!$J$6</c:f>
              <c:strCache>
                <c:ptCount val="1"/>
                <c:pt idx="0">
                  <c:v>Produkčná medzera</c:v>
                </c:pt>
              </c:strCache>
            </c:strRef>
          </c:tx>
          <c:spPr>
            <a:ln w="19050">
              <a:solidFill>
                <a:schemeClr val="tx1"/>
              </a:solidFill>
            </a:ln>
          </c:spPr>
          <c:marker>
            <c:symbol val="none"/>
          </c:marker>
          <c:cat>
            <c:strRef>
              <c:f>'Graf 9 + Tab 5'!$K$5:$AE$5</c:f>
              <c:strCache>
                <c:ptCount val="21"/>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2021F</c:v>
                </c:pt>
                <c:pt idx="17">
                  <c:v>2022F</c:v>
                </c:pt>
                <c:pt idx="18">
                  <c:v>2023F</c:v>
                </c:pt>
                <c:pt idx="19">
                  <c:v>2024F</c:v>
                </c:pt>
                <c:pt idx="20">
                  <c:v>2025F</c:v>
                </c:pt>
              </c:strCache>
            </c:strRef>
          </c:cat>
          <c:val>
            <c:numRef>
              <c:f>'Graf 9 + Tab 5'!$K$6:$AE$6</c:f>
              <c:numCache>
                <c:formatCode>0.00</c:formatCode>
                <c:ptCount val="21"/>
                <c:pt idx="0">
                  <c:v>-1.4169998791101923</c:v>
                </c:pt>
                <c:pt idx="1">
                  <c:v>-0.29383068198196582</c:v>
                </c:pt>
                <c:pt idx="2">
                  <c:v>2.7637265968845304</c:v>
                </c:pt>
                <c:pt idx="3">
                  <c:v>2.9268149548684619</c:v>
                </c:pt>
                <c:pt idx="4">
                  <c:v>-4.9272713746868586</c:v>
                </c:pt>
                <c:pt idx="5">
                  <c:v>-0.47693714212238003</c:v>
                </c:pt>
                <c:pt idx="6">
                  <c:v>-0.3632851727386921</c:v>
                </c:pt>
                <c:pt idx="7">
                  <c:v>-1.4834774832111486</c:v>
                </c:pt>
                <c:pt idx="8">
                  <c:v>-2.5931855040583374</c:v>
                </c:pt>
                <c:pt idx="9">
                  <c:v>-1.7979013091302676</c:v>
                </c:pt>
                <c:pt idx="10">
                  <c:v>0.22630718462026689</c:v>
                </c:pt>
                <c:pt idx="11">
                  <c:v>-0.44568467801500145</c:v>
                </c:pt>
                <c:pt idx="12">
                  <c:v>0.35894748155951284</c:v>
                </c:pt>
                <c:pt idx="13">
                  <c:v>1.5998988189407148</c:v>
                </c:pt>
                <c:pt idx="14">
                  <c:v>1.945854823897597</c:v>
                </c:pt>
                <c:pt idx="15">
                  <c:v>-3.1583347094638059</c:v>
                </c:pt>
                <c:pt idx="16">
                  <c:v>-1.5538016662310694</c:v>
                </c:pt>
                <c:pt idx="17">
                  <c:v>-0.88039042168113202</c:v>
                </c:pt>
                <c:pt idx="18">
                  <c:v>1.5604620146547399</c:v>
                </c:pt>
                <c:pt idx="19">
                  <c:v>0.46005015397749816</c:v>
                </c:pt>
                <c:pt idx="20">
                  <c:v>-6.6330066864328519E-2</c:v>
                </c:pt>
              </c:numCache>
            </c:numRef>
          </c:val>
          <c:smooth val="0"/>
          <c:extLst xmlns:c16r2="http://schemas.microsoft.com/office/drawing/2015/06/chart">
            <c:ext xmlns:c16="http://schemas.microsoft.com/office/drawing/2014/chart" uri="{C3380CC4-5D6E-409C-BE32-E72D297353CC}">
              <c16:uniqueId val="{00000000-D01C-461E-A55B-E58C5C704C33}"/>
            </c:ext>
          </c:extLst>
        </c:ser>
        <c:dLbls>
          <c:showLegendKey val="0"/>
          <c:showVal val="0"/>
          <c:showCatName val="0"/>
          <c:showSerName val="0"/>
          <c:showPercent val="0"/>
          <c:showBubbleSize val="0"/>
        </c:dLbls>
        <c:smooth val="0"/>
        <c:axId val="503907464"/>
        <c:axId val="503909992"/>
      </c:lineChart>
      <c:catAx>
        <c:axId val="503907464"/>
        <c:scaling>
          <c:orientation val="minMax"/>
        </c:scaling>
        <c:delete val="0"/>
        <c:axPos val="b"/>
        <c:numFmt formatCode="General" sourceLinked="1"/>
        <c:majorTickMark val="none"/>
        <c:minorTickMark val="none"/>
        <c:tickLblPos val="low"/>
        <c:spPr>
          <a:ln w="6350">
            <a:solidFill>
              <a:schemeClr val="tx1"/>
            </a:solidFill>
          </a:ln>
        </c:spPr>
        <c:txPr>
          <a:bodyPr rot="-5400000" vert="horz"/>
          <a:lstStyle/>
          <a:p>
            <a:pPr>
              <a:defRPr/>
            </a:pPr>
            <a:endParaRPr lang="sk-SK"/>
          </a:p>
        </c:txPr>
        <c:crossAx val="503909992"/>
        <c:crosses val="autoZero"/>
        <c:auto val="1"/>
        <c:lblAlgn val="ctr"/>
        <c:lblOffset val="100"/>
        <c:noMultiLvlLbl val="0"/>
      </c:catAx>
      <c:valAx>
        <c:axId val="503909992"/>
        <c:scaling>
          <c:orientation val="minMax"/>
        </c:scaling>
        <c:delete val="0"/>
        <c:axPos val="l"/>
        <c:majorGridlines>
          <c:spPr>
            <a:ln w="6350">
              <a:solidFill>
                <a:schemeClr val="bg1">
                  <a:lumMod val="95000"/>
                </a:schemeClr>
              </a:solidFill>
              <a:prstDash val="sysDot"/>
            </a:ln>
          </c:spPr>
        </c:majorGridlines>
        <c:numFmt formatCode="0" sourceLinked="0"/>
        <c:majorTickMark val="out"/>
        <c:minorTickMark val="none"/>
        <c:tickLblPos val="nextTo"/>
        <c:spPr>
          <a:ln w="6350">
            <a:solidFill>
              <a:schemeClr val="tx1"/>
            </a:solidFill>
          </a:ln>
        </c:spPr>
        <c:crossAx val="503907464"/>
        <c:crosses val="autoZero"/>
        <c:crossBetween val="between"/>
      </c:valAx>
      <c:spPr>
        <a:noFill/>
      </c:spPr>
    </c:plotArea>
    <c:plotVisOnly val="1"/>
    <c:dispBlanksAs val="gap"/>
    <c:showDLblsOverMax val="0"/>
  </c:chart>
  <c:spPr>
    <a:noFill/>
    <a:ln>
      <a:noFill/>
    </a:ln>
  </c:spPr>
  <c:txPr>
    <a:bodyPr/>
    <a:lstStyle/>
    <a:p>
      <a:pPr>
        <a:defRPr sz="800">
          <a:latin typeface="Arial Narrow" panose="020B0606020202030204" pitchFamily="34" charset="0"/>
        </a:defRPr>
      </a:pPr>
      <a:endParaRPr lang="sk-SK"/>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 10 + 11 '!$Q$9</c:f>
              <c:strCache>
                <c:ptCount val="1"/>
                <c:pt idx="0">
                  <c:v>Prognóza feb 2020</c:v>
                </c:pt>
              </c:strCache>
            </c:strRef>
          </c:tx>
          <c:spPr>
            <a:ln w="19050" cap="rnd">
              <a:solidFill>
                <a:schemeClr val="tx1"/>
              </a:solidFill>
              <a:prstDash val="solid"/>
              <a:round/>
            </a:ln>
            <a:effectLst/>
          </c:spPr>
          <c:marker>
            <c:symbol val="none"/>
          </c:marker>
          <c:cat>
            <c:numRef>
              <c:f>'Graf 10 + 11 '!$R$5:$X$5</c:f>
              <c:numCache>
                <c:formatCode>General</c:formatCode>
                <c:ptCount val="7"/>
                <c:pt idx="0">
                  <c:v>2019</c:v>
                </c:pt>
                <c:pt idx="1">
                  <c:v>2020</c:v>
                </c:pt>
                <c:pt idx="2">
                  <c:v>2021</c:v>
                </c:pt>
                <c:pt idx="3">
                  <c:v>2022</c:v>
                </c:pt>
                <c:pt idx="4">
                  <c:v>2023</c:v>
                </c:pt>
                <c:pt idx="5">
                  <c:v>2024</c:v>
                </c:pt>
                <c:pt idx="6">
                  <c:v>2025</c:v>
                </c:pt>
              </c:numCache>
            </c:numRef>
          </c:cat>
          <c:val>
            <c:numRef>
              <c:f>'Graf 10 + 11 '!$R$9:$X$9</c:f>
              <c:numCache>
                <c:formatCode>0.0</c:formatCode>
                <c:ptCount val="7"/>
                <c:pt idx="0">
                  <c:v>100</c:v>
                </c:pt>
                <c:pt idx="1">
                  <c:v>102.2021846369048</c:v>
                </c:pt>
                <c:pt idx="2">
                  <c:v>104.93790922539593</c:v>
                </c:pt>
                <c:pt idx="3">
                  <c:v>107.75619791943055</c:v>
                </c:pt>
                <c:pt idx="4">
                  <c:v>111.60228072844421</c:v>
                </c:pt>
              </c:numCache>
            </c:numRef>
          </c:val>
          <c:smooth val="0"/>
          <c:extLst xmlns:c16r2="http://schemas.microsoft.com/office/drawing/2015/06/chart">
            <c:ext xmlns:c16="http://schemas.microsoft.com/office/drawing/2014/chart" uri="{C3380CC4-5D6E-409C-BE32-E72D297353CC}">
              <c16:uniqueId val="{00000000-1601-48E9-8CB3-36D9F71AF8BE}"/>
            </c:ext>
          </c:extLst>
        </c:ser>
        <c:ser>
          <c:idx val="3"/>
          <c:order val="1"/>
          <c:tx>
            <c:strRef>
              <c:f>'Graf 10 + 11 '!$Q$6</c:f>
              <c:strCache>
                <c:ptCount val="1"/>
                <c:pt idx="0">
                  <c:v>Prognóza feb 2022</c:v>
                </c:pt>
              </c:strCache>
            </c:strRef>
          </c:tx>
          <c:spPr>
            <a:ln w="19050" cap="rnd">
              <a:solidFill>
                <a:schemeClr val="tx1"/>
              </a:solidFill>
              <a:prstDash val="dash"/>
              <a:round/>
            </a:ln>
            <a:effectLst/>
          </c:spPr>
          <c:marker>
            <c:symbol val="none"/>
          </c:marker>
          <c:val>
            <c:numRef>
              <c:f>'Graf 10 + 11 '!$R$6:$X$6</c:f>
              <c:numCache>
                <c:formatCode>0.0</c:formatCode>
                <c:ptCount val="7"/>
                <c:pt idx="0">
                  <c:v>100</c:v>
                </c:pt>
                <c:pt idx="1">
                  <c:v>95.641246192072813</c:v>
                </c:pt>
                <c:pt idx="2">
                  <c:v>98.651578535855947</c:v>
                </c:pt>
                <c:pt idx="3">
                  <c:v>102.13959144448074</c:v>
                </c:pt>
                <c:pt idx="4">
                  <c:v>107.55754051638478</c:v>
                </c:pt>
                <c:pt idx="5">
                  <c:v>109.28846203756575</c:v>
                </c:pt>
                <c:pt idx="6">
                  <c:v>111.39678993269671</c:v>
                </c:pt>
              </c:numCache>
            </c:numRef>
          </c:val>
          <c:smooth val="0"/>
          <c:extLst xmlns:c16r2="http://schemas.microsoft.com/office/drawing/2015/06/chart">
            <c:ext xmlns:c16="http://schemas.microsoft.com/office/drawing/2014/chart" uri="{C3380CC4-5D6E-409C-BE32-E72D297353CC}">
              <c16:uniqueId val="{00000001-1601-48E9-8CB3-36D9F71AF8BE}"/>
            </c:ext>
          </c:extLst>
        </c:ser>
        <c:ser>
          <c:idx val="2"/>
          <c:order val="2"/>
          <c:tx>
            <c:strRef>
              <c:f>'Graf 10 + 11 '!$Q$8</c:f>
              <c:strCache>
                <c:ptCount val="1"/>
                <c:pt idx="0">
                  <c:v>Rizikový scenár k mar 2022</c:v>
                </c:pt>
              </c:strCache>
            </c:strRef>
          </c:tx>
          <c:spPr>
            <a:ln w="19050" cap="rnd">
              <a:solidFill>
                <a:srgbClr val="FF0000"/>
              </a:solidFill>
              <a:round/>
            </a:ln>
            <a:effectLst/>
          </c:spPr>
          <c:marker>
            <c:symbol val="none"/>
          </c:marker>
          <c:cat>
            <c:numRef>
              <c:f>'Graf 10 + 11 '!$R$5:$X$5</c:f>
              <c:numCache>
                <c:formatCode>General</c:formatCode>
                <c:ptCount val="7"/>
                <c:pt idx="0">
                  <c:v>2019</c:v>
                </c:pt>
                <c:pt idx="1">
                  <c:v>2020</c:v>
                </c:pt>
                <c:pt idx="2">
                  <c:v>2021</c:v>
                </c:pt>
                <c:pt idx="3">
                  <c:v>2022</c:v>
                </c:pt>
                <c:pt idx="4">
                  <c:v>2023</c:v>
                </c:pt>
                <c:pt idx="5">
                  <c:v>2024</c:v>
                </c:pt>
                <c:pt idx="6">
                  <c:v>2025</c:v>
                </c:pt>
              </c:numCache>
            </c:numRef>
          </c:cat>
          <c:val>
            <c:numRef>
              <c:f>'Graf 10 + 11 '!$R$8:$X$8</c:f>
              <c:numCache>
                <c:formatCode>0.0</c:formatCode>
                <c:ptCount val="7"/>
                <c:pt idx="0">
                  <c:v>100</c:v>
                </c:pt>
                <c:pt idx="1">
                  <c:v>95.641246192072813</c:v>
                </c:pt>
                <c:pt idx="2">
                  <c:v>98.53006301556681</c:v>
                </c:pt>
                <c:pt idx="3">
                  <c:v>98.957398398198322</c:v>
                </c:pt>
                <c:pt idx="4">
                  <c:v>102.44062920590119</c:v>
                </c:pt>
                <c:pt idx="5">
                  <c:v>104.38425839690694</c:v>
                </c:pt>
                <c:pt idx="6">
                  <c:v>106.40527856994318</c:v>
                </c:pt>
              </c:numCache>
            </c:numRef>
          </c:val>
          <c:smooth val="0"/>
          <c:extLst xmlns:c16r2="http://schemas.microsoft.com/office/drawing/2015/06/chart">
            <c:ext xmlns:c16="http://schemas.microsoft.com/office/drawing/2014/chart" uri="{C3380CC4-5D6E-409C-BE32-E72D297353CC}">
              <c16:uniqueId val="{00000002-1601-48E9-8CB3-36D9F71AF8BE}"/>
            </c:ext>
          </c:extLst>
        </c:ser>
        <c:ser>
          <c:idx val="1"/>
          <c:order val="3"/>
          <c:tx>
            <c:strRef>
              <c:f>'Graf 10 + 11 '!$Q$7</c:f>
              <c:strCache>
                <c:ptCount val="1"/>
                <c:pt idx="0">
                  <c:v>Prognóza mar 2022</c:v>
                </c:pt>
              </c:strCache>
            </c:strRef>
          </c:tx>
          <c:spPr>
            <a:ln w="19050" cap="rnd">
              <a:solidFill>
                <a:srgbClr val="369ADC"/>
              </a:solidFill>
              <a:round/>
            </a:ln>
            <a:effectLst/>
          </c:spPr>
          <c:marker>
            <c:symbol val="none"/>
          </c:marker>
          <c:cat>
            <c:numRef>
              <c:f>'Graf 10 + 11 '!$R$5:$X$5</c:f>
              <c:numCache>
                <c:formatCode>General</c:formatCode>
                <c:ptCount val="7"/>
                <c:pt idx="0">
                  <c:v>2019</c:v>
                </c:pt>
                <c:pt idx="1">
                  <c:v>2020</c:v>
                </c:pt>
                <c:pt idx="2">
                  <c:v>2021</c:v>
                </c:pt>
                <c:pt idx="3">
                  <c:v>2022</c:v>
                </c:pt>
                <c:pt idx="4">
                  <c:v>2023</c:v>
                </c:pt>
                <c:pt idx="5">
                  <c:v>2024</c:v>
                </c:pt>
                <c:pt idx="6">
                  <c:v>2025</c:v>
                </c:pt>
              </c:numCache>
            </c:numRef>
          </c:cat>
          <c:val>
            <c:numRef>
              <c:f>'Graf 10 + 11 '!$R$7:$X$7</c:f>
              <c:numCache>
                <c:formatCode>0.0</c:formatCode>
                <c:ptCount val="7"/>
                <c:pt idx="0">
                  <c:v>100</c:v>
                </c:pt>
                <c:pt idx="1">
                  <c:v>95.641246192072813</c:v>
                </c:pt>
                <c:pt idx="2">
                  <c:v>98.53006301556681</c:v>
                </c:pt>
                <c:pt idx="3">
                  <c:v>100.60564287537086</c:v>
                </c:pt>
                <c:pt idx="4">
                  <c:v>105.92688756949492</c:v>
                </c:pt>
                <c:pt idx="5">
                  <c:v>107.81149441075507</c:v>
                </c:pt>
                <c:pt idx="6">
                  <c:v>109.74041226458642</c:v>
                </c:pt>
              </c:numCache>
            </c:numRef>
          </c:val>
          <c:smooth val="0"/>
          <c:extLst xmlns:c16r2="http://schemas.microsoft.com/office/drawing/2015/06/chart">
            <c:ext xmlns:c16="http://schemas.microsoft.com/office/drawing/2014/chart" uri="{C3380CC4-5D6E-409C-BE32-E72D297353CC}">
              <c16:uniqueId val="{00000003-1601-48E9-8CB3-36D9F71AF8BE}"/>
            </c:ext>
          </c:extLst>
        </c:ser>
        <c:dLbls>
          <c:showLegendKey val="0"/>
          <c:showVal val="0"/>
          <c:showCatName val="0"/>
          <c:showSerName val="0"/>
          <c:showPercent val="0"/>
          <c:showBubbleSize val="0"/>
        </c:dLbls>
        <c:smooth val="0"/>
        <c:axId val="503910776"/>
        <c:axId val="503911168"/>
      </c:lineChart>
      <c:catAx>
        <c:axId val="50391077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503911168"/>
        <c:crossesAt val="100"/>
        <c:auto val="1"/>
        <c:lblAlgn val="ctr"/>
        <c:lblOffset val="100"/>
        <c:noMultiLvlLbl val="0"/>
      </c:catAx>
      <c:valAx>
        <c:axId val="503911168"/>
        <c:scaling>
          <c:orientation val="minMax"/>
          <c:min val="90"/>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503910776"/>
        <c:crossesAt val="1"/>
        <c:crossBetween val="between"/>
      </c:valAx>
      <c:spPr>
        <a:noFill/>
        <a:ln>
          <a:noFill/>
        </a:ln>
        <a:effectLst/>
      </c:spPr>
    </c:plotArea>
    <c:legend>
      <c:legendPos val="tr"/>
      <c:layout>
        <c:manualLayout>
          <c:xMode val="edge"/>
          <c:yMode val="edge"/>
          <c:x val="0.42962212489346324"/>
          <c:y val="0.60173354330708662"/>
          <c:w val="0.56537503720698923"/>
          <c:h val="0.26116081889763776"/>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NeueHaasGroteskText W02" panose="020B0504020202020204" pitchFamily="34" charset="-18"/>
        </a:defRPr>
      </a:pPr>
      <a:endParaRPr lang="sk-SK"/>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'Graf 10 + 11 '!$Q$26</c:f>
              <c:strCache>
                <c:ptCount val="1"/>
                <c:pt idx="0">
                  <c:v>Prognóza feb 2020</c:v>
                </c:pt>
              </c:strCache>
            </c:strRef>
          </c:tx>
          <c:spPr>
            <a:ln w="19050" cap="rnd">
              <a:solidFill>
                <a:srgbClr val="000000"/>
              </a:solidFill>
              <a:prstDash val="solid"/>
              <a:round/>
            </a:ln>
            <a:effectLst/>
          </c:spPr>
          <c:marker>
            <c:symbol val="none"/>
          </c:marker>
          <c:cat>
            <c:numRef>
              <c:f>'Graf 10 + 11 '!$R$22:$X$22</c:f>
              <c:numCache>
                <c:formatCode>General</c:formatCode>
                <c:ptCount val="7"/>
                <c:pt idx="0">
                  <c:v>2019</c:v>
                </c:pt>
                <c:pt idx="1">
                  <c:v>2020</c:v>
                </c:pt>
                <c:pt idx="2">
                  <c:v>2021</c:v>
                </c:pt>
                <c:pt idx="3">
                  <c:v>2022</c:v>
                </c:pt>
                <c:pt idx="4">
                  <c:v>2023</c:v>
                </c:pt>
                <c:pt idx="5">
                  <c:v>2024</c:v>
                </c:pt>
                <c:pt idx="6">
                  <c:v>2025</c:v>
                </c:pt>
              </c:numCache>
            </c:numRef>
          </c:cat>
          <c:val>
            <c:numRef>
              <c:f>'Graf 10 + 11 '!$R$26:$X$26</c:f>
              <c:numCache>
                <c:formatCode>0.0</c:formatCode>
                <c:ptCount val="7"/>
                <c:pt idx="0">
                  <c:v>100</c:v>
                </c:pt>
                <c:pt idx="1">
                  <c:v>100.23486774575257</c:v>
                </c:pt>
                <c:pt idx="2">
                  <c:v>100.52407012079833</c:v>
                </c:pt>
                <c:pt idx="3">
                  <c:v>100.74151011140044</c:v>
                </c:pt>
                <c:pt idx="4">
                  <c:v>101.16010194745361</c:v>
                </c:pt>
              </c:numCache>
            </c:numRef>
          </c:val>
          <c:smooth val="0"/>
          <c:extLst xmlns:c16r2="http://schemas.microsoft.com/office/drawing/2015/06/chart">
            <c:ext xmlns:c16="http://schemas.microsoft.com/office/drawing/2014/chart" uri="{C3380CC4-5D6E-409C-BE32-E72D297353CC}">
              <c16:uniqueId val="{00000000-AE0C-42B4-840E-05035E9F7270}"/>
            </c:ext>
          </c:extLst>
        </c:ser>
        <c:ser>
          <c:idx val="3"/>
          <c:order val="1"/>
          <c:tx>
            <c:strRef>
              <c:f>'Graf 10 + 11 '!$Q$23</c:f>
              <c:strCache>
                <c:ptCount val="1"/>
                <c:pt idx="0">
                  <c:v>Prognóza feb 2022</c:v>
                </c:pt>
              </c:strCache>
            </c:strRef>
          </c:tx>
          <c:spPr>
            <a:ln w="19050" cap="rnd">
              <a:solidFill>
                <a:schemeClr val="tx1"/>
              </a:solidFill>
              <a:prstDash val="dash"/>
              <a:round/>
            </a:ln>
            <a:effectLst/>
          </c:spPr>
          <c:marker>
            <c:symbol val="none"/>
          </c:marker>
          <c:val>
            <c:numRef>
              <c:f>'Graf 10 + 11 '!$R$23:$X$23</c:f>
              <c:numCache>
                <c:formatCode>0.0</c:formatCode>
                <c:ptCount val="7"/>
                <c:pt idx="0">
                  <c:v>100</c:v>
                </c:pt>
                <c:pt idx="1">
                  <c:v>98.113848003631659</c:v>
                </c:pt>
                <c:pt idx="2">
                  <c:v>97.526135003823839</c:v>
                </c:pt>
                <c:pt idx="3">
                  <c:v>98.232456517118877</c:v>
                </c:pt>
                <c:pt idx="4">
                  <c:v>99.635851630623719</c:v>
                </c:pt>
                <c:pt idx="5">
                  <c:v>100.11870207199887</c:v>
                </c:pt>
                <c:pt idx="6">
                  <c:v>100.22599645069396</c:v>
                </c:pt>
              </c:numCache>
            </c:numRef>
          </c:val>
          <c:smooth val="0"/>
          <c:extLst xmlns:c16r2="http://schemas.microsoft.com/office/drawing/2015/06/chart">
            <c:ext xmlns:c16="http://schemas.microsoft.com/office/drawing/2014/chart" uri="{C3380CC4-5D6E-409C-BE32-E72D297353CC}">
              <c16:uniqueId val="{00000001-AE0C-42B4-840E-05035E9F7270}"/>
            </c:ext>
          </c:extLst>
        </c:ser>
        <c:ser>
          <c:idx val="2"/>
          <c:order val="2"/>
          <c:tx>
            <c:strRef>
              <c:f>'Graf 10 + 11 '!$Q$25</c:f>
              <c:strCache>
                <c:ptCount val="1"/>
                <c:pt idx="0">
                  <c:v>Rizikový scenár k mar 2022</c:v>
                </c:pt>
              </c:strCache>
            </c:strRef>
          </c:tx>
          <c:spPr>
            <a:ln w="19050" cap="rnd">
              <a:solidFill>
                <a:srgbClr val="FF0000"/>
              </a:solidFill>
              <a:round/>
            </a:ln>
            <a:effectLst/>
          </c:spPr>
          <c:marker>
            <c:symbol val="none"/>
          </c:marker>
          <c:cat>
            <c:numRef>
              <c:f>'Graf 10 + 11 '!$R$22:$X$22</c:f>
              <c:numCache>
                <c:formatCode>General</c:formatCode>
                <c:ptCount val="7"/>
                <c:pt idx="0">
                  <c:v>2019</c:v>
                </c:pt>
                <c:pt idx="1">
                  <c:v>2020</c:v>
                </c:pt>
                <c:pt idx="2">
                  <c:v>2021</c:v>
                </c:pt>
                <c:pt idx="3">
                  <c:v>2022</c:v>
                </c:pt>
                <c:pt idx="4">
                  <c:v>2023</c:v>
                </c:pt>
                <c:pt idx="5">
                  <c:v>2024</c:v>
                </c:pt>
                <c:pt idx="6">
                  <c:v>2025</c:v>
                </c:pt>
              </c:numCache>
            </c:numRef>
          </c:cat>
          <c:val>
            <c:numRef>
              <c:f>'Graf 10 + 11 '!$R$25:$X$25</c:f>
              <c:numCache>
                <c:formatCode>0.0</c:formatCode>
                <c:ptCount val="7"/>
                <c:pt idx="0">
                  <c:v>100</c:v>
                </c:pt>
                <c:pt idx="1">
                  <c:v>98.113848003631659</c:v>
                </c:pt>
                <c:pt idx="2">
                  <c:v>97.543258397097986</c:v>
                </c:pt>
                <c:pt idx="3">
                  <c:v>97.857256884781648</c:v>
                </c:pt>
                <c:pt idx="4">
                  <c:v>98.791694132020382</c:v>
                </c:pt>
                <c:pt idx="5">
                  <c:v>98.970565218255075</c:v>
                </c:pt>
                <c:pt idx="6">
                  <c:v>99.273717895918836</c:v>
                </c:pt>
              </c:numCache>
            </c:numRef>
          </c:val>
          <c:smooth val="0"/>
          <c:extLst xmlns:c16r2="http://schemas.microsoft.com/office/drawing/2015/06/chart">
            <c:ext xmlns:c16="http://schemas.microsoft.com/office/drawing/2014/chart" uri="{C3380CC4-5D6E-409C-BE32-E72D297353CC}">
              <c16:uniqueId val="{00000002-AE0C-42B4-840E-05035E9F7270}"/>
            </c:ext>
          </c:extLst>
        </c:ser>
        <c:ser>
          <c:idx val="1"/>
          <c:order val="3"/>
          <c:tx>
            <c:strRef>
              <c:f>'Graf 10 + 11 '!$Q$24</c:f>
              <c:strCache>
                <c:ptCount val="1"/>
                <c:pt idx="0">
                  <c:v>Prognóza mar 2022</c:v>
                </c:pt>
              </c:strCache>
            </c:strRef>
          </c:tx>
          <c:spPr>
            <a:ln w="19050" cap="rnd">
              <a:solidFill>
                <a:srgbClr val="369ADC"/>
              </a:solidFill>
              <a:round/>
            </a:ln>
            <a:effectLst/>
          </c:spPr>
          <c:marker>
            <c:symbol val="none"/>
          </c:marker>
          <c:cat>
            <c:numRef>
              <c:f>'Graf 10 + 11 '!$R$22:$X$22</c:f>
              <c:numCache>
                <c:formatCode>General</c:formatCode>
                <c:ptCount val="7"/>
                <c:pt idx="0">
                  <c:v>2019</c:v>
                </c:pt>
                <c:pt idx="1">
                  <c:v>2020</c:v>
                </c:pt>
                <c:pt idx="2">
                  <c:v>2021</c:v>
                </c:pt>
                <c:pt idx="3">
                  <c:v>2022</c:v>
                </c:pt>
                <c:pt idx="4">
                  <c:v>2023</c:v>
                </c:pt>
                <c:pt idx="5">
                  <c:v>2024</c:v>
                </c:pt>
                <c:pt idx="6">
                  <c:v>2025</c:v>
                </c:pt>
              </c:numCache>
            </c:numRef>
          </c:cat>
          <c:val>
            <c:numRef>
              <c:f>'Graf 10 + 11 '!$R$24:$X$24</c:f>
              <c:numCache>
                <c:formatCode>0.0</c:formatCode>
                <c:ptCount val="7"/>
                <c:pt idx="0">
                  <c:v>100</c:v>
                </c:pt>
                <c:pt idx="1">
                  <c:v>98.113848003631659</c:v>
                </c:pt>
                <c:pt idx="2">
                  <c:v>97.543258397097986</c:v>
                </c:pt>
                <c:pt idx="3">
                  <c:v>98.105806300788885</c:v>
                </c:pt>
                <c:pt idx="4">
                  <c:v>99.67685743259689</c:v>
                </c:pt>
                <c:pt idx="5">
                  <c:v>100.25859158654312</c:v>
                </c:pt>
                <c:pt idx="6">
                  <c:v>100.30413915449317</c:v>
                </c:pt>
              </c:numCache>
            </c:numRef>
          </c:val>
          <c:smooth val="0"/>
          <c:extLst xmlns:c16r2="http://schemas.microsoft.com/office/drawing/2015/06/chart">
            <c:ext xmlns:c16="http://schemas.microsoft.com/office/drawing/2014/chart" uri="{C3380CC4-5D6E-409C-BE32-E72D297353CC}">
              <c16:uniqueId val="{00000003-AE0C-42B4-840E-05035E9F7270}"/>
            </c:ext>
          </c:extLst>
        </c:ser>
        <c:dLbls>
          <c:showLegendKey val="0"/>
          <c:showVal val="0"/>
          <c:showCatName val="0"/>
          <c:showSerName val="0"/>
          <c:showPercent val="0"/>
          <c:showBubbleSize val="0"/>
        </c:dLbls>
        <c:smooth val="0"/>
        <c:axId val="504008976"/>
        <c:axId val="504009368"/>
      </c:lineChart>
      <c:catAx>
        <c:axId val="504008976"/>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504009368"/>
        <c:crossesAt val="100"/>
        <c:auto val="1"/>
        <c:lblAlgn val="ctr"/>
        <c:lblOffset val="100"/>
        <c:noMultiLvlLbl val="0"/>
      </c:catAx>
      <c:valAx>
        <c:axId val="504009368"/>
        <c:scaling>
          <c:orientation val="minMax"/>
          <c:max val="102"/>
          <c:min val="96"/>
        </c:scaling>
        <c:delete val="0"/>
        <c:axPos val="l"/>
        <c:majorGridlines>
          <c:spPr>
            <a:ln w="9525" cap="flat" cmpd="sng" algn="ctr">
              <a:solidFill>
                <a:schemeClr val="bg1">
                  <a:lumMod val="7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504008976"/>
        <c:crossesAt val="1"/>
        <c:crossBetween val="between"/>
        <c:majorUnit val="1"/>
      </c:valAx>
      <c:spPr>
        <a:noFill/>
        <a:ln>
          <a:noFill/>
        </a:ln>
        <a:effectLst/>
      </c:spPr>
    </c:plotArea>
    <c:legend>
      <c:legendPos val="tr"/>
      <c:layout>
        <c:manualLayout>
          <c:xMode val="edge"/>
          <c:yMode val="edge"/>
          <c:x val="0.45438030462083634"/>
          <c:y val="0.63144253402315598"/>
          <c:w val="0.53863279887699322"/>
          <c:h val="0.24384835051915929"/>
        </c:manualLayout>
      </c:layout>
      <c:overlay val="1"/>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1400">
          <a:solidFill>
            <a:sysClr val="windowText" lastClr="000000"/>
          </a:solidFill>
          <a:latin typeface="NeueHaasGroteskText W02" panose="020B0504020202020204" pitchFamily="34" charset="-18"/>
        </a:defRPr>
      </a:pPr>
      <a:endParaRPr lang="sk-SK"/>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109547622341598"/>
          <c:y val="7.1136732813820949E-2"/>
          <c:w val="0.67153464250703598"/>
          <c:h val="0.92886313672978171"/>
        </c:manualLayout>
      </c:layout>
      <c:barChart>
        <c:barDir val="bar"/>
        <c:grouping val="stacked"/>
        <c:varyColors val="0"/>
        <c:ser>
          <c:idx val="0"/>
          <c:order val="0"/>
          <c:spPr>
            <a:solidFill>
              <a:srgbClr val="C5E0B4"/>
            </a:solidFill>
            <a:ln>
              <a:noFill/>
            </a:ln>
          </c:spPr>
          <c:invertIfNegative val="0"/>
          <c:dPt>
            <c:idx val="6"/>
            <c:invertIfNegative val="0"/>
            <c:bubble3D val="0"/>
            <c:spPr>
              <a:solidFill>
                <a:srgbClr val="F8CBAD"/>
              </a:solidFill>
              <a:ln>
                <a:noFill/>
              </a:ln>
            </c:spPr>
            <c:extLst xmlns:c16r2="http://schemas.microsoft.com/office/drawing/2015/06/chart">
              <c:ext xmlns:c16="http://schemas.microsoft.com/office/drawing/2014/chart" uri="{C3380CC4-5D6E-409C-BE32-E72D297353CC}">
                <c16:uniqueId val="{00000001-6CFF-466D-A822-29B412B49300}"/>
              </c:ext>
            </c:extLst>
          </c:dPt>
          <c:cat>
            <c:strRef>
              <c:f>waterfall_skutocnost_2021!$C$26:$C$38</c:f>
              <c:strCache>
                <c:ptCount val="13"/>
                <c:pt idx="0">
                  <c:v>Saldo VS - rozpočet</c:v>
                </c:pt>
                <c:pt idx="1">
                  <c:v>Vyšší vplyv prijatých opatrení v boji s pandémiou COVID-19 (ŠR + spolufinancovanie)</c:v>
                </c:pt>
                <c:pt idx="2">
                  <c:v>Zaznamenanie výdavkov z nezrovnalostí preclievaním tovaru z III. krajín</c:v>
                </c:pt>
                <c:pt idx="3">
                  <c:v>Vyššie výdavky na kompenzácie v štátnom rozpočte</c:v>
                </c:pt>
                <c:pt idx="4">
                  <c:v>Vyššie daňovo-odvodové príjmy</c:v>
                </c:pt>
                <c:pt idx="5">
                  <c:v>Nevyčerpané investície v štátnom rozpočte</c:v>
                </c:pt>
                <c:pt idx="6">
                  <c:v>Hospodárenie samospráv (po očistení o vplyv vyšších daní)</c:v>
                </c:pt>
                <c:pt idx="7">
                  <c:v>Nižšie výdavky na spolufinancovanie</c:v>
                </c:pt>
                <c:pt idx="8">
                  <c:v>Nižšie výdavky SP (najmä dôchodky a nemocenské poistenie)</c:v>
                </c:pt>
                <c:pt idx="9">
                  <c:v>Vyššie príjmy zo zelenej energie</c:v>
                </c:pt>
                <c:pt idx="10">
                  <c:v>Nižší odvod do EÚ </c:v>
                </c:pt>
                <c:pt idx="11">
                  <c:v>Ostatné</c:v>
                </c:pt>
                <c:pt idx="12">
                  <c:v>Saldo VS - skutočnosť</c:v>
                </c:pt>
              </c:strCache>
            </c:strRef>
          </c:cat>
          <c:val>
            <c:numRef>
              <c:f>waterfall_skutocnost_2021!$F$26:$F$38</c:f>
              <c:numCache>
                <c:formatCode>#,##0</c:formatCode>
                <c:ptCount val="13"/>
                <c:pt idx="1">
                  <c:v>0</c:v>
                </c:pt>
                <c:pt idx="2">
                  <c:v>0</c:v>
                </c:pt>
                <c:pt idx="3">
                  <c:v>0</c:v>
                </c:pt>
                <c:pt idx="4">
                  <c:v>0</c:v>
                </c:pt>
                <c:pt idx="5">
                  <c:v>0</c:v>
                </c:pt>
                <c:pt idx="6">
                  <c:v>0</c:v>
                </c:pt>
                <c:pt idx="7">
                  <c:v>0</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2-6CFF-466D-A822-29B412B49300}"/>
            </c:ext>
          </c:extLst>
        </c:ser>
        <c:ser>
          <c:idx val="1"/>
          <c:order val="1"/>
          <c:spPr>
            <a:noFill/>
          </c:spPr>
          <c:invertIfNegative val="0"/>
          <c:cat>
            <c:strRef>
              <c:f>waterfall_skutocnost_2021!$C$26:$C$38</c:f>
              <c:strCache>
                <c:ptCount val="13"/>
                <c:pt idx="0">
                  <c:v>Saldo VS - rozpočet</c:v>
                </c:pt>
                <c:pt idx="1">
                  <c:v>Vyšší vplyv prijatých opatrení v boji s pandémiou COVID-19 (ŠR + spolufinancovanie)</c:v>
                </c:pt>
                <c:pt idx="2">
                  <c:v>Zaznamenanie výdavkov z nezrovnalostí preclievaním tovaru z III. krajín</c:v>
                </c:pt>
                <c:pt idx="3">
                  <c:v>Vyššie výdavky na kompenzácie v štátnom rozpočte</c:v>
                </c:pt>
                <c:pt idx="4">
                  <c:v>Vyššie daňovo-odvodové príjmy</c:v>
                </c:pt>
                <c:pt idx="5">
                  <c:v>Nevyčerpané investície v štátnom rozpočte</c:v>
                </c:pt>
                <c:pt idx="6">
                  <c:v>Hospodárenie samospráv (po očistení o vplyv vyšších daní)</c:v>
                </c:pt>
                <c:pt idx="7">
                  <c:v>Nižšie výdavky na spolufinancovanie</c:v>
                </c:pt>
                <c:pt idx="8">
                  <c:v>Nižšie výdavky SP (najmä dôchodky a nemocenské poistenie)</c:v>
                </c:pt>
                <c:pt idx="9">
                  <c:v>Vyššie príjmy zo zelenej energie</c:v>
                </c:pt>
                <c:pt idx="10">
                  <c:v>Nižší odvod do EÚ </c:v>
                </c:pt>
                <c:pt idx="11">
                  <c:v>Ostatné</c:v>
                </c:pt>
                <c:pt idx="12">
                  <c:v>Saldo VS - skutočnosť</c:v>
                </c:pt>
              </c:strCache>
            </c:strRef>
          </c:cat>
          <c:val>
            <c:numRef>
              <c:f>waterfall_skutocnost_2021!$G$26:$G$38</c:f>
              <c:numCache>
                <c:formatCode>#,##0</c:formatCode>
                <c:ptCount val="13"/>
                <c:pt idx="1">
                  <c:v>-7090.5</c:v>
                </c:pt>
                <c:pt idx="2">
                  <c:v>-9046.1512095407579</c:v>
                </c:pt>
                <c:pt idx="3">
                  <c:v>-9573.1512095407579</c:v>
                </c:pt>
                <c:pt idx="4">
                  <c:v>-7914.6972095407582</c:v>
                </c:pt>
                <c:pt idx="5">
                  <c:v>-7154.6972095407582</c:v>
                </c:pt>
                <c:pt idx="6">
                  <c:v>-6834.6972095407582</c:v>
                </c:pt>
                <c:pt idx="7">
                  <c:v>-6533.5972095407578</c:v>
                </c:pt>
                <c:pt idx="8">
                  <c:v>-6295.5972095407578</c:v>
                </c:pt>
                <c:pt idx="9">
                  <c:v>-6137.5972095407578</c:v>
                </c:pt>
                <c:pt idx="10">
                  <c:v>-6065.397209540758</c:v>
                </c:pt>
                <c:pt idx="11">
                  <c:v>-5973.1440000000011</c:v>
                </c:pt>
              </c:numCache>
            </c:numRef>
          </c:val>
          <c:extLst xmlns:c16r2="http://schemas.microsoft.com/office/drawing/2015/06/chart">
            <c:ext xmlns:c16="http://schemas.microsoft.com/office/drawing/2014/chart" uri="{C3380CC4-5D6E-409C-BE32-E72D297353CC}">
              <c16:uniqueId val="{00000003-6CFF-466D-A822-29B412B49300}"/>
            </c:ext>
          </c:extLst>
        </c:ser>
        <c:ser>
          <c:idx val="2"/>
          <c:order val="2"/>
          <c:spPr>
            <a:solidFill>
              <a:srgbClr val="F8CBAD"/>
            </a:solidFill>
          </c:spPr>
          <c:invertIfNegative val="0"/>
          <c:dPt>
            <c:idx val="0"/>
            <c:invertIfNegative val="0"/>
            <c:bubble3D val="0"/>
            <c:spPr>
              <a:solidFill>
                <a:schemeClr val="accent1">
                  <a:lumMod val="40000"/>
                  <a:lumOff val="60000"/>
                </a:schemeClr>
              </a:solidFill>
              <a:ln>
                <a:noFill/>
              </a:ln>
            </c:spPr>
            <c:extLst xmlns:c16r2="http://schemas.microsoft.com/office/drawing/2015/06/chart">
              <c:ext xmlns:c16="http://schemas.microsoft.com/office/drawing/2014/chart" uri="{C3380CC4-5D6E-409C-BE32-E72D297353CC}">
                <c16:uniqueId val="{00000005-6CFF-466D-A822-29B412B49300}"/>
              </c:ext>
            </c:extLst>
          </c:dPt>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7-6CFF-466D-A822-29B412B49300}"/>
              </c:ext>
            </c:extLst>
          </c:dPt>
          <c:dPt>
            <c:idx val="4"/>
            <c:invertIfNegative val="0"/>
            <c:bubble3D val="0"/>
            <c:spPr>
              <a:solidFill>
                <a:srgbClr val="C5E0B4"/>
              </a:solidFill>
            </c:spPr>
            <c:extLst xmlns:c16r2="http://schemas.microsoft.com/office/drawing/2015/06/chart">
              <c:ext xmlns:c16="http://schemas.microsoft.com/office/drawing/2014/chart" uri="{C3380CC4-5D6E-409C-BE32-E72D297353CC}">
                <c16:uniqueId val="{00000009-6CFF-466D-A822-29B412B49300}"/>
              </c:ext>
            </c:extLst>
          </c:dPt>
          <c:dPt>
            <c:idx val="5"/>
            <c:invertIfNegative val="0"/>
            <c:bubble3D val="0"/>
            <c:spPr>
              <a:solidFill>
                <a:srgbClr val="C5E0B4"/>
              </a:solidFill>
            </c:spPr>
            <c:extLst xmlns:c16r2="http://schemas.microsoft.com/office/drawing/2015/06/chart">
              <c:ext xmlns:c16="http://schemas.microsoft.com/office/drawing/2014/chart" uri="{C3380CC4-5D6E-409C-BE32-E72D297353CC}">
                <c16:uniqueId val="{0000000B-6CFF-466D-A822-29B412B49300}"/>
              </c:ext>
            </c:extLst>
          </c:dPt>
          <c:dPt>
            <c:idx val="6"/>
            <c:invertIfNegative val="0"/>
            <c:bubble3D val="0"/>
            <c:spPr>
              <a:solidFill>
                <a:srgbClr val="C5E0B4"/>
              </a:solidFill>
            </c:spPr>
            <c:extLst xmlns:c16r2="http://schemas.microsoft.com/office/drawing/2015/06/chart">
              <c:ext xmlns:c16="http://schemas.microsoft.com/office/drawing/2014/chart" uri="{C3380CC4-5D6E-409C-BE32-E72D297353CC}">
                <c16:uniqueId val="{0000000D-6CFF-466D-A822-29B412B49300}"/>
              </c:ext>
            </c:extLst>
          </c:dPt>
          <c:dPt>
            <c:idx val="7"/>
            <c:invertIfNegative val="0"/>
            <c:bubble3D val="0"/>
            <c:spPr>
              <a:solidFill>
                <a:srgbClr val="C5E0B4"/>
              </a:solidFill>
            </c:spPr>
            <c:extLst xmlns:c16r2="http://schemas.microsoft.com/office/drawing/2015/06/chart">
              <c:ext xmlns:c16="http://schemas.microsoft.com/office/drawing/2014/chart" uri="{C3380CC4-5D6E-409C-BE32-E72D297353CC}">
                <c16:uniqueId val="{0000000F-6CFF-466D-A822-29B412B49300}"/>
              </c:ext>
            </c:extLst>
          </c:dPt>
          <c:dPt>
            <c:idx val="8"/>
            <c:invertIfNegative val="0"/>
            <c:bubble3D val="0"/>
            <c:spPr>
              <a:solidFill>
                <a:srgbClr val="C5E0B4"/>
              </a:solidFill>
            </c:spPr>
            <c:extLst xmlns:c16r2="http://schemas.microsoft.com/office/drawing/2015/06/chart">
              <c:ext xmlns:c16="http://schemas.microsoft.com/office/drawing/2014/chart" uri="{C3380CC4-5D6E-409C-BE32-E72D297353CC}">
                <c16:uniqueId val="{00000011-6CFF-466D-A822-29B412B49300}"/>
              </c:ext>
            </c:extLst>
          </c:dPt>
          <c:dPt>
            <c:idx val="9"/>
            <c:invertIfNegative val="0"/>
            <c:bubble3D val="0"/>
            <c:spPr>
              <a:solidFill>
                <a:srgbClr val="C5E0B4"/>
              </a:solidFill>
            </c:spPr>
            <c:extLst xmlns:c16r2="http://schemas.microsoft.com/office/drawing/2015/06/chart">
              <c:ext xmlns:c16="http://schemas.microsoft.com/office/drawing/2014/chart" uri="{C3380CC4-5D6E-409C-BE32-E72D297353CC}">
                <c16:uniqueId val="{00000013-6CFF-466D-A822-29B412B49300}"/>
              </c:ext>
            </c:extLst>
          </c:dPt>
          <c:dPt>
            <c:idx val="10"/>
            <c:invertIfNegative val="0"/>
            <c:bubble3D val="0"/>
            <c:spPr>
              <a:solidFill>
                <a:srgbClr val="C5E0B4"/>
              </a:solidFill>
            </c:spPr>
            <c:extLst xmlns:c16r2="http://schemas.microsoft.com/office/drawing/2015/06/chart">
              <c:ext xmlns:c16="http://schemas.microsoft.com/office/drawing/2014/chart" uri="{C3380CC4-5D6E-409C-BE32-E72D297353CC}">
                <c16:uniqueId val="{00000015-6CFF-466D-A822-29B412B49300}"/>
              </c:ext>
            </c:extLst>
          </c:dPt>
          <c:dPt>
            <c:idx val="11"/>
            <c:invertIfNegative val="0"/>
            <c:bubble3D val="0"/>
            <c:spPr>
              <a:solidFill>
                <a:srgbClr val="C5E0B4"/>
              </a:solidFill>
            </c:spPr>
            <c:extLst xmlns:c16r2="http://schemas.microsoft.com/office/drawing/2015/06/chart">
              <c:ext xmlns:c16="http://schemas.microsoft.com/office/drawing/2014/chart" uri="{C3380CC4-5D6E-409C-BE32-E72D297353CC}">
                <c16:uniqueId val="{00000017-6CFF-466D-A822-29B412B49300}"/>
              </c:ext>
            </c:extLst>
          </c:dPt>
          <c:dPt>
            <c:idx val="12"/>
            <c:invertIfNegative val="0"/>
            <c:bubble3D val="0"/>
            <c:spPr>
              <a:solidFill>
                <a:schemeClr val="accent1">
                  <a:lumMod val="40000"/>
                  <a:lumOff val="60000"/>
                </a:schemeClr>
              </a:solidFill>
            </c:spPr>
            <c:extLst xmlns:c16r2="http://schemas.microsoft.com/office/drawing/2015/06/chart">
              <c:ext xmlns:c16="http://schemas.microsoft.com/office/drawing/2014/chart" uri="{C3380CC4-5D6E-409C-BE32-E72D297353CC}">
                <c16:uniqueId val="{00000019-6CFF-466D-A822-29B412B49300}"/>
              </c:ext>
            </c:extLst>
          </c:dPt>
          <c:dLbls>
            <c:dLbl>
              <c:idx val="0"/>
              <c:layout>
                <c:manualLayout>
                  <c:x val="-5.7312509621030544E-2"/>
                  <c:y val="4.0877008163492396E-3"/>
                </c:manualLayout>
              </c:layout>
              <c:tx>
                <c:rich>
                  <a:bodyPr/>
                  <a:lstStyle/>
                  <a:p>
                    <a:fld id="{999E837E-ADEA-4D06-A45F-3CFDC80E86AB}" type="VALUE">
                      <a:rPr lang="en-US"/>
                      <a:pPr/>
                      <a:t>[HODNOTA]</a:t>
                    </a:fld>
                    <a:r>
                      <a:rPr lang="en-US"/>
                      <a:t>; (-7,41 % HDP)</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CFF-466D-A822-29B412B49300}"/>
                </c:ext>
                <c:ext xmlns:c15="http://schemas.microsoft.com/office/drawing/2012/chart" uri="{CE6537A1-D6FC-4f65-9D91-7224C49458BB}">
                  <c15:dlblFieldTable/>
                  <c15:showDataLabelsRange val="0"/>
                </c:ext>
              </c:extLst>
            </c:dLbl>
            <c:dLbl>
              <c:idx val="4"/>
              <c:tx>
                <c:rich>
                  <a:bodyPr/>
                  <a:lstStyle/>
                  <a:p>
                    <a:r>
                      <a:rPr lang="en-US"/>
                      <a:t>1850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CFF-466D-A822-29B412B49300}"/>
                </c:ext>
                <c:ext xmlns:c15="http://schemas.microsoft.com/office/drawing/2012/chart" uri="{CE6537A1-D6FC-4f65-9D91-7224C49458BB}"/>
              </c:extLst>
            </c:dLbl>
            <c:dLbl>
              <c:idx val="5"/>
              <c:tx>
                <c:rich>
                  <a:bodyPr/>
                  <a:lstStyle/>
                  <a:p>
                    <a:r>
                      <a:rPr lang="en-US"/>
                      <a:t>760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CFF-466D-A822-29B412B49300}"/>
                </c:ext>
                <c:ext xmlns:c15="http://schemas.microsoft.com/office/drawing/2012/chart" uri="{CE6537A1-D6FC-4f65-9D91-7224C49458BB}"/>
              </c:extLst>
            </c:dLbl>
            <c:dLbl>
              <c:idx val="6"/>
              <c:layout>
                <c:manualLayout>
                  <c:x val="2.2611644997173543E-3"/>
                  <c:y val="0"/>
                </c:manualLayout>
              </c:layout>
              <c:tx>
                <c:rich>
                  <a:bodyPr/>
                  <a:lstStyle/>
                  <a:p>
                    <a:r>
                      <a:rPr lang="en-US"/>
                      <a:t>320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CFF-466D-A822-29B412B49300}"/>
                </c:ext>
                <c:ext xmlns:c15="http://schemas.microsoft.com/office/drawing/2012/chart" uri="{CE6537A1-D6FC-4f65-9D91-7224C49458BB}"/>
              </c:extLst>
            </c:dLbl>
            <c:dLbl>
              <c:idx val="7"/>
              <c:tx>
                <c:rich>
                  <a:bodyPr/>
                  <a:lstStyle/>
                  <a:p>
                    <a:r>
                      <a:rPr lang="en-US"/>
                      <a:t>301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CFF-466D-A822-29B412B49300}"/>
                </c:ext>
                <c:ext xmlns:c15="http://schemas.microsoft.com/office/drawing/2012/chart" uri="{CE6537A1-D6FC-4f65-9D91-7224C49458BB}"/>
              </c:extLst>
            </c:dLbl>
            <c:dLbl>
              <c:idx val="8"/>
              <c:tx>
                <c:rich>
                  <a:bodyPr/>
                  <a:lstStyle/>
                  <a:p>
                    <a:r>
                      <a:rPr lang="en-US"/>
                      <a:t>238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CFF-466D-A822-29B412B49300}"/>
                </c:ext>
                <c:ext xmlns:c15="http://schemas.microsoft.com/office/drawing/2012/chart" uri="{CE6537A1-D6FC-4f65-9D91-7224C49458BB}"/>
              </c:extLst>
            </c:dLbl>
            <c:dLbl>
              <c:idx val="9"/>
              <c:layout>
                <c:manualLayout>
                  <c:x val="4.777019152586894E-3"/>
                  <c:y val="0"/>
                </c:manualLayout>
              </c:layout>
              <c:tx>
                <c:rich>
                  <a:bodyPr/>
                  <a:lstStyle/>
                  <a:p>
                    <a:r>
                      <a:rPr lang="en-US"/>
                      <a:t>158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CFF-466D-A822-29B412B49300}"/>
                </c:ext>
                <c:ext xmlns:c15="http://schemas.microsoft.com/office/drawing/2012/chart" uri="{CE6537A1-D6FC-4f65-9D91-7224C49458BB}"/>
              </c:extLst>
            </c:dLbl>
            <c:dLbl>
              <c:idx val="10"/>
              <c:layout>
                <c:manualLayout>
                  <c:x val="6.36998577551646E-3"/>
                  <c:y val="-1.2252439550824541E-2"/>
                </c:manualLayout>
              </c:layout>
              <c:tx>
                <c:rich>
                  <a:bodyPr/>
                  <a:lstStyle/>
                  <a:p>
                    <a:r>
                      <a:rPr lang="en-US"/>
                      <a:t>72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CFF-466D-A822-29B412B49300}"/>
                </c:ext>
                <c:ext xmlns:c15="http://schemas.microsoft.com/office/drawing/2012/chart" uri="{CE6537A1-D6FC-4f65-9D91-7224C49458BB}"/>
              </c:extLst>
            </c:dLbl>
            <c:dLbl>
              <c:idx val="11"/>
              <c:layout>
                <c:manualLayout>
                  <c:x val="1.5890423642447951E-3"/>
                  <c:y val="-8.002465011269614E-3"/>
                </c:manualLayout>
              </c:layout>
              <c:tx>
                <c:rich>
                  <a:bodyPr/>
                  <a:lstStyle/>
                  <a:p>
                    <a:r>
                      <a:rPr lang="en-US"/>
                      <a:t>92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CFF-466D-A822-29B412B49300}"/>
                </c:ext>
                <c:ext xmlns:c15="http://schemas.microsoft.com/office/drawing/2012/chart" uri="{CE6537A1-D6FC-4f65-9D91-7224C49458BB}"/>
              </c:extLst>
            </c:dLbl>
            <c:dLbl>
              <c:idx val="12"/>
              <c:layout>
                <c:manualLayout>
                  <c:x val="-3.4550085190358404E-2"/>
                  <c:y val="-2.847464668401585E-3"/>
                </c:manualLayout>
              </c:layout>
              <c:tx>
                <c:rich>
                  <a:bodyPr wrap="square" lIns="38100" tIns="19050" rIns="38100" bIns="19050" anchor="ctr">
                    <a:noAutofit/>
                  </a:bodyPr>
                  <a:lstStyle/>
                  <a:p>
                    <a:pPr>
                      <a:defRPr sz="900"/>
                    </a:pPr>
                    <a:r>
                      <a:rPr lang="en-US" sz="900"/>
                      <a:t>-5973; (-6,15 % HDP)</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CFF-466D-A822-29B412B49300}"/>
                </c:ext>
                <c:ext xmlns:c15="http://schemas.microsoft.com/office/drawing/2012/chart" uri="{CE6537A1-D6FC-4f65-9D91-7224C49458BB}">
                  <c15:spPr xmlns:c15="http://schemas.microsoft.com/office/drawing/2012/chart">
                    <a:prstGeom prst="rect">
                      <a:avLst/>
                    </a:prstGeom>
                  </c15:spPr>
                  <c15:layout>
                    <c:manualLayout>
                      <c:w val="0.19074827630718008"/>
                      <c:h val="5.347470091295535E-2"/>
                    </c:manualLayout>
                  </c15:layout>
                </c:ext>
              </c:extLst>
            </c:dLbl>
            <c:spPr>
              <a:noFill/>
              <a:ln>
                <a:noFill/>
              </a:ln>
              <a:effectLst/>
            </c:spPr>
            <c:txPr>
              <a:bodyPr wrap="square" lIns="38100" tIns="19050" rIns="38100" bIns="19050" anchor="ctr">
                <a:spAutoFit/>
              </a:bodyPr>
              <a:lstStyle/>
              <a:p>
                <a:pPr>
                  <a:defRPr sz="900"/>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waterfall_skutocnost_2021!$C$26:$C$38</c:f>
              <c:strCache>
                <c:ptCount val="13"/>
                <c:pt idx="0">
                  <c:v>Saldo VS - rozpočet</c:v>
                </c:pt>
                <c:pt idx="1">
                  <c:v>Vyšší vplyv prijatých opatrení v boji s pandémiou COVID-19 (ŠR + spolufinancovanie)</c:v>
                </c:pt>
                <c:pt idx="2">
                  <c:v>Zaznamenanie výdavkov z nezrovnalostí preclievaním tovaru z III. krajín</c:v>
                </c:pt>
                <c:pt idx="3">
                  <c:v>Vyššie výdavky na kompenzácie v štátnom rozpočte</c:v>
                </c:pt>
                <c:pt idx="4">
                  <c:v>Vyššie daňovo-odvodové príjmy</c:v>
                </c:pt>
                <c:pt idx="5">
                  <c:v>Nevyčerpané investície v štátnom rozpočte</c:v>
                </c:pt>
                <c:pt idx="6">
                  <c:v>Hospodárenie samospráv (po očistení o vplyv vyšších daní)</c:v>
                </c:pt>
                <c:pt idx="7">
                  <c:v>Nižšie výdavky na spolufinancovanie</c:v>
                </c:pt>
                <c:pt idx="8">
                  <c:v>Nižšie výdavky SP (najmä dôchodky a nemocenské poistenie)</c:v>
                </c:pt>
                <c:pt idx="9">
                  <c:v>Vyššie príjmy zo zelenej energie</c:v>
                </c:pt>
                <c:pt idx="10">
                  <c:v>Nižší odvod do EÚ </c:v>
                </c:pt>
                <c:pt idx="11">
                  <c:v>Ostatné</c:v>
                </c:pt>
                <c:pt idx="12">
                  <c:v>Saldo VS - skutočnosť</c:v>
                </c:pt>
              </c:strCache>
            </c:strRef>
          </c:cat>
          <c:val>
            <c:numRef>
              <c:f>waterfall_skutocnost_2021!$H$26:$H$38</c:f>
              <c:numCache>
                <c:formatCode>#,##0</c:formatCode>
                <c:ptCount val="13"/>
                <c:pt idx="0">
                  <c:v>-7090.5</c:v>
                </c:pt>
                <c:pt idx="1">
                  <c:v>-1955.6512095407575</c:v>
                </c:pt>
                <c:pt idx="2">
                  <c:v>-527</c:v>
                </c:pt>
                <c:pt idx="3">
                  <c:v>-191.54599999999999</c:v>
                </c:pt>
                <c:pt idx="4">
                  <c:v>-1850</c:v>
                </c:pt>
                <c:pt idx="5">
                  <c:v>-760</c:v>
                </c:pt>
                <c:pt idx="6">
                  <c:v>-320</c:v>
                </c:pt>
                <c:pt idx="7">
                  <c:v>-301.10000000000002</c:v>
                </c:pt>
                <c:pt idx="8">
                  <c:v>-238</c:v>
                </c:pt>
                <c:pt idx="9">
                  <c:v>-158</c:v>
                </c:pt>
                <c:pt idx="10">
                  <c:v>-72.2</c:v>
                </c:pt>
                <c:pt idx="11">
                  <c:v>-92.253209540757098</c:v>
                </c:pt>
                <c:pt idx="12">
                  <c:v>-5973.1440000000011</c:v>
                </c:pt>
              </c:numCache>
            </c:numRef>
          </c:val>
          <c:extLst xmlns:c16r2="http://schemas.microsoft.com/office/drawing/2015/06/chart">
            <c:ext xmlns:c16="http://schemas.microsoft.com/office/drawing/2014/chart" uri="{C3380CC4-5D6E-409C-BE32-E72D297353CC}">
              <c16:uniqueId val="{0000001A-6CFF-466D-A822-29B412B49300}"/>
            </c:ext>
          </c:extLst>
        </c:ser>
        <c:dLbls>
          <c:showLegendKey val="0"/>
          <c:showVal val="0"/>
          <c:showCatName val="0"/>
          <c:showSerName val="0"/>
          <c:showPercent val="0"/>
          <c:showBubbleSize val="0"/>
        </c:dLbls>
        <c:gapWidth val="60"/>
        <c:overlap val="100"/>
        <c:axId val="504010152"/>
        <c:axId val="504010544"/>
      </c:barChart>
      <c:catAx>
        <c:axId val="504010152"/>
        <c:scaling>
          <c:orientation val="maxMin"/>
        </c:scaling>
        <c:delete val="0"/>
        <c:axPos val="l"/>
        <c:numFmt formatCode="General" sourceLinked="1"/>
        <c:majorTickMark val="none"/>
        <c:minorTickMark val="none"/>
        <c:tickLblPos val="low"/>
        <c:spPr>
          <a:ln>
            <a:solidFill>
              <a:schemeClr val="tx1"/>
            </a:solidFill>
            <a:prstDash val="solid"/>
          </a:ln>
        </c:spPr>
        <c:txPr>
          <a:bodyPr rot="0" vert="horz"/>
          <a:lstStyle/>
          <a:p>
            <a:pPr>
              <a:defRPr sz="700"/>
            </a:pPr>
            <a:endParaRPr lang="sk-SK"/>
          </a:p>
        </c:txPr>
        <c:crossAx val="504010544"/>
        <c:crosses val="autoZero"/>
        <c:auto val="1"/>
        <c:lblAlgn val="ctr"/>
        <c:lblOffset val="100"/>
        <c:noMultiLvlLbl val="0"/>
      </c:catAx>
      <c:valAx>
        <c:axId val="504010544"/>
        <c:scaling>
          <c:orientation val="minMax"/>
          <c:max val="-5000"/>
          <c:min val="-10000"/>
        </c:scaling>
        <c:delete val="1"/>
        <c:axPos val="t"/>
        <c:numFmt formatCode="#,##0" sourceLinked="1"/>
        <c:majorTickMark val="out"/>
        <c:minorTickMark val="none"/>
        <c:tickLblPos val="low"/>
        <c:crossAx val="504010152"/>
        <c:crosses val="autoZero"/>
        <c:crossBetween val="between"/>
      </c:valAx>
    </c:plotArea>
    <c:plotVisOnly val="1"/>
    <c:dispBlanksAs val="gap"/>
    <c:showDLblsOverMax val="0"/>
  </c:chart>
  <c:spPr>
    <a:noFill/>
    <a:ln>
      <a:solidFill>
        <a:schemeClr val="bg1"/>
      </a:solidFill>
    </a:ln>
  </c:spPr>
  <c:txPr>
    <a:bodyPr/>
    <a:lstStyle/>
    <a:p>
      <a:pPr>
        <a:defRPr>
          <a:latin typeface="Arial Narrow" panose="020B0606020202030204" pitchFamily="34" charset="0"/>
        </a:defRPr>
      </a:pPr>
      <a:endParaRPr lang="sk-SK"/>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207851447218386"/>
          <c:y val="7.1136986201140173E-2"/>
          <c:w val="0.67153464250703598"/>
          <c:h val="0.92886313672978171"/>
        </c:manualLayout>
      </c:layout>
      <c:barChart>
        <c:barDir val="bar"/>
        <c:grouping val="stacked"/>
        <c:varyColors val="0"/>
        <c:ser>
          <c:idx val="0"/>
          <c:order val="0"/>
          <c:spPr>
            <a:solidFill>
              <a:srgbClr val="C5E0B4"/>
            </a:solidFill>
            <a:ln>
              <a:noFill/>
            </a:ln>
          </c:spPr>
          <c:invertIfNegative val="0"/>
          <c:dPt>
            <c:idx val="4"/>
            <c:invertIfNegative val="0"/>
            <c:bubble3D val="0"/>
            <c:spPr>
              <a:solidFill>
                <a:schemeClr val="accent2">
                  <a:lumMod val="20000"/>
                  <a:lumOff val="80000"/>
                </a:schemeClr>
              </a:solidFill>
              <a:ln>
                <a:noFill/>
              </a:ln>
            </c:spPr>
            <c:extLst xmlns:c16r2="http://schemas.microsoft.com/office/drawing/2015/06/chart">
              <c:ext xmlns:c16="http://schemas.microsoft.com/office/drawing/2014/chart" uri="{C3380CC4-5D6E-409C-BE32-E72D297353CC}">
                <c16:uniqueId val="{00000001-D7A7-41DD-B6A9-37BF64657CE4}"/>
              </c:ext>
            </c:extLst>
          </c:dPt>
          <c:dPt>
            <c:idx val="6"/>
            <c:invertIfNegative val="0"/>
            <c:bubble3D val="0"/>
            <c:spPr>
              <a:solidFill>
                <a:srgbClr val="F8CBAD"/>
              </a:solidFill>
              <a:ln>
                <a:noFill/>
              </a:ln>
            </c:spPr>
            <c:extLst xmlns:c16r2="http://schemas.microsoft.com/office/drawing/2015/06/chart">
              <c:ext xmlns:c16="http://schemas.microsoft.com/office/drawing/2014/chart" uri="{C3380CC4-5D6E-409C-BE32-E72D297353CC}">
                <c16:uniqueId val="{00000003-D7A7-41DD-B6A9-37BF64657CE4}"/>
              </c:ext>
            </c:extLst>
          </c:dPt>
          <c:cat>
            <c:strRef>
              <c:f>waterfall_ocakavacka_2022!$C$27:$C$43</c:f>
              <c:strCache>
                <c:ptCount val="17"/>
                <c:pt idx="0">
                  <c:v>Saldo VS - rozpočet</c:v>
                </c:pt>
                <c:pt idx="1">
                  <c:v>Navýšenie výdavkov spojených s pandémiou  (vplyv ŠR a spolufinancovania)</c:v>
                </c:pt>
                <c:pt idx="2">
                  <c:v>Vyššie daňovo-odvodové príjmy</c:v>
                </c:pt>
                <c:pt idx="3">
                  <c:v>Nevyužitie rezervy na zaplatenie úrokov (preclievanie tovaru z 3. krajín)</c:v>
                </c:pt>
                <c:pt idx="4">
                  <c:v>Prehodnotenie zaznamenania EÚ korekcií </c:v>
                </c:pt>
                <c:pt idx="5">
                  <c:v>Vyššie výdavky spojené s rastom cenovej hladiny</c:v>
                </c:pt>
                <c:pt idx="6">
                  <c:v>Vyššie výdavky do zdravotnictva s vplyvom na deficit</c:v>
                </c:pt>
                <c:pt idx="7">
                  <c:v>Vyššie výdavky podnikov pod MDV SR (ŽSSK, ŽSR, NDS)</c:v>
                </c:pt>
                <c:pt idx="8">
                  <c:v>Vyššie výdavky na spolufinancovanie za ŠR (nesúvisiace s COVID-19)</c:v>
                </c:pt>
                <c:pt idx="9">
                  <c:v>Nižšie vybrané nedaňové príjmy</c:v>
                </c:pt>
                <c:pt idx="10">
                  <c:v>Vyššie výdavky územnej samosprávy</c:v>
                </c:pt>
                <c:pt idx="11">
                  <c:v>Založenie spoločnosti  Valaliky Indrustrial Park, s.r.o.</c:v>
                </c:pt>
                <c:pt idx="12">
                  <c:v>Vyššie výdavky MŠVaV SR</c:v>
                </c:pt>
                <c:pt idx="13">
                  <c:v>Už vynaložené výdavky spojené s vojnou na Ukrajine</c:v>
                </c:pt>
                <c:pt idx="14">
                  <c:v>Vyššie dôchodcovské dávky zo starobného a invalidného poistenia</c:v>
                </c:pt>
                <c:pt idx="15">
                  <c:v>Ostatné vplyvy</c:v>
                </c:pt>
                <c:pt idx="16">
                  <c:v>Saldo VS - očakávaná skutočnosť</c:v>
                </c:pt>
              </c:strCache>
            </c:strRef>
          </c:cat>
          <c:val>
            <c:numRef>
              <c:f>waterfall_ocakavacka_2022!$F$27:$F$43</c:f>
              <c:numCache>
                <c:formatCode>#,##0</c:formatCode>
                <c:ptCount val="17"/>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4-D7A7-41DD-B6A9-37BF64657CE4}"/>
            </c:ext>
          </c:extLst>
        </c:ser>
        <c:ser>
          <c:idx val="1"/>
          <c:order val="1"/>
          <c:spPr>
            <a:noFill/>
          </c:spPr>
          <c:invertIfNegative val="0"/>
          <c:cat>
            <c:strRef>
              <c:f>waterfall_ocakavacka_2022!$C$27:$C$43</c:f>
              <c:strCache>
                <c:ptCount val="17"/>
                <c:pt idx="0">
                  <c:v>Saldo VS - rozpočet</c:v>
                </c:pt>
                <c:pt idx="1">
                  <c:v>Navýšenie výdavkov spojených s pandémiou  (vplyv ŠR a spolufinancovania)</c:v>
                </c:pt>
                <c:pt idx="2">
                  <c:v>Vyššie daňovo-odvodové príjmy</c:v>
                </c:pt>
                <c:pt idx="3">
                  <c:v>Nevyužitie rezervy na zaplatenie úrokov (preclievanie tovaru z 3. krajín)</c:v>
                </c:pt>
                <c:pt idx="4">
                  <c:v>Prehodnotenie zaznamenania EÚ korekcií </c:v>
                </c:pt>
                <c:pt idx="5">
                  <c:v>Vyššie výdavky spojené s rastom cenovej hladiny</c:v>
                </c:pt>
                <c:pt idx="6">
                  <c:v>Vyššie výdavky do zdravotnictva s vplyvom na deficit</c:v>
                </c:pt>
                <c:pt idx="7">
                  <c:v>Vyššie výdavky podnikov pod MDV SR (ŽSSK, ŽSR, NDS)</c:v>
                </c:pt>
                <c:pt idx="8">
                  <c:v>Vyššie výdavky na spolufinancovanie za ŠR (nesúvisiace s COVID-19)</c:v>
                </c:pt>
                <c:pt idx="9">
                  <c:v>Nižšie vybrané nedaňové príjmy</c:v>
                </c:pt>
                <c:pt idx="10">
                  <c:v>Vyššie výdavky územnej samosprávy</c:v>
                </c:pt>
                <c:pt idx="11">
                  <c:v>Založenie spoločnosti  Valaliky Indrustrial Park, s.r.o.</c:v>
                </c:pt>
                <c:pt idx="12">
                  <c:v>Vyššie výdavky MŠVaV SR</c:v>
                </c:pt>
                <c:pt idx="13">
                  <c:v>Už vynaložené výdavky spojené s vojnou na Ukrajine</c:v>
                </c:pt>
                <c:pt idx="14">
                  <c:v>Vyššie dôchodcovské dávky zo starobného a invalidného poistenia</c:v>
                </c:pt>
                <c:pt idx="15">
                  <c:v>Ostatné vplyvy</c:v>
                </c:pt>
                <c:pt idx="16">
                  <c:v>Saldo VS - očakávaná skutočnosť</c:v>
                </c:pt>
              </c:strCache>
            </c:strRef>
          </c:cat>
          <c:val>
            <c:numRef>
              <c:f>waterfall_ocakavacka_2022!$G$27:$G$43</c:f>
              <c:numCache>
                <c:formatCode>#,##0</c:formatCode>
                <c:ptCount val="17"/>
                <c:pt idx="1">
                  <c:v>-5213.5</c:v>
                </c:pt>
                <c:pt idx="2">
                  <c:v>-4664.7790000000032</c:v>
                </c:pt>
                <c:pt idx="3">
                  <c:v>-4338.7790000000032</c:v>
                </c:pt>
                <c:pt idx="4">
                  <c:v>-4291.1790000000028</c:v>
                </c:pt>
                <c:pt idx="5">
                  <c:v>-4291.1790000000028</c:v>
                </c:pt>
                <c:pt idx="6">
                  <c:v>-4610.6499780000031</c:v>
                </c:pt>
                <c:pt idx="7">
                  <c:v>-4844.3499780000029</c:v>
                </c:pt>
                <c:pt idx="8">
                  <c:v>-4985.3020520000027</c:v>
                </c:pt>
                <c:pt idx="9">
                  <c:v>-5098.8020520000027</c:v>
                </c:pt>
                <c:pt idx="10">
                  <c:v>-5208.0020520000025</c:v>
                </c:pt>
                <c:pt idx="11">
                  <c:v>-5295.5020520000025</c:v>
                </c:pt>
                <c:pt idx="12">
                  <c:v>-5380.9020520000022</c:v>
                </c:pt>
                <c:pt idx="13">
                  <c:v>-5430.9020520000022</c:v>
                </c:pt>
                <c:pt idx="14">
                  <c:v>-5472.5020520000025</c:v>
                </c:pt>
                <c:pt idx="15">
                  <c:v>-5399.5329999999958</c:v>
                </c:pt>
              </c:numCache>
            </c:numRef>
          </c:val>
          <c:extLst xmlns:c16r2="http://schemas.microsoft.com/office/drawing/2015/06/chart">
            <c:ext xmlns:c16="http://schemas.microsoft.com/office/drawing/2014/chart" uri="{C3380CC4-5D6E-409C-BE32-E72D297353CC}">
              <c16:uniqueId val="{00000005-D7A7-41DD-B6A9-37BF64657CE4}"/>
            </c:ext>
          </c:extLst>
        </c:ser>
        <c:ser>
          <c:idx val="2"/>
          <c:order val="2"/>
          <c:spPr>
            <a:solidFill>
              <a:srgbClr val="F8CBAD"/>
            </a:solidFill>
          </c:spPr>
          <c:invertIfNegative val="0"/>
          <c:dPt>
            <c:idx val="0"/>
            <c:invertIfNegative val="0"/>
            <c:bubble3D val="0"/>
            <c:spPr>
              <a:solidFill>
                <a:schemeClr val="bg1">
                  <a:lumMod val="50000"/>
                </a:schemeClr>
              </a:solidFill>
              <a:ln>
                <a:noFill/>
              </a:ln>
            </c:spPr>
            <c:extLst xmlns:c16r2="http://schemas.microsoft.com/office/drawing/2015/06/chart">
              <c:ext xmlns:c16="http://schemas.microsoft.com/office/drawing/2014/chart" uri="{C3380CC4-5D6E-409C-BE32-E72D297353CC}">
                <c16:uniqueId val="{00000007-D7A7-41DD-B6A9-37BF64657CE4}"/>
              </c:ext>
            </c:extLst>
          </c:dPt>
          <c:dPt>
            <c:idx val="1"/>
            <c:invertIfNegative val="0"/>
            <c:bubble3D val="0"/>
            <c:spPr>
              <a:solidFill>
                <a:srgbClr val="FF0000"/>
              </a:solidFill>
            </c:spPr>
            <c:extLst xmlns:c16r2="http://schemas.microsoft.com/office/drawing/2015/06/chart">
              <c:ext xmlns:c16="http://schemas.microsoft.com/office/drawing/2014/chart" uri="{C3380CC4-5D6E-409C-BE32-E72D297353CC}">
                <c16:uniqueId val="{00000009-D7A7-41DD-B6A9-37BF64657CE4}"/>
              </c:ext>
            </c:extLst>
          </c:dPt>
          <c:dPt>
            <c:idx val="2"/>
            <c:invertIfNegative val="0"/>
            <c:bubble3D val="0"/>
            <c:spPr>
              <a:solidFill>
                <a:srgbClr val="C5E0B4"/>
              </a:solidFill>
            </c:spPr>
            <c:extLst xmlns:c16r2="http://schemas.microsoft.com/office/drawing/2015/06/chart">
              <c:ext xmlns:c16="http://schemas.microsoft.com/office/drawing/2014/chart" uri="{C3380CC4-5D6E-409C-BE32-E72D297353CC}">
                <c16:uniqueId val="{0000000B-D7A7-41DD-B6A9-37BF64657CE4}"/>
              </c:ext>
            </c:extLst>
          </c:dPt>
          <c:dPt>
            <c:idx val="3"/>
            <c:invertIfNegative val="0"/>
            <c:bubble3D val="0"/>
            <c:spPr>
              <a:solidFill>
                <a:srgbClr val="C5E0B4"/>
              </a:solidFill>
            </c:spPr>
            <c:extLst xmlns:c16r2="http://schemas.microsoft.com/office/drawing/2015/06/chart">
              <c:ext xmlns:c16="http://schemas.microsoft.com/office/drawing/2014/chart" uri="{C3380CC4-5D6E-409C-BE32-E72D297353CC}">
                <c16:uniqueId val="{0000000D-D7A7-41DD-B6A9-37BF64657CE4}"/>
              </c:ext>
            </c:extLst>
          </c:dPt>
          <c:dPt>
            <c:idx val="4"/>
            <c:invertIfNegative val="0"/>
            <c:bubble3D val="0"/>
            <c:spPr>
              <a:solidFill>
                <a:srgbClr val="C5E0B4"/>
              </a:solidFill>
            </c:spPr>
            <c:extLst xmlns:c16r2="http://schemas.microsoft.com/office/drawing/2015/06/chart">
              <c:ext xmlns:c16="http://schemas.microsoft.com/office/drawing/2014/chart" uri="{C3380CC4-5D6E-409C-BE32-E72D297353CC}">
                <c16:uniqueId val="{0000000F-D7A7-41DD-B6A9-37BF64657CE4}"/>
              </c:ext>
            </c:extLst>
          </c:dPt>
          <c:dPt>
            <c:idx val="6"/>
            <c:invertIfNegative val="0"/>
            <c:bubble3D val="0"/>
            <c:extLst xmlns:c16r2="http://schemas.microsoft.com/office/drawing/2015/06/chart">
              <c:ext xmlns:c16="http://schemas.microsoft.com/office/drawing/2014/chart" uri="{C3380CC4-5D6E-409C-BE32-E72D297353CC}">
                <c16:uniqueId val="{00000010-D7A7-41DD-B6A9-37BF64657CE4}"/>
              </c:ext>
            </c:extLst>
          </c:dPt>
          <c:dPt>
            <c:idx val="8"/>
            <c:invertIfNegative val="0"/>
            <c:bubble3D val="0"/>
            <c:extLst xmlns:c16r2="http://schemas.microsoft.com/office/drawing/2015/06/chart">
              <c:ext xmlns:c16="http://schemas.microsoft.com/office/drawing/2014/chart" uri="{C3380CC4-5D6E-409C-BE32-E72D297353CC}">
                <c16:uniqueId val="{00000011-D7A7-41DD-B6A9-37BF64657CE4}"/>
              </c:ext>
            </c:extLst>
          </c:dPt>
          <c:dPt>
            <c:idx val="11"/>
            <c:invertIfNegative val="0"/>
            <c:bubble3D val="0"/>
            <c:extLst xmlns:c16r2="http://schemas.microsoft.com/office/drawing/2015/06/chart">
              <c:ext xmlns:c16="http://schemas.microsoft.com/office/drawing/2014/chart" uri="{C3380CC4-5D6E-409C-BE32-E72D297353CC}">
                <c16:uniqueId val="{00000012-D7A7-41DD-B6A9-37BF64657CE4}"/>
              </c:ext>
            </c:extLst>
          </c:dPt>
          <c:dPt>
            <c:idx val="14"/>
            <c:invertIfNegative val="0"/>
            <c:bubble3D val="0"/>
            <c:extLst xmlns:c16r2="http://schemas.microsoft.com/office/drawing/2015/06/chart">
              <c:ext xmlns:c16="http://schemas.microsoft.com/office/drawing/2014/chart" uri="{C3380CC4-5D6E-409C-BE32-E72D297353CC}">
                <c16:uniqueId val="{00000013-D7A7-41DD-B6A9-37BF64657CE4}"/>
              </c:ext>
            </c:extLst>
          </c:dPt>
          <c:dPt>
            <c:idx val="15"/>
            <c:invertIfNegative val="0"/>
            <c:bubble3D val="0"/>
            <c:spPr>
              <a:solidFill>
                <a:srgbClr val="C5E0B4"/>
              </a:solidFill>
            </c:spPr>
            <c:extLst xmlns:c16r2="http://schemas.microsoft.com/office/drawing/2015/06/chart">
              <c:ext xmlns:c16="http://schemas.microsoft.com/office/drawing/2014/chart" uri="{C3380CC4-5D6E-409C-BE32-E72D297353CC}">
                <c16:uniqueId val="{00000015-D7A7-41DD-B6A9-37BF64657CE4}"/>
              </c:ext>
            </c:extLst>
          </c:dPt>
          <c:dPt>
            <c:idx val="16"/>
            <c:invertIfNegative val="0"/>
            <c:bubble3D val="0"/>
            <c:spPr>
              <a:solidFill>
                <a:schemeClr val="accent1"/>
              </a:solidFill>
            </c:spPr>
            <c:extLst xmlns:c16r2="http://schemas.microsoft.com/office/drawing/2015/06/chart">
              <c:ext xmlns:c16="http://schemas.microsoft.com/office/drawing/2014/chart" uri="{C3380CC4-5D6E-409C-BE32-E72D297353CC}">
                <c16:uniqueId val="{00000017-D7A7-41DD-B6A9-37BF64657CE4}"/>
              </c:ext>
            </c:extLst>
          </c:dPt>
          <c:dLbls>
            <c:dLbl>
              <c:idx val="0"/>
              <c:layout>
                <c:manualLayout>
                  <c:x val="-2.4488939612203178E-2"/>
                  <c:y val="-6.8300589247930431E-18"/>
                </c:manualLayout>
              </c:layout>
              <c:tx>
                <c:rich>
                  <a:bodyPr/>
                  <a:lstStyle/>
                  <a:p>
                    <a:r>
                      <a:rPr lang="en-US"/>
                      <a:t>-5214 (-4,94 % HDP)</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7A7-41DD-B6A9-37BF64657CE4}"/>
                </c:ext>
                <c:ext xmlns:c15="http://schemas.microsoft.com/office/drawing/2012/chart" uri="{CE6537A1-D6FC-4f65-9D91-7224C49458BB}"/>
              </c:extLst>
            </c:dLbl>
            <c:dLbl>
              <c:idx val="2"/>
              <c:tx>
                <c:rich>
                  <a:bodyPr/>
                  <a:lstStyle/>
                  <a:p>
                    <a:r>
                      <a:rPr lang="en-US"/>
                      <a:t>817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7A7-41DD-B6A9-37BF64657CE4}"/>
                </c:ext>
                <c:ext xmlns:c15="http://schemas.microsoft.com/office/drawing/2012/chart" uri="{CE6537A1-D6FC-4f65-9D91-7224C49458BB}"/>
              </c:extLst>
            </c:dLbl>
            <c:dLbl>
              <c:idx val="3"/>
              <c:layout>
                <c:manualLayout>
                  <c:x val="1.0607822187134214E-2"/>
                  <c:y val="-3.3184200121819897E-3"/>
                </c:manualLayout>
              </c:layout>
              <c:tx>
                <c:rich>
                  <a:bodyPr wrap="square" lIns="38100" tIns="19050" rIns="38100" bIns="19050" anchor="ctr">
                    <a:noAutofit/>
                  </a:bodyPr>
                  <a:lstStyle/>
                  <a:p>
                    <a:pPr>
                      <a:defRPr/>
                    </a:pPr>
                    <a:r>
                      <a:rPr lang="en-US"/>
                      <a:t>326</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D7A7-41DD-B6A9-37BF64657CE4}"/>
                </c:ext>
                <c:ext xmlns:c15="http://schemas.microsoft.com/office/drawing/2012/chart" uri="{CE6537A1-D6FC-4f65-9D91-7224C49458BB}">
                  <c15:layout>
                    <c:manualLayout>
                      <c:w val="4.9094323285906051E-2"/>
                      <c:h val="3.6062391155809351E-2"/>
                    </c:manualLayout>
                  </c15:layout>
                </c:ext>
              </c:extLst>
            </c:dLbl>
            <c:dLbl>
              <c:idx val="4"/>
              <c:layout>
                <c:manualLayout>
                  <c:x val="3.1236752819024708E-3"/>
                  <c:y val="0"/>
                </c:manualLayout>
              </c:layout>
              <c:tx>
                <c:rich>
                  <a:bodyPr/>
                  <a:lstStyle/>
                  <a:p>
                    <a:r>
                      <a:rPr lang="en-US"/>
                      <a:t>48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D7A7-41DD-B6A9-37BF64657CE4}"/>
                </c:ext>
                <c:ext xmlns:c15="http://schemas.microsoft.com/office/drawing/2012/chart" uri="{CE6537A1-D6FC-4f65-9D91-7224C49458BB}"/>
              </c:extLst>
            </c:dLbl>
            <c:dLbl>
              <c:idx val="14"/>
              <c:layout>
                <c:manualLayout>
                  <c:x val="1.5713070502703312E-3"/>
                  <c:y val="-8.2456507095905046E-5"/>
                </c:manualLayout>
              </c:layout>
              <c:tx>
                <c:rich>
                  <a:bodyPr/>
                  <a:lstStyle/>
                  <a:p>
                    <a:r>
                      <a:rPr lang="en-US"/>
                      <a:t>-29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7A7-41DD-B6A9-37BF64657CE4}"/>
                </c:ext>
                <c:ext xmlns:c15="http://schemas.microsoft.com/office/drawing/2012/chart" uri="{CE6537A1-D6FC-4f65-9D91-7224C49458BB}"/>
              </c:extLst>
            </c:dLbl>
            <c:dLbl>
              <c:idx val="15"/>
              <c:layout>
                <c:manualLayout>
                  <c:x val="1.637810044211844E-3"/>
                  <c:y val="0"/>
                </c:manualLayout>
              </c:layout>
              <c:tx>
                <c:rich>
                  <a:bodyPr/>
                  <a:lstStyle/>
                  <a:p>
                    <a:r>
                      <a:rPr lang="en-US"/>
                      <a:t>99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D7A7-41DD-B6A9-37BF64657CE4}"/>
                </c:ext>
                <c:ext xmlns:c15="http://schemas.microsoft.com/office/drawing/2012/chart" uri="{CE6537A1-D6FC-4f65-9D91-7224C49458BB}"/>
              </c:extLst>
            </c:dLbl>
            <c:dLbl>
              <c:idx val="16"/>
              <c:layout>
                <c:manualLayout>
                  <c:x val="-3.6893411608633769E-2"/>
                  <c:y val="4.3819309883895759E-3"/>
                </c:manualLayout>
              </c:layout>
              <c:tx>
                <c:rich>
                  <a:bodyPr wrap="square" lIns="38100" tIns="19050" rIns="38100" bIns="19050" anchor="ctr">
                    <a:noAutofit/>
                  </a:bodyPr>
                  <a:lstStyle/>
                  <a:p>
                    <a:pPr>
                      <a:defRPr/>
                    </a:pPr>
                    <a:r>
                      <a:rPr lang="en-US"/>
                      <a:t>-5 400 (-5,07 % HDP)</a:t>
                    </a:r>
                  </a:p>
                </c:rich>
              </c:tx>
              <c:spPr>
                <a:noFill/>
                <a:ln>
                  <a:noFill/>
                </a:ln>
                <a:effectLst/>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D7A7-41DD-B6A9-37BF64657CE4}"/>
                </c:ext>
                <c:ext xmlns:c15="http://schemas.microsoft.com/office/drawing/2012/chart" uri="{CE6537A1-D6FC-4f65-9D91-7224C49458BB}">
                  <c15:layout>
                    <c:manualLayout>
                      <c:w val="0.21911912508957862"/>
                      <c:h val="4.6842638715052967E-2"/>
                    </c:manualLayout>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waterfall_ocakavacka_2022!$C$27:$C$43</c:f>
              <c:strCache>
                <c:ptCount val="17"/>
                <c:pt idx="0">
                  <c:v>Saldo VS - rozpočet</c:v>
                </c:pt>
                <c:pt idx="1">
                  <c:v>Navýšenie výdavkov spojených s pandémiou  (vplyv ŠR a spolufinancovania)</c:v>
                </c:pt>
                <c:pt idx="2">
                  <c:v>Vyššie daňovo-odvodové príjmy</c:v>
                </c:pt>
                <c:pt idx="3">
                  <c:v>Nevyužitie rezervy na zaplatenie úrokov (preclievanie tovaru z 3. krajín)</c:v>
                </c:pt>
                <c:pt idx="4">
                  <c:v>Prehodnotenie zaznamenania EÚ korekcií </c:v>
                </c:pt>
                <c:pt idx="5">
                  <c:v>Vyššie výdavky spojené s rastom cenovej hladiny</c:v>
                </c:pt>
                <c:pt idx="6">
                  <c:v>Vyššie výdavky do zdravotnictva s vplyvom na deficit</c:v>
                </c:pt>
                <c:pt idx="7">
                  <c:v>Vyššie výdavky podnikov pod MDV SR (ŽSSK, ŽSR, NDS)</c:v>
                </c:pt>
                <c:pt idx="8">
                  <c:v>Vyššie výdavky na spolufinancovanie za ŠR (nesúvisiace s COVID-19)</c:v>
                </c:pt>
                <c:pt idx="9">
                  <c:v>Nižšie vybrané nedaňové príjmy</c:v>
                </c:pt>
                <c:pt idx="10">
                  <c:v>Vyššie výdavky územnej samosprávy</c:v>
                </c:pt>
                <c:pt idx="11">
                  <c:v>Založenie spoločnosti  Valaliky Indrustrial Park, s.r.o.</c:v>
                </c:pt>
                <c:pt idx="12">
                  <c:v>Vyššie výdavky MŠVaV SR</c:v>
                </c:pt>
                <c:pt idx="13">
                  <c:v>Už vynaložené výdavky spojené s vojnou na Ukrajine</c:v>
                </c:pt>
                <c:pt idx="14">
                  <c:v>Vyššie dôchodcovské dávky zo starobného a invalidného poistenia</c:v>
                </c:pt>
                <c:pt idx="15">
                  <c:v>Ostatné vplyvy</c:v>
                </c:pt>
                <c:pt idx="16">
                  <c:v>Saldo VS - očakávaná skutočnosť</c:v>
                </c:pt>
              </c:strCache>
            </c:strRef>
          </c:cat>
          <c:val>
            <c:numRef>
              <c:f>waterfall_ocakavacka_2022!$H$27:$H$43</c:f>
              <c:numCache>
                <c:formatCode>#,##0</c:formatCode>
                <c:ptCount val="17"/>
                <c:pt idx="0">
                  <c:v>-5213.5</c:v>
                </c:pt>
                <c:pt idx="1">
                  <c:v>-264.90000000000003</c:v>
                </c:pt>
                <c:pt idx="2">
                  <c:v>-813.62099999999623</c:v>
                </c:pt>
                <c:pt idx="3">
                  <c:v>-326</c:v>
                </c:pt>
                <c:pt idx="4">
                  <c:v>-47.599999999999994</c:v>
                </c:pt>
                <c:pt idx="5">
                  <c:v>-319.47097799999995</c:v>
                </c:pt>
                <c:pt idx="6">
                  <c:v>-233.7</c:v>
                </c:pt>
                <c:pt idx="7">
                  <c:v>-140.95207399999998</c:v>
                </c:pt>
                <c:pt idx="8">
                  <c:v>-113.5</c:v>
                </c:pt>
                <c:pt idx="9">
                  <c:v>-109.2</c:v>
                </c:pt>
                <c:pt idx="10">
                  <c:v>-87.500000000000028</c:v>
                </c:pt>
                <c:pt idx="11">
                  <c:v>-85.4</c:v>
                </c:pt>
                <c:pt idx="12">
                  <c:v>-50</c:v>
                </c:pt>
                <c:pt idx="13">
                  <c:v>-41.599999999999994</c:v>
                </c:pt>
                <c:pt idx="14">
                  <c:v>-28.999999999999996</c:v>
                </c:pt>
                <c:pt idx="15">
                  <c:v>-101.96905200000674</c:v>
                </c:pt>
                <c:pt idx="16">
                  <c:v>-5399.5329999999967</c:v>
                </c:pt>
              </c:numCache>
            </c:numRef>
          </c:val>
          <c:extLst xmlns:c16r2="http://schemas.microsoft.com/office/drawing/2015/06/chart">
            <c:ext xmlns:c16="http://schemas.microsoft.com/office/drawing/2014/chart" uri="{C3380CC4-5D6E-409C-BE32-E72D297353CC}">
              <c16:uniqueId val="{00000018-D7A7-41DD-B6A9-37BF64657CE4}"/>
            </c:ext>
          </c:extLst>
        </c:ser>
        <c:dLbls>
          <c:showLegendKey val="0"/>
          <c:showVal val="0"/>
          <c:showCatName val="0"/>
          <c:showSerName val="0"/>
          <c:showPercent val="0"/>
          <c:showBubbleSize val="0"/>
        </c:dLbls>
        <c:gapWidth val="60"/>
        <c:overlap val="100"/>
        <c:axId val="503992000"/>
        <c:axId val="503992392"/>
      </c:barChart>
      <c:catAx>
        <c:axId val="503992000"/>
        <c:scaling>
          <c:orientation val="maxMin"/>
        </c:scaling>
        <c:delete val="0"/>
        <c:axPos val="l"/>
        <c:numFmt formatCode="General" sourceLinked="1"/>
        <c:majorTickMark val="none"/>
        <c:minorTickMark val="none"/>
        <c:tickLblPos val="low"/>
        <c:spPr>
          <a:ln>
            <a:solidFill>
              <a:schemeClr val="tx1"/>
            </a:solidFill>
            <a:prstDash val="solid"/>
          </a:ln>
        </c:spPr>
        <c:txPr>
          <a:bodyPr rot="0" vert="horz"/>
          <a:lstStyle/>
          <a:p>
            <a:pPr>
              <a:defRPr sz="700"/>
            </a:pPr>
            <a:endParaRPr lang="sk-SK"/>
          </a:p>
        </c:txPr>
        <c:crossAx val="503992392"/>
        <c:crosses val="autoZero"/>
        <c:auto val="1"/>
        <c:lblAlgn val="ctr"/>
        <c:lblOffset val="100"/>
        <c:noMultiLvlLbl val="0"/>
      </c:catAx>
      <c:valAx>
        <c:axId val="503992392"/>
        <c:scaling>
          <c:orientation val="minMax"/>
          <c:max val="-3000"/>
          <c:min val="-6000"/>
        </c:scaling>
        <c:delete val="1"/>
        <c:axPos val="t"/>
        <c:numFmt formatCode="#,##0" sourceLinked="1"/>
        <c:majorTickMark val="out"/>
        <c:minorTickMark val="none"/>
        <c:tickLblPos val="low"/>
        <c:crossAx val="503992000"/>
        <c:crosses val="autoZero"/>
        <c:crossBetween val="between"/>
      </c:valAx>
    </c:plotArea>
    <c:plotVisOnly val="1"/>
    <c:dispBlanksAs val="gap"/>
    <c:showDLblsOverMax val="0"/>
  </c:chart>
  <c:spPr>
    <a:noFill/>
    <a:ln>
      <a:solidFill>
        <a:schemeClr val="bg1"/>
      </a:solidFill>
    </a:ln>
  </c:spPr>
  <c:txPr>
    <a:bodyPr/>
    <a:lstStyle/>
    <a:p>
      <a:pPr>
        <a:defRPr>
          <a:latin typeface="Arial Narrow" panose="020B0606020202030204" pitchFamily="34" charset="0"/>
        </a:defRPr>
      </a:pPr>
      <a:endParaRPr lang="sk-SK"/>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603328320314841E-2"/>
          <c:y val="5.0925925925925923E-2"/>
          <c:w val="0.84326036713863017"/>
          <c:h val="0.70169515395941362"/>
        </c:manualLayout>
      </c:layout>
      <c:barChart>
        <c:barDir val="col"/>
        <c:grouping val="stacked"/>
        <c:varyColors val="0"/>
        <c:ser>
          <c:idx val="0"/>
          <c:order val="0"/>
          <c:tx>
            <c:strRef>
              <c:f>COVID_pomoc_box!$O$4</c:f>
              <c:strCache>
                <c:ptCount val="1"/>
                <c:pt idx="0">
                  <c:v>Podpora udržania zamestnanosti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COVID_pomoc_box!$P$4:$T$4</c:f>
              <c:numCache>
                <c:formatCode>General</c:formatCode>
                <c:ptCount val="5"/>
                <c:pt idx="0" formatCode="0.0">
                  <c:v>1.2501101602768214</c:v>
                </c:pt>
                <c:pt idx="2" formatCode="0.0">
                  <c:v>1.5506648620923982</c:v>
                </c:pt>
                <c:pt idx="4" formatCode="0.0">
                  <c:v>0.4257663756206822</c:v>
                </c:pt>
              </c:numCache>
            </c:numRef>
          </c:val>
          <c:extLst xmlns:c16r2="http://schemas.microsoft.com/office/drawing/2015/06/chart">
            <c:ext xmlns:c16="http://schemas.microsoft.com/office/drawing/2014/chart" uri="{C3380CC4-5D6E-409C-BE32-E72D297353CC}">
              <c16:uniqueId val="{00000000-CEBB-440D-82D5-526514BB8456}"/>
            </c:ext>
          </c:extLst>
        </c:ser>
        <c:ser>
          <c:idx val="1"/>
          <c:order val="1"/>
          <c:tx>
            <c:strRef>
              <c:f>COVID_pomoc_box!$O$5</c:f>
              <c:strCache>
                <c:ptCount val="1"/>
                <c:pt idx="0">
                  <c:v>Sociálna pomoc </c:v>
                </c:pt>
              </c:strCache>
            </c:strRef>
          </c:tx>
          <c:spPr>
            <a:solidFill>
              <a:schemeClr val="accent1">
                <a:lumMod val="60000"/>
                <a:lumOff val="40000"/>
              </a:schemeClr>
            </a:solidFill>
            <a:ln>
              <a:noFill/>
            </a:ln>
            <a:effectLst/>
          </c:spPr>
          <c:invertIfNegative val="0"/>
          <c:dLbls>
            <c:dLbl>
              <c:idx val="0"/>
              <c:layout>
                <c:manualLayout>
                  <c:x val="-2.5940331925951177E-3"/>
                  <c:y val="8.69470584469616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EBB-440D-82D5-526514BB8456}"/>
                </c:ext>
                <c:ext xmlns:c15="http://schemas.microsoft.com/office/drawing/2012/chart" uri="{CE6537A1-D6FC-4f65-9D91-7224C49458BB}"/>
              </c:extLst>
            </c:dLbl>
            <c:dLbl>
              <c:idx val="4"/>
              <c:layout>
                <c:manualLayout>
                  <c:x val="2.53310351055145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EBB-440D-82D5-526514BB84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COVID_pomoc_box!$P$5:$T$5</c:f>
              <c:numCache>
                <c:formatCode>General</c:formatCode>
                <c:ptCount val="5"/>
                <c:pt idx="0" formatCode="0.0">
                  <c:v>0.32652243362411065</c:v>
                </c:pt>
                <c:pt idx="2" formatCode="0.0">
                  <c:v>0.49942477164823806</c:v>
                </c:pt>
                <c:pt idx="4" formatCode="0.0">
                  <c:v>8.5826959789149421E-2</c:v>
                </c:pt>
              </c:numCache>
            </c:numRef>
          </c:val>
          <c:extLst xmlns:c16r2="http://schemas.microsoft.com/office/drawing/2015/06/chart">
            <c:ext xmlns:c16="http://schemas.microsoft.com/office/drawing/2014/chart" uri="{C3380CC4-5D6E-409C-BE32-E72D297353CC}">
              <c16:uniqueId val="{00000003-CEBB-440D-82D5-526514BB8456}"/>
            </c:ext>
          </c:extLst>
        </c:ser>
        <c:ser>
          <c:idx val="2"/>
          <c:order val="2"/>
          <c:tx>
            <c:strRef>
              <c:f>COVID_pomoc_box!$O$6</c:f>
              <c:strCache>
                <c:ptCount val="1"/>
                <c:pt idx="0">
                  <c:v>Odpustenie daní a odvodov</c:v>
                </c:pt>
              </c:strCache>
            </c:strRef>
          </c:tx>
          <c:spPr>
            <a:solidFill>
              <a:schemeClr val="accent3"/>
            </a:solidFill>
            <a:ln>
              <a:noFill/>
            </a:ln>
            <a:effectLst/>
          </c:spPr>
          <c:invertIfNegative val="0"/>
          <c:dLbls>
            <c:dLbl>
              <c:idx val="0"/>
              <c:layout>
                <c:manualLayout>
                  <c:x val="-5.1880663851902598E-3"/>
                  <c:y val="1.12924908776646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EBB-440D-82D5-526514BB8456}"/>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CEBB-440D-82D5-526514BB84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COVID_pomoc_box!$P$6:$S$6</c:f>
              <c:numCache>
                <c:formatCode>General</c:formatCode>
                <c:ptCount val="4"/>
                <c:pt idx="0" formatCode="0.0">
                  <c:v>9.741783377223312E-2</c:v>
                </c:pt>
                <c:pt idx="2" formatCode="0.0">
                  <c:v>1.7411585888862071E-2</c:v>
                </c:pt>
              </c:numCache>
            </c:numRef>
          </c:val>
          <c:extLst xmlns:c16r2="http://schemas.microsoft.com/office/drawing/2015/06/chart">
            <c:ext xmlns:c16="http://schemas.microsoft.com/office/drawing/2014/chart" uri="{C3380CC4-5D6E-409C-BE32-E72D297353CC}">
              <c16:uniqueId val="{00000006-CEBB-440D-82D5-526514BB8456}"/>
            </c:ext>
          </c:extLst>
        </c:ser>
        <c:ser>
          <c:idx val="3"/>
          <c:order val="3"/>
          <c:tx>
            <c:strRef>
              <c:f>COVID_pomoc_box!$O$7</c:f>
              <c:strCache>
                <c:ptCount val="1"/>
                <c:pt idx="0">
                  <c:v>Zvýšené výdavky v zdravotníctve</c:v>
                </c:pt>
              </c:strCache>
            </c:strRef>
          </c:tx>
          <c:spPr>
            <a:solidFill>
              <a:schemeClr val="accent1">
                <a:lumMod val="20000"/>
                <a:lumOff val="80000"/>
              </a:schemeClr>
            </a:solidFill>
            <a:ln>
              <a:noFill/>
            </a:ln>
            <a:effectLst/>
          </c:spPr>
          <c:invertIfNegative val="0"/>
          <c:dLbls>
            <c:dLbl>
              <c:idx val="0"/>
              <c:layout>
                <c:manualLayout>
                  <c:x val="1.81582323481658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EBB-440D-82D5-526514BB8456}"/>
                </c:ext>
                <c:ext xmlns:c15="http://schemas.microsoft.com/office/drawing/2012/chart" uri="{CE6537A1-D6FC-4f65-9D91-7224C49458BB}"/>
              </c:extLst>
            </c:dLbl>
            <c:dLbl>
              <c:idx val="4"/>
              <c:layout>
                <c:manualLayout>
                  <c:x val="-1.151501348873255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EBB-440D-82D5-526514BB8456}"/>
                </c:ext>
                <c:ext xmlns:c15="http://schemas.microsoft.com/office/drawing/2012/chart" uri="{CE6537A1-D6FC-4f65-9D91-7224C49458BB}">
                  <c15:layout>
                    <c:manualLayout>
                      <c:w val="3.9746696901925553E-2"/>
                      <c:h val="6.8937114253323162E-2"/>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COVID_pomoc_box!$P$7:$T$7</c:f>
              <c:numCache>
                <c:formatCode>General</c:formatCode>
                <c:ptCount val="5"/>
                <c:pt idx="0" formatCode="0.0">
                  <c:v>0.40971585314663667</c:v>
                </c:pt>
                <c:pt idx="2" formatCode="0.0">
                  <c:v>0.85823543341947839</c:v>
                </c:pt>
                <c:pt idx="4" formatCode="0.0">
                  <c:v>0.27749938610425184</c:v>
                </c:pt>
              </c:numCache>
            </c:numRef>
          </c:val>
          <c:extLst xmlns:c16r2="http://schemas.microsoft.com/office/drawing/2015/06/chart">
            <c:ext xmlns:c16="http://schemas.microsoft.com/office/drawing/2014/chart" uri="{C3380CC4-5D6E-409C-BE32-E72D297353CC}">
              <c16:uniqueId val="{00000009-CEBB-440D-82D5-526514BB8456}"/>
            </c:ext>
          </c:extLst>
        </c:ser>
        <c:ser>
          <c:idx val="4"/>
          <c:order val="4"/>
          <c:tx>
            <c:strRef>
              <c:f>COVID_pomoc_box!$O$8</c:f>
              <c:strCache>
                <c:ptCount val="1"/>
                <c:pt idx="0">
                  <c:v>Iné opatrenia</c:v>
                </c:pt>
              </c:strCache>
            </c:strRef>
          </c:tx>
          <c:spPr>
            <a:solidFill>
              <a:schemeClr val="accent5"/>
            </a:solidFill>
            <a:ln>
              <a:noFill/>
            </a:ln>
            <a:effectLst/>
          </c:spPr>
          <c:invertIfNegative val="0"/>
          <c:dLbls>
            <c:dLbl>
              <c:idx val="2"/>
              <c:layout>
                <c:manualLayout>
                  <c:x val="0"/>
                  <c:y val="3.16622691292875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EBB-440D-82D5-526514BB8456}"/>
                </c:ext>
                <c:ext xmlns:c15="http://schemas.microsoft.com/office/drawing/2012/chart" uri="{CE6537A1-D6FC-4f65-9D91-7224C49458BB}"/>
              </c:extLst>
            </c:dLbl>
            <c:dLbl>
              <c:idx val="4"/>
              <c:layout>
                <c:manualLayout>
                  <c:x val="2.072539235905735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EBB-440D-82D5-526514BB84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COVID_pomoc_box!$P$8:$T$8</c:f>
              <c:numCache>
                <c:formatCode>General</c:formatCode>
                <c:ptCount val="5"/>
                <c:pt idx="0" formatCode="0.0">
                  <c:v>0.28875642811741747</c:v>
                </c:pt>
                <c:pt idx="2" formatCode="0.0">
                  <c:v>0.55956673496494136</c:v>
                </c:pt>
                <c:pt idx="4" formatCode="0.0">
                  <c:v>0.21174036099267374</c:v>
                </c:pt>
              </c:numCache>
            </c:numRef>
          </c:val>
          <c:extLst xmlns:c16r2="http://schemas.microsoft.com/office/drawing/2015/06/chart">
            <c:ext xmlns:c16="http://schemas.microsoft.com/office/drawing/2014/chart" uri="{C3380CC4-5D6E-409C-BE32-E72D297353CC}">
              <c16:uniqueId val="{0000000C-CEBB-440D-82D5-526514BB8456}"/>
            </c:ext>
          </c:extLst>
        </c:ser>
        <c:ser>
          <c:idx val="5"/>
          <c:order val="5"/>
          <c:tx>
            <c:strRef>
              <c:f>COVID_pomoc_box!$O$9</c:f>
              <c:strCache>
                <c:ptCount val="1"/>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COVID_pomoc_box!$P$9:$S$9</c:f>
              <c:numCache>
                <c:formatCode>General</c:formatCode>
                <c:ptCount val="4"/>
              </c:numCache>
            </c:numRef>
          </c:val>
          <c:extLst xmlns:c16r2="http://schemas.microsoft.com/office/drawing/2015/06/chart">
            <c:ext xmlns:c16="http://schemas.microsoft.com/office/drawing/2014/chart" uri="{C3380CC4-5D6E-409C-BE32-E72D297353CC}">
              <c16:uniqueId val="{0000000D-CEBB-440D-82D5-526514BB8456}"/>
            </c:ext>
          </c:extLst>
        </c:ser>
        <c:ser>
          <c:idx val="6"/>
          <c:order val="6"/>
          <c:tx>
            <c:strRef>
              <c:f>COVID_pomoc_box!$O$10</c:f>
              <c:strCache>
                <c:ptCount val="1"/>
                <c:pt idx="0">
                  <c:v>Odklad daní a odvodov </c:v>
                </c:pt>
              </c:strCache>
            </c:strRef>
          </c:tx>
          <c:spPr>
            <a:pattFill prst="pct70">
              <a:fgClr>
                <a:schemeClr val="bg1">
                  <a:lumMod val="50000"/>
                </a:schemeClr>
              </a:fgClr>
              <a:bgClr>
                <a:schemeClr val="bg1"/>
              </a:bgClr>
            </a:pattFill>
            <a:ln>
              <a:noFill/>
            </a:ln>
            <a:effectLst/>
          </c:spPr>
          <c:invertIfNegative val="0"/>
          <c:dLbls>
            <c:dLbl>
              <c:idx val="3"/>
              <c:delete val="1"/>
              <c:extLst xmlns:c16r2="http://schemas.microsoft.com/office/drawing/2015/06/chart">
                <c:ext xmlns:c16="http://schemas.microsoft.com/office/drawing/2014/chart" uri="{C3380CC4-5D6E-409C-BE32-E72D297353CC}">
                  <c16:uniqueId val="{0000000E-CEBB-440D-82D5-526514BB84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COVID_pomoc_box!$P$10:$S$10</c:f>
              <c:numCache>
                <c:formatCode>0.0</c:formatCode>
                <c:ptCount val="4"/>
                <c:pt idx="1">
                  <c:v>0.53081538494870417</c:v>
                </c:pt>
                <c:pt idx="3">
                  <c:v>3.1240454543894507E-2</c:v>
                </c:pt>
              </c:numCache>
            </c:numRef>
          </c:val>
          <c:extLst xmlns:c16r2="http://schemas.microsoft.com/office/drawing/2015/06/chart">
            <c:ext xmlns:c16="http://schemas.microsoft.com/office/drawing/2014/chart" uri="{C3380CC4-5D6E-409C-BE32-E72D297353CC}">
              <c16:uniqueId val="{0000000F-CEBB-440D-82D5-526514BB8456}"/>
            </c:ext>
          </c:extLst>
        </c:ser>
        <c:ser>
          <c:idx val="7"/>
          <c:order val="7"/>
          <c:tx>
            <c:strRef>
              <c:f>COVID_pomoc_box!$O$11</c:f>
              <c:strCache>
                <c:ptCount val="1"/>
                <c:pt idx="0">
                  <c:v>Bankové garancie </c:v>
                </c:pt>
              </c:strCache>
            </c:strRef>
          </c:tx>
          <c:spPr>
            <a:pattFill prst="pct70">
              <a:fgClr>
                <a:schemeClr val="bg1">
                  <a:lumMod val="85000"/>
                </a:schemeClr>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COVID_pomoc_box!$P$11:$S$11</c:f>
              <c:numCache>
                <c:formatCode>0.0</c:formatCode>
                <c:ptCount val="4"/>
                <c:pt idx="1">
                  <c:v>0.35059606206840099</c:v>
                </c:pt>
                <c:pt idx="3">
                  <c:v>0.23028105464720006</c:v>
                </c:pt>
              </c:numCache>
            </c:numRef>
          </c:val>
          <c:extLst xmlns:c16r2="http://schemas.microsoft.com/office/drawing/2015/06/chart">
            <c:ext xmlns:c16="http://schemas.microsoft.com/office/drawing/2014/chart" uri="{C3380CC4-5D6E-409C-BE32-E72D297353CC}">
              <c16:uniqueId val="{00000010-CEBB-440D-82D5-526514BB8456}"/>
            </c:ext>
          </c:extLst>
        </c:ser>
        <c:ser>
          <c:idx val="9"/>
          <c:order val="9"/>
          <c:tx>
            <c:strRef>
              <c:f>COVID_pomoc_box!$O$12</c:f>
              <c:strCache>
                <c:ptCount val="1"/>
                <c:pt idx="0">
                  <c:v>Financovanie z EÚ fondov</c:v>
                </c:pt>
              </c:strCache>
            </c:strRef>
          </c:tx>
          <c:spPr>
            <a:solidFill>
              <a:schemeClr val="accent6">
                <a:lumMod val="20000"/>
                <a:lumOff val="80000"/>
              </a:schemeClr>
            </a:solidFill>
            <a:ln w="25400">
              <a:noFill/>
            </a:ln>
            <a:effectLst/>
          </c:spPr>
          <c:invertIfNegative val="0"/>
          <c:dLbls>
            <c:dLbl>
              <c:idx val="0"/>
              <c:tx>
                <c:rich>
                  <a:bodyPr/>
                  <a:lstStyle/>
                  <a:p>
                    <a:r>
                      <a:rPr lang="en-US"/>
                      <a:t>-0,4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CEBB-440D-82D5-526514BB84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COVID_pomoc_box!$P$12:$S$12</c:f>
              <c:numCache>
                <c:formatCode>General</c:formatCode>
                <c:ptCount val="4"/>
                <c:pt idx="0" formatCode="0.0">
                  <c:v>-0.44881011360941431</c:v>
                </c:pt>
                <c:pt idx="2" formatCode="0.0">
                  <c:v>-0.42178882576295446</c:v>
                </c:pt>
              </c:numCache>
            </c:numRef>
          </c:val>
          <c:extLst xmlns:c16r2="http://schemas.microsoft.com/office/drawing/2015/06/chart">
            <c:ext xmlns:c16="http://schemas.microsoft.com/office/drawing/2014/chart" uri="{C3380CC4-5D6E-409C-BE32-E72D297353CC}">
              <c16:uniqueId val="{00000012-CEBB-440D-82D5-526514BB8456}"/>
            </c:ext>
          </c:extLst>
        </c:ser>
        <c:ser>
          <c:idx val="10"/>
          <c:order val="10"/>
          <c:tx>
            <c:strRef>
              <c:f>COVID_pomoc_box!$O$13</c:f>
              <c:strCache>
                <c:ptCount val="1"/>
                <c:pt idx="0">
                  <c:v>Odložené splátky</c:v>
                </c:pt>
              </c:strCache>
            </c:strRef>
          </c:tx>
          <c:spPr>
            <a:pattFill prst="wave">
              <a:fgClr>
                <a:schemeClr val="tx1">
                  <a:lumMod val="65000"/>
                  <a:lumOff val="35000"/>
                </a:schemeClr>
              </a:fgClr>
              <a:bgClr>
                <a:schemeClr val="bg1"/>
              </a:bgClr>
            </a:pattFill>
            <a:ln w="25400">
              <a:noFill/>
            </a:ln>
            <a:effectLst/>
          </c:spPr>
          <c:invertIfNegative val="0"/>
          <c:dLbls>
            <c:dLbl>
              <c:idx val="3"/>
              <c:layout>
                <c:manualLayout>
                  <c:x val="3.684937816674335E-2"/>
                  <c:y val="-5.27704485488126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CEBB-440D-82D5-526514BB84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COVID_pomoc_box!$P$13:$S$13</c:f>
              <c:numCache>
                <c:formatCode>0.0</c:formatCode>
                <c:ptCount val="4"/>
                <c:pt idx="1">
                  <c:v>0.53106425613596153</c:v>
                </c:pt>
                <c:pt idx="3">
                  <c:v>9.8740772010749253E-2</c:v>
                </c:pt>
              </c:numCache>
            </c:numRef>
          </c:val>
          <c:extLst xmlns:c16r2="http://schemas.microsoft.com/office/drawing/2015/06/chart">
            <c:ext xmlns:c16="http://schemas.microsoft.com/office/drawing/2014/chart" uri="{C3380CC4-5D6E-409C-BE32-E72D297353CC}">
              <c16:uniqueId val="{00000014-CEBB-440D-82D5-526514BB8456}"/>
            </c:ext>
          </c:extLst>
        </c:ser>
        <c:ser>
          <c:idx val="11"/>
          <c:order val="11"/>
          <c:tx>
            <c:strRef>
              <c:f>COVID_pomoc_box!$O$14</c:f>
              <c:strCache>
                <c:ptCount val="1"/>
                <c:pt idx="0">
                  <c:v>Transfery v rámci verejnej správy</c:v>
                </c:pt>
              </c:strCache>
            </c:strRef>
          </c:tx>
          <c:spPr>
            <a:solidFill>
              <a:schemeClr val="bg1">
                <a:lumMod val="95000"/>
              </a:schemeClr>
            </a:solidFill>
            <a:ln w="25400">
              <a:noFill/>
            </a:ln>
            <a:effectLst/>
          </c:spPr>
          <c:invertIfNegative val="0"/>
          <c:dPt>
            <c:idx val="1"/>
            <c:invertIfNegative val="0"/>
            <c:bubble3D val="0"/>
            <c:spPr>
              <a:pattFill prst="pct80">
                <a:fgClr>
                  <a:schemeClr val="bg1">
                    <a:lumMod val="95000"/>
                  </a:schemeClr>
                </a:fgClr>
                <a:bgClr>
                  <a:schemeClr val="bg1"/>
                </a:bgClr>
              </a:pattFill>
              <a:ln w="25400">
                <a:noFill/>
              </a:ln>
              <a:effectLst/>
            </c:spPr>
            <c:extLst xmlns:c16r2="http://schemas.microsoft.com/office/drawing/2015/06/chart">
              <c:ext xmlns:c16="http://schemas.microsoft.com/office/drawing/2014/chart" uri="{C3380CC4-5D6E-409C-BE32-E72D297353CC}">
                <c16:uniqueId val="{00000016-CEBB-440D-82D5-526514BB8456}"/>
              </c:ext>
            </c:extLst>
          </c:dPt>
          <c:dLbls>
            <c:dLbl>
              <c:idx val="3"/>
              <c:layout>
                <c:manualLayout>
                  <c:x val="-4.6061722708430142E-3"/>
                  <c:y val="5.277044854881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CEBB-440D-82D5-526514BB845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COVID_pomoc_box!$P$14:$S$14</c:f>
              <c:numCache>
                <c:formatCode>0.0</c:formatCode>
                <c:ptCount val="4"/>
                <c:pt idx="1">
                  <c:v>1.063466697541519</c:v>
                </c:pt>
                <c:pt idx="3">
                  <c:v>0.30888666948096744</c:v>
                </c:pt>
              </c:numCache>
            </c:numRef>
          </c:val>
          <c:extLst xmlns:c16r2="http://schemas.microsoft.com/office/drawing/2015/06/chart">
            <c:ext xmlns:c16="http://schemas.microsoft.com/office/drawing/2014/chart" uri="{C3380CC4-5D6E-409C-BE32-E72D297353CC}">
              <c16:uniqueId val="{00000018-CEBB-440D-82D5-526514BB8456}"/>
            </c:ext>
          </c:extLst>
        </c:ser>
        <c:dLbls>
          <c:showLegendKey val="0"/>
          <c:showVal val="0"/>
          <c:showCatName val="0"/>
          <c:showSerName val="0"/>
          <c:showPercent val="0"/>
          <c:showBubbleSize val="0"/>
        </c:dLbls>
        <c:gapWidth val="150"/>
        <c:overlap val="100"/>
        <c:axId val="503993176"/>
        <c:axId val="503437512"/>
      </c:barChart>
      <c:lineChart>
        <c:grouping val="stacked"/>
        <c:varyColors val="0"/>
        <c:ser>
          <c:idx val="8"/>
          <c:order val="8"/>
          <c:tx>
            <c:strRef>
              <c:f>COVID_pomoc_box!$O$15</c:f>
              <c:strCache>
                <c:ptCount val="1"/>
              </c:strCache>
            </c:strRef>
          </c:tx>
          <c:spPr>
            <a:ln w="28575" cap="rnd">
              <a:noFill/>
              <a:round/>
            </a:ln>
            <a:effectLst/>
          </c:spPr>
          <c:marker>
            <c:symbol val="circle"/>
            <c:size val="7"/>
            <c:spPr>
              <a:solidFill>
                <a:schemeClr val="tx1"/>
              </a:solidFill>
              <a:ln w="9525">
                <a:noFill/>
              </a:ln>
              <a:effectLst/>
            </c:spPr>
          </c:marker>
          <c:dLbls>
            <c:dLbl>
              <c:idx val="0"/>
              <c:layout>
                <c:manualLayout>
                  <c:x val="-3.8910497888926789E-2"/>
                  <c:y val="-9.75609756097561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CEBB-440D-82D5-526514BB8456}"/>
                </c:ext>
                <c:ext xmlns:c15="http://schemas.microsoft.com/office/drawing/2012/chart" uri="{CE6537A1-D6FC-4f65-9D91-7224C49458BB}"/>
              </c:extLst>
            </c:dLbl>
            <c:dLbl>
              <c:idx val="1"/>
              <c:layout>
                <c:manualLayout>
                  <c:x val="-3.8910497888926816E-2"/>
                  <c:y val="-4.8780487804878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CEBB-440D-82D5-526514BB8456}"/>
                </c:ext>
                <c:ext xmlns:c15="http://schemas.microsoft.com/office/drawing/2012/chart" uri="{CE6537A1-D6FC-4f65-9D91-7224C49458BB}"/>
              </c:extLst>
            </c:dLbl>
            <c:dLbl>
              <c:idx val="2"/>
              <c:layout>
                <c:manualLayout>
                  <c:x val="-3.8910497888926865E-2"/>
                  <c:y val="-6.09756097560975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CEBB-440D-82D5-526514BB8456}"/>
                </c:ext>
                <c:ext xmlns:c15="http://schemas.microsoft.com/office/drawing/2012/chart" uri="{CE6537A1-D6FC-4f65-9D91-7224C49458BB}"/>
              </c:extLst>
            </c:dLbl>
            <c:dLbl>
              <c:idx val="3"/>
              <c:layout>
                <c:manualLayout>
                  <c:x val="-4.1504531081521981E-2"/>
                  <c:y val="-6.0975609756097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CEBB-440D-82D5-526514BB8456}"/>
                </c:ext>
                <c:ext xmlns:c15="http://schemas.microsoft.com/office/drawing/2012/chart" uri="{CE6537A1-D6FC-4f65-9D91-7224C49458BB}"/>
              </c:extLst>
            </c:dLbl>
            <c:dLbl>
              <c:idx val="4"/>
              <c:layout>
                <c:manualLayout>
                  <c:x val="-3.4542320598428933E-2"/>
                  <c:y val="-5.7538892296007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CEBB-440D-82D5-526514BB8456}"/>
                </c:ext>
                <c:ext xmlns:c15="http://schemas.microsoft.com/office/drawing/2012/chart" uri="{CE6537A1-D6FC-4f65-9D91-7224C49458BB}"/>
              </c:extLst>
            </c:dLbl>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COVID_pomoc_box!$P$3:$T$3</c:f>
              <c:strCache>
                <c:ptCount val="5"/>
                <c:pt idx="0">
                  <c:v>Pomoc s vplyvom na deficit</c:v>
                </c:pt>
                <c:pt idx="1">
                  <c:v>Ostatné opatrenia bez vplyvu na deficit</c:v>
                </c:pt>
                <c:pt idx="2">
                  <c:v>Pomoc s vplyvom na deficit</c:v>
                </c:pt>
                <c:pt idx="3">
                  <c:v>Ostatné opatrenia bez vplyvu na deficit</c:v>
                </c:pt>
                <c:pt idx="4">
                  <c:v>Pomoc s vplyvom na deficit</c:v>
                </c:pt>
              </c:strCache>
            </c:strRef>
          </c:cat>
          <c:val>
            <c:numRef>
              <c:f>COVID_pomoc_box!$P$15:$T$15</c:f>
              <c:numCache>
                <c:formatCode>0.0</c:formatCode>
                <c:ptCount val="5"/>
                <c:pt idx="0">
                  <c:v>1.9237125953278049</c:v>
                </c:pt>
                <c:pt idx="1">
                  <c:v>2.4759424006945858</c:v>
                </c:pt>
                <c:pt idx="2">
                  <c:v>3.0635145622509636</c:v>
                </c:pt>
                <c:pt idx="3">
                  <c:v>0.66914895068281122</c:v>
                </c:pt>
                <c:pt idx="4">
                  <c:v>1.0024219563603214</c:v>
                </c:pt>
              </c:numCache>
            </c:numRef>
          </c:val>
          <c:smooth val="0"/>
          <c:extLst xmlns:c16r2="http://schemas.microsoft.com/office/drawing/2015/06/chart">
            <c:ext xmlns:c16="http://schemas.microsoft.com/office/drawing/2014/chart" uri="{C3380CC4-5D6E-409C-BE32-E72D297353CC}">
              <c16:uniqueId val="{0000001E-CEBB-440D-82D5-526514BB8456}"/>
            </c:ext>
          </c:extLst>
        </c:ser>
        <c:dLbls>
          <c:showLegendKey val="0"/>
          <c:showVal val="0"/>
          <c:showCatName val="0"/>
          <c:showSerName val="0"/>
          <c:showPercent val="0"/>
          <c:showBubbleSize val="0"/>
        </c:dLbls>
        <c:marker val="1"/>
        <c:smooth val="0"/>
        <c:axId val="503993176"/>
        <c:axId val="503437512"/>
      </c:lineChart>
      <c:catAx>
        <c:axId val="503993176"/>
        <c:scaling>
          <c:orientation val="minMax"/>
        </c:scaling>
        <c:delete val="0"/>
        <c:axPos val="b"/>
        <c:numFmt formatCode="General" sourceLinked="1"/>
        <c:majorTickMark val="none"/>
        <c:minorTickMark val="none"/>
        <c:tickLblPos val="high"/>
        <c:spPr>
          <a:noFill/>
          <a:ln w="9525" cap="flat" cmpd="sng" algn="ctr">
            <a:solidFill>
              <a:schemeClr val="tx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3437512"/>
        <c:crosses val="autoZero"/>
        <c:auto val="1"/>
        <c:lblAlgn val="ctr"/>
        <c:lblOffset val="100"/>
        <c:noMultiLvlLbl val="0"/>
      </c:catAx>
      <c:valAx>
        <c:axId val="503437512"/>
        <c:scaling>
          <c:orientation val="minMax"/>
          <c:max val="4"/>
          <c:min val="-0.5"/>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r>
                  <a:rPr lang="en-US"/>
                  <a:t>V % HDP</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3993176"/>
        <c:crosses val="autoZero"/>
        <c:crossBetween val="between"/>
        <c:majorUnit val="0.5"/>
      </c:valAx>
      <c:spPr>
        <a:noFill/>
        <a:ln>
          <a:noFill/>
        </a:ln>
        <a:effectLst/>
      </c:spPr>
    </c:plotArea>
    <c:legend>
      <c:legendPos val="b"/>
      <c:legendEntry>
        <c:idx val="5"/>
        <c:delete val="1"/>
      </c:legendEntry>
      <c:legendEntry>
        <c:idx val="11"/>
        <c:delete val="1"/>
      </c:legendEntry>
      <c:layout>
        <c:manualLayout>
          <c:xMode val="edge"/>
          <c:yMode val="edge"/>
          <c:x val="7.0243559291326474E-2"/>
          <c:y val="0.80017412457589143"/>
          <c:w val="0.92975644070867358"/>
          <c:h val="0.199303501696434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a:latin typeface="Arial Narrow" panose="020B0606020202030204" pitchFamily="34" charset="0"/>
        </a:defRPr>
      </a:pPr>
      <a:endParaRPr lang="sk-SK"/>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98704397487501E-2"/>
          <c:y val="7.3875106928999165E-2"/>
          <c:w val="0.91830344554038179"/>
          <c:h val="0.78461999933342963"/>
        </c:manualLayout>
      </c:layout>
      <c:barChart>
        <c:barDir val="col"/>
        <c:grouping val="clustered"/>
        <c:varyColors val="0"/>
        <c:ser>
          <c:idx val="1"/>
          <c:order val="1"/>
          <c:tx>
            <c:strRef>
              <c:f>Sumar!$B$14</c:f>
              <c:strCache>
                <c:ptCount val="1"/>
                <c:pt idx="0">
                  <c:v>Kumulatívne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Sumar!$C$12:$L$12</c:f>
              <c:strCache>
                <c:ptCount val="10"/>
                <c:pt idx="0">
                  <c:v>marec</c:v>
                </c:pt>
                <c:pt idx="1">
                  <c:v>apríl</c:v>
                </c:pt>
                <c:pt idx="2">
                  <c:v>máj</c:v>
                </c:pt>
                <c:pt idx="3">
                  <c:v>jún</c:v>
                </c:pt>
                <c:pt idx="4">
                  <c:v>júl</c:v>
                </c:pt>
                <c:pt idx="5">
                  <c:v>august</c:v>
                </c:pt>
                <c:pt idx="6">
                  <c:v>september</c:v>
                </c:pt>
                <c:pt idx="7">
                  <c:v>október</c:v>
                </c:pt>
                <c:pt idx="8">
                  <c:v>november</c:v>
                </c:pt>
                <c:pt idx="9">
                  <c:v>december</c:v>
                </c:pt>
              </c:strCache>
            </c:strRef>
          </c:cat>
          <c:val>
            <c:numRef>
              <c:f>Sumar!$C$14:$L$14</c:f>
              <c:numCache>
                <c:formatCode>0.0</c:formatCode>
                <c:ptCount val="10"/>
                <c:pt idx="0">
                  <c:v>59.118000000000002</c:v>
                </c:pt>
                <c:pt idx="1">
                  <c:v>62.2</c:v>
                </c:pt>
                <c:pt idx="2">
                  <c:v>73.350999999999999</c:v>
                </c:pt>
                <c:pt idx="3">
                  <c:v>82.271799999999999</c:v>
                </c:pt>
                <c:pt idx="4">
                  <c:v>88.516360000000006</c:v>
                </c:pt>
                <c:pt idx="5">
                  <c:v>93.512008000000009</c:v>
                </c:pt>
                <c:pt idx="6">
                  <c:v>97.508526400000008</c:v>
                </c:pt>
                <c:pt idx="7">
                  <c:v>100.70574112</c:v>
                </c:pt>
                <c:pt idx="8">
                  <c:v>102.30434848</c:v>
                </c:pt>
                <c:pt idx="9">
                  <c:v>103.10365216</c:v>
                </c:pt>
              </c:numCache>
            </c:numRef>
          </c:val>
          <c:extLst xmlns:c16r2="http://schemas.microsoft.com/office/drawing/2015/06/chart">
            <c:ext xmlns:c16="http://schemas.microsoft.com/office/drawing/2014/chart" uri="{C3380CC4-5D6E-409C-BE32-E72D297353CC}">
              <c16:uniqueId val="{00000000-46D9-4154-A313-B98A4EE756C3}"/>
            </c:ext>
          </c:extLst>
        </c:ser>
        <c:dLbls>
          <c:showLegendKey val="0"/>
          <c:showVal val="0"/>
          <c:showCatName val="0"/>
          <c:showSerName val="0"/>
          <c:showPercent val="0"/>
          <c:showBubbleSize val="0"/>
        </c:dLbls>
        <c:gapWidth val="150"/>
        <c:axId val="503438296"/>
        <c:axId val="503438688"/>
      </c:barChart>
      <c:lineChart>
        <c:grouping val="standard"/>
        <c:varyColors val="0"/>
        <c:ser>
          <c:idx val="0"/>
          <c:order val="0"/>
          <c:tx>
            <c:strRef>
              <c:f>Sumar!$B$13</c:f>
              <c:strCache>
                <c:ptCount val="1"/>
                <c:pt idx="0">
                  <c:v>Mesačne</c:v>
                </c:pt>
              </c:strCache>
            </c:strRef>
          </c:tx>
          <c:spPr>
            <a:ln w="28575" cap="rnd">
              <a:solidFill>
                <a:schemeClr val="bg1">
                  <a:lumMod val="50000"/>
                </a:schemeClr>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1-46D9-4154-A313-B98A4EE756C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Sumar!$C$12:$L$12</c:f>
              <c:strCache>
                <c:ptCount val="10"/>
                <c:pt idx="0">
                  <c:v>marec</c:v>
                </c:pt>
                <c:pt idx="1">
                  <c:v>apríl</c:v>
                </c:pt>
                <c:pt idx="2">
                  <c:v>máj</c:v>
                </c:pt>
                <c:pt idx="3">
                  <c:v>jún</c:v>
                </c:pt>
                <c:pt idx="4">
                  <c:v>júl</c:v>
                </c:pt>
                <c:pt idx="5">
                  <c:v>august</c:v>
                </c:pt>
                <c:pt idx="6">
                  <c:v>september</c:v>
                </c:pt>
                <c:pt idx="7">
                  <c:v>október</c:v>
                </c:pt>
                <c:pt idx="8">
                  <c:v>november</c:v>
                </c:pt>
                <c:pt idx="9">
                  <c:v>december</c:v>
                </c:pt>
              </c:strCache>
            </c:strRef>
          </c:cat>
          <c:val>
            <c:numRef>
              <c:f>Sumar!$C$13:$L$13</c:f>
              <c:numCache>
                <c:formatCode>0.0</c:formatCode>
                <c:ptCount val="10"/>
                <c:pt idx="0">
                  <c:v>59.118000000000002</c:v>
                </c:pt>
                <c:pt idx="1">
                  <c:v>14.868</c:v>
                </c:pt>
                <c:pt idx="2">
                  <c:v>11.151</c:v>
                </c:pt>
                <c:pt idx="3">
                  <c:v>8.9208000000000016</c:v>
                </c:pt>
                <c:pt idx="4">
                  <c:v>6.2445600000000008</c:v>
                </c:pt>
                <c:pt idx="5">
                  <c:v>4.995648000000001</c:v>
                </c:pt>
                <c:pt idx="6">
                  <c:v>3.9965184000000007</c:v>
                </c:pt>
                <c:pt idx="7">
                  <c:v>3.1972147200000007</c:v>
                </c:pt>
                <c:pt idx="8">
                  <c:v>1.5986073600000004</c:v>
                </c:pt>
                <c:pt idx="9">
                  <c:v>0.79930368000000018</c:v>
                </c:pt>
              </c:numCache>
            </c:numRef>
          </c:val>
          <c:smooth val="0"/>
          <c:extLst xmlns:c16r2="http://schemas.microsoft.com/office/drawing/2015/06/chart">
            <c:ext xmlns:c16="http://schemas.microsoft.com/office/drawing/2014/chart" uri="{C3380CC4-5D6E-409C-BE32-E72D297353CC}">
              <c16:uniqueId val="{00000002-46D9-4154-A313-B98A4EE756C3}"/>
            </c:ext>
          </c:extLst>
        </c:ser>
        <c:dLbls>
          <c:showLegendKey val="0"/>
          <c:showVal val="0"/>
          <c:showCatName val="0"/>
          <c:showSerName val="0"/>
          <c:showPercent val="0"/>
          <c:showBubbleSize val="0"/>
        </c:dLbls>
        <c:marker val="1"/>
        <c:smooth val="0"/>
        <c:axId val="503438296"/>
        <c:axId val="503438688"/>
      </c:lineChart>
      <c:catAx>
        <c:axId val="50343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3438688"/>
        <c:crosses val="autoZero"/>
        <c:auto val="1"/>
        <c:lblAlgn val="ctr"/>
        <c:lblOffset val="100"/>
        <c:noMultiLvlLbl val="0"/>
      </c:catAx>
      <c:valAx>
        <c:axId val="503438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3438296"/>
        <c:crosses val="autoZero"/>
        <c:crossBetween val="between"/>
      </c:valAx>
      <c:spPr>
        <a:noFill/>
        <a:ln>
          <a:noFill/>
        </a:ln>
        <a:effectLst/>
      </c:spPr>
    </c:plotArea>
    <c:legend>
      <c:legendPos val="b"/>
      <c:layout>
        <c:manualLayout>
          <c:xMode val="edge"/>
          <c:yMode val="edge"/>
          <c:x val="8.0443028431443589E-2"/>
          <c:y val="3.1930021905156591E-2"/>
          <c:w val="0.37441933784638526"/>
          <c:h val="0.1742477197738104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noFill/>
    <a:ln w="9525" cap="flat" cmpd="sng" algn="ctr">
      <a:noFill/>
      <a:round/>
    </a:ln>
    <a:effectLst/>
  </c:spPr>
  <c:txPr>
    <a:bodyPr/>
    <a:lstStyle/>
    <a:p>
      <a:pPr>
        <a:defRPr sz="700">
          <a:latin typeface="Arial Narrow" panose="020B0606020202030204" pitchFamily="34" charset="0"/>
        </a:defRPr>
      </a:pPr>
      <a:endParaRPr lang="sk-SK"/>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782360815031478E-2"/>
          <c:y val="7.3875106928999165E-2"/>
          <c:w val="0.88681971843441276"/>
          <c:h val="0.78461999933342963"/>
        </c:manualLayout>
      </c:layout>
      <c:lineChart>
        <c:grouping val="standard"/>
        <c:varyColors val="0"/>
        <c:ser>
          <c:idx val="0"/>
          <c:order val="0"/>
          <c:tx>
            <c:strRef>
              <c:f>SS_EK!$B$84</c:f>
              <c:strCache>
                <c:ptCount val="1"/>
                <c:pt idx="0">
                  <c:v>Predpokladaná konsolidácia</c:v>
                </c:pt>
              </c:strCache>
            </c:strRef>
          </c:tx>
          <c:spPr>
            <a:ln w="28575" cap="rnd">
              <a:solidFill>
                <a:srgbClr val="2D9ADC"/>
              </a:solidFill>
              <a:round/>
            </a:ln>
            <a:effectLst/>
          </c:spPr>
          <c:marker>
            <c:symbol val="none"/>
          </c:marker>
          <c:dLbls>
            <c:dLbl>
              <c:idx val="0"/>
              <c:delete val="1"/>
              <c:extLst xmlns:c16r2="http://schemas.microsoft.com/office/drawing/2015/06/chart">
                <c:ext xmlns:c16="http://schemas.microsoft.com/office/drawing/2014/chart" uri="{C3380CC4-5D6E-409C-BE32-E72D297353CC}">
                  <c16:uniqueId val="{00000000-431B-42E9-AB1E-F2619D96BC6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SS_EK!$K$83:$U$83</c:f>
              <c:numCache>
                <c:formatCode>General</c:formatCode>
                <c:ptCount val="11"/>
                <c:pt idx="0">
                  <c:v>2020</c:v>
                </c:pt>
                <c:pt idx="1">
                  <c:v>2021</c:v>
                </c:pt>
                <c:pt idx="2">
                  <c:v>2022</c:v>
                </c:pt>
                <c:pt idx="3">
                  <c:v>2023</c:v>
                </c:pt>
                <c:pt idx="4">
                  <c:v>2024</c:v>
                </c:pt>
                <c:pt idx="5">
                  <c:v>2025</c:v>
                </c:pt>
                <c:pt idx="6">
                  <c:v>2026</c:v>
                </c:pt>
                <c:pt idx="7">
                  <c:v>2027</c:v>
                </c:pt>
                <c:pt idx="8">
                  <c:v>2028</c:v>
                </c:pt>
                <c:pt idx="9">
                  <c:v>2029</c:v>
                </c:pt>
                <c:pt idx="10">
                  <c:v>2030</c:v>
                </c:pt>
              </c:numCache>
            </c:numRef>
          </c:cat>
          <c:val>
            <c:numRef>
              <c:f>SS_EK!$K$84:$U$84</c:f>
              <c:numCache>
                <c:formatCode>0.0</c:formatCode>
                <c:ptCount val="11"/>
                <c:pt idx="0">
                  <c:v>-2.420555717838754</c:v>
                </c:pt>
                <c:pt idx="1">
                  <c:v>-2.0635855456614034</c:v>
                </c:pt>
                <c:pt idx="2">
                  <c:v>-3.7640521645162535</c:v>
                </c:pt>
                <c:pt idx="3">
                  <c:v>-2.9927862707724007</c:v>
                </c:pt>
                <c:pt idx="4">
                  <c:v>-2.4990313515294234</c:v>
                </c:pt>
                <c:pt idx="5">
                  <c:v>-1.9990313515294234</c:v>
                </c:pt>
                <c:pt idx="6" formatCode="#\ ##0.0">
                  <c:v>-1.4990313515294234</c:v>
                </c:pt>
                <c:pt idx="7" formatCode="#\ ##0.0">
                  <c:v>-0.99903135152942335</c:v>
                </c:pt>
                <c:pt idx="8" formatCode="#\ ##0.0">
                  <c:v>-0.49903135152942335</c:v>
                </c:pt>
                <c:pt idx="9" formatCode="#\ ##0.0">
                  <c:v>9.686484705766496E-4</c:v>
                </c:pt>
                <c:pt idx="10" formatCode="#\ ##0.0">
                  <c:v>0.50096864847057665</c:v>
                </c:pt>
              </c:numCache>
            </c:numRef>
          </c:val>
          <c:smooth val="0"/>
          <c:extLst xmlns:c16r2="http://schemas.microsoft.com/office/drawing/2015/06/chart">
            <c:ext xmlns:c16="http://schemas.microsoft.com/office/drawing/2014/chart" uri="{C3380CC4-5D6E-409C-BE32-E72D297353CC}">
              <c16:uniqueId val="{00000001-431B-42E9-AB1E-F2619D96BC65}"/>
            </c:ext>
          </c:extLst>
        </c:ser>
        <c:dLbls>
          <c:showLegendKey val="0"/>
          <c:showVal val="0"/>
          <c:showCatName val="0"/>
          <c:showSerName val="0"/>
          <c:showPercent val="0"/>
          <c:showBubbleSize val="0"/>
        </c:dLbls>
        <c:smooth val="0"/>
        <c:axId val="505778784"/>
        <c:axId val="505779176"/>
      </c:lineChart>
      <c:catAx>
        <c:axId val="505778784"/>
        <c:scaling>
          <c:orientation val="minMax"/>
        </c:scaling>
        <c:delete val="0"/>
        <c:axPos val="b"/>
        <c:numFmt formatCode="General" sourceLinked="1"/>
        <c:majorTickMark val="none"/>
        <c:minorTickMark val="none"/>
        <c:tickLblPos val="low"/>
        <c:spPr>
          <a:noFill/>
          <a:ln w="12700"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5779176"/>
        <c:crosses val="autoZero"/>
        <c:auto val="1"/>
        <c:lblAlgn val="ctr"/>
        <c:lblOffset val="100"/>
        <c:noMultiLvlLbl val="0"/>
      </c:catAx>
      <c:valAx>
        <c:axId val="505779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5778784"/>
        <c:crosses val="autoZero"/>
        <c:crossBetween val="between"/>
      </c:valAx>
      <c:spPr>
        <a:noFill/>
        <a:ln>
          <a:noFill/>
        </a:ln>
        <a:effectLst/>
      </c:spPr>
    </c:plotArea>
    <c:legend>
      <c:legendPos val="b"/>
      <c:layout>
        <c:manualLayout>
          <c:xMode val="edge"/>
          <c:yMode val="edge"/>
          <c:x val="0.13829418016962755"/>
          <c:y val="1.4410722931478227E-2"/>
          <c:w val="0.42824168853893269"/>
          <c:h val="0.174247719773810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Arial Narrow" panose="020B0606020202030204" pitchFamily="34" charset="0"/>
        </a:defRPr>
      </a:pPr>
      <a:endParaRPr lang="sk-SK"/>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192709210695847E-2"/>
          <c:y val="4.2553191489361701E-2"/>
          <c:w val="0.90847981747355289"/>
          <c:h val="0.79580878782365005"/>
        </c:manualLayout>
      </c:layout>
      <c:areaChart>
        <c:grouping val="stacked"/>
        <c:varyColors val="0"/>
        <c:ser>
          <c:idx val="0"/>
          <c:order val="0"/>
          <c:tx>
            <c:strRef>
              <c:f>'Cisty dlh'!$A$21</c:f>
              <c:strCache>
                <c:ptCount val="1"/>
                <c:pt idx="0">
                  <c:v>Čistý dlh VS</c:v>
                </c:pt>
              </c:strCache>
            </c:strRef>
          </c:tx>
          <c:spPr>
            <a:solidFill>
              <a:schemeClr val="accent1">
                <a:lumMod val="75000"/>
              </a:schemeClr>
            </a:solidFill>
            <a:ln w="19050" cap="rnd">
              <a:noFill/>
              <a:round/>
            </a:ln>
            <a:effectLst/>
          </c:spPr>
          <c:cat>
            <c:numRef>
              <c:f>'Cisty dlh'!$K$2:$AB$2</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'Cisty dlh'!$K$21:$AB$21</c:f>
              <c:numCache>
                <c:formatCode>#\ ##0.0</c:formatCode>
                <c:ptCount val="18"/>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45.864679034753259</c:v>
                </c:pt>
                <c:pt idx="10">
                  <c:v>43.562043692126409</c:v>
                </c:pt>
                <c:pt idx="11">
                  <c:v>43.250632365697648</c:v>
                </c:pt>
                <c:pt idx="12">
                  <c:v>49.636970882029203</c:v>
                </c:pt>
                <c:pt idx="13">
                  <c:v>51.529128021188178</c:v>
                </c:pt>
                <c:pt idx="14">
                  <c:v>51.859643664998089</c:v>
                </c:pt>
                <c:pt idx="15">
                  <c:v>50.03204844228609</c:v>
                </c:pt>
                <c:pt idx="16">
                  <c:v>50.794619432125963</c:v>
                </c:pt>
                <c:pt idx="17">
                  <c:v>51.595390781669536</c:v>
                </c:pt>
              </c:numCache>
            </c:numRef>
          </c:val>
          <c:extLst xmlns:c16r2="http://schemas.microsoft.com/office/drawing/2015/06/chart">
            <c:ext xmlns:c16="http://schemas.microsoft.com/office/drawing/2014/chart" uri="{C3380CC4-5D6E-409C-BE32-E72D297353CC}">
              <c16:uniqueId val="{00000000-3593-40A8-BABB-4FCD3E52E45E}"/>
            </c:ext>
          </c:extLst>
        </c:ser>
        <c:ser>
          <c:idx val="1"/>
          <c:order val="1"/>
          <c:tx>
            <c:strRef>
              <c:f>'Cisty dlh'!$A$14</c:f>
              <c:strCache>
                <c:ptCount val="1"/>
                <c:pt idx="0">
                  <c:v>Likvidné finančné aktíva (LFA)</c:v>
                </c:pt>
              </c:strCache>
            </c:strRef>
          </c:tx>
          <c:spPr>
            <a:solidFill>
              <a:srgbClr val="2C9ADC">
                <a:lumMod val="40000"/>
                <a:lumOff val="60000"/>
              </a:srgbClr>
            </a:solidFill>
            <a:ln w="25400">
              <a:noFill/>
            </a:ln>
          </c:spPr>
          <c:cat>
            <c:numRef>
              <c:f>'Cisty dlh'!$K$2:$AB$2</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'Cisty dlh'!$K$14:$AB$14</c:f>
              <c:numCache>
                <c:formatCode>#\ ##0.0</c:formatCode>
                <c:ptCount val="18"/>
                <c:pt idx="0">
                  <c:v>6.0005364588647181</c:v>
                </c:pt>
                <c:pt idx="1">
                  <c:v>4.6773940624460817</c:v>
                </c:pt>
                <c:pt idx="2">
                  <c:v>3.9469569866278689</c:v>
                </c:pt>
                <c:pt idx="3">
                  <c:v>2.5746202098179962</c:v>
                </c:pt>
                <c:pt idx="4">
                  <c:v>6.7088236101818435</c:v>
                </c:pt>
                <c:pt idx="5">
                  <c:v>6.9126631896011617</c:v>
                </c:pt>
                <c:pt idx="6">
                  <c:v>4.0179209318691536</c:v>
                </c:pt>
                <c:pt idx="7">
                  <c:v>4.4396690105761918</c:v>
                </c:pt>
                <c:pt idx="8">
                  <c:v>5.3605424373459156</c:v>
                </c:pt>
                <c:pt idx="9">
                  <c:v>5.7352388505529737</c:v>
                </c:pt>
                <c:pt idx="10">
                  <c:v>6.0675370931906034</c:v>
                </c:pt>
                <c:pt idx="11">
                  <c:v>4.8918620126802654</c:v>
                </c:pt>
                <c:pt idx="12">
                  <c:v>10.10737999796762</c:v>
                </c:pt>
                <c:pt idx="13">
                  <c:v>11.545238189841244</c:v>
                </c:pt>
                <c:pt idx="14">
                  <c:v>9.7377755624339706</c:v>
                </c:pt>
                <c:pt idx="15">
                  <c:v>7.9874295325995739</c:v>
                </c:pt>
                <c:pt idx="16">
                  <c:v>7.372798023201427</c:v>
                </c:pt>
                <c:pt idx="17">
                  <c:v>5.6845330338979734</c:v>
                </c:pt>
              </c:numCache>
            </c:numRef>
          </c:val>
          <c:extLst xmlns:c16r2="http://schemas.microsoft.com/office/drawing/2015/06/chart">
            <c:ext xmlns:c16="http://schemas.microsoft.com/office/drawing/2014/chart" uri="{C3380CC4-5D6E-409C-BE32-E72D297353CC}">
              <c16:uniqueId val="{00000001-3593-40A8-BABB-4FCD3E52E45E}"/>
            </c:ext>
          </c:extLst>
        </c:ser>
        <c:dLbls>
          <c:showLegendKey val="0"/>
          <c:showVal val="0"/>
          <c:showCatName val="0"/>
          <c:showSerName val="0"/>
          <c:showPercent val="0"/>
          <c:showBubbleSize val="0"/>
        </c:dLbls>
        <c:axId val="499389560"/>
        <c:axId val="502656800"/>
      </c:areaChart>
      <c:lineChart>
        <c:grouping val="standard"/>
        <c:varyColors val="0"/>
        <c:ser>
          <c:idx val="2"/>
          <c:order val="2"/>
          <c:tx>
            <c:strRef>
              <c:f>'Cisty dlh'!$A$4</c:f>
              <c:strCache>
                <c:ptCount val="1"/>
                <c:pt idx="0">
                  <c:v>Hrubý dlh VS</c:v>
                </c:pt>
              </c:strCache>
            </c:strRef>
          </c:tx>
          <c:spPr>
            <a:ln>
              <a:noFill/>
            </a:ln>
          </c:spPr>
          <c:marker>
            <c:symbol val="circle"/>
            <c:size val="4"/>
            <c:spPr>
              <a:solidFill>
                <a:schemeClr val="tx1"/>
              </a:solidFill>
              <a:ln>
                <a:noFill/>
              </a:ln>
            </c:spPr>
          </c:marker>
          <c:dLbls>
            <c:dLbl>
              <c:idx val="13"/>
              <c:spPr>
                <a:noFill/>
                <a:ln>
                  <a:noFill/>
                </a:ln>
                <a:effectLst/>
              </c:spPr>
              <c:txPr>
                <a:bodyPr wrap="square" lIns="38100" tIns="19050" rIns="38100" bIns="19050" anchor="ctr">
                  <a:spAutoFit/>
                </a:bodyPr>
                <a:lstStyle/>
                <a:p>
                  <a:pPr>
                    <a:defRPr sz="700" b="0"/>
                  </a:pPr>
                  <a:endParaRPr lang="sk-SK"/>
                </a:p>
              </c:tx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593-40A8-BABB-4FCD3E52E45E}"/>
                </c:ext>
                <c:ext xmlns:c15="http://schemas.microsoft.com/office/drawing/2012/chart" uri="{CE6537A1-D6FC-4f65-9D91-7224C49458BB}"/>
              </c:extLst>
            </c:dLbl>
            <c:dLbl>
              <c:idx val="17"/>
              <c:spPr>
                <a:noFill/>
                <a:ln>
                  <a:noFill/>
                </a:ln>
                <a:effectLst/>
              </c:spPr>
              <c:txPr>
                <a:bodyPr wrap="square" lIns="38100" tIns="19050" rIns="38100" bIns="19050" anchor="ctr">
                  <a:spAutoFit/>
                </a:bodyPr>
                <a:lstStyle/>
                <a:p>
                  <a:pPr>
                    <a:defRPr sz="700" b="0"/>
                  </a:pPr>
                  <a:endParaRPr lang="sk-SK"/>
                </a:p>
              </c:txPr>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593-40A8-BABB-4FCD3E52E45E}"/>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600" b="0"/>
                </a:pPr>
                <a:endParaRPr lang="sk-SK"/>
              </a:p>
            </c:txPr>
            <c:dLblPos val="t"/>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val>
            <c:numRef>
              <c:f>'Cisty dlh'!$K$4:$AB$4</c:f>
              <c:numCache>
                <c:formatCode>#\ ##0.0</c:formatCode>
                <c:ptCount val="18"/>
                <c:pt idx="0">
                  <c:v>28.598844266178187</c:v>
                </c:pt>
                <c:pt idx="1">
                  <c:v>36.360888192511553</c:v>
                </c:pt>
                <c:pt idx="2">
                  <c:v>41.015691430321638</c:v>
                </c:pt>
                <c:pt idx="3">
                  <c:v>43.502305229419441</c:v>
                </c:pt>
                <c:pt idx="4">
                  <c:v>51.845561326410049</c:v>
                </c:pt>
                <c:pt idx="5">
                  <c:v>54.794008379682587</c:v>
                </c:pt>
                <c:pt idx="6">
                  <c:v>53.561788094018638</c:v>
                </c:pt>
                <c:pt idx="7">
                  <c:v>51.923690653091235</c:v>
                </c:pt>
                <c:pt idx="8">
                  <c:v>52.412725889252222</c:v>
                </c:pt>
                <c:pt idx="9">
                  <c:v>51.599917885306233</c:v>
                </c:pt>
                <c:pt idx="10">
                  <c:v>49.629580785317003</c:v>
                </c:pt>
                <c:pt idx="11">
                  <c:v>48.142494378377911</c:v>
                </c:pt>
                <c:pt idx="12">
                  <c:v>59.744350879996823</c:v>
                </c:pt>
                <c:pt idx="13">
                  <c:v>63.074366211029421</c:v>
                </c:pt>
                <c:pt idx="14">
                  <c:v>61.597419227432063</c:v>
                </c:pt>
                <c:pt idx="15">
                  <c:v>58.019477974885667</c:v>
                </c:pt>
                <c:pt idx="16">
                  <c:v>58.167417455327389</c:v>
                </c:pt>
                <c:pt idx="17">
                  <c:v>57.279923815567514</c:v>
                </c:pt>
              </c:numCache>
            </c:numRef>
          </c:val>
          <c:smooth val="0"/>
          <c:extLst xmlns:c16r2="http://schemas.microsoft.com/office/drawing/2015/06/chart">
            <c:ext xmlns:c16="http://schemas.microsoft.com/office/drawing/2014/chart" uri="{C3380CC4-5D6E-409C-BE32-E72D297353CC}">
              <c16:uniqueId val="{00000002-3593-40A8-BABB-4FCD3E52E45E}"/>
            </c:ext>
          </c:extLst>
        </c:ser>
        <c:ser>
          <c:idx val="3"/>
          <c:order val="3"/>
          <c:spPr>
            <a:ln w="28575">
              <a:noFill/>
            </a:ln>
          </c:spPr>
          <c:marker>
            <c:symbol val="diamond"/>
            <c:size val="7"/>
            <c:spPr>
              <a:noFill/>
              <a:ln>
                <a:noFill/>
              </a:ln>
            </c:spPr>
          </c:marker>
          <c:val>
            <c:numRef>
              <c:f>'Cisty dlh'!$K$21:$AB$21</c:f>
              <c:numCache>
                <c:formatCode>#\ ##0.0</c:formatCode>
                <c:ptCount val="18"/>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45.864679034753259</c:v>
                </c:pt>
                <c:pt idx="10">
                  <c:v>43.562043692126409</c:v>
                </c:pt>
                <c:pt idx="11">
                  <c:v>43.250632365697648</c:v>
                </c:pt>
                <c:pt idx="12">
                  <c:v>49.636970882029203</c:v>
                </c:pt>
                <c:pt idx="13">
                  <c:v>51.529128021188178</c:v>
                </c:pt>
                <c:pt idx="14">
                  <c:v>51.859643664998089</c:v>
                </c:pt>
                <c:pt idx="15">
                  <c:v>50.03204844228609</c:v>
                </c:pt>
                <c:pt idx="16">
                  <c:v>50.794619432125963</c:v>
                </c:pt>
                <c:pt idx="17">
                  <c:v>51.595390781669536</c:v>
                </c:pt>
              </c:numCache>
            </c:numRef>
          </c:val>
          <c:smooth val="0"/>
          <c:extLst xmlns:c16r2="http://schemas.microsoft.com/office/drawing/2015/06/chart">
            <c:ext xmlns:c16="http://schemas.microsoft.com/office/drawing/2014/chart" uri="{C3380CC4-5D6E-409C-BE32-E72D297353CC}">
              <c16:uniqueId val="{00000003-3593-40A8-BABB-4FCD3E52E45E}"/>
            </c:ext>
          </c:extLst>
        </c:ser>
        <c:ser>
          <c:idx val="4"/>
          <c:order val="4"/>
          <c:tx>
            <c:strRef>
              <c:f>'Cisty dlh'!$A$29</c:f>
              <c:strCache>
                <c:ptCount val="1"/>
                <c:pt idx="0">
                  <c:v>Horné sankčné pásmo (hrubý dlh)</c:v>
                </c:pt>
              </c:strCache>
            </c:strRef>
          </c:tx>
          <c:spPr>
            <a:ln w="19050">
              <a:solidFill>
                <a:srgbClr val="FF0000"/>
              </a:solidFill>
              <a:prstDash val="sysDot"/>
            </a:ln>
          </c:spPr>
          <c:marker>
            <c:symbol val="none"/>
          </c:marker>
          <c:val>
            <c:numRef>
              <c:f>'Cisty dlh'!$K$29:$AB$29</c:f>
              <c:numCache>
                <c:formatCode>General</c:formatCode>
                <c:ptCount val="18"/>
                <c:pt idx="0">
                  <c:v>#N/A</c:v>
                </c:pt>
                <c:pt idx="1">
                  <c:v>#N/A</c:v>
                </c:pt>
                <c:pt idx="2">
                  <c:v>#N/A</c:v>
                </c:pt>
                <c:pt idx="3">
                  <c:v>#N/A</c:v>
                </c:pt>
                <c:pt idx="4">
                  <c:v>60</c:v>
                </c:pt>
                <c:pt idx="5">
                  <c:v>60</c:v>
                </c:pt>
                <c:pt idx="6">
                  <c:v>60</c:v>
                </c:pt>
                <c:pt idx="7">
                  <c:v>60</c:v>
                </c:pt>
                <c:pt idx="8">
                  <c:v>60</c:v>
                </c:pt>
                <c:pt idx="9">
                  <c:v>60</c:v>
                </c:pt>
                <c:pt idx="10">
                  <c:v>59</c:v>
                </c:pt>
                <c:pt idx="11">
                  <c:v>58</c:v>
                </c:pt>
                <c:pt idx="12">
                  <c:v>57</c:v>
                </c:pt>
                <c:pt idx="13">
                  <c:v>56</c:v>
                </c:pt>
                <c:pt idx="14">
                  <c:v>55</c:v>
                </c:pt>
                <c:pt idx="15">
                  <c:v>54</c:v>
                </c:pt>
                <c:pt idx="16">
                  <c:v>53</c:v>
                </c:pt>
                <c:pt idx="17">
                  <c:v>52</c:v>
                </c:pt>
              </c:numCache>
            </c:numRef>
          </c:val>
          <c:smooth val="0"/>
          <c:extLst xmlns:c16r2="http://schemas.microsoft.com/office/drawing/2015/06/chart">
            <c:ext xmlns:c16="http://schemas.microsoft.com/office/drawing/2014/chart" uri="{C3380CC4-5D6E-409C-BE32-E72D297353CC}">
              <c16:uniqueId val="{00000004-3593-40A8-BABB-4FCD3E52E45E}"/>
            </c:ext>
          </c:extLst>
        </c:ser>
        <c:ser>
          <c:idx val="5"/>
          <c:order val="5"/>
          <c:tx>
            <c:strRef>
              <c:f>'Súhrnná tabuľka'!$AN$148</c:f>
              <c:strCache>
                <c:ptCount val="1"/>
                <c:pt idx="0">
                  <c:v>Hrubý dlh pri splnení cieľov nominálneho salda</c:v>
                </c:pt>
              </c:strCache>
            </c:strRef>
          </c:tx>
          <c:spPr>
            <a:ln w="19050">
              <a:solidFill>
                <a:sysClr val="windowText" lastClr="000000"/>
              </a:solidFill>
              <a:prstDash val="sysDash"/>
            </a:ln>
          </c:spPr>
          <c:marker>
            <c:symbol val="none"/>
          </c:marker>
          <c:val>
            <c:numRef>
              <c:f>'Súhrnná tabuľka'!$AN$146:$BE$146</c:f>
              <c:numCache>
                <c:formatCode>General</c:formatCode>
                <c:ptCount val="18"/>
                <c:pt idx="14" formatCode="#\ ##0.0">
                  <c:v>61.597419227432063</c:v>
                </c:pt>
                <c:pt idx="15" formatCode="0.0">
                  <c:v>57.139444386167561</c:v>
                </c:pt>
                <c:pt idx="16" formatCode="0.0">
                  <c:v>56.415801774462061</c:v>
                </c:pt>
                <c:pt idx="17" formatCode="0.0">
                  <c:v>54.145798426782001</c:v>
                </c:pt>
              </c:numCache>
            </c:numRef>
          </c:val>
          <c:smooth val="0"/>
          <c:extLst xmlns:c16r2="http://schemas.microsoft.com/office/drawing/2015/06/chart">
            <c:ext xmlns:c16="http://schemas.microsoft.com/office/drawing/2014/chart" uri="{C3380CC4-5D6E-409C-BE32-E72D297353CC}">
              <c16:uniqueId val="{00000005-3593-40A8-BABB-4FCD3E52E45E}"/>
            </c:ext>
          </c:extLst>
        </c:ser>
        <c:dLbls>
          <c:showLegendKey val="0"/>
          <c:showVal val="0"/>
          <c:showCatName val="0"/>
          <c:showSerName val="0"/>
          <c:showPercent val="0"/>
          <c:showBubbleSize val="0"/>
        </c:dLbls>
        <c:marker val="1"/>
        <c:smooth val="0"/>
        <c:axId val="499389560"/>
        <c:axId val="502656800"/>
      </c:lineChart>
      <c:catAx>
        <c:axId val="499389560"/>
        <c:scaling>
          <c:orientation val="minMax"/>
        </c:scaling>
        <c:delete val="0"/>
        <c:axPos val="b"/>
        <c:numFmt formatCode="General" sourceLinked="1"/>
        <c:majorTickMark val="out"/>
        <c:minorTickMark val="none"/>
        <c:tickLblPos val="low"/>
        <c:spPr>
          <a:noFill/>
          <a:ln w="3175" cap="flat" cmpd="sng" algn="ctr">
            <a:solidFill>
              <a:schemeClr val="tx1"/>
            </a:solidFill>
            <a:round/>
          </a:ln>
          <a:effectLst/>
        </c:spPr>
        <c:txPr>
          <a:bodyPr rot="-60000000" vert="horz"/>
          <a:lstStyle/>
          <a:p>
            <a:pPr>
              <a:defRPr sz="700"/>
            </a:pPr>
            <a:endParaRPr lang="sk-SK"/>
          </a:p>
        </c:txPr>
        <c:crossAx val="502656800"/>
        <c:crosses val="autoZero"/>
        <c:auto val="0"/>
        <c:lblAlgn val="ctr"/>
        <c:lblOffset val="100"/>
        <c:noMultiLvlLbl val="0"/>
      </c:catAx>
      <c:valAx>
        <c:axId val="502656800"/>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0" sourceLinked="0"/>
        <c:majorTickMark val="none"/>
        <c:minorTickMark val="none"/>
        <c:tickLblPos val="nextTo"/>
        <c:spPr>
          <a:noFill/>
          <a:ln w="3175">
            <a:solidFill>
              <a:schemeClr val="tx1"/>
            </a:solidFill>
          </a:ln>
          <a:effectLst/>
        </c:spPr>
        <c:txPr>
          <a:bodyPr rot="-60000000" vert="horz"/>
          <a:lstStyle/>
          <a:p>
            <a:pPr>
              <a:defRPr/>
            </a:pPr>
            <a:endParaRPr lang="sk-SK"/>
          </a:p>
        </c:txPr>
        <c:crossAx val="499389560"/>
        <c:crosses val="autoZero"/>
        <c:crossBetween val="between"/>
      </c:valAx>
      <c:spPr>
        <a:noFill/>
        <a:ln w="3175">
          <a:noFill/>
          <a:prstDash val="sysDot"/>
        </a:ln>
        <a:effectLst/>
      </c:spPr>
    </c:plotArea>
    <c:legend>
      <c:legendPos val="t"/>
      <c:legendEntry>
        <c:idx val="3"/>
        <c:delete val="1"/>
      </c:legendEntry>
      <c:layout>
        <c:manualLayout>
          <c:xMode val="edge"/>
          <c:yMode val="edge"/>
          <c:x val="0.10703050304365963"/>
          <c:y val="4.1208791208791208E-2"/>
          <c:w val="0.61247402091616188"/>
          <c:h val="0.17402757087796458"/>
        </c:manualLayout>
      </c:layout>
      <c:overlay val="0"/>
      <c:txPr>
        <a:bodyPr/>
        <a:lstStyle/>
        <a:p>
          <a:pPr>
            <a:defRPr sz="500"/>
          </a:pPr>
          <a:endParaRPr lang="sk-SK"/>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sk-SK"/>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291776027996498E-2"/>
          <c:y val="5.556720547334907E-2"/>
          <c:w val="0.88601356080489935"/>
          <c:h val="0.68543689758448845"/>
        </c:manualLayout>
      </c:layout>
      <c:lineChart>
        <c:grouping val="standard"/>
        <c:varyColors val="0"/>
        <c:ser>
          <c:idx val="0"/>
          <c:order val="0"/>
          <c:tx>
            <c:strRef>
              <c:f>'Fiscal stance_PS (COVID excl)'!$A$83</c:f>
              <c:strCache>
                <c:ptCount val="1"/>
                <c:pt idx="0">
                  <c:v>Upravené primárne bežné výdavky (bez EÚ) - odporúčanie EK (ľavá os)</c:v>
                </c:pt>
              </c:strCache>
            </c:strRef>
          </c:tx>
          <c:spPr>
            <a:ln w="25400" cap="rnd">
              <a:noFill/>
              <a:round/>
            </a:ln>
            <a:effectLst/>
          </c:spPr>
          <c:marker>
            <c:symbol val="dash"/>
            <c:size val="14"/>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Narrow" panose="020B0606020202030204" pitchFamily="34" charset="0"/>
                    <a:ea typeface="+mn-ea"/>
                    <a:cs typeface="+mn-cs"/>
                  </a:defRPr>
                </a:pPr>
                <a:endParaRPr lang="sk-SK"/>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trendline>
            <c:spPr>
              <a:ln w="19050" cap="rnd">
                <a:solidFill>
                  <a:schemeClr val="accent1"/>
                </a:solidFill>
                <a:prstDash val="sysDot"/>
              </a:ln>
              <a:effectLst/>
            </c:spPr>
            <c:trendlineType val="linear"/>
            <c:dispRSqr val="0"/>
            <c:dispEq val="0"/>
          </c:trendline>
          <c:cat>
            <c:numRef>
              <c:f>'Fiscal stance_PS (COVID excl)'!$E$60:$H$60</c:f>
              <c:numCache>
                <c:formatCode>General</c:formatCode>
                <c:ptCount val="4"/>
                <c:pt idx="0">
                  <c:v>2022</c:v>
                </c:pt>
                <c:pt idx="1">
                  <c:v>2023</c:v>
                </c:pt>
                <c:pt idx="2">
                  <c:v>2024</c:v>
                </c:pt>
                <c:pt idx="3">
                  <c:v>2025</c:v>
                </c:pt>
              </c:numCache>
            </c:numRef>
          </c:cat>
          <c:val>
            <c:numRef>
              <c:f>'Fiscal stance_PS (COVID excl)'!$E$83:$H$83</c:f>
              <c:numCache>
                <c:formatCode>0.0</c:formatCode>
                <c:ptCount val="4"/>
                <c:pt idx="0">
                  <c:v>#N/A</c:v>
                </c:pt>
                <c:pt idx="1">
                  <c:v>36.686905421864061</c:v>
                </c:pt>
                <c:pt idx="2">
                  <c:v>#N/A</c:v>
                </c:pt>
                <c:pt idx="3">
                  <c:v>#N/A</c:v>
                </c:pt>
              </c:numCache>
            </c:numRef>
          </c:val>
          <c:smooth val="0"/>
          <c:extLst xmlns:c16r2="http://schemas.microsoft.com/office/drawing/2015/06/chart">
            <c:ext xmlns:c16="http://schemas.microsoft.com/office/drawing/2014/chart" uri="{C3380CC4-5D6E-409C-BE32-E72D297353CC}">
              <c16:uniqueId val="{00000000-AD33-435D-A27B-5362B28BAC60}"/>
            </c:ext>
          </c:extLst>
        </c:ser>
        <c:ser>
          <c:idx val="3"/>
          <c:order val="3"/>
          <c:tx>
            <c:strRef>
              <c:f>'Fiscal stance_PS (COVID excl)'!$A$82</c:f>
              <c:strCache>
                <c:ptCount val="1"/>
                <c:pt idx="0">
                  <c:v>Upravené primárne bežné výdavky (bez EÚ) - FRRVS (ľavá os)</c:v>
                </c:pt>
              </c:strCache>
            </c:strRef>
          </c:tx>
          <c:spPr>
            <a:ln w="25400" cap="rnd">
              <a:solidFill>
                <a:schemeClr val="tx1">
                  <a:lumMod val="50000"/>
                  <a:lumOff val="50000"/>
                </a:schemeClr>
              </a:solidFill>
              <a:round/>
            </a:ln>
            <a:effectLst/>
          </c:spPr>
          <c:marker>
            <c:symbol val="circle"/>
            <c:size val="5"/>
            <c:spPr>
              <a:solidFill>
                <a:schemeClr val="tx1">
                  <a:lumMod val="50000"/>
                  <a:lumOff val="50000"/>
                </a:schemeClr>
              </a:solidFill>
              <a:ln w="9525">
                <a:noFill/>
              </a:ln>
              <a:effectLst/>
            </c:spPr>
          </c:marker>
          <c:dPt>
            <c:idx val="3"/>
            <c:marker>
              <c:symbol val="circle"/>
              <c:size val="5"/>
              <c:spPr>
                <a:solidFill>
                  <a:schemeClr val="tx1">
                    <a:lumMod val="50000"/>
                    <a:lumOff val="50000"/>
                  </a:schemeClr>
                </a:solidFill>
                <a:ln w="9525">
                  <a:noFill/>
                </a:ln>
                <a:effectLst/>
              </c:spPr>
            </c:marker>
            <c:bubble3D val="0"/>
            <c:spPr>
              <a:ln w="25400" cap="rnd">
                <a:solidFill>
                  <a:schemeClr val="tx1">
                    <a:lumMod val="50000"/>
                    <a:lumOff val="50000"/>
                  </a:schemeClr>
                </a:solidFill>
                <a:prstDash val="sysDot"/>
                <a:round/>
              </a:ln>
              <a:effectLst/>
            </c:spPr>
            <c:extLst xmlns:c16r2="http://schemas.microsoft.com/office/drawing/2015/06/chart">
              <c:ext xmlns:c16="http://schemas.microsoft.com/office/drawing/2014/chart" uri="{C3380CC4-5D6E-409C-BE32-E72D297353CC}">
                <c16:uniqueId val="{00000002-AD33-435D-A27B-5362B28BAC60}"/>
              </c:ext>
            </c:extLst>
          </c:dPt>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Arial Narrow" panose="020B0606020202030204" pitchFamily="34" charset="0"/>
                    <a:ea typeface="+mn-ea"/>
                    <a:cs typeface="+mn-cs"/>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'Fiscal stance_PS (COVID excl)'!$E$60:$H$60</c:f>
              <c:numCache>
                <c:formatCode>General</c:formatCode>
                <c:ptCount val="4"/>
                <c:pt idx="0">
                  <c:v>2022</c:v>
                </c:pt>
                <c:pt idx="1">
                  <c:v>2023</c:v>
                </c:pt>
                <c:pt idx="2">
                  <c:v>2024</c:v>
                </c:pt>
                <c:pt idx="3">
                  <c:v>2025</c:v>
                </c:pt>
              </c:numCache>
            </c:numRef>
          </c:cat>
          <c:val>
            <c:numRef>
              <c:f>'Fiscal stance_PS (COVID excl)'!$E$82:$H$82</c:f>
              <c:numCache>
                <c:formatCode>0.0</c:formatCode>
                <c:ptCount val="4"/>
                <c:pt idx="0">
                  <c:v>37.014758559067111</c:v>
                </c:pt>
                <c:pt idx="1">
                  <c:v>37.438412805900526</c:v>
                </c:pt>
                <c:pt idx="2">
                  <c:v>35.710029482861181</c:v>
                </c:pt>
                <c:pt idx="3">
                  <c:v>35.299102284123705</c:v>
                </c:pt>
              </c:numCache>
            </c:numRef>
          </c:val>
          <c:smooth val="0"/>
          <c:extLst xmlns:c16r2="http://schemas.microsoft.com/office/drawing/2015/06/chart">
            <c:ext xmlns:c16="http://schemas.microsoft.com/office/drawing/2014/chart" uri="{C3380CC4-5D6E-409C-BE32-E72D297353CC}">
              <c16:uniqueId val="{00000003-AD33-435D-A27B-5362B28BAC60}"/>
            </c:ext>
          </c:extLst>
        </c:ser>
        <c:ser>
          <c:idx val="4"/>
          <c:order val="4"/>
          <c:tx>
            <c:strRef>
              <c:f>'Fiscal stance_PS (COVID excl)'!$A$84</c:f>
              <c:strCache>
                <c:ptCount val="1"/>
                <c:pt idx="0">
                  <c:v>Upravené primárne bežné výdavky (bez EÚ) - ciele rozpočtu (ľavá os)</c:v>
                </c:pt>
              </c:strCache>
            </c:strRef>
          </c:tx>
          <c:spPr>
            <a:ln w="25400" cap="rnd">
              <a:noFill/>
              <a:round/>
            </a:ln>
            <a:effectLst/>
          </c:spPr>
          <c:marker>
            <c:symbol val="diamond"/>
            <c:size val="8"/>
            <c:spPr>
              <a:solidFill>
                <a:schemeClr val="accent5"/>
              </a:solidFill>
              <a:ln w="9525">
                <a:solidFill>
                  <a:schemeClr val="tx1"/>
                </a:solidFill>
              </a:ln>
              <a:effectLst/>
            </c:spPr>
          </c:marker>
          <c:val>
            <c:numRef>
              <c:f>'Fiscal stance_PS (COVID excl)'!$E$84:$H$84</c:f>
              <c:numCache>
                <c:formatCode>0.0</c:formatCode>
                <c:ptCount val="4"/>
                <c:pt idx="1">
                  <c:v>36.673979419352683</c:v>
                </c:pt>
              </c:numCache>
            </c:numRef>
          </c:val>
          <c:smooth val="0"/>
          <c:extLst xmlns:c16r2="http://schemas.microsoft.com/office/drawing/2015/06/chart">
            <c:ext xmlns:c16="http://schemas.microsoft.com/office/drawing/2014/chart" uri="{C3380CC4-5D6E-409C-BE32-E72D297353CC}">
              <c16:uniqueId val="{00000004-AD33-435D-A27B-5362B28BAC60}"/>
            </c:ext>
          </c:extLst>
        </c:ser>
        <c:dLbls>
          <c:showLegendKey val="0"/>
          <c:showVal val="0"/>
          <c:showCatName val="0"/>
          <c:showSerName val="0"/>
          <c:showPercent val="0"/>
          <c:showBubbleSize val="0"/>
        </c:dLbls>
        <c:marker val="1"/>
        <c:smooth val="0"/>
        <c:axId val="505779960"/>
        <c:axId val="505780352"/>
      </c:lineChart>
      <c:lineChart>
        <c:grouping val="standard"/>
        <c:varyColors val="0"/>
        <c:ser>
          <c:idx val="1"/>
          <c:order val="1"/>
          <c:tx>
            <c:strRef>
              <c:f>'Fiscal stance_PS (COVID excl)'!$A$80</c:f>
              <c:strCache>
                <c:ptCount val="1"/>
                <c:pt idx="0">
                  <c:v>Národne financované investície - odporúčanie EK (pravá os)</c:v>
                </c:pt>
              </c:strCache>
            </c:strRef>
          </c:tx>
          <c:spPr>
            <a:ln w="25400" cap="rnd">
              <a:noFill/>
              <a:prstDash val="sysDot"/>
              <a:round/>
            </a:ln>
            <a:effectLst/>
          </c:spPr>
          <c:marker>
            <c:symbol val="dash"/>
            <c:size val="14"/>
            <c:spPr>
              <a:solidFill>
                <a:srgbClr val="002060"/>
              </a:solidFill>
              <a:ln w="9525">
                <a:noFill/>
              </a:ln>
              <a:effectLst/>
            </c:spPr>
          </c:marker>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Arial Narrow" panose="020B0606020202030204" pitchFamily="34" charset="0"/>
                    <a:ea typeface="+mn-ea"/>
                    <a:cs typeface="+mn-cs"/>
                  </a:defRPr>
                </a:pPr>
                <a:endParaRPr lang="sk-SK"/>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'Fiscal stance_PS (COVID excl)'!$E$60:$H$60</c:f>
              <c:numCache>
                <c:formatCode>General</c:formatCode>
                <c:ptCount val="4"/>
                <c:pt idx="0">
                  <c:v>2022</c:v>
                </c:pt>
                <c:pt idx="1">
                  <c:v>2023</c:v>
                </c:pt>
                <c:pt idx="2">
                  <c:v>2024</c:v>
                </c:pt>
                <c:pt idx="3">
                  <c:v>2025</c:v>
                </c:pt>
              </c:numCache>
            </c:numRef>
          </c:cat>
          <c:val>
            <c:numRef>
              <c:f>'Fiscal stance_PS (COVID excl)'!$E$80:$H$80</c:f>
              <c:numCache>
                <c:formatCode>0.0</c:formatCode>
                <c:ptCount val="4"/>
                <c:pt idx="0">
                  <c:v>#N/A</c:v>
                </c:pt>
                <c:pt idx="1">
                  <c:v>3.4201142344238189</c:v>
                </c:pt>
                <c:pt idx="2">
                  <c:v>#N/A</c:v>
                </c:pt>
                <c:pt idx="3">
                  <c:v>#N/A</c:v>
                </c:pt>
              </c:numCache>
            </c:numRef>
          </c:val>
          <c:smooth val="0"/>
          <c:extLst xmlns:c16r2="http://schemas.microsoft.com/office/drawing/2015/06/chart">
            <c:ext xmlns:c16="http://schemas.microsoft.com/office/drawing/2014/chart" uri="{C3380CC4-5D6E-409C-BE32-E72D297353CC}">
              <c16:uniqueId val="{00000005-AD33-435D-A27B-5362B28BAC60}"/>
            </c:ext>
          </c:extLst>
        </c:ser>
        <c:ser>
          <c:idx val="2"/>
          <c:order val="2"/>
          <c:tx>
            <c:strRef>
              <c:f>'Fiscal stance_PS (COVID excl)'!$A$79</c:f>
              <c:strCache>
                <c:ptCount val="1"/>
                <c:pt idx="0">
                  <c:v>Národne financované investície - FRRVS (pravá os)</c:v>
                </c:pt>
              </c:strCache>
            </c:strRef>
          </c:tx>
          <c:spPr>
            <a:ln w="25400" cap="rnd">
              <a:solidFill>
                <a:srgbClr val="369ADC"/>
              </a:solidFill>
              <a:round/>
            </a:ln>
            <a:effectLst/>
          </c:spPr>
          <c:marker>
            <c:symbol val="circle"/>
            <c:size val="5"/>
            <c:spPr>
              <a:solidFill>
                <a:srgbClr val="369ADC"/>
              </a:solidFill>
              <a:ln w="9525">
                <a:noFill/>
              </a:ln>
              <a:effectLst/>
            </c:spPr>
          </c:marker>
          <c:dPt>
            <c:idx val="3"/>
            <c:marker>
              <c:symbol val="circle"/>
              <c:size val="5"/>
              <c:spPr>
                <a:solidFill>
                  <a:srgbClr val="369ADC"/>
                </a:solidFill>
                <a:ln w="9525">
                  <a:noFill/>
                </a:ln>
                <a:effectLst/>
              </c:spPr>
            </c:marker>
            <c:bubble3D val="0"/>
            <c:spPr>
              <a:ln w="25400" cap="rnd">
                <a:solidFill>
                  <a:srgbClr val="369ADC"/>
                </a:solidFill>
                <a:prstDash val="sysDot"/>
                <a:round/>
              </a:ln>
              <a:effectLst/>
            </c:spPr>
            <c:extLst xmlns:c16r2="http://schemas.microsoft.com/office/drawing/2015/06/chart">
              <c:ext xmlns:c16="http://schemas.microsoft.com/office/drawing/2014/chart" uri="{C3380CC4-5D6E-409C-BE32-E72D297353CC}">
                <c16:uniqueId val="{00000007-AD33-435D-A27B-5362B28BAC60}"/>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ysClr val="windowText" lastClr="000000"/>
                    </a:solidFill>
                    <a:latin typeface="Arial Narrow" panose="020B0606020202030204" pitchFamily="34" charset="0"/>
                    <a:ea typeface="+mn-ea"/>
                    <a:cs typeface="+mn-cs"/>
                  </a:defRPr>
                </a:pPr>
                <a:endParaRPr lang="sk-SK"/>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'Fiscal stance_PS (COVID excl)'!$E$60:$H$60</c:f>
              <c:numCache>
                <c:formatCode>General</c:formatCode>
                <c:ptCount val="4"/>
                <c:pt idx="0">
                  <c:v>2022</c:v>
                </c:pt>
                <c:pt idx="1">
                  <c:v>2023</c:v>
                </c:pt>
                <c:pt idx="2">
                  <c:v>2024</c:v>
                </c:pt>
                <c:pt idx="3">
                  <c:v>2025</c:v>
                </c:pt>
              </c:numCache>
            </c:numRef>
          </c:cat>
          <c:val>
            <c:numRef>
              <c:f>'Fiscal stance_PS (COVID excl)'!$E$79:$H$79</c:f>
              <c:numCache>
                <c:formatCode>0.0</c:formatCode>
                <c:ptCount val="4"/>
                <c:pt idx="0">
                  <c:v>3.4488101259325132</c:v>
                </c:pt>
                <c:pt idx="1">
                  <c:v>3.2067138267905366</c:v>
                </c:pt>
                <c:pt idx="2">
                  <c:v>2.9974843241942235</c:v>
                </c:pt>
                <c:pt idx="3">
                  <c:v>3.2154335566650163</c:v>
                </c:pt>
              </c:numCache>
            </c:numRef>
          </c:val>
          <c:smooth val="0"/>
          <c:extLst xmlns:c16r2="http://schemas.microsoft.com/office/drawing/2015/06/chart">
            <c:ext xmlns:c16="http://schemas.microsoft.com/office/drawing/2014/chart" uri="{C3380CC4-5D6E-409C-BE32-E72D297353CC}">
              <c16:uniqueId val="{00000008-AD33-435D-A27B-5362B28BAC60}"/>
            </c:ext>
          </c:extLst>
        </c:ser>
        <c:dLbls>
          <c:showLegendKey val="0"/>
          <c:showVal val="0"/>
          <c:showCatName val="0"/>
          <c:showSerName val="0"/>
          <c:showPercent val="0"/>
          <c:showBubbleSize val="0"/>
        </c:dLbls>
        <c:marker val="1"/>
        <c:smooth val="0"/>
        <c:axId val="503238368"/>
        <c:axId val="503237976"/>
      </c:lineChart>
      <c:catAx>
        <c:axId val="505779960"/>
        <c:scaling>
          <c:orientation val="minMax"/>
        </c:scaling>
        <c:delete val="0"/>
        <c:axPos val="b"/>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Narrow" panose="020B0606020202030204" pitchFamily="34" charset="0"/>
                <a:ea typeface="+mn-ea"/>
                <a:cs typeface="+mn-cs"/>
              </a:defRPr>
            </a:pPr>
            <a:endParaRPr lang="sk-SK"/>
          </a:p>
        </c:txPr>
        <c:crossAx val="505780352"/>
        <c:crosses val="autoZero"/>
        <c:auto val="1"/>
        <c:lblAlgn val="ctr"/>
        <c:lblOffset val="100"/>
        <c:noMultiLvlLbl val="0"/>
      </c:catAx>
      <c:valAx>
        <c:axId val="505780352"/>
        <c:scaling>
          <c:orientation val="minMax"/>
          <c:max val="43"/>
          <c:min val="34.5"/>
        </c:scaling>
        <c:delete val="0"/>
        <c:axPos val="l"/>
        <c:numFmt formatCode="[&lt;=38]0;" sourceLinked="0"/>
        <c:majorTickMark val="none"/>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505779960"/>
        <c:crosses val="autoZero"/>
        <c:crossBetween val="between"/>
        <c:majorUnit val="1"/>
      </c:valAx>
      <c:valAx>
        <c:axId val="503237976"/>
        <c:scaling>
          <c:orientation val="minMax"/>
          <c:max val="5"/>
          <c:min val="-4"/>
        </c:scaling>
        <c:delete val="0"/>
        <c:axPos val="r"/>
        <c:numFmt formatCode="#;;0;" sourceLinked="0"/>
        <c:majorTickMark val="none"/>
        <c:minorTickMark val="none"/>
        <c:tickLblPos val="nextTo"/>
        <c:spPr>
          <a:noFill/>
          <a:ln w="9525">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503238368"/>
        <c:crosses val="max"/>
        <c:crossBetween val="between"/>
        <c:majorUnit val="1"/>
      </c:valAx>
      <c:catAx>
        <c:axId val="503238368"/>
        <c:scaling>
          <c:orientation val="minMax"/>
        </c:scaling>
        <c:delete val="0"/>
        <c:axPos val="b"/>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503237976"/>
        <c:crosses val="autoZero"/>
        <c:auto val="1"/>
        <c:lblAlgn val="ctr"/>
        <c:lblOffset val="100"/>
        <c:noMultiLvlLbl val="0"/>
      </c:catAx>
      <c:spPr>
        <a:noFill/>
        <a:ln>
          <a:noFill/>
        </a:ln>
        <a:effectLst/>
      </c:spPr>
    </c:plotArea>
    <c:legend>
      <c:legendPos val="b"/>
      <c:legendEntry>
        <c:idx val="5"/>
        <c:delete val="1"/>
      </c:legendEntry>
      <c:layout>
        <c:manualLayout>
          <c:xMode val="edge"/>
          <c:yMode val="edge"/>
          <c:x val="4.0515743652955275E-4"/>
          <c:y val="0.81569545906773222"/>
          <c:w val="0.99639777007326469"/>
          <c:h val="0.18430454093226775"/>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tx>
            <c:strRef>
              <c:f>'Fiscal stance_PS_new deflator'!$A$69</c:f>
              <c:strCache>
                <c:ptCount val="1"/>
                <c:pt idx="0">
                  <c:v>FRRVS</c:v>
                </c:pt>
              </c:strCache>
            </c:strRef>
          </c:tx>
          <c:spPr>
            <a:solidFill>
              <a:srgbClr val="369ADC"/>
            </a:solidFill>
            <a:ln>
              <a:noFill/>
            </a:ln>
            <a:effectLst/>
          </c:spPr>
          <c:invertIfNegative val="0"/>
          <c:dLbls>
            <c:dLbl>
              <c:idx val="5"/>
              <c:layout>
                <c:manualLayout>
                  <c:x val="1.0234842619514179E-16"/>
                  <c:y val="0.19383138913372827"/>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2B3-4D68-A462-E71AD33B1DFA}"/>
                </c:ext>
                <c:ext xmlns:c15="http://schemas.microsoft.com/office/drawing/2012/chart" uri="{CE6537A1-D6FC-4f65-9D91-7224C49458BB}"/>
              </c:extLst>
            </c:dLbl>
            <c:dLbl>
              <c:idx val="6"/>
              <c:layout>
                <c:manualLayout>
                  <c:x val="-1.0234842619514179E-16"/>
                  <c:y val="0.22787856863268649"/>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2B3-4D68-A462-E71AD33B1DFA}"/>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bg1"/>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'Fiscal stance_PS_new deflator'!$B$60:$H$60</c:f>
              <c:numCache>
                <c:formatCode>General</c:formatCode>
                <c:ptCount val="7"/>
                <c:pt idx="0">
                  <c:v>2019</c:v>
                </c:pt>
                <c:pt idx="1">
                  <c:v>2020</c:v>
                </c:pt>
                <c:pt idx="2">
                  <c:v>2021</c:v>
                </c:pt>
                <c:pt idx="3">
                  <c:v>2022</c:v>
                </c:pt>
                <c:pt idx="4">
                  <c:v>2023</c:v>
                </c:pt>
                <c:pt idx="5">
                  <c:v>2024</c:v>
                </c:pt>
                <c:pt idx="6">
                  <c:v>2025</c:v>
                </c:pt>
              </c:numCache>
            </c:numRef>
          </c:cat>
          <c:val>
            <c:numRef>
              <c:f>'Fiscal stance_PS_new deflator'!$B$69:$H$69</c:f>
              <c:numCache>
                <c:formatCode>0.0</c:formatCode>
                <c:ptCount val="7"/>
                <c:pt idx="0">
                  <c:v>-1.2959058909823136</c:v>
                </c:pt>
                <c:pt idx="1">
                  <c:v>-5.4682611293555974</c:v>
                </c:pt>
                <c:pt idx="2">
                  <c:v>-6.1501129465261242</c:v>
                </c:pt>
                <c:pt idx="3">
                  <c:v>-5.0704446148469824</c:v>
                </c:pt>
                <c:pt idx="4">
                  <c:v>-3.2782838310392464</c:v>
                </c:pt>
                <c:pt idx="5">
                  <c:v>-3.230873335053619</c:v>
                </c:pt>
                <c:pt idx="6">
                  <c:v>-3.4730622329592982</c:v>
                </c:pt>
              </c:numCache>
            </c:numRef>
          </c:val>
          <c:extLst xmlns:c16r2="http://schemas.microsoft.com/office/drawing/2015/06/chart">
            <c:ext xmlns:c16="http://schemas.microsoft.com/office/drawing/2014/chart" uri="{C3380CC4-5D6E-409C-BE32-E72D297353CC}">
              <c16:uniqueId val="{00000002-92B3-4D68-A462-E71AD33B1DFA}"/>
            </c:ext>
          </c:extLst>
        </c:ser>
        <c:dLbls>
          <c:showLegendKey val="0"/>
          <c:showVal val="0"/>
          <c:showCatName val="0"/>
          <c:showSerName val="0"/>
          <c:showPercent val="0"/>
          <c:showBubbleSize val="0"/>
        </c:dLbls>
        <c:gapWidth val="72"/>
        <c:overlap val="-27"/>
        <c:axId val="503239152"/>
        <c:axId val="503239544"/>
      </c:barChart>
      <c:lineChart>
        <c:grouping val="standard"/>
        <c:varyColors val="0"/>
        <c:ser>
          <c:idx val="0"/>
          <c:order val="0"/>
          <c:tx>
            <c:strRef>
              <c:f>'Fiscal stance_PS_new deflator'!$A$64</c:f>
              <c:strCache>
                <c:ptCount val="1"/>
                <c:pt idx="0">
                  <c:v>Odporúčanie EK</c:v>
                </c:pt>
              </c:strCache>
            </c:strRef>
          </c:tx>
          <c:spPr>
            <a:ln w="28575" cap="rnd">
              <a:noFill/>
              <a:round/>
            </a:ln>
            <a:effectLst/>
          </c:spPr>
          <c:marker>
            <c:symbol val="diamond"/>
            <c:size val="6"/>
            <c:spPr>
              <a:solidFill>
                <a:srgbClr val="002060"/>
              </a:solidFill>
              <a:ln w="9525">
                <a:noFill/>
              </a:ln>
              <a:effectLst/>
            </c:spPr>
          </c:marker>
          <c:dLbls>
            <c:dLbl>
              <c:idx val="4"/>
              <c:layout>
                <c:manualLayout>
                  <c:x val="-3.1238432989362731E-2"/>
                  <c:y val="6.34984078766799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2B3-4D68-A462-E71AD33B1D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'Fiscal stance_PS_new deflator'!$B$60:$H$60</c:f>
              <c:numCache>
                <c:formatCode>General</c:formatCode>
                <c:ptCount val="7"/>
                <c:pt idx="0">
                  <c:v>2019</c:v>
                </c:pt>
                <c:pt idx="1">
                  <c:v>2020</c:v>
                </c:pt>
                <c:pt idx="2">
                  <c:v>2021</c:v>
                </c:pt>
                <c:pt idx="3">
                  <c:v>2022</c:v>
                </c:pt>
                <c:pt idx="4">
                  <c:v>2023</c:v>
                </c:pt>
                <c:pt idx="5">
                  <c:v>2024</c:v>
                </c:pt>
                <c:pt idx="6">
                  <c:v>2025</c:v>
                </c:pt>
              </c:numCache>
            </c:numRef>
          </c:cat>
          <c:val>
            <c:numRef>
              <c:f>'Fiscal stance_PS_new deflator'!$B$64:$H$64</c:f>
              <c:numCache>
                <c:formatCode>General</c:formatCode>
                <c:ptCount val="7"/>
                <c:pt idx="4" formatCode="0.0">
                  <c:v>-3.4084548789268765</c:v>
                </c:pt>
              </c:numCache>
            </c:numRef>
          </c:val>
          <c:smooth val="0"/>
          <c:extLst xmlns:c16r2="http://schemas.microsoft.com/office/drawing/2015/06/chart">
            <c:ext xmlns:c16="http://schemas.microsoft.com/office/drawing/2014/chart" uri="{C3380CC4-5D6E-409C-BE32-E72D297353CC}">
              <c16:uniqueId val="{00000004-92B3-4D68-A462-E71AD33B1DFA}"/>
            </c:ext>
          </c:extLst>
        </c:ser>
        <c:ser>
          <c:idx val="2"/>
          <c:order val="2"/>
          <c:tx>
            <c:strRef>
              <c:f>'Fiscal stance_PS_new deflator'!$A$70</c:f>
              <c:strCache>
                <c:ptCount val="1"/>
                <c:pt idx="0">
                  <c:v>Ciele rozpočtu (výdavkové limity)</c:v>
                </c:pt>
              </c:strCache>
            </c:strRef>
          </c:tx>
          <c:spPr>
            <a:ln w="25400" cap="rnd">
              <a:noFill/>
              <a:round/>
            </a:ln>
            <a:effectLst/>
          </c:spPr>
          <c:marker>
            <c:symbol val="dash"/>
            <c:size val="19"/>
            <c:spPr>
              <a:solidFill>
                <a:schemeClr val="tx1"/>
              </a:solidFill>
              <a:ln w="9525">
                <a:noFill/>
              </a:ln>
              <a:effectLst/>
            </c:spPr>
          </c:marker>
          <c:dLbls>
            <c:dLbl>
              <c:idx val="4"/>
              <c:layout>
                <c:manualLayout>
                  <c:x val="-6.5639989901540019E-2"/>
                  <c:y val="2.90065264684554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2B3-4D68-A462-E71AD33B1DFA}"/>
                </c:ext>
                <c:ext xmlns:c15="http://schemas.microsoft.com/office/drawing/2012/chart" uri="{CE6537A1-D6FC-4f65-9D91-7224C49458BB}"/>
              </c:extLst>
            </c:dLbl>
            <c:dLbl>
              <c:idx val="5"/>
              <c:layout>
                <c:manualLayout>
                  <c:x val="-6.0590759909113862E-2"/>
                  <c:y val="2.90065264684554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2B3-4D68-A462-E71AD33B1DFA}"/>
                </c:ext>
                <c:ext xmlns:c15="http://schemas.microsoft.com/office/drawing/2012/chart" uri="{CE6537A1-D6FC-4f65-9D91-7224C49458BB}"/>
              </c:extLst>
            </c:dLbl>
            <c:dLbl>
              <c:idx val="6"/>
              <c:layout>
                <c:manualLayout>
                  <c:x val="-2.5246149962130961E-2"/>
                  <c:y val="2.90065264684554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2B3-4D68-A462-E71AD33B1DFA}"/>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'Fiscal stance_PS_new deflator'!$B$70:$H$70</c:f>
              <c:numCache>
                <c:formatCode>General</c:formatCode>
                <c:ptCount val="7"/>
                <c:pt idx="4" formatCode="#\ ##0.0">
                  <c:v>-2.3982502431889445</c:v>
                </c:pt>
                <c:pt idx="5" formatCode="#\ ##0.0">
                  <c:v>-2.3237522428639967</c:v>
                </c:pt>
                <c:pt idx="6" formatCode="#\ ##0.0">
                  <c:v>-2.0243031070047324</c:v>
                </c:pt>
              </c:numCache>
            </c:numRef>
          </c:val>
          <c:smooth val="0"/>
          <c:extLst xmlns:c16r2="http://schemas.microsoft.com/office/drawing/2015/06/chart">
            <c:ext xmlns:c16="http://schemas.microsoft.com/office/drawing/2014/chart" uri="{C3380CC4-5D6E-409C-BE32-E72D297353CC}">
              <c16:uniqueId val="{00000005-92B3-4D68-A462-E71AD33B1DFA}"/>
            </c:ext>
          </c:extLst>
        </c:ser>
        <c:dLbls>
          <c:showLegendKey val="0"/>
          <c:showVal val="0"/>
          <c:showCatName val="0"/>
          <c:showSerName val="0"/>
          <c:showPercent val="0"/>
          <c:showBubbleSize val="0"/>
        </c:dLbls>
        <c:marker val="1"/>
        <c:smooth val="0"/>
        <c:axId val="503239152"/>
        <c:axId val="503239544"/>
      </c:lineChart>
      <c:catAx>
        <c:axId val="503239152"/>
        <c:scaling>
          <c:orientation val="minMax"/>
        </c:scaling>
        <c:delete val="0"/>
        <c:axPos val="b"/>
        <c:numFmt formatCode="General" sourceLinked="1"/>
        <c:majorTickMark val="none"/>
        <c:minorTickMark val="none"/>
        <c:tickLblPos val="low"/>
        <c:spPr>
          <a:noFill/>
          <a:ln w="317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Arial Narrow" panose="020B0606020202030204" pitchFamily="34" charset="0"/>
                <a:ea typeface="+mn-ea"/>
                <a:cs typeface="+mn-cs"/>
              </a:defRPr>
            </a:pPr>
            <a:endParaRPr lang="sk-SK"/>
          </a:p>
        </c:txPr>
        <c:crossAx val="503239544"/>
        <c:crosses val="autoZero"/>
        <c:auto val="1"/>
        <c:lblAlgn val="ctr"/>
        <c:lblOffset val="100"/>
        <c:noMultiLvlLbl val="0"/>
      </c:catAx>
      <c:valAx>
        <c:axId val="503239544"/>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0.0"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crossAx val="50323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Narrow" panose="020B0606020202030204" pitchFamily="34" charset="0"/>
        </a:defRPr>
      </a:pPr>
      <a:endParaRPr lang="sk-SK"/>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solidFill>
                <a:latin typeface="Arial Narrow" panose="020B0606020202030204" pitchFamily="34" charset="0"/>
                <a:ea typeface="+mn-ea"/>
                <a:cs typeface="+mn-cs"/>
              </a:defRPr>
            </a:pPr>
            <a:r>
              <a:rPr lang="sk-SK" b="1"/>
              <a:t>Fiškálna pozícia v</a:t>
            </a:r>
            <a:r>
              <a:rPr lang="sk-SK" b="1" baseline="0"/>
              <a:t> metodike EK (% HDP)</a:t>
            </a:r>
            <a:endParaRPr lang="sk-SK" b="1"/>
          </a:p>
        </c:rich>
      </c:tx>
      <c:overlay val="0"/>
      <c:spPr>
        <a:noFill/>
        <a:ln>
          <a:noFill/>
        </a:ln>
        <a:effectLst/>
      </c:spPr>
      <c:txPr>
        <a:bodyPr rot="0" spcFirstLastPara="1" vertOverflow="ellipsis" vert="horz" wrap="square" anchor="ctr" anchorCtr="1"/>
        <a:lstStyle/>
        <a:p>
          <a:pPr>
            <a:defRPr sz="960" b="1" i="0" u="none" strike="noStrike" kern="1200" spc="0" baseline="0">
              <a:solidFill>
                <a:schemeClr val="tx1"/>
              </a:solidFill>
              <a:latin typeface="Arial Narrow" panose="020B0606020202030204" pitchFamily="34" charset="0"/>
              <a:ea typeface="+mn-ea"/>
              <a:cs typeface="+mn-cs"/>
            </a:defRPr>
          </a:pPr>
          <a:endParaRPr lang="sk-SK"/>
        </a:p>
      </c:txPr>
    </c:title>
    <c:autoTitleDeleted val="0"/>
    <c:plotArea>
      <c:layout>
        <c:manualLayout>
          <c:layoutTarget val="inner"/>
          <c:xMode val="edge"/>
          <c:yMode val="edge"/>
          <c:x val="9.1898441264163494E-2"/>
          <c:y val="9.3877006017007852E-2"/>
          <c:w val="0.81716753146789323"/>
          <c:h val="0.71775574153887944"/>
        </c:manualLayout>
      </c:layout>
      <c:barChart>
        <c:barDir val="col"/>
        <c:grouping val="stacked"/>
        <c:varyColors val="0"/>
        <c:ser>
          <c:idx val="1"/>
          <c:order val="0"/>
          <c:tx>
            <c:strRef>
              <c:f>'Fiscal stance_PS_new deflator'!$A$37</c:f>
              <c:strCache>
                <c:ptCount val="1"/>
                <c:pt idx="0">
                  <c:v>Medziročná zmena upravených bežných výdavkov (bez EÚ)*</c:v>
                </c:pt>
              </c:strCache>
            </c:strRef>
          </c:tx>
          <c:spPr>
            <a:solidFill>
              <a:schemeClr val="tx1">
                <a:lumMod val="75000"/>
                <a:lumOff val="25000"/>
              </a:schemeClr>
            </a:solidFill>
            <a:ln>
              <a:noFill/>
            </a:ln>
            <a:effectLst/>
          </c:spPr>
          <c:invertIfNegative val="0"/>
          <c:val>
            <c:numRef>
              <c:f>'Fiscal stance_PS_new deflator'!$C$37:$F$37</c:f>
              <c:numCache>
                <c:formatCode>0.0</c:formatCode>
                <c:ptCount val="4"/>
                <c:pt idx="0">
                  <c:v>-1.0308832912068635</c:v>
                </c:pt>
                <c:pt idx="1">
                  <c:v>-0.21723168243100352</c:v>
                </c:pt>
                <c:pt idx="2">
                  <c:v>1.5096604593529059</c:v>
                </c:pt>
                <c:pt idx="3" formatCode="0.000">
                  <c:v>-0.13131949157867412</c:v>
                </c:pt>
              </c:numCache>
            </c:numRef>
          </c:val>
          <c:extLst xmlns:c16r2="http://schemas.microsoft.com/office/drawing/2015/06/chart">
            <c:ext xmlns:c16="http://schemas.microsoft.com/office/drawing/2014/chart" uri="{C3380CC4-5D6E-409C-BE32-E72D297353CC}">
              <c16:uniqueId val="{00000000-426C-4EA5-8CB9-53DB79C1FF51}"/>
            </c:ext>
          </c:extLst>
        </c:ser>
        <c:ser>
          <c:idx val="2"/>
          <c:order val="1"/>
          <c:tx>
            <c:strRef>
              <c:f>'Fiscal stance_PS_new deflator'!$A$39</c:f>
              <c:strCache>
                <c:ptCount val="1"/>
                <c:pt idx="0">
                  <c:v>Medziročná zmena investícií (bez EÚ)</c:v>
                </c:pt>
              </c:strCache>
            </c:strRef>
          </c:tx>
          <c:spPr>
            <a:solidFill>
              <a:srgbClr val="002060"/>
            </a:solidFill>
            <a:ln>
              <a:noFill/>
            </a:ln>
            <a:effectLst/>
          </c:spPr>
          <c:invertIfNegative val="0"/>
          <c:val>
            <c:numRef>
              <c:f>'Fiscal stance_PS_new deflator'!$C$39:$F$39</c:f>
              <c:numCache>
                <c:formatCode>0.0</c:formatCode>
                <c:ptCount val="4"/>
                <c:pt idx="0">
                  <c:v>0.30180787323338415</c:v>
                </c:pt>
                <c:pt idx="1">
                  <c:v>0.25316010791913107</c:v>
                </c:pt>
                <c:pt idx="2">
                  <c:v>-0.87674580444693906</c:v>
                </c:pt>
                <c:pt idx="3">
                  <c:v>0.26149053623354968</c:v>
                </c:pt>
              </c:numCache>
            </c:numRef>
          </c:val>
          <c:extLst xmlns:c16r2="http://schemas.microsoft.com/office/drawing/2015/06/chart">
            <c:ext xmlns:c16="http://schemas.microsoft.com/office/drawing/2014/chart" uri="{C3380CC4-5D6E-409C-BE32-E72D297353CC}">
              <c16:uniqueId val="{00000001-426C-4EA5-8CB9-53DB79C1FF51}"/>
            </c:ext>
          </c:extLst>
        </c:ser>
        <c:ser>
          <c:idx val="4"/>
          <c:order val="2"/>
          <c:tx>
            <c:strRef>
              <c:f>'Fiscal stance_PS_new deflator'!$A$43</c:f>
              <c:strCache>
                <c:ptCount val="1"/>
                <c:pt idx="0">
                  <c:v>Medziročná zmena ostatných kapitálových výdavkov (bez EÚ)</c:v>
                </c:pt>
              </c:strCache>
            </c:strRef>
          </c:tx>
          <c:spPr>
            <a:solidFill>
              <a:srgbClr val="0070C0"/>
            </a:solidFill>
            <a:ln w="25400">
              <a:noFill/>
            </a:ln>
            <a:effectLst/>
          </c:spPr>
          <c:invertIfNegative val="0"/>
          <c:val>
            <c:numRef>
              <c:f>'Fiscal stance_PS_new deflator'!$C$43:$F$43</c:f>
              <c:numCache>
                <c:formatCode>0.0</c:formatCode>
                <c:ptCount val="4"/>
                <c:pt idx="0">
                  <c:v>-0.12642541739135313</c:v>
                </c:pt>
                <c:pt idx="1">
                  <c:v>0.28502057061712699</c:v>
                </c:pt>
                <c:pt idx="2">
                  <c:v>-0.42292489972530944</c:v>
                </c:pt>
                <c:pt idx="3">
                  <c:v>0.33290113929938636</c:v>
                </c:pt>
              </c:numCache>
            </c:numRef>
          </c:val>
          <c:extLst xmlns:c16r2="http://schemas.microsoft.com/office/drawing/2015/06/chart">
            <c:ext xmlns:c16="http://schemas.microsoft.com/office/drawing/2014/chart" uri="{C3380CC4-5D6E-409C-BE32-E72D297353CC}">
              <c16:uniqueId val="{00000002-426C-4EA5-8CB9-53DB79C1FF51}"/>
            </c:ext>
          </c:extLst>
        </c:ser>
        <c:ser>
          <c:idx val="3"/>
          <c:order val="3"/>
          <c:tx>
            <c:strRef>
              <c:f>'Fiscal stance_PS_new deflator'!$A$41</c:f>
              <c:strCache>
                <c:ptCount val="1"/>
                <c:pt idx="0">
                  <c:v>Medziročná zmena výdavkov financovaných z EÚ</c:v>
                </c:pt>
              </c:strCache>
            </c:strRef>
          </c:tx>
          <c:spPr>
            <a:solidFill>
              <a:schemeClr val="bg1">
                <a:lumMod val="85000"/>
              </a:schemeClr>
            </a:solidFill>
            <a:ln>
              <a:noFill/>
            </a:ln>
            <a:effectLst/>
          </c:spPr>
          <c:invertIfNegative val="0"/>
          <c:val>
            <c:numRef>
              <c:f>'Fiscal stance_PS_new deflator'!$C$41:$F$41</c:f>
              <c:numCache>
                <c:formatCode>0.0</c:formatCode>
                <c:ptCount val="4"/>
                <c:pt idx="0">
                  <c:v>1.151039794564787E-3</c:v>
                </c:pt>
                <c:pt idx="1">
                  <c:v>-7.8594720333226134E-2</c:v>
                </c:pt>
                <c:pt idx="2">
                  <c:v>-1.0099179228099522</c:v>
                </c:pt>
                <c:pt idx="3">
                  <c:v>-1.5722222808197999</c:v>
                </c:pt>
              </c:numCache>
            </c:numRef>
          </c:val>
          <c:extLst xmlns:c16r2="http://schemas.microsoft.com/office/drawing/2015/06/chart">
            <c:ext xmlns:c16="http://schemas.microsoft.com/office/drawing/2014/chart" uri="{C3380CC4-5D6E-409C-BE32-E72D297353CC}">
              <c16:uniqueId val="{00000003-426C-4EA5-8CB9-53DB79C1FF51}"/>
            </c:ext>
          </c:extLst>
        </c:ser>
        <c:dLbls>
          <c:showLegendKey val="0"/>
          <c:showVal val="0"/>
          <c:showCatName val="0"/>
          <c:showSerName val="0"/>
          <c:showPercent val="0"/>
          <c:showBubbleSize val="0"/>
        </c:dLbls>
        <c:gapWidth val="150"/>
        <c:overlap val="100"/>
        <c:axId val="505745464"/>
        <c:axId val="505745856"/>
      </c:barChart>
      <c:lineChart>
        <c:grouping val="standard"/>
        <c:varyColors val="0"/>
        <c:ser>
          <c:idx val="0"/>
          <c:order val="4"/>
          <c:tx>
            <c:strRef>
              <c:f>'Fiscal stance_PS_new deflator'!$A$35</c:f>
              <c:strCache>
                <c:ptCount val="1"/>
                <c:pt idx="0">
                  <c:v>Fiškálna pozícia</c:v>
                </c:pt>
              </c:strCache>
            </c:strRef>
          </c:tx>
          <c:spPr>
            <a:ln w="25400" cap="rnd">
              <a:noFill/>
              <a:round/>
            </a:ln>
            <a:effectLst/>
          </c:spPr>
          <c:marker>
            <c:symbol val="diamond"/>
            <c:size val="8"/>
            <c:spPr>
              <a:solidFill>
                <a:schemeClr val="tx1"/>
              </a:solidFill>
              <a:ln w="9525">
                <a:solidFill>
                  <a:schemeClr val="bg1"/>
                </a:solidFill>
              </a:ln>
              <a:effectLst/>
            </c:spPr>
          </c:marker>
          <c:dLbls>
            <c:spPr>
              <a:solidFill>
                <a:schemeClr val="bg1"/>
              </a:solidFill>
              <a:ln>
                <a:solidFill>
                  <a:schemeClr val="tx1"/>
                </a:solid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'Fiscal stance_IFP_Neutral contr'!$C$2:$F$2</c:f>
              <c:numCache>
                <c:formatCode>General</c:formatCode>
                <c:ptCount val="4"/>
                <c:pt idx="0">
                  <c:v>2020</c:v>
                </c:pt>
                <c:pt idx="1">
                  <c:v>2021</c:v>
                </c:pt>
                <c:pt idx="2">
                  <c:v>2022</c:v>
                </c:pt>
                <c:pt idx="3">
                  <c:v>2023</c:v>
                </c:pt>
              </c:numCache>
            </c:numRef>
          </c:cat>
          <c:val>
            <c:numRef>
              <c:f>'Fiscal stance_PS_new deflator'!$C$35:$F$35</c:f>
              <c:numCache>
                <c:formatCode>0.0</c:formatCode>
                <c:ptCount val="4"/>
                <c:pt idx="0">
                  <c:v>-0.85434979557026769</c:v>
                </c:pt>
                <c:pt idx="1">
                  <c:v>0.24235427577202842</c:v>
                </c:pt>
                <c:pt idx="2">
                  <c:v>-0.79992816762929475</c:v>
                </c:pt>
                <c:pt idx="3">
                  <c:v>-1.1091500968655379</c:v>
                </c:pt>
              </c:numCache>
            </c:numRef>
          </c:val>
          <c:smooth val="0"/>
          <c:extLst xmlns:c16r2="http://schemas.microsoft.com/office/drawing/2015/06/chart">
            <c:ext xmlns:c16="http://schemas.microsoft.com/office/drawing/2014/chart" uri="{C3380CC4-5D6E-409C-BE32-E72D297353CC}">
              <c16:uniqueId val="{00000004-426C-4EA5-8CB9-53DB79C1FF51}"/>
            </c:ext>
          </c:extLst>
        </c:ser>
        <c:dLbls>
          <c:showLegendKey val="0"/>
          <c:showVal val="0"/>
          <c:showCatName val="0"/>
          <c:showSerName val="0"/>
          <c:showPercent val="0"/>
          <c:showBubbleSize val="0"/>
        </c:dLbls>
        <c:marker val="1"/>
        <c:smooth val="0"/>
        <c:axId val="505745464"/>
        <c:axId val="505745856"/>
      </c:lineChart>
      <c:catAx>
        <c:axId val="505745464"/>
        <c:scaling>
          <c:orientation val="minMax"/>
        </c:scaling>
        <c:delete val="0"/>
        <c:axPos val="b"/>
        <c:numFmt formatCode="General" sourceLinked="1"/>
        <c:majorTickMark val="none"/>
        <c:minorTickMark val="none"/>
        <c:tickLblPos val="low"/>
        <c:spPr>
          <a:noFill/>
          <a:ln w="317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Arial Narrow" panose="020B0606020202030204" pitchFamily="34" charset="0"/>
                <a:ea typeface="+mn-ea"/>
                <a:cs typeface="+mn-cs"/>
              </a:defRPr>
            </a:pPr>
            <a:endParaRPr lang="sk-SK"/>
          </a:p>
        </c:txPr>
        <c:crossAx val="505745856"/>
        <c:crosses val="autoZero"/>
        <c:auto val="1"/>
        <c:lblAlgn val="ctr"/>
        <c:lblOffset val="100"/>
        <c:noMultiLvlLbl val="0"/>
      </c:catAx>
      <c:valAx>
        <c:axId val="505745856"/>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0.0" sourceLinked="1"/>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crossAx val="505745464"/>
        <c:crosses val="autoZero"/>
        <c:crossBetween val="between"/>
      </c:valAx>
      <c:spPr>
        <a:noFill/>
        <a:ln>
          <a:noFill/>
        </a:ln>
        <a:effectLst/>
      </c:spPr>
    </c:plotArea>
    <c:legend>
      <c:legendPos val="b"/>
      <c:layout>
        <c:manualLayout>
          <c:xMode val="edge"/>
          <c:yMode val="edge"/>
          <c:x val="4.5035578770950942E-2"/>
          <c:y val="0.89347573786691903"/>
          <c:w val="0.93903891977760123"/>
          <c:h val="9.9170269322180857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sk-SK"/>
    </a:p>
  </c:txPr>
  <c:externalData r:id="rId4">
    <c:autoUpdate val="0"/>
  </c:externalData>
  <c:userShapes r:id="rId5"/>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3192709210695847E-2"/>
          <c:y val="0.14758593359637484"/>
          <c:w val="0.90847981747355289"/>
          <c:h val="0.69077585761298432"/>
        </c:manualLayout>
      </c:layout>
      <c:areaChart>
        <c:grouping val="stacked"/>
        <c:varyColors val="0"/>
        <c:ser>
          <c:idx val="0"/>
          <c:order val="0"/>
          <c:tx>
            <c:strRef>
              <c:f>'Cisty dlh'!$A$21</c:f>
              <c:strCache>
                <c:ptCount val="1"/>
                <c:pt idx="0">
                  <c:v>Čistý dlh VS</c:v>
                </c:pt>
              </c:strCache>
            </c:strRef>
          </c:tx>
          <c:spPr>
            <a:solidFill>
              <a:schemeClr val="accent1">
                <a:lumMod val="75000"/>
              </a:schemeClr>
            </a:solidFill>
            <a:ln w="19050" cap="rnd">
              <a:noFill/>
              <a:round/>
            </a:ln>
            <a:effectLst/>
          </c:spPr>
          <c:cat>
            <c:numRef>
              <c:f>'Cisty dlh'!$K$2:$AB$2</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'Cisty dlh'!$K$21:$AB$21</c:f>
              <c:numCache>
                <c:formatCode>#\ ##0.0</c:formatCode>
                <c:ptCount val="18"/>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45.864679034753259</c:v>
                </c:pt>
                <c:pt idx="10">
                  <c:v>43.562043692126409</c:v>
                </c:pt>
                <c:pt idx="11">
                  <c:v>43.250632365697648</c:v>
                </c:pt>
                <c:pt idx="12">
                  <c:v>49.636970882029203</c:v>
                </c:pt>
                <c:pt idx="13">
                  <c:v>51.529128021188178</c:v>
                </c:pt>
                <c:pt idx="14">
                  <c:v>51.859643664998089</c:v>
                </c:pt>
                <c:pt idx="15">
                  <c:v>50.03204844228609</c:v>
                </c:pt>
                <c:pt idx="16">
                  <c:v>50.794619432125963</c:v>
                </c:pt>
                <c:pt idx="17">
                  <c:v>51.595390781669536</c:v>
                </c:pt>
              </c:numCache>
            </c:numRef>
          </c:val>
          <c:extLst xmlns:c16r2="http://schemas.microsoft.com/office/drawing/2015/06/chart">
            <c:ext xmlns:c16="http://schemas.microsoft.com/office/drawing/2014/chart" uri="{C3380CC4-5D6E-409C-BE32-E72D297353CC}">
              <c16:uniqueId val="{00000000-0315-4642-9451-6F093E29C8EC}"/>
            </c:ext>
          </c:extLst>
        </c:ser>
        <c:ser>
          <c:idx val="1"/>
          <c:order val="1"/>
          <c:tx>
            <c:strRef>
              <c:f>'Cisty dlh'!$A$14</c:f>
              <c:strCache>
                <c:ptCount val="1"/>
                <c:pt idx="0">
                  <c:v>Likvidné finančné aktíva (LFA)</c:v>
                </c:pt>
              </c:strCache>
            </c:strRef>
          </c:tx>
          <c:spPr>
            <a:ln w="25400">
              <a:noFill/>
            </a:ln>
          </c:spPr>
          <c:cat>
            <c:numRef>
              <c:f>'Cisty dlh'!$K$2:$AB$2</c:f>
              <c:numCache>
                <c:formatCode>General</c:formatCode>
                <c:ptCount val="18"/>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numCache>
            </c:numRef>
          </c:cat>
          <c:val>
            <c:numRef>
              <c:f>'Cisty dlh'!$K$14:$AB$14</c:f>
              <c:numCache>
                <c:formatCode>#\ ##0.0</c:formatCode>
                <c:ptCount val="18"/>
                <c:pt idx="0">
                  <c:v>6.0005364588647181</c:v>
                </c:pt>
                <c:pt idx="1">
                  <c:v>4.6773940624460817</c:v>
                </c:pt>
                <c:pt idx="2">
                  <c:v>3.9469569866278689</c:v>
                </c:pt>
                <c:pt idx="3">
                  <c:v>2.5746202098179962</c:v>
                </c:pt>
                <c:pt idx="4">
                  <c:v>6.7088236101818435</c:v>
                </c:pt>
                <c:pt idx="5">
                  <c:v>6.9126631896011617</c:v>
                </c:pt>
                <c:pt idx="6">
                  <c:v>4.0179209318691536</c:v>
                </c:pt>
                <c:pt idx="7">
                  <c:v>4.4396690105761918</c:v>
                </c:pt>
                <c:pt idx="8">
                  <c:v>5.3605424373459156</c:v>
                </c:pt>
                <c:pt idx="9">
                  <c:v>5.7352388505529737</c:v>
                </c:pt>
                <c:pt idx="10">
                  <c:v>6.0675370931906034</c:v>
                </c:pt>
                <c:pt idx="11">
                  <c:v>4.8918620126802654</c:v>
                </c:pt>
                <c:pt idx="12">
                  <c:v>10.10737999796762</c:v>
                </c:pt>
                <c:pt idx="13">
                  <c:v>11.545238189841244</c:v>
                </c:pt>
                <c:pt idx="14">
                  <c:v>9.7377755624339706</c:v>
                </c:pt>
                <c:pt idx="15">
                  <c:v>7.9874295325995739</c:v>
                </c:pt>
                <c:pt idx="16">
                  <c:v>7.372798023201427</c:v>
                </c:pt>
                <c:pt idx="17">
                  <c:v>5.6845330338979734</c:v>
                </c:pt>
              </c:numCache>
            </c:numRef>
          </c:val>
          <c:extLst xmlns:c16r2="http://schemas.microsoft.com/office/drawing/2015/06/chart">
            <c:ext xmlns:c16="http://schemas.microsoft.com/office/drawing/2014/chart" uri="{C3380CC4-5D6E-409C-BE32-E72D297353CC}">
              <c16:uniqueId val="{00000001-0315-4642-9451-6F093E29C8EC}"/>
            </c:ext>
          </c:extLst>
        </c:ser>
        <c:dLbls>
          <c:showLegendKey val="0"/>
          <c:showVal val="0"/>
          <c:showCatName val="0"/>
          <c:showSerName val="0"/>
          <c:showPercent val="0"/>
          <c:showBubbleSize val="0"/>
        </c:dLbls>
        <c:axId val="505746640"/>
        <c:axId val="505747032"/>
      </c:areaChart>
      <c:lineChart>
        <c:grouping val="standard"/>
        <c:varyColors val="0"/>
        <c:ser>
          <c:idx val="2"/>
          <c:order val="2"/>
          <c:tx>
            <c:strRef>
              <c:f>'Cisty dlh'!$A$4</c:f>
              <c:strCache>
                <c:ptCount val="1"/>
                <c:pt idx="0">
                  <c:v>Hrubý dlh VS</c:v>
                </c:pt>
              </c:strCache>
            </c:strRef>
          </c:tx>
          <c:spPr>
            <a:ln>
              <a:noFill/>
            </a:ln>
          </c:spPr>
          <c:marker>
            <c:symbol val="circle"/>
            <c:size val="7"/>
            <c:spPr>
              <a:solidFill>
                <a:schemeClr val="tx1"/>
              </a:solidFill>
              <a:ln>
                <a:no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'Cisty dlh'!$K$4:$AB$4</c:f>
              <c:numCache>
                <c:formatCode>#\ ##0.0</c:formatCode>
                <c:ptCount val="18"/>
                <c:pt idx="0">
                  <c:v>28.598844266178187</c:v>
                </c:pt>
                <c:pt idx="1">
                  <c:v>36.360888192511553</c:v>
                </c:pt>
                <c:pt idx="2">
                  <c:v>41.015691430321638</c:v>
                </c:pt>
                <c:pt idx="3">
                  <c:v>43.502305229419441</c:v>
                </c:pt>
                <c:pt idx="4">
                  <c:v>51.845561326410049</c:v>
                </c:pt>
                <c:pt idx="5">
                  <c:v>54.794008379682587</c:v>
                </c:pt>
                <c:pt idx="6">
                  <c:v>53.561788094018638</c:v>
                </c:pt>
                <c:pt idx="7">
                  <c:v>51.923690653091235</c:v>
                </c:pt>
                <c:pt idx="8">
                  <c:v>52.412725889252222</c:v>
                </c:pt>
                <c:pt idx="9">
                  <c:v>51.599917885306233</c:v>
                </c:pt>
                <c:pt idx="10">
                  <c:v>49.629580785317003</c:v>
                </c:pt>
                <c:pt idx="11">
                  <c:v>48.142494378377911</c:v>
                </c:pt>
                <c:pt idx="12">
                  <c:v>59.744350879996823</c:v>
                </c:pt>
                <c:pt idx="13">
                  <c:v>63.074366211029421</c:v>
                </c:pt>
                <c:pt idx="14">
                  <c:v>61.597419227432063</c:v>
                </c:pt>
                <c:pt idx="15">
                  <c:v>58.019477974885667</c:v>
                </c:pt>
                <c:pt idx="16">
                  <c:v>58.167417455327389</c:v>
                </c:pt>
                <c:pt idx="17">
                  <c:v>57.279923815567514</c:v>
                </c:pt>
              </c:numCache>
            </c:numRef>
          </c:val>
          <c:smooth val="0"/>
          <c:extLst xmlns:c16r2="http://schemas.microsoft.com/office/drawing/2015/06/chart">
            <c:ext xmlns:c16="http://schemas.microsoft.com/office/drawing/2014/chart" uri="{C3380CC4-5D6E-409C-BE32-E72D297353CC}">
              <c16:uniqueId val="{00000002-0315-4642-9451-6F093E29C8EC}"/>
            </c:ext>
          </c:extLst>
        </c:ser>
        <c:ser>
          <c:idx val="3"/>
          <c:order val="3"/>
          <c:spPr>
            <a:ln w="28575">
              <a:noFill/>
            </a:ln>
          </c:spPr>
          <c:marker>
            <c:symbol val="diamond"/>
            <c:size val="7"/>
            <c:spPr>
              <a:noFill/>
              <a:ln>
                <a:noFill/>
              </a:ln>
            </c:spPr>
          </c:marker>
          <c:dLbls>
            <c:dLbl>
              <c:idx val="16"/>
              <c:layout>
                <c:manualLayout>
                  <c:x val="-2.4557664146507417E-2"/>
                  <c:y val="3.533218899012897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15-4642-9451-6F093E29C8EC}"/>
                </c:ext>
                <c:ext xmlns:c15="http://schemas.microsoft.com/office/drawing/2012/chart" uri="{CE6537A1-D6FC-4f65-9D91-7224C49458BB}"/>
              </c:extLst>
            </c:dLbl>
            <c:dLbl>
              <c:idx val="17"/>
              <c:layout>
                <c:manualLayout>
                  <c:x val="-5.1076925748118313E-2"/>
                  <c:y val="9.884388083874595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315-4642-9451-6F093E29C8EC}"/>
                </c:ext>
                <c:ext xmlns:c15="http://schemas.microsoft.com/office/drawing/2012/chart" uri="{CE6537A1-D6FC-4f65-9D91-7224C49458BB}"/>
              </c:extLst>
            </c:dLbl>
            <c:numFmt formatCode="#,##0.0" sourceLinked="0"/>
            <c:spPr>
              <a:noFill/>
              <a:ln>
                <a:noFill/>
              </a:ln>
              <a:effectLst/>
            </c:spPr>
            <c:txPr>
              <a:bodyPr/>
              <a:lstStyle/>
              <a:p>
                <a:pPr>
                  <a:defRPr>
                    <a:solidFill>
                      <a:schemeClr val="bg1"/>
                    </a:solidFill>
                  </a:defRPr>
                </a:pPr>
                <a:endParaRPr lang="sk-SK"/>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'Cisty dlh'!$K$21:$AB$21</c:f>
              <c:numCache>
                <c:formatCode>#\ ##0.0</c:formatCode>
                <c:ptCount val="18"/>
                <c:pt idx="0">
                  <c:v>22.598307807313471</c:v>
                </c:pt>
                <c:pt idx="1">
                  <c:v>31.683494130065476</c:v>
                </c:pt>
                <c:pt idx="2">
                  <c:v>37.068734443693771</c:v>
                </c:pt>
                <c:pt idx="3">
                  <c:v>40.927685019601448</c:v>
                </c:pt>
                <c:pt idx="4">
                  <c:v>45.136737716228204</c:v>
                </c:pt>
                <c:pt idx="5">
                  <c:v>47.881345190081426</c:v>
                </c:pt>
                <c:pt idx="6">
                  <c:v>49.543867162149482</c:v>
                </c:pt>
                <c:pt idx="7">
                  <c:v>47.484021642515039</c:v>
                </c:pt>
                <c:pt idx="8">
                  <c:v>47.052183451906302</c:v>
                </c:pt>
                <c:pt idx="9">
                  <c:v>45.864679034753259</c:v>
                </c:pt>
                <c:pt idx="10">
                  <c:v>43.562043692126409</c:v>
                </c:pt>
                <c:pt idx="11">
                  <c:v>43.250632365697648</c:v>
                </c:pt>
                <c:pt idx="12">
                  <c:v>49.636970882029203</c:v>
                </c:pt>
                <c:pt idx="13">
                  <c:v>51.529128021188178</c:v>
                </c:pt>
                <c:pt idx="14">
                  <c:v>51.859643664998089</c:v>
                </c:pt>
                <c:pt idx="15">
                  <c:v>50.03204844228609</c:v>
                </c:pt>
                <c:pt idx="16">
                  <c:v>50.794619432125963</c:v>
                </c:pt>
                <c:pt idx="17">
                  <c:v>51.595390781669536</c:v>
                </c:pt>
              </c:numCache>
            </c:numRef>
          </c:val>
          <c:smooth val="0"/>
          <c:extLst xmlns:c16r2="http://schemas.microsoft.com/office/drawing/2015/06/chart">
            <c:ext xmlns:c16="http://schemas.microsoft.com/office/drawing/2014/chart" uri="{C3380CC4-5D6E-409C-BE32-E72D297353CC}">
              <c16:uniqueId val="{00000005-0315-4642-9451-6F093E29C8EC}"/>
            </c:ext>
          </c:extLst>
        </c:ser>
        <c:ser>
          <c:idx val="4"/>
          <c:order val="4"/>
          <c:tx>
            <c:strRef>
              <c:f>'Cisty dlh'!$A$29</c:f>
              <c:strCache>
                <c:ptCount val="1"/>
                <c:pt idx="0">
                  <c:v>Horné sankčné pásmo (hrubý dlh)</c:v>
                </c:pt>
              </c:strCache>
            </c:strRef>
          </c:tx>
          <c:spPr>
            <a:ln w="19050">
              <a:solidFill>
                <a:srgbClr val="FF0000"/>
              </a:solidFill>
              <a:prstDash val="sysDot"/>
            </a:ln>
          </c:spPr>
          <c:marker>
            <c:symbol val="none"/>
          </c:marker>
          <c:val>
            <c:numRef>
              <c:f>'Cisty dlh'!$K$29:$AB$29</c:f>
              <c:numCache>
                <c:formatCode>General</c:formatCode>
                <c:ptCount val="18"/>
                <c:pt idx="0">
                  <c:v>#N/A</c:v>
                </c:pt>
                <c:pt idx="1">
                  <c:v>#N/A</c:v>
                </c:pt>
                <c:pt idx="2">
                  <c:v>#N/A</c:v>
                </c:pt>
                <c:pt idx="3">
                  <c:v>#N/A</c:v>
                </c:pt>
                <c:pt idx="4">
                  <c:v>60</c:v>
                </c:pt>
                <c:pt idx="5">
                  <c:v>60</c:v>
                </c:pt>
                <c:pt idx="6">
                  <c:v>60</c:v>
                </c:pt>
                <c:pt idx="7">
                  <c:v>60</c:v>
                </c:pt>
                <c:pt idx="8">
                  <c:v>60</c:v>
                </c:pt>
                <c:pt idx="9">
                  <c:v>60</c:v>
                </c:pt>
                <c:pt idx="10">
                  <c:v>59</c:v>
                </c:pt>
                <c:pt idx="11">
                  <c:v>58</c:v>
                </c:pt>
                <c:pt idx="12">
                  <c:v>57</c:v>
                </c:pt>
                <c:pt idx="13">
                  <c:v>56</c:v>
                </c:pt>
                <c:pt idx="14">
                  <c:v>55</c:v>
                </c:pt>
                <c:pt idx="15">
                  <c:v>54</c:v>
                </c:pt>
                <c:pt idx="16">
                  <c:v>53</c:v>
                </c:pt>
                <c:pt idx="17">
                  <c:v>52</c:v>
                </c:pt>
              </c:numCache>
            </c:numRef>
          </c:val>
          <c:smooth val="0"/>
          <c:extLst xmlns:c16r2="http://schemas.microsoft.com/office/drawing/2015/06/chart">
            <c:ext xmlns:c16="http://schemas.microsoft.com/office/drawing/2014/chart" uri="{C3380CC4-5D6E-409C-BE32-E72D297353CC}">
              <c16:uniqueId val="{00000006-0315-4642-9451-6F093E29C8EC}"/>
            </c:ext>
          </c:extLst>
        </c:ser>
        <c:ser>
          <c:idx val="5"/>
          <c:order val="5"/>
          <c:tx>
            <c:strRef>
              <c:f>'Súhrnná tabuľka'!$AN$148</c:f>
              <c:strCache>
                <c:ptCount val="1"/>
                <c:pt idx="0">
                  <c:v>Hrubý dlh pri splnení cieľov nominálneho salda</c:v>
                </c:pt>
              </c:strCache>
            </c:strRef>
          </c:tx>
          <c:spPr>
            <a:ln w="25400">
              <a:solidFill>
                <a:schemeClr val="tx1"/>
              </a:solidFill>
              <a:prstDash val="dash"/>
            </a:ln>
          </c:spPr>
          <c:marker>
            <c:symbol val="none"/>
          </c:marker>
          <c:val>
            <c:numRef>
              <c:f>'Súhrnná tabuľka'!$AN$146:$BE$146</c:f>
              <c:numCache>
                <c:formatCode>General</c:formatCode>
                <c:ptCount val="18"/>
                <c:pt idx="14" formatCode="#\ ##0.0">
                  <c:v>61.597419227432063</c:v>
                </c:pt>
                <c:pt idx="15" formatCode="0.0">
                  <c:v>57.139444386167561</c:v>
                </c:pt>
                <c:pt idx="16" formatCode="0.0">
                  <c:v>56.415801774462061</c:v>
                </c:pt>
                <c:pt idx="17" formatCode="0.0">
                  <c:v>54.145798426782001</c:v>
                </c:pt>
              </c:numCache>
            </c:numRef>
          </c:val>
          <c:smooth val="0"/>
          <c:extLst xmlns:c16r2="http://schemas.microsoft.com/office/drawing/2015/06/chart">
            <c:ext xmlns:c16="http://schemas.microsoft.com/office/drawing/2014/chart" uri="{C3380CC4-5D6E-409C-BE32-E72D297353CC}">
              <c16:uniqueId val="{00000007-0315-4642-9451-6F093E29C8EC}"/>
            </c:ext>
          </c:extLst>
        </c:ser>
        <c:ser>
          <c:idx val="6"/>
          <c:order val="6"/>
          <c:tx>
            <c:strRef>
              <c:f>'Súhrnná tabuľka'!$AN$150</c:f>
              <c:strCache>
                <c:ptCount val="1"/>
                <c:pt idx="0">
                  <c:v>Čistý dlh pri splnení cieľov nominálneho salda</c:v>
                </c:pt>
              </c:strCache>
            </c:strRef>
          </c:tx>
          <c:spPr>
            <a:ln w="25400">
              <a:solidFill>
                <a:srgbClr val="002060"/>
              </a:solidFill>
              <a:prstDash val="sysDash"/>
            </a:ln>
          </c:spPr>
          <c:marker>
            <c:symbol val="none"/>
          </c:marker>
          <c:val>
            <c:numRef>
              <c:f>'Súhrnná tabuľka'!$AN$149:$BE$149</c:f>
              <c:numCache>
                <c:formatCode>General</c:formatCode>
                <c:ptCount val="18"/>
                <c:pt idx="14" formatCode="0.0">
                  <c:v>51.859643664998089</c:v>
                </c:pt>
                <c:pt idx="15" formatCode="0.0">
                  <c:v>49.152014853567977</c:v>
                </c:pt>
                <c:pt idx="16" formatCode="0.0">
                  <c:v>49.043003751260642</c:v>
                </c:pt>
                <c:pt idx="17" formatCode="0.0">
                  <c:v>48.461265392884023</c:v>
                </c:pt>
              </c:numCache>
            </c:numRef>
          </c:val>
          <c:smooth val="0"/>
          <c:extLst xmlns:c16r2="http://schemas.microsoft.com/office/drawing/2015/06/chart">
            <c:ext xmlns:c16="http://schemas.microsoft.com/office/drawing/2014/chart" uri="{C3380CC4-5D6E-409C-BE32-E72D297353CC}">
              <c16:uniqueId val="{00000008-0315-4642-9451-6F093E29C8EC}"/>
            </c:ext>
          </c:extLst>
        </c:ser>
        <c:dLbls>
          <c:showLegendKey val="0"/>
          <c:showVal val="0"/>
          <c:showCatName val="0"/>
          <c:showSerName val="0"/>
          <c:showPercent val="0"/>
          <c:showBubbleSize val="0"/>
        </c:dLbls>
        <c:marker val="1"/>
        <c:smooth val="0"/>
        <c:axId val="505746640"/>
        <c:axId val="505747032"/>
      </c:lineChart>
      <c:catAx>
        <c:axId val="505746640"/>
        <c:scaling>
          <c:orientation val="minMax"/>
        </c:scaling>
        <c:delete val="0"/>
        <c:axPos val="b"/>
        <c:numFmt formatCode="General" sourceLinked="1"/>
        <c:majorTickMark val="out"/>
        <c:minorTickMark val="none"/>
        <c:tickLblPos val="low"/>
        <c:spPr>
          <a:noFill/>
          <a:ln w="3175" cap="flat" cmpd="sng" algn="ctr">
            <a:solidFill>
              <a:schemeClr val="tx1"/>
            </a:solidFill>
            <a:round/>
          </a:ln>
          <a:effectLst/>
        </c:spPr>
        <c:txPr>
          <a:bodyPr rot="-60000000" vert="horz"/>
          <a:lstStyle/>
          <a:p>
            <a:pPr>
              <a:defRPr/>
            </a:pPr>
            <a:endParaRPr lang="sk-SK"/>
          </a:p>
        </c:txPr>
        <c:crossAx val="505747032"/>
        <c:crosses val="autoZero"/>
        <c:auto val="0"/>
        <c:lblAlgn val="ctr"/>
        <c:lblOffset val="100"/>
        <c:noMultiLvlLbl val="0"/>
      </c:catAx>
      <c:valAx>
        <c:axId val="505747032"/>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0" sourceLinked="0"/>
        <c:majorTickMark val="none"/>
        <c:minorTickMark val="none"/>
        <c:tickLblPos val="nextTo"/>
        <c:spPr>
          <a:noFill/>
          <a:ln w="3175">
            <a:solidFill>
              <a:schemeClr val="tx1"/>
            </a:solidFill>
          </a:ln>
          <a:effectLst/>
        </c:spPr>
        <c:txPr>
          <a:bodyPr rot="-60000000" vert="horz"/>
          <a:lstStyle/>
          <a:p>
            <a:pPr>
              <a:defRPr/>
            </a:pPr>
            <a:endParaRPr lang="sk-SK"/>
          </a:p>
        </c:txPr>
        <c:crossAx val="505746640"/>
        <c:crosses val="autoZero"/>
        <c:crossBetween val="between"/>
      </c:valAx>
      <c:spPr>
        <a:noFill/>
        <a:ln w="3175">
          <a:noFill/>
          <a:prstDash val="sysDot"/>
        </a:ln>
        <a:effectLst/>
      </c:spPr>
    </c:plotArea>
    <c:legend>
      <c:legendPos val="t"/>
      <c:legendEntry>
        <c:idx val="3"/>
        <c:delete val="1"/>
      </c:legendEntry>
      <c:layout>
        <c:manualLayout>
          <c:xMode val="edge"/>
          <c:yMode val="edge"/>
          <c:x val="4.8752571860160257E-2"/>
          <c:y val="2.6258205689277898E-2"/>
          <c:w val="0.94218614624660346"/>
          <c:h val="0.11994796602284673"/>
        </c:manualLayout>
      </c:layout>
      <c:overlay val="0"/>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sk-SK"/>
    </a:p>
  </c:txPr>
  <c:externalData r:id="rId2">
    <c:autoUpdate val="0"/>
  </c:externalData>
  <c:userShapes r:id="rId3"/>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787773402629306E-2"/>
          <c:y val="3.7486892271914186E-2"/>
          <c:w val="0.88660736210614233"/>
          <c:h val="0.75451133897066591"/>
        </c:manualLayout>
      </c:layout>
      <c:barChart>
        <c:barDir val="col"/>
        <c:grouping val="stacked"/>
        <c:varyColors val="0"/>
        <c:ser>
          <c:idx val="2"/>
          <c:order val="0"/>
          <c:tx>
            <c:strRef>
              <c:f>'Súhrnná tabuľka'!$AM$82</c:f>
              <c:strCache>
                <c:ptCount val="1"/>
                <c:pt idx="0">
                  <c:v>Primárne saldo</c:v>
                </c:pt>
              </c:strCache>
            </c:strRef>
          </c:tx>
          <c:spPr>
            <a:solidFill>
              <a:srgbClr val="00B0F0"/>
            </a:solidFill>
            <a:ln w="12700">
              <a:noFill/>
              <a:prstDash val="solid"/>
            </a:ln>
          </c:spPr>
          <c:invertIfNegative val="0"/>
          <c:cat>
            <c:strRef>
              <c:f>'Súhrnná tabuľka'!$AN$81:$AT$81</c:f>
              <c:strCache>
                <c:ptCount val="7"/>
                <c:pt idx="0">
                  <c:v>2010-2019</c:v>
                </c:pt>
                <c:pt idx="1">
                  <c:v>2020</c:v>
                </c:pt>
                <c:pt idx="2">
                  <c:v>2021</c:v>
                </c:pt>
                <c:pt idx="3">
                  <c:v>2022</c:v>
                </c:pt>
                <c:pt idx="4">
                  <c:v>2023</c:v>
                </c:pt>
                <c:pt idx="5">
                  <c:v>2024</c:v>
                </c:pt>
                <c:pt idx="6">
                  <c:v>2025</c:v>
                </c:pt>
              </c:strCache>
            </c:strRef>
          </c:cat>
          <c:val>
            <c:numRef>
              <c:f>'Súhrnná tabuľka'!$AN$82:$AT$82</c:f>
              <c:numCache>
                <c:formatCode>#\ ##0.0</c:formatCode>
                <c:ptCount val="7"/>
                <c:pt idx="0">
                  <c:v>1.4800314161367816</c:v>
                </c:pt>
                <c:pt idx="1">
                  <c:v>4.2681373620613519</c:v>
                </c:pt>
                <c:pt idx="2">
                  <c:v>5.0354743203761352</c:v>
                </c:pt>
                <c:pt idx="3">
                  <c:v>4.2215778490997344</c:v>
                </c:pt>
                <c:pt idx="4">
                  <c:v>2.4618491394707229</c:v>
                </c:pt>
                <c:pt idx="5">
                  <c:v>2.3084568164932482</c:v>
                </c:pt>
                <c:pt idx="6">
                  <c:v>2.4523625953606545</c:v>
                </c:pt>
              </c:numCache>
            </c:numRef>
          </c:val>
          <c:extLst xmlns:c16r2="http://schemas.microsoft.com/office/drawing/2015/06/chart">
            <c:ext xmlns:c16="http://schemas.microsoft.com/office/drawing/2014/chart" uri="{C3380CC4-5D6E-409C-BE32-E72D297353CC}">
              <c16:uniqueId val="{00000000-EA56-44D0-89D5-976A99CF3A52}"/>
            </c:ext>
          </c:extLst>
        </c:ser>
        <c:ser>
          <c:idx val="4"/>
          <c:order val="2"/>
          <c:tx>
            <c:strRef>
              <c:f>'Súhrnná tabuľka'!$AM$84</c:f>
              <c:strCache>
                <c:ptCount val="1"/>
                <c:pt idx="0">
                  <c:v>Úroky</c:v>
                </c:pt>
              </c:strCache>
            </c:strRef>
          </c:tx>
          <c:spPr>
            <a:solidFill>
              <a:srgbClr val="2C9ADC">
                <a:lumMod val="40000"/>
                <a:lumOff val="60000"/>
              </a:srgbClr>
            </a:solidFill>
            <a:ln w="12700">
              <a:noFill/>
              <a:prstDash val="solid"/>
            </a:ln>
          </c:spPr>
          <c:invertIfNegative val="0"/>
          <c:cat>
            <c:strRef>
              <c:f>'Súhrnná tabuľka'!$AN$81:$AT$81</c:f>
              <c:strCache>
                <c:ptCount val="7"/>
                <c:pt idx="0">
                  <c:v>2010-2019</c:v>
                </c:pt>
                <c:pt idx="1">
                  <c:v>2020</c:v>
                </c:pt>
                <c:pt idx="2">
                  <c:v>2021</c:v>
                </c:pt>
                <c:pt idx="3">
                  <c:v>2022</c:v>
                </c:pt>
                <c:pt idx="4">
                  <c:v>2023</c:v>
                </c:pt>
                <c:pt idx="5">
                  <c:v>2024</c:v>
                </c:pt>
                <c:pt idx="6">
                  <c:v>2025</c:v>
                </c:pt>
              </c:strCache>
            </c:strRef>
          </c:cat>
          <c:val>
            <c:numRef>
              <c:f>'Súhrnná tabuľka'!$AN$84:$AT$84</c:f>
              <c:numCache>
                <c:formatCode>#\ ##0.0</c:formatCode>
                <c:ptCount val="7"/>
                <c:pt idx="0">
                  <c:v>1.598593043481723</c:v>
                </c:pt>
                <c:pt idx="1">
                  <c:v>1.200123767294246</c:v>
                </c:pt>
                <c:pt idx="2">
                  <c:v>1.1146386261499897</c:v>
                </c:pt>
                <c:pt idx="3">
                  <c:v>0.84886678136843297</c:v>
                </c:pt>
                <c:pt idx="4">
                  <c:v>0.81643469480127306</c:v>
                </c:pt>
                <c:pt idx="5">
                  <c:v>0.92241652541762198</c:v>
                </c:pt>
                <c:pt idx="6">
                  <c:v>1.0206996506032655</c:v>
                </c:pt>
              </c:numCache>
            </c:numRef>
          </c:val>
          <c:extLst xmlns:c16r2="http://schemas.microsoft.com/office/drawing/2015/06/chart">
            <c:ext xmlns:c16="http://schemas.microsoft.com/office/drawing/2014/chart" uri="{C3380CC4-5D6E-409C-BE32-E72D297353CC}">
              <c16:uniqueId val="{00000001-EA56-44D0-89D5-976A99CF3A52}"/>
            </c:ext>
          </c:extLst>
        </c:ser>
        <c:ser>
          <c:idx val="1"/>
          <c:order val="3"/>
          <c:tx>
            <c:strRef>
              <c:f>'Súhrnná tabuľka'!$AM$87</c:f>
              <c:strCache>
                <c:ptCount val="1"/>
                <c:pt idx="0">
                  <c:v>Rast reálneho HDP</c:v>
                </c:pt>
              </c:strCache>
            </c:strRef>
          </c:tx>
          <c:spPr>
            <a:solidFill>
              <a:srgbClr val="002060"/>
            </a:solidFill>
          </c:spPr>
          <c:invertIfNegative val="0"/>
          <c:cat>
            <c:strRef>
              <c:f>'Súhrnná tabuľka'!$AN$81:$AT$81</c:f>
              <c:strCache>
                <c:ptCount val="7"/>
                <c:pt idx="0">
                  <c:v>2010-2019</c:v>
                </c:pt>
                <c:pt idx="1">
                  <c:v>2020</c:v>
                </c:pt>
                <c:pt idx="2">
                  <c:v>2021</c:v>
                </c:pt>
                <c:pt idx="3">
                  <c:v>2022</c:v>
                </c:pt>
                <c:pt idx="4">
                  <c:v>2023</c:v>
                </c:pt>
                <c:pt idx="5">
                  <c:v>2024</c:v>
                </c:pt>
                <c:pt idx="6">
                  <c:v>2025</c:v>
                </c:pt>
              </c:strCache>
            </c:strRef>
          </c:cat>
          <c:val>
            <c:numRef>
              <c:f>'Súhrnná tabuľka'!$AN$87:$AT$87</c:f>
              <c:numCache>
                <c:formatCode>#\ ##0.0</c:formatCode>
                <c:ptCount val="7"/>
                <c:pt idx="0">
                  <c:v>-1.4024950603441053</c:v>
                </c:pt>
                <c:pt idx="1">
                  <c:v>2.2484415859583233</c:v>
                </c:pt>
                <c:pt idx="2">
                  <c:v>-1.7921697230222093</c:v>
                </c:pt>
                <c:pt idx="3">
                  <c:v>-1.3952295179483545</c:v>
                </c:pt>
                <c:pt idx="4">
                  <c:v>-3.2448435608400108</c:v>
                </c:pt>
                <c:pt idx="5">
                  <c:v>-1.0379869298585438</c:v>
                </c:pt>
                <c:pt idx="6">
                  <c:v>-1.0435405978846179</c:v>
                </c:pt>
              </c:numCache>
            </c:numRef>
          </c:val>
          <c:extLst xmlns:c16r2="http://schemas.microsoft.com/office/drawing/2015/06/chart">
            <c:ext xmlns:c16="http://schemas.microsoft.com/office/drawing/2014/chart" uri="{C3380CC4-5D6E-409C-BE32-E72D297353CC}">
              <c16:uniqueId val="{00000002-EA56-44D0-89D5-976A99CF3A52}"/>
            </c:ext>
          </c:extLst>
        </c:ser>
        <c:ser>
          <c:idx val="3"/>
          <c:order val="4"/>
          <c:tx>
            <c:strRef>
              <c:f>'Súhrnná tabuľka'!$AM$88</c:f>
              <c:strCache>
                <c:ptCount val="1"/>
                <c:pt idx="0">
                  <c:v>Deflátor HDP</c:v>
                </c:pt>
              </c:strCache>
            </c:strRef>
          </c:tx>
          <c:spPr>
            <a:solidFill>
              <a:srgbClr val="196797"/>
            </a:solidFill>
            <a:ln>
              <a:noFill/>
            </a:ln>
          </c:spPr>
          <c:invertIfNegative val="0"/>
          <c:cat>
            <c:strRef>
              <c:f>'Súhrnná tabuľka'!$AN$81:$AT$81</c:f>
              <c:strCache>
                <c:ptCount val="7"/>
                <c:pt idx="0">
                  <c:v>2010-2019</c:v>
                </c:pt>
                <c:pt idx="1">
                  <c:v>2020</c:v>
                </c:pt>
                <c:pt idx="2">
                  <c:v>2021</c:v>
                </c:pt>
                <c:pt idx="3">
                  <c:v>2022</c:v>
                </c:pt>
                <c:pt idx="4">
                  <c:v>2023</c:v>
                </c:pt>
                <c:pt idx="5">
                  <c:v>2024</c:v>
                </c:pt>
                <c:pt idx="6">
                  <c:v>2025</c:v>
                </c:pt>
              </c:strCache>
            </c:strRef>
          </c:cat>
          <c:val>
            <c:numRef>
              <c:f>'Súhrnná tabuľka'!$AN$88:$AT$88</c:f>
              <c:numCache>
                <c:formatCode>#\ ##0.0</c:formatCode>
                <c:ptCount val="7"/>
                <c:pt idx="0">
                  <c:v>-0.38242143378683685</c:v>
                </c:pt>
                <c:pt idx="1">
                  <c:v>-1.2190894029832644</c:v>
                </c:pt>
                <c:pt idx="2">
                  <c:v>-1.3101600988077504</c:v>
                </c:pt>
                <c:pt idx="3">
                  <c:v>-4.1533411680209724</c:v>
                </c:pt>
                <c:pt idx="4">
                  <c:v>-2.7063385456119105</c:v>
                </c:pt>
                <c:pt idx="5">
                  <c:v>-1.3050535726271149</c:v>
                </c:pt>
                <c:pt idx="6">
                  <c:v>-1.1564613275487856</c:v>
                </c:pt>
              </c:numCache>
            </c:numRef>
          </c:val>
          <c:extLst xmlns:c16r2="http://schemas.microsoft.com/office/drawing/2015/06/chart">
            <c:ext xmlns:c16="http://schemas.microsoft.com/office/drawing/2014/chart" uri="{C3380CC4-5D6E-409C-BE32-E72D297353CC}">
              <c16:uniqueId val="{00000003-EA56-44D0-89D5-976A99CF3A52}"/>
            </c:ext>
          </c:extLst>
        </c:ser>
        <c:ser>
          <c:idx val="7"/>
          <c:order val="5"/>
          <c:tx>
            <c:strRef>
              <c:f>'Súhrnná tabuľka'!$AM$90</c:f>
              <c:strCache>
                <c:ptCount val="1"/>
                <c:pt idx="0">
                  <c:v>Zmena hotovosti VS</c:v>
                </c:pt>
              </c:strCache>
            </c:strRef>
          </c:tx>
          <c:spPr>
            <a:solidFill>
              <a:srgbClr val="FFBC6B"/>
            </a:solidFill>
            <a:ln w="28575">
              <a:noFill/>
            </a:ln>
          </c:spPr>
          <c:invertIfNegative val="0"/>
          <c:cat>
            <c:strRef>
              <c:f>'Súhrnná tabuľka'!$AN$81:$AT$81</c:f>
              <c:strCache>
                <c:ptCount val="7"/>
                <c:pt idx="0">
                  <c:v>2010-2019</c:v>
                </c:pt>
                <c:pt idx="1">
                  <c:v>2020</c:v>
                </c:pt>
                <c:pt idx="2">
                  <c:v>2021</c:v>
                </c:pt>
                <c:pt idx="3">
                  <c:v>2022</c:v>
                </c:pt>
                <c:pt idx="4">
                  <c:v>2023</c:v>
                </c:pt>
                <c:pt idx="5">
                  <c:v>2024</c:v>
                </c:pt>
                <c:pt idx="6">
                  <c:v>2025</c:v>
                </c:pt>
              </c:strCache>
            </c:strRef>
          </c:cat>
          <c:val>
            <c:numRef>
              <c:f>'Súhrnná tabuľka'!$AN$90:$AT$90</c:f>
              <c:numCache>
                <c:formatCode>#\ ##0.0</c:formatCode>
                <c:ptCount val="7"/>
                <c:pt idx="0">
                  <c:v>0.17851543433648845</c:v>
                </c:pt>
                <c:pt idx="1">
                  <c:v>5.148232468827695</c:v>
                </c:pt>
                <c:pt idx="2">
                  <c:v>2.2034274258709687</c:v>
                </c:pt>
                <c:pt idx="3">
                  <c:v>-0.7902449127358282</c:v>
                </c:pt>
                <c:pt idx="4">
                  <c:v>-0.80953915171126811</c:v>
                </c:pt>
                <c:pt idx="5">
                  <c:v>-0.2928837145301415</c:v>
                </c:pt>
                <c:pt idx="6">
                  <c:v>-1.0969826451787175</c:v>
                </c:pt>
              </c:numCache>
            </c:numRef>
          </c:val>
          <c:extLst xmlns:c16r2="http://schemas.microsoft.com/office/drawing/2015/06/chart">
            <c:ext xmlns:c16="http://schemas.microsoft.com/office/drawing/2014/chart" uri="{C3380CC4-5D6E-409C-BE32-E72D297353CC}">
              <c16:uniqueId val="{00000004-EA56-44D0-89D5-976A99CF3A52}"/>
            </c:ext>
          </c:extLst>
        </c:ser>
        <c:ser>
          <c:idx val="6"/>
          <c:order val="6"/>
          <c:tx>
            <c:strRef>
              <c:f>'Súhrnná tabuľka'!$AM$89</c:f>
              <c:strCache>
                <c:ptCount val="1"/>
                <c:pt idx="0">
                  <c:v>Zosúladenie deficitu a dlhu - bez hotovosti VS</c:v>
                </c:pt>
              </c:strCache>
            </c:strRef>
          </c:tx>
          <c:spPr>
            <a:solidFill>
              <a:srgbClr val="FFDEB7"/>
            </a:solidFill>
            <a:ln w="12700">
              <a:noFill/>
              <a:prstDash val="solid"/>
            </a:ln>
          </c:spPr>
          <c:invertIfNegative val="0"/>
          <c:cat>
            <c:strRef>
              <c:f>'Súhrnná tabuľka'!$AN$81:$AT$81</c:f>
              <c:strCache>
                <c:ptCount val="7"/>
                <c:pt idx="0">
                  <c:v>2010-2019</c:v>
                </c:pt>
                <c:pt idx="1">
                  <c:v>2020</c:v>
                </c:pt>
                <c:pt idx="2">
                  <c:v>2021</c:v>
                </c:pt>
                <c:pt idx="3">
                  <c:v>2022</c:v>
                </c:pt>
                <c:pt idx="4">
                  <c:v>2023</c:v>
                </c:pt>
                <c:pt idx="5">
                  <c:v>2024</c:v>
                </c:pt>
                <c:pt idx="6">
                  <c:v>2025</c:v>
                </c:pt>
              </c:strCache>
            </c:strRef>
          </c:cat>
          <c:val>
            <c:numRef>
              <c:f>'Súhrnná tabuľka'!$AN$89:$AT$89</c:f>
              <c:numCache>
                <c:formatCode>#\ ##0.0</c:formatCode>
                <c:ptCount val="7"/>
                <c:pt idx="0">
                  <c:v>-0.29406278123741519</c:v>
                </c:pt>
                <c:pt idx="1">
                  <c:v>-4.3989279539440318E-2</c:v>
                </c:pt>
                <c:pt idx="2">
                  <c:v>-1.9211952195345356</c:v>
                </c:pt>
                <c:pt idx="3">
                  <c:v>-0.20857601536037107</c:v>
                </c:pt>
                <c:pt idx="4">
                  <c:v>-9.5503828655201572E-2</c:v>
                </c:pt>
                <c:pt idx="5">
                  <c:v>-0.4470096444533489</c:v>
                </c:pt>
                <c:pt idx="6">
                  <c:v>-1.0635713151116735</c:v>
                </c:pt>
              </c:numCache>
            </c:numRef>
          </c:val>
          <c:extLst xmlns:c16r2="http://schemas.microsoft.com/office/drawing/2015/06/chart">
            <c:ext xmlns:c16="http://schemas.microsoft.com/office/drawing/2014/chart" uri="{C3380CC4-5D6E-409C-BE32-E72D297353CC}">
              <c16:uniqueId val="{00000005-EA56-44D0-89D5-976A99CF3A52}"/>
            </c:ext>
          </c:extLst>
        </c:ser>
        <c:dLbls>
          <c:showLegendKey val="0"/>
          <c:showVal val="0"/>
          <c:showCatName val="0"/>
          <c:showSerName val="0"/>
          <c:showPercent val="0"/>
          <c:showBubbleSize val="0"/>
        </c:dLbls>
        <c:gapWidth val="150"/>
        <c:overlap val="100"/>
        <c:axId val="505995224"/>
        <c:axId val="505995616"/>
        <c:extLst xmlns:c16r2="http://schemas.microsoft.com/office/drawing/2015/06/chart"/>
      </c:barChart>
      <c:lineChart>
        <c:grouping val="standard"/>
        <c:varyColors val="0"/>
        <c:ser>
          <c:idx val="0"/>
          <c:order val="1"/>
          <c:tx>
            <c:strRef>
              <c:f>'Súhrnná tabuľka'!$AM$91</c:f>
              <c:strCache>
                <c:ptCount val="1"/>
                <c:pt idx="0">
                  <c:v>Zmena hrubého dlhu VS</c:v>
                </c:pt>
              </c:strCache>
            </c:strRef>
          </c:tx>
          <c:spPr>
            <a:ln w="25400" cmpd="sng">
              <a:noFill/>
              <a:prstDash val="solid"/>
            </a:ln>
          </c:spPr>
          <c:marker>
            <c:symbol val="circle"/>
            <c:size val="7"/>
            <c:spPr>
              <a:solidFill>
                <a:sysClr val="windowText" lastClr="000000"/>
              </a:solidFill>
              <a:ln w="9525">
                <a:solidFill>
                  <a:sysClr val="window" lastClr="FFFFFF"/>
                </a:solidFill>
              </a:ln>
            </c:spPr>
          </c:marker>
          <c:dPt>
            <c:idx val="12"/>
            <c:bubble3D val="0"/>
            <c:extLst xmlns:c16r2="http://schemas.microsoft.com/office/drawing/2015/06/chart">
              <c:ext xmlns:c16="http://schemas.microsoft.com/office/drawing/2014/chart" uri="{C3380CC4-5D6E-409C-BE32-E72D297353CC}">
                <c16:uniqueId val="{00000006-EA56-44D0-89D5-976A99CF3A52}"/>
              </c:ext>
            </c:extLst>
          </c:dPt>
          <c:dLbls>
            <c:numFmt formatCode="#,##0.0" sourceLinked="0"/>
            <c:spPr>
              <a:solidFill>
                <a:sysClr val="window" lastClr="FFFFFF"/>
              </a:solidFill>
              <a:ln>
                <a:solidFill>
                  <a:sysClr val="windowText" lastClr="000000"/>
                </a:solidFill>
              </a:ln>
              <a:effectLst/>
            </c:spPr>
            <c:dLblPos val="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'Súhrnná tabuľka'!$AN$81:$AT$81</c:f>
              <c:strCache>
                <c:ptCount val="7"/>
                <c:pt idx="0">
                  <c:v>2010-2019</c:v>
                </c:pt>
                <c:pt idx="1">
                  <c:v>2020</c:v>
                </c:pt>
                <c:pt idx="2">
                  <c:v>2021</c:v>
                </c:pt>
                <c:pt idx="3">
                  <c:v>2022</c:v>
                </c:pt>
                <c:pt idx="4">
                  <c:v>2023</c:v>
                </c:pt>
                <c:pt idx="5">
                  <c:v>2024</c:v>
                </c:pt>
                <c:pt idx="6">
                  <c:v>2025</c:v>
                </c:pt>
              </c:strCache>
            </c:strRef>
          </c:cat>
          <c:val>
            <c:numRef>
              <c:f>'Súhrnná tabuľka'!$AN$91:$AT$91</c:f>
              <c:numCache>
                <c:formatCode>#\ ##0.0</c:formatCode>
                <c:ptCount val="7"/>
                <c:pt idx="0">
                  <c:v>1.1781606185866358</c:v>
                </c:pt>
                <c:pt idx="1">
                  <c:v>11.601856501618911</c:v>
                </c:pt>
                <c:pt idx="2">
                  <c:v>3.3300153310325982</c:v>
                </c:pt>
                <c:pt idx="3">
                  <c:v>-1.4769469835973581</c:v>
                </c:pt>
                <c:pt idx="4">
                  <c:v>-3.5779412525463954</c:v>
                </c:pt>
                <c:pt idx="5">
                  <c:v>0.14793948044172112</c:v>
                </c:pt>
                <c:pt idx="6">
                  <c:v>-0.8874936397598745</c:v>
                </c:pt>
              </c:numCache>
            </c:numRef>
          </c:val>
          <c:smooth val="0"/>
          <c:extLst xmlns:c16r2="http://schemas.microsoft.com/office/drawing/2015/06/chart">
            <c:ext xmlns:c16="http://schemas.microsoft.com/office/drawing/2014/chart" uri="{C3380CC4-5D6E-409C-BE32-E72D297353CC}">
              <c16:uniqueId val="{00000007-EA56-44D0-89D5-976A99CF3A52}"/>
            </c:ext>
          </c:extLst>
        </c:ser>
        <c:dLbls>
          <c:showLegendKey val="0"/>
          <c:showVal val="0"/>
          <c:showCatName val="0"/>
          <c:showSerName val="0"/>
          <c:showPercent val="0"/>
          <c:showBubbleSize val="0"/>
        </c:dLbls>
        <c:marker val="1"/>
        <c:smooth val="0"/>
        <c:axId val="505995224"/>
        <c:axId val="505995616"/>
      </c:lineChart>
      <c:catAx>
        <c:axId val="505995224"/>
        <c:scaling>
          <c:orientation val="minMax"/>
        </c:scaling>
        <c:delete val="0"/>
        <c:axPos val="b"/>
        <c:numFmt formatCode="General" sourceLinked="1"/>
        <c:majorTickMark val="out"/>
        <c:minorTickMark val="none"/>
        <c:tickLblPos val="low"/>
        <c:spPr>
          <a:ln w="3175">
            <a:solidFill>
              <a:sysClr val="windowText" lastClr="000000"/>
            </a:solidFill>
            <a:prstDash val="solid"/>
          </a:ln>
        </c:spPr>
        <c:txPr>
          <a:bodyPr rot="0" vert="horz"/>
          <a:lstStyle/>
          <a:p>
            <a:pPr>
              <a:defRPr/>
            </a:pPr>
            <a:endParaRPr lang="sk-SK"/>
          </a:p>
        </c:txPr>
        <c:crossAx val="505995616"/>
        <c:crosses val="autoZero"/>
        <c:auto val="1"/>
        <c:lblAlgn val="ctr"/>
        <c:lblOffset val="100"/>
        <c:tickLblSkip val="1"/>
        <c:tickMarkSkip val="1"/>
        <c:noMultiLvlLbl val="0"/>
      </c:catAx>
      <c:valAx>
        <c:axId val="505995616"/>
        <c:scaling>
          <c:orientation val="minMax"/>
          <c:min val="-10"/>
        </c:scaling>
        <c:delete val="0"/>
        <c:axPos val="l"/>
        <c:majorGridlines>
          <c:spPr>
            <a:ln w="3175">
              <a:solidFill>
                <a:sysClr val="window" lastClr="FFFFFF">
                  <a:lumMod val="75000"/>
                </a:sysClr>
              </a:solidFill>
              <a:prstDash val="sysDot"/>
            </a:ln>
          </c:spPr>
        </c:majorGridlines>
        <c:numFmt formatCode="#,##0" sourceLinked="0"/>
        <c:majorTickMark val="out"/>
        <c:minorTickMark val="none"/>
        <c:tickLblPos val="nextTo"/>
        <c:spPr>
          <a:ln w="3175">
            <a:solidFill>
              <a:sysClr val="windowText" lastClr="000000"/>
            </a:solidFill>
            <a:prstDash val="sysDot"/>
          </a:ln>
        </c:spPr>
        <c:txPr>
          <a:bodyPr rot="0" vert="horz"/>
          <a:lstStyle/>
          <a:p>
            <a:pPr>
              <a:defRPr/>
            </a:pPr>
            <a:endParaRPr lang="sk-SK"/>
          </a:p>
        </c:txPr>
        <c:crossAx val="505995224"/>
        <c:crosses val="autoZero"/>
        <c:crossBetween val="between"/>
      </c:valAx>
      <c:spPr>
        <a:noFill/>
        <a:ln w="25400">
          <a:noFill/>
        </a:ln>
      </c:spPr>
    </c:plotArea>
    <c:legend>
      <c:legendPos val="r"/>
      <c:layout>
        <c:manualLayout>
          <c:xMode val="edge"/>
          <c:yMode val="edge"/>
          <c:x val="1.9421018764641671E-2"/>
          <c:y val="0.88532168178873027"/>
          <c:w val="0.97959459483681077"/>
          <c:h val="0.11467831821126981"/>
        </c:manualLayout>
      </c:layout>
      <c:overlay val="0"/>
      <c:spPr>
        <a:solidFill>
          <a:srgbClr val="FFFFFF"/>
        </a:solidFill>
        <a:ln w="25400">
          <a:noFill/>
        </a:ln>
      </c:spPr>
      <c:txPr>
        <a:bodyPr/>
        <a:lstStyle/>
        <a:p>
          <a:pPr>
            <a:defRPr sz="550"/>
          </a:pPr>
          <a:endParaRPr lang="sk-SK"/>
        </a:p>
      </c:txPr>
    </c:legend>
    <c:plotVisOnly val="1"/>
    <c:dispBlanksAs val="gap"/>
    <c:showDLblsOverMax val="0"/>
  </c:chart>
  <c:spPr>
    <a:solidFill>
      <a:srgbClr val="FFFFFF"/>
    </a:solidFill>
    <a:ln w="9525">
      <a:noFill/>
    </a:ln>
  </c:spPr>
  <c:txPr>
    <a:bodyPr/>
    <a:lstStyle/>
    <a:p>
      <a:pPr>
        <a:defRPr sz="700" b="0" i="0" u="none" strike="noStrike" baseline="0">
          <a:solidFill>
            <a:srgbClr val="000000"/>
          </a:solidFill>
          <a:latin typeface="Arial Narrow" panose="020B0606020202030204" pitchFamily="34" charset="0"/>
          <a:ea typeface="Arial"/>
          <a:cs typeface="Arial"/>
        </a:defRPr>
      </a:pPr>
      <a:endParaRPr lang="sk-SK"/>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946683111556393E-2"/>
          <c:y val="5.2222228999066832E-2"/>
          <c:w val="0.90417427725071342"/>
          <c:h val="0.80375789587107194"/>
        </c:manualLayout>
      </c:layout>
      <c:areaChart>
        <c:grouping val="standard"/>
        <c:varyColors val="0"/>
        <c:ser>
          <c:idx val="0"/>
          <c:order val="0"/>
          <c:tx>
            <c:strRef>
              <c:f>Graf!$A$21</c:f>
              <c:strCache>
                <c:ptCount val="1"/>
                <c:pt idx="0">
                  <c:v>Scenár nezmenených politík</c:v>
                </c:pt>
              </c:strCache>
            </c:strRef>
          </c:tx>
          <c:spPr>
            <a:solidFill>
              <a:srgbClr val="5B9BD5">
                <a:lumMod val="60000"/>
                <a:lumOff val="40000"/>
              </a:srgbClr>
            </a:solidFill>
            <a:ln>
              <a:noFill/>
            </a:ln>
            <a:effectLst/>
          </c:spPr>
          <c:cat>
            <c:numRef>
              <c:f>Graf!$F$22:$Z$22</c:f>
              <c:numCache>
                <c:formatCode>General</c:formatCode>
                <c:ptCount val="21"/>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pt idx="14">
                  <c:v>2034</c:v>
                </c:pt>
                <c:pt idx="15">
                  <c:v>2035</c:v>
                </c:pt>
                <c:pt idx="16">
                  <c:v>2036</c:v>
                </c:pt>
                <c:pt idx="17">
                  <c:v>2037</c:v>
                </c:pt>
                <c:pt idx="18">
                  <c:v>2038</c:v>
                </c:pt>
                <c:pt idx="19">
                  <c:v>2039</c:v>
                </c:pt>
                <c:pt idx="20">
                  <c:v>2040</c:v>
                </c:pt>
              </c:numCache>
            </c:numRef>
          </c:cat>
          <c:val>
            <c:numRef>
              <c:f>Graf!$F$24:$Z$24</c:f>
              <c:numCache>
                <c:formatCode>#\ ##0.0</c:formatCode>
                <c:ptCount val="21"/>
                <c:pt idx="0">
                  <c:v>59.744350879996823</c:v>
                </c:pt>
                <c:pt idx="1">
                  <c:v>63.074366211029421</c:v>
                </c:pt>
                <c:pt idx="2" formatCode="0.0">
                  <c:v>61.597419227432063</c:v>
                </c:pt>
                <c:pt idx="3" formatCode="0.0">
                  <c:v>58.001633142084728</c:v>
                </c:pt>
                <c:pt idx="4" formatCode="0.0">
                  <c:v>58.95520262108186</c:v>
                </c:pt>
                <c:pt idx="5" formatCode="0.0">
                  <c:v>59.627360119558027</c:v>
                </c:pt>
                <c:pt idx="6" formatCode="0.0">
                  <c:v>60.457469446782888</c:v>
                </c:pt>
                <c:pt idx="7" formatCode="0.0">
                  <c:v>64.100621994443102</c:v>
                </c:pt>
                <c:pt idx="8" formatCode="0.0">
                  <c:v>67.736543395955422</c:v>
                </c:pt>
                <c:pt idx="9" formatCode="0.0">
                  <c:v>70.593235645948837</c:v>
                </c:pt>
                <c:pt idx="10" formatCode="0.0">
                  <c:v>71.971142629130426</c:v>
                </c:pt>
                <c:pt idx="11" formatCode="0.0">
                  <c:v>74.780513263035047</c:v>
                </c:pt>
                <c:pt idx="12" formatCode="0.0">
                  <c:v>77.710085664495864</c:v>
                </c:pt>
                <c:pt idx="13" formatCode="0.0">
                  <c:v>80.764682053446904</c:v>
                </c:pt>
                <c:pt idx="14" formatCode="0.0">
                  <c:v>83.934081540853683</c:v>
                </c:pt>
                <c:pt idx="15" formatCode="0.0">
                  <c:v>87.287234625797936</c:v>
                </c:pt>
                <c:pt idx="16" formatCode="0.0">
                  <c:v>90.850796525316355</c:v>
                </c:pt>
                <c:pt idx="17" formatCode="0.0">
                  <c:v>94.658565738049688</c:v>
                </c:pt>
                <c:pt idx="18" formatCode="0.0">
                  <c:v>98.688086343231234</c:v>
                </c:pt>
                <c:pt idx="19" formatCode="0.0">
                  <c:v>102.92432409722988</c:v>
                </c:pt>
                <c:pt idx="20" formatCode="0.0">
                  <c:v>107.33540587511364</c:v>
                </c:pt>
              </c:numCache>
            </c:numRef>
          </c:val>
          <c:extLst xmlns:c16r2="http://schemas.microsoft.com/office/drawing/2015/06/chart">
            <c:ext xmlns:c16="http://schemas.microsoft.com/office/drawing/2014/chart" uri="{C3380CC4-5D6E-409C-BE32-E72D297353CC}">
              <c16:uniqueId val="{00000000-1215-4D90-B4BE-7D2F2015185C}"/>
            </c:ext>
          </c:extLst>
        </c:ser>
        <c:dLbls>
          <c:showLegendKey val="0"/>
          <c:showVal val="0"/>
          <c:showCatName val="0"/>
          <c:showSerName val="0"/>
          <c:showPercent val="0"/>
          <c:showBubbleSize val="0"/>
        </c:dLbls>
        <c:axId val="505996400"/>
        <c:axId val="505919048"/>
      </c:areaChart>
      <c:lineChart>
        <c:grouping val="standard"/>
        <c:varyColors val="0"/>
        <c:ser>
          <c:idx val="1"/>
          <c:order val="1"/>
          <c:tx>
            <c:strRef>
              <c:f>Graf!$A$14</c:f>
              <c:strCache>
                <c:ptCount val="1"/>
                <c:pt idx="0">
                  <c:v>Scenár - ciele rozpočtu (výdavkové limity)</c:v>
                </c:pt>
              </c:strCache>
            </c:strRef>
          </c:tx>
          <c:spPr>
            <a:ln w="12700" cap="rnd">
              <a:solidFill>
                <a:srgbClr val="FF0000"/>
              </a:solidFill>
              <a:prstDash val="sysDash"/>
              <a:round/>
            </a:ln>
            <a:effectLst/>
          </c:spPr>
          <c:marker>
            <c:symbol val="none"/>
          </c:marker>
          <c:val>
            <c:numRef>
              <c:f>Graf!$F$17:$Z$17</c:f>
              <c:numCache>
                <c:formatCode>#\ ##0.0</c:formatCode>
                <c:ptCount val="21"/>
                <c:pt idx="0">
                  <c:v>59.744350879996823</c:v>
                </c:pt>
                <c:pt idx="1">
                  <c:v>63.074366211029421</c:v>
                </c:pt>
                <c:pt idx="2" formatCode="0.0">
                  <c:v>61.597419227432063</c:v>
                </c:pt>
                <c:pt idx="3" formatCode="0.0">
                  <c:v>57.281194142779057</c:v>
                </c:pt>
                <c:pt idx="4" formatCode="0.0">
                  <c:v>57.416544119005742</c:v>
                </c:pt>
                <c:pt idx="5" formatCode="0.0">
                  <c:v>55.986861578079747</c:v>
                </c:pt>
                <c:pt idx="6" formatCode="0.0">
                  <c:v>54.27468432702711</c:v>
                </c:pt>
                <c:pt idx="7" formatCode="0.0">
                  <c:v>54.82101910338131</c:v>
                </c:pt>
                <c:pt idx="8" formatCode="0.0">
                  <c:v>54.707450790649283</c:v>
                </c:pt>
                <c:pt idx="9" formatCode="0.0">
                  <c:v>53.301345952492319</c:v>
                </c:pt>
                <c:pt idx="10" formatCode="0.0">
                  <c:v>50.036599568109196</c:v>
                </c:pt>
                <c:pt idx="11" formatCode="0.0">
                  <c:v>47.880914783930081</c:v>
                </c:pt>
                <c:pt idx="12" formatCode="0.0">
                  <c:v>45.807940623251142</c:v>
                </c:pt>
                <c:pt idx="13" formatCode="0.0">
                  <c:v>43.816856175911454</c:v>
                </c:pt>
                <c:pt idx="14" formatCode="0.0">
                  <c:v>41.907226251560267</c:v>
                </c:pt>
                <c:pt idx="15" formatCode="0.0">
                  <c:v>40.094796935049963</c:v>
                </c:pt>
                <c:pt idx="16" formatCode="0.0">
                  <c:v>38.376368354550607</c:v>
                </c:pt>
                <c:pt idx="17" formatCode="0.0">
                  <c:v>36.749561807312922</c:v>
                </c:pt>
                <c:pt idx="18" formatCode="0.0">
                  <c:v>35.196445465094243</c:v>
                </c:pt>
                <c:pt idx="19" formatCode="0.0">
                  <c:v>33.707941759994121</c:v>
                </c:pt>
                <c:pt idx="20" formatCode="0.0">
                  <c:v>32.279918295347144</c:v>
                </c:pt>
              </c:numCache>
            </c:numRef>
          </c:val>
          <c:smooth val="0"/>
          <c:extLst xmlns:c16r2="http://schemas.microsoft.com/office/drawing/2015/06/chart">
            <c:ext xmlns:c16="http://schemas.microsoft.com/office/drawing/2014/chart" uri="{C3380CC4-5D6E-409C-BE32-E72D297353CC}">
              <c16:uniqueId val="{00000001-1215-4D90-B4BE-7D2F2015185C}"/>
            </c:ext>
          </c:extLst>
        </c:ser>
        <c:dLbls>
          <c:showLegendKey val="0"/>
          <c:showVal val="0"/>
          <c:showCatName val="0"/>
          <c:showSerName val="0"/>
          <c:showPercent val="0"/>
          <c:showBubbleSize val="0"/>
        </c:dLbls>
        <c:marker val="1"/>
        <c:smooth val="0"/>
        <c:axId val="505996400"/>
        <c:axId val="505919048"/>
      </c:lineChart>
      <c:dateAx>
        <c:axId val="505996400"/>
        <c:scaling>
          <c:orientation val="minMax"/>
        </c:scaling>
        <c:delete val="0"/>
        <c:axPos val="b"/>
        <c:numFmt formatCode="General" sourceLinked="1"/>
        <c:majorTickMark val="out"/>
        <c:minorTickMark val="none"/>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5919048"/>
        <c:crosses val="autoZero"/>
        <c:auto val="0"/>
        <c:lblOffset val="100"/>
        <c:baseTimeUnit val="days"/>
        <c:majorUnit val="2"/>
        <c:majorTimeUnit val="days"/>
        <c:minorUnit val="1"/>
        <c:minorTimeUnit val="days"/>
      </c:dateAx>
      <c:valAx>
        <c:axId val="505919048"/>
        <c:scaling>
          <c:orientation val="minMax"/>
          <c:max val="110"/>
          <c:min val="0"/>
        </c:scaling>
        <c:delete val="0"/>
        <c:axPos val="l"/>
        <c:majorGridlines>
          <c:spPr>
            <a:ln w="3175" cap="flat" cmpd="sng" algn="ctr">
              <a:solidFill>
                <a:schemeClr val="tx1">
                  <a:lumMod val="15000"/>
                  <a:lumOff val="85000"/>
                </a:schemeClr>
              </a:solidFill>
              <a:prstDash val="sysDot"/>
              <a:round/>
            </a:ln>
            <a:effectLst/>
          </c:spPr>
        </c:majorGridlines>
        <c:numFmt formatCode="#,##0" sourceLinked="0"/>
        <c:majorTickMark val="none"/>
        <c:minorTickMark val="none"/>
        <c:tickLblPos val="nextTo"/>
        <c:spPr>
          <a:noFill/>
          <a:ln w="3175">
            <a:solidFill>
              <a:schemeClr val="tx1"/>
            </a:solid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5996400"/>
        <c:crosses val="autoZero"/>
        <c:crossBetween val="midCat"/>
      </c:valAx>
      <c:spPr>
        <a:noFill/>
        <a:ln>
          <a:noFill/>
        </a:ln>
        <a:effectLst/>
      </c:spPr>
    </c:plotArea>
    <c:legend>
      <c:legendPos val="t"/>
      <c:layout>
        <c:manualLayout>
          <c:xMode val="edge"/>
          <c:yMode val="edge"/>
          <c:x val="0.1154275076040339"/>
          <c:y val="8.5123538488750095E-2"/>
          <c:w val="0.59439740450450129"/>
          <c:h val="0.15104976711373513"/>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485583785326856E-2"/>
          <c:y val="6.1478205382093427E-2"/>
          <c:w val="0.85107644531383797"/>
          <c:h val="0.75886735483468148"/>
        </c:manualLayout>
      </c:layout>
      <c:areaChart>
        <c:grouping val="standard"/>
        <c:varyColors val="0"/>
        <c:ser>
          <c:idx val="3"/>
          <c:order val="1"/>
          <c:tx>
            <c:strRef>
              <c:f>PS_2022_VL!$A$111</c:f>
              <c:strCache>
                <c:ptCount val="1"/>
                <c:pt idx="0">
                  <c:v>Vysoké riziko</c:v>
                </c:pt>
              </c:strCache>
            </c:strRef>
          </c:tx>
          <c:spPr>
            <a:gradFill>
              <a:gsLst>
                <a:gs pos="80000">
                  <a:srgbClr val="FFC000"/>
                </a:gs>
                <a:gs pos="27000">
                  <a:srgbClr val="FF0000"/>
                </a:gs>
              </a:gsLst>
              <a:lin ang="5400000" scaled="1"/>
            </a:gradFill>
            <a:ln>
              <a:noFill/>
            </a:ln>
            <a:effectLst/>
          </c:spPr>
          <c:cat>
            <c:numRef>
              <c:f>[1]Okt_2021!$B$109:$M$109</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cat>
          <c:val>
            <c:numRef>
              <c:f>PS_2022_VL!$B$111:$P$111</c:f>
              <c:numCache>
                <c:formatCode>0.0</c:formatCode>
                <c:ptCount val="14"/>
                <c:pt idx="0">
                  <c:v>7</c:v>
                </c:pt>
                <c:pt idx="1">
                  <c:v>7</c:v>
                </c:pt>
                <c:pt idx="2">
                  <c:v>7</c:v>
                </c:pt>
                <c:pt idx="3">
                  <c:v>7</c:v>
                </c:pt>
                <c:pt idx="4">
                  <c:v>7</c:v>
                </c:pt>
                <c:pt idx="5">
                  <c:v>7</c:v>
                </c:pt>
                <c:pt idx="6">
                  <c:v>7</c:v>
                </c:pt>
                <c:pt idx="7">
                  <c:v>7</c:v>
                </c:pt>
                <c:pt idx="8">
                  <c:v>7</c:v>
                </c:pt>
                <c:pt idx="9">
                  <c:v>7</c:v>
                </c:pt>
                <c:pt idx="10">
                  <c:v>7</c:v>
                </c:pt>
                <c:pt idx="11">
                  <c:v>7</c:v>
                </c:pt>
                <c:pt idx="12">
                  <c:v>7</c:v>
                </c:pt>
                <c:pt idx="13">
                  <c:v>7</c:v>
                </c:pt>
              </c:numCache>
            </c:numRef>
          </c:val>
          <c:extLst xmlns:c16r2="http://schemas.microsoft.com/office/drawing/2015/06/chart">
            <c:ext xmlns:c16="http://schemas.microsoft.com/office/drawing/2014/chart" uri="{C3380CC4-5D6E-409C-BE32-E72D297353CC}">
              <c16:uniqueId val="{00000000-0150-423C-883F-BFAA7AD06E12}"/>
            </c:ext>
          </c:extLst>
        </c:ser>
        <c:ser>
          <c:idx val="2"/>
          <c:order val="2"/>
          <c:tx>
            <c:strRef>
              <c:f>PS_2022_VL!$A$110</c:f>
              <c:strCache>
                <c:ptCount val="1"/>
                <c:pt idx="0">
                  <c:v>Stredné riziko</c:v>
                </c:pt>
              </c:strCache>
            </c:strRef>
          </c:tx>
          <c:spPr>
            <a:gradFill>
              <a:gsLst>
                <a:gs pos="97000">
                  <a:srgbClr val="FFC000"/>
                </a:gs>
                <a:gs pos="100000">
                  <a:srgbClr val="00B050"/>
                </a:gs>
              </a:gsLst>
              <a:lin ang="5400000" scaled="1"/>
            </a:gradFill>
            <a:ln>
              <a:noFill/>
            </a:ln>
            <a:effectLst/>
          </c:spPr>
          <c:cat>
            <c:numRef>
              <c:f>[1]Okt_2021!$B$109:$M$109</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cat>
          <c:val>
            <c:numRef>
              <c:f>PS_2022_VL!$B$110:$P$110</c:f>
              <c:numCache>
                <c:formatCode>0.0</c:formatCode>
                <c:ptCount val="14"/>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numCache>
            </c:numRef>
          </c:val>
          <c:extLst xmlns:c16r2="http://schemas.microsoft.com/office/drawing/2015/06/chart">
            <c:ext xmlns:c16="http://schemas.microsoft.com/office/drawing/2014/chart" uri="{C3380CC4-5D6E-409C-BE32-E72D297353CC}">
              <c16:uniqueId val="{00000001-0150-423C-883F-BFAA7AD06E12}"/>
            </c:ext>
          </c:extLst>
        </c:ser>
        <c:ser>
          <c:idx val="1"/>
          <c:order val="3"/>
          <c:tx>
            <c:strRef>
              <c:f>PS_2022_VL!$A$109</c:f>
              <c:strCache>
                <c:ptCount val="1"/>
                <c:pt idx="0">
                  <c:v>Nízke riziko</c:v>
                </c:pt>
              </c:strCache>
            </c:strRef>
          </c:tx>
          <c:spPr>
            <a:gradFill>
              <a:gsLst>
                <a:gs pos="19000">
                  <a:srgbClr val="00B050"/>
                </a:gs>
                <a:gs pos="0">
                  <a:srgbClr val="FFC000"/>
                </a:gs>
              </a:gsLst>
              <a:lin ang="5400000" scaled="1"/>
            </a:gradFill>
            <a:ln>
              <a:noFill/>
            </a:ln>
            <a:effectLst/>
          </c:spPr>
          <c:cat>
            <c:numRef>
              <c:f>[1]Okt_2021!$B$109:$M$109</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cat>
          <c:val>
            <c:numRef>
              <c:f>PS_2022_VL!$B$109:$P$109</c:f>
              <c:numCache>
                <c:formatCode>0.0</c:formatCode>
                <c:ptCount val="14"/>
                <c:pt idx="0">
                  <c:v>-6</c:v>
                </c:pt>
                <c:pt idx="1">
                  <c:v>-6</c:v>
                </c:pt>
                <c:pt idx="2">
                  <c:v>-6</c:v>
                </c:pt>
                <c:pt idx="3">
                  <c:v>-6</c:v>
                </c:pt>
                <c:pt idx="4">
                  <c:v>-6</c:v>
                </c:pt>
                <c:pt idx="5">
                  <c:v>-6</c:v>
                </c:pt>
                <c:pt idx="6">
                  <c:v>-6</c:v>
                </c:pt>
                <c:pt idx="7">
                  <c:v>-6</c:v>
                </c:pt>
                <c:pt idx="8">
                  <c:v>-6</c:v>
                </c:pt>
                <c:pt idx="9">
                  <c:v>-6</c:v>
                </c:pt>
                <c:pt idx="10">
                  <c:v>-6</c:v>
                </c:pt>
                <c:pt idx="11">
                  <c:v>-6</c:v>
                </c:pt>
                <c:pt idx="12">
                  <c:v>-6</c:v>
                </c:pt>
                <c:pt idx="13">
                  <c:v>-6</c:v>
                </c:pt>
              </c:numCache>
            </c:numRef>
          </c:val>
          <c:extLst xmlns:c16r2="http://schemas.microsoft.com/office/drawing/2015/06/chart">
            <c:ext xmlns:c16="http://schemas.microsoft.com/office/drawing/2014/chart" uri="{C3380CC4-5D6E-409C-BE32-E72D297353CC}">
              <c16:uniqueId val="{00000002-0150-423C-883F-BFAA7AD06E12}"/>
            </c:ext>
          </c:extLst>
        </c:ser>
        <c:dLbls>
          <c:showLegendKey val="0"/>
          <c:showVal val="0"/>
          <c:showCatName val="0"/>
          <c:showSerName val="0"/>
          <c:showPercent val="0"/>
          <c:showBubbleSize val="0"/>
        </c:dLbls>
        <c:axId val="505919832"/>
        <c:axId val="505920224"/>
      </c:areaChart>
      <c:barChart>
        <c:barDir val="col"/>
        <c:grouping val="clustered"/>
        <c:varyColors val="0"/>
        <c:ser>
          <c:idx val="0"/>
          <c:order val="0"/>
          <c:tx>
            <c:strRef>
              <c:f>PS_2022_VL!$A$106</c:f>
              <c:strCache>
                <c:ptCount val="1"/>
                <c:pt idx="0">
                  <c:v>EK (ref. úroveň dlhu - 60 % HDP)</c:v>
                </c:pt>
              </c:strCache>
            </c:strRef>
          </c:tx>
          <c:spPr>
            <a:solidFill>
              <a:schemeClr val="tx1"/>
            </a:solidFill>
            <a:ln>
              <a:noFill/>
            </a:ln>
            <a:effectLst/>
          </c:spPr>
          <c:invertIfNegative val="0"/>
          <c:dLbls>
            <c:dLbl>
              <c:idx val="9"/>
              <c:tx>
                <c:rich>
                  <a:bodyPr/>
                  <a:lstStyle/>
                  <a:p>
                    <a:r>
                      <a:rPr lang="en-US"/>
                      <a:t>3,2*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50-423C-883F-BFAA7AD06E12}"/>
                </c:ext>
                <c:ext xmlns:c15="http://schemas.microsoft.com/office/drawing/2012/chart" uri="{CE6537A1-D6FC-4f65-9D91-7224C49458BB}"/>
              </c:extLst>
            </c:dLbl>
            <c:dLbl>
              <c:idx val="10"/>
              <c:layout>
                <c:manualLayout>
                  <c:x val="0"/>
                  <c:y val="1.4483415348998947E-2"/>
                </c:manualLayout>
              </c:layout>
              <c:tx>
                <c:rich>
                  <a:bodyPr/>
                  <a:lstStyle/>
                  <a:p>
                    <a:r>
                      <a:rPr lang="en-US"/>
                      <a:t>1,9*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150-423C-883F-BFAA7AD06E12}"/>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PS_2022_VL!$B$105:$O$105</c:f>
              <c:numCache>
                <c:formatCode>0</c:formatCode>
                <c:ptCount val="14"/>
                <c:pt idx="1">
                  <c:v>2006</c:v>
                </c:pt>
                <c:pt idx="2">
                  <c:v>2009</c:v>
                </c:pt>
                <c:pt idx="3">
                  <c:v>2012</c:v>
                </c:pt>
                <c:pt idx="4">
                  <c:v>2015</c:v>
                </c:pt>
                <c:pt idx="5">
                  <c:v>2016</c:v>
                </c:pt>
                <c:pt idx="6">
                  <c:v>2017</c:v>
                </c:pt>
                <c:pt idx="7">
                  <c:v>2018</c:v>
                </c:pt>
                <c:pt idx="8">
                  <c:v>2019</c:v>
                </c:pt>
                <c:pt idx="9">
                  <c:v>2020</c:v>
                </c:pt>
                <c:pt idx="10">
                  <c:v>2021</c:v>
                </c:pt>
                <c:pt idx="11">
                  <c:v>2022</c:v>
                </c:pt>
                <c:pt idx="12">
                  <c:v>2025</c:v>
                </c:pt>
              </c:numCache>
            </c:numRef>
          </c:cat>
          <c:val>
            <c:numRef>
              <c:f>PS_2022_VL!$B$106:$O$106</c:f>
              <c:numCache>
                <c:formatCode>0.0</c:formatCode>
                <c:ptCount val="14"/>
                <c:pt idx="1">
                  <c:v>1.3</c:v>
                </c:pt>
                <c:pt idx="2">
                  <c:v>5.7</c:v>
                </c:pt>
                <c:pt idx="3">
                  <c:v>2.2000000000000002</c:v>
                </c:pt>
                <c:pt idx="4">
                  <c:v>-0.7</c:v>
                </c:pt>
                <c:pt idx="5">
                  <c:v>-2.1</c:v>
                </c:pt>
                <c:pt idx="6">
                  <c:v>-2.6</c:v>
                </c:pt>
                <c:pt idx="7">
                  <c:v>-2.9</c:v>
                </c:pt>
                <c:pt idx="8">
                  <c:v>-1.8</c:v>
                </c:pt>
                <c:pt idx="9">
                  <c:v>3.2</c:v>
                </c:pt>
                <c:pt idx="10" formatCode="General">
                  <c:v>1.9</c:v>
                </c:pt>
              </c:numCache>
            </c:numRef>
          </c:val>
          <c:extLst xmlns:c16r2="http://schemas.microsoft.com/office/drawing/2015/06/chart">
            <c:ext xmlns:c16="http://schemas.microsoft.com/office/drawing/2014/chart" uri="{C3380CC4-5D6E-409C-BE32-E72D297353CC}">
              <c16:uniqueId val="{00000005-0150-423C-883F-BFAA7AD06E12}"/>
            </c:ext>
          </c:extLst>
        </c:ser>
        <c:ser>
          <c:idx val="6"/>
          <c:order val="5"/>
          <c:tx>
            <c:strRef>
              <c:f>PS_2022_VL!$A$108</c:f>
              <c:strCache>
                <c:ptCount val="1"/>
                <c:pt idx="0">
                  <c:v>Program stability 2022</c:v>
                </c:pt>
              </c:strCache>
            </c:strRef>
          </c:tx>
          <c:spPr>
            <a:solidFill>
              <a:srgbClr val="2C9ADC"/>
            </a:solidFill>
            <a:ln>
              <a:noFill/>
            </a:ln>
            <a:effectLst/>
          </c:spPr>
          <c:invertIfNegative val="0"/>
          <c:dLbls>
            <c:numFmt formatCode="#,##0.0" sourceLinked="0"/>
            <c:spPr>
              <a:solidFill>
                <a:srgbClr val="2C9ADC"/>
              </a:solid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inEnd"/>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PS_2022_VL!$B$105:$O$105</c:f>
              <c:numCache>
                <c:formatCode>0</c:formatCode>
                <c:ptCount val="14"/>
                <c:pt idx="1">
                  <c:v>2006</c:v>
                </c:pt>
                <c:pt idx="2">
                  <c:v>2009</c:v>
                </c:pt>
                <c:pt idx="3">
                  <c:v>2012</c:v>
                </c:pt>
                <c:pt idx="4">
                  <c:v>2015</c:v>
                </c:pt>
                <c:pt idx="5">
                  <c:v>2016</c:v>
                </c:pt>
                <c:pt idx="6">
                  <c:v>2017</c:v>
                </c:pt>
                <c:pt idx="7">
                  <c:v>2018</c:v>
                </c:pt>
                <c:pt idx="8">
                  <c:v>2019</c:v>
                </c:pt>
                <c:pt idx="9">
                  <c:v>2020</c:v>
                </c:pt>
                <c:pt idx="10">
                  <c:v>2021</c:v>
                </c:pt>
                <c:pt idx="11">
                  <c:v>2022</c:v>
                </c:pt>
                <c:pt idx="12">
                  <c:v>2025</c:v>
                </c:pt>
              </c:numCache>
            </c:numRef>
          </c:cat>
          <c:val>
            <c:numRef>
              <c:f>PS_2022_VL!$B$108:$O$108</c:f>
              <c:numCache>
                <c:formatCode>General</c:formatCode>
                <c:ptCount val="14"/>
                <c:pt idx="11">
                  <c:v>3.4</c:v>
                </c:pt>
                <c:pt idx="12">
                  <c:v>0.5</c:v>
                </c:pt>
              </c:numCache>
            </c:numRef>
          </c:val>
          <c:extLst xmlns:c15="http://schemas.microsoft.com/office/drawing/2012/chart" xmlns:c16r2="http://schemas.microsoft.com/office/drawing/2015/06/chart">
            <c:ext xmlns:c16="http://schemas.microsoft.com/office/drawing/2014/chart" uri="{C3380CC4-5D6E-409C-BE32-E72D297353CC}">
              <c16:uniqueId val="{00000010-0150-423C-883F-BFAA7AD06E12}"/>
            </c:ext>
          </c:extLst>
        </c:ser>
        <c:dLbls>
          <c:showLegendKey val="0"/>
          <c:showVal val="0"/>
          <c:showCatName val="0"/>
          <c:showSerName val="0"/>
          <c:showPercent val="0"/>
          <c:showBubbleSize val="0"/>
        </c:dLbls>
        <c:gapWidth val="0"/>
        <c:overlap val="-20"/>
        <c:axId val="505919832"/>
        <c:axId val="505920224"/>
        <c:extLst xmlns:c16r2="http://schemas.microsoft.com/office/drawing/2015/06/chart"/>
      </c:barChart>
      <c:lineChart>
        <c:grouping val="standard"/>
        <c:varyColors val="0"/>
        <c:ser>
          <c:idx val="4"/>
          <c:order val="4"/>
          <c:tx>
            <c:strRef>
              <c:f>PS_2022_VL!$A$112</c:f>
              <c:strCache>
                <c:ptCount val="1"/>
                <c:pt idx="0">
                  <c:v>Hranica</c:v>
                </c:pt>
              </c:strCache>
            </c:strRef>
          </c:tx>
          <c:spPr>
            <a:ln w="28575" cap="rnd">
              <a:solidFill>
                <a:srgbClr val="FF0000"/>
              </a:solidFill>
              <a:prstDash val="sysDot"/>
              <a:round/>
            </a:ln>
            <a:effectLst/>
          </c:spPr>
          <c:marker>
            <c:symbol val="none"/>
          </c:marker>
          <c:cat>
            <c:numRef>
              <c:f>PS_2022_VL!$B$105:$P$105</c:f>
              <c:numCache>
                <c:formatCode>0</c:formatCode>
                <c:ptCount val="14"/>
                <c:pt idx="1">
                  <c:v>2006</c:v>
                </c:pt>
                <c:pt idx="2">
                  <c:v>2009</c:v>
                </c:pt>
                <c:pt idx="3">
                  <c:v>2012</c:v>
                </c:pt>
                <c:pt idx="4">
                  <c:v>2015</c:v>
                </c:pt>
                <c:pt idx="5">
                  <c:v>2016</c:v>
                </c:pt>
                <c:pt idx="6">
                  <c:v>2017</c:v>
                </c:pt>
                <c:pt idx="7">
                  <c:v>2018</c:v>
                </c:pt>
                <c:pt idx="8">
                  <c:v>2019</c:v>
                </c:pt>
                <c:pt idx="9">
                  <c:v>2020</c:v>
                </c:pt>
                <c:pt idx="10">
                  <c:v>2021</c:v>
                </c:pt>
                <c:pt idx="11">
                  <c:v>2022</c:v>
                </c:pt>
                <c:pt idx="12">
                  <c:v>2025</c:v>
                </c:pt>
              </c:numCache>
            </c:numRef>
          </c:cat>
          <c:val>
            <c:numRef>
              <c:f>PS_2022_VL!$B$112:$P$112</c:f>
              <c:numCache>
                <c:formatCode>0.0</c:formatCode>
                <c:ptCount val="14"/>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numCache>
            </c:numRef>
          </c:val>
          <c:smooth val="0"/>
          <c:extLst xmlns:c16r2="http://schemas.microsoft.com/office/drawing/2015/06/chart">
            <c:ext xmlns:c16="http://schemas.microsoft.com/office/drawing/2014/chart" uri="{C3380CC4-5D6E-409C-BE32-E72D297353CC}">
              <c16:uniqueId val="{00000011-0150-423C-883F-BFAA7AD06E12}"/>
            </c:ext>
          </c:extLst>
        </c:ser>
        <c:dLbls>
          <c:showLegendKey val="0"/>
          <c:showVal val="0"/>
          <c:showCatName val="0"/>
          <c:showSerName val="0"/>
          <c:showPercent val="0"/>
          <c:showBubbleSize val="0"/>
        </c:dLbls>
        <c:marker val="1"/>
        <c:smooth val="0"/>
        <c:axId val="505919832"/>
        <c:axId val="505920224"/>
      </c:lineChart>
      <c:catAx>
        <c:axId val="505919832"/>
        <c:scaling>
          <c:orientation val="minMax"/>
        </c:scaling>
        <c:delete val="0"/>
        <c:axPos val="b"/>
        <c:numFmt formatCode="General" sourceLinked="1"/>
        <c:majorTickMark val="none"/>
        <c:minorTickMark val="out"/>
        <c:tickLblPos val="low"/>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5920224"/>
        <c:crosses val="autoZero"/>
        <c:auto val="0"/>
        <c:lblAlgn val="ctr"/>
        <c:lblOffset val="100"/>
        <c:noMultiLvlLbl val="0"/>
      </c:catAx>
      <c:valAx>
        <c:axId val="505920224"/>
        <c:scaling>
          <c:orientation val="minMax"/>
          <c:max val="7"/>
          <c:min val="-5"/>
        </c:scaling>
        <c:delete val="0"/>
        <c:axPos val="l"/>
        <c:majorGridlines>
          <c:spPr>
            <a:ln w="9525" cap="flat" cmpd="sng" algn="ctr">
              <a:noFill/>
              <a:prstDash val="sysDot"/>
              <a:round/>
            </a:ln>
            <a:effectLst/>
          </c:spPr>
        </c:majorGridlines>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5919832"/>
        <c:crosses val="autoZero"/>
        <c:crossBetween val="midCat"/>
      </c:valAx>
      <c:spPr>
        <a:noFill/>
        <a:ln>
          <a:noFill/>
        </a:ln>
        <a:effectLst/>
      </c:spPr>
    </c:plotArea>
    <c:legend>
      <c:legendPos val="b"/>
      <c:legendEntry>
        <c:idx val="0"/>
        <c:delete val="1"/>
      </c:legendEntry>
      <c:legendEntry>
        <c:idx val="1"/>
        <c:delete val="1"/>
      </c:legendEntry>
      <c:legendEntry>
        <c:idx val="2"/>
        <c:delete val="1"/>
      </c:legendEntry>
      <c:legendEntry>
        <c:idx val="5"/>
        <c:delete val="1"/>
      </c:legendEntry>
      <c:layout>
        <c:manualLayout>
          <c:xMode val="edge"/>
          <c:yMode val="edge"/>
          <c:x val="3.213156354477826E-3"/>
          <c:y val="0.85292547235775928"/>
          <c:w val="0.98187968879434362"/>
          <c:h val="0.1470743918204254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700" b="0">
          <a:latin typeface="Arial Narrow" panose="020B0606020202030204" pitchFamily="34" charset="0"/>
        </a:defRPr>
      </a:pPr>
      <a:endParaRPr lang="sk-SK"/>
    </a:p>
  </c:txPr>
  <c:externalData r:id="rId3">
    <c:autoUpdate val="0"/>
  </c:externalData>
  <c:userShapes r:id="rId4"/>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485583785326856E-2"/>
          <c:y val="7.2657491318336459E-2"/>
          <c:w val="0.82111710061024823"/>
          <c:h val="0.73694933605630208"/>
        </c:manualLayout>
      </c:layout>
      <c:areaChart>
        <c:grouping val="standard"/>
        <c:varyColors val="0"/>
        <c:ser>
          <c:idx val="3"/>
          <c:order val="1"/>
          <c:tx>
            <c:strRef>
              <c:f>'PS_2022 (2)'!$A$85</c:f>
              <c:strCache>
                <c:ptCount val="1"/>
                <c:pt idx="0">
                  <c:v>Vysoké riziko/ High risk</c:v>
                </c:pt>
              </c:strCache>
            </c:strRef>
          </c:tx>
          <c:spPr>
            <a:gradFill>
              <a:gsLst>
                <a:gs pos="72000">
                  <a:srgbClr val="FFC000"/>
                </a:gs>
                <a:gs pos="19000">
                  <a:srgbClr val="FF0000"/>
                </a:gs>
              </a:gsLst>
              <a:lin ang="5400000" scaled="1"/>
            </a:gradFill>
            <a:ln>
              <a:noFill/>
            </a:ln>
            <a:effectLst/>
          </c:spPr>
          <c:cat>
            <c:numRef>
              <c:f>[1]Okt_2021!$B$109:$M$109</c:f>
              <c:numCache>
                <c:formatCode>General</c:formatCode>
                <c:ptCount val="12"/>
                <c:pt idx="1">
                  <c:v>2006</c:v>
                </c:pt>
                <c:pt idx="2">
                  <c:v>2009</c:v>
                </c:pt>
                <c:pt idx="3">
                  <c:v>2014</c:v>
                </c:pt>
                <c:pt idx="4">
                  <c:v>2016</c:v>
                </c:pt>
                <c:pt idx="5">
                  <c:v>2017</c:v>
                </c:pt>
                <c:pt idx="6">
                  <c:v>2019</c:v>
                </c:pt>
                <c:pt idx="7">
                  <c:v>2020</c:v>
                </c:pt>
                <c:pt idx="8">
                  <c:v>2022</c:v>
                </c:pt>
                <c:pt idx="9">
                  <c:v>2024</c:v>
                </c:pt>
              </c:numCache>
            </c:numRef>
          </c:cat>
          <c:val>
            <c:numRef>
              <c:f>'PS_2022 (2)'!$B$85:$O$85</c:f>
              <c:numCache>
                <c:formatCode>0.0</c:formatCode>
                <c:ptCount val="14"/>
                <c:pt idx="0">
                  <c:v>14</c:v>
                </c:pt>
                <c:pt idx="1">
                  <c:v>14</c:v>
                </c:pt>
                <c:pt idx="2">
                  <c:v>14</c:v>
                </c:pt>
                <c:pt idx="3">
                  <c:v>14</c:v>
                </c:pt>
                <c:pt idx="4">
                  <c:v>14</c:v>
                </c:pt>
                <c:pt idx="5">
                  <c:v>14</c:v>
                </c:pt>
                <c:pt idx="6">
                  <c:v>14</c:v>
                </c:pt>
                <c:pt idx="7">
                  <c:v>14</c:v>
                </c:pt>
                <c:pt idx="8">
                  <c:v>14</c:v>
                </c:pt>
                <c:pt idx="9">
                  <c:v>14</c:v>
                </c:pt>
                <c:pt idx="10">
                  <c:v>14</c:v>
                </c:pt>
                <c:pt idx="11">
                  <c:v>14</c:v>
                </c:pt>
                <c:pt idx="12">
                  <c:v>14</c:v>
                </c:pt>
                <c:pt idx="13">
                  <c:v>14</c:v>
                </c:pt>
              </c:numCache>
            </c:numRef>
          </c:val>
          <c:extLst xmlns:c16r2="http://schemas.microsoft.com/office/drawing/2015/06/chart">
            <c:ext xmlns:c16="http://schemas.microsoft.com/office/drawing/2014/chart" uri="{C3380CC4-5D6E-409C-BE32-E72D297353CC}">
              <c16:uniqueId val="{00000000-E9F5-43AD-8812-26D4B2A21E27}"/>
            </c:ext>
          </c:extLst>
        </c:ser>
        <c:ser>
          <c:idx val="2"/>
          <c:order val="2"/>
          <c:tx>
            <c:strRef>
              <c:f>'PS_2022 (2)'!$A$84</c:f>
              <c:strCache>
                <c:ptCount val="1"/>
                <c:pt idx="0">
                  <c:v>Stredné riziko/ Medium risk</c:v>
                </c:pt>
              </c:strCache>
            </c:strRef>
          </c:tx>
          <c:spPr>
            <a:gradFill>
              <a:gsLst>
                <a:gs pos="97000">
                  <a:srgbClr val="FFC000"/>
                </a:gs>
                <a:gs pos="100000">
                  <a:srgbClr val="00B050"/>
                </a:gs>
              </a:gsLst>
              <a:lin ang="5400000" scaled="1"/>
            </a:gradFill>
            <a:ln>
              <a:noFill/>
            </a:ln>
            <a:effectLst/>
          </c:spPr>
          <c:cat>
            <c:numRef>
              <c:f>[1]Okt_2021!$B$109:$M$109</c:f>
              <c:numCache>
                <c:formatCode>General</c:formatCode>
                <c:ptCount val="12"/>
                <c:pt idx="1">
                  <c:v>2006</c:v>
                </c:pt>
                <c:pt idx="2">
                  <c:v>2009</c:v>
                </c:pt>
                <c:pt idx="3">
                  <c:v>2014</c:v>
                </c:pt>
                <c:pt idx="4">
                  <c:v>2016</c:v>
                </c:pt>
                <c:pt idx="5">
                  <c:v>2017</c:v>
                </c:pt>
                <c:pt idx="6">
                  <c:v>2019</c:v>
                </c:pt>
                <c:pt idx="7">
                  <c:v>2020</c:v>
                </c:pt>
                <c:pt idx="8">
                  <c:v>2022</c:v>
                </c:pt>
                <c:pt idx="9">
                  <c:v>2024</c:v>
                </c:pt>
              </c:numCache>
            </c:numRef>
          </c:cat>
          <c:val>
            <c:numRef>
              <c:f>'PS_2022 (2)'!$B$84:$O$84</c:f>
              <c:numCache>
                <c:formatCode>0.0</c:formatCode>
                <c:ptCount val="14"/>
                <c:pt idx="0">
                  <c:v>6</c:v>
                </c:pt>
                <c:pt idx="1">
                  <c:v>6</c:v>
                </c:pt>
                <c:pt idx="2">
                  <c:v>6</c:v>
                </c:pt>
                <c:pt idx="3">
                  <c:v>6</c:v>
                </c:pt>
                <c:pt idx="4">
                  <c:v>6</c:v>
                </c:pt>
                <c:pt idx="5">
                  <c:v>6</c:v>
                </c:pt>
                <c:pt idx="6">
                  <c:v>6</c:v>
                </c:pt>
                <c:pt idx="7">
                  <c:v>6</c:v>
                </c:pt>
                <c:pt idx="8">
                  <c:v>6</c:v>
                </c:pt>
                <c:pt idx="9">
                  <c:v>6</c:v>
                </c:pt>
                <c:pt idx="10">
                  <c:v>6</c:v>
                </c:pt>
                <c:pt idx="11">
                  <c:v>6</c:v>
                </c:pt>
                <c:pt idx="12">
                  <c:v>6</c:v>
                </c:pt>
                <c:pt idx="13">
                  <c:v>6</c:v>
                </c:pt>
              </c:numCache>
            </c:numRef>
          </c:val>
          <c:extLst xmlns:c16r2="http://schemas.microsoft.com/office/drawing/2015/06/chart">
            <c:ext xmlns:c16="http://schemas.microsoft.com/office/drawing/2014/chart" uri="{C3380CC4-5D6E-409C-BE32-E72D297353CC}">
              <c16:uniqueId val="{00000001-E9F5-43AD-8812-26D4B2A21E27}"/>
            </c:ext>
          </c:extLst>
        </c:ser>
        <c:ser>
          <c:idx val="1"/>
          <c:order val="3"/>
          <c:tx>
            <c:strRef>
              <c:f>'PS_2022 (2)'!$A$83</c:f>
              <c:strCache>
                <c:ptCount val="1"/>
                <c:pt idx="0">
                  <c:v>Nízke riziko/ Low risk</c:v>
                </c:pt>
              </c:strCache>
            </c:strRef>
          </c:tx>
          <c:spPr>
            <a:gradFill>
              <a:gsLst>
                <a:gs pos="0">
                  <a:srgbClr val="FFC000"/>
                </a:gs>
                <a:gs pos="31000">
                  <a:srgbClr val="00B050"/>
                </a:gs>
              </a:gsLst>
              <a:lin ang="5400000" scaled="1"/>
            </a:gradFill>
            <a:ln>
              <a:noFill/>
            </a:ln>
            <a:effectLst/>
          </c:spPr>
          <c:trendline>
            <c:spPr>
              <a:ln w="19050" cap="rnd">
                <a:noFill/>
                <a:prstDash val="sysDot"/>
              </a:ln>
              <a:effectLst/>
            </c:spPr>
            <c:trendlineType val="linear"/>
            <c:dispRSqr val="0"/>
            <c:dispEq val="0"/>
          </c:trendline>
          <c:cat>
            <c:numRef>
              <c:f>[1]Okt_2021!$B$109:$M$109</c:f>
              <c:numCache>
                <c:formatCode>General</c:formatCode>
                <c:ptCount val="12"/>
                <c:pt idx="1">
                  <c:v>2006</c:v>
                </c:pt>
                <c:pt idx="2">
                  <c:v>2009</c:v>
                </c:pt>
                <c:pt idx="3">
                  <c:v>2014</c:v>
                </c:pt>
                <c:pt idx="4">
                  <c:v>2016</c:v>
                </c:pt>
                <c:pt idx="5">
                  <c:v>2017</c:v>
                </c:pt>
                <c:pt idx="6">
                  <c:v>2019</c:v>
                </c:pt>
                <c:pt idx="7">
                  <c:v>2020</c:v>
                </c:pt>
                <c:pt idx="8">
                  <c:v>2022</c:v>
                </c:pt>
                <c:pt idx="9">
                  <c:v>2024</c:v>
                </c:pt>
              </c:numCache>
            </c:numRef>
          </c:cat>
          <c:val>
            <c:numRef>
              <c:f>'PS_2022 (2)'!$B$83:$O$83</c:f>
              <c:numCache>
                <c:formatCode>0.0</c:formatCode>
                <c:ptCount val="14"/>
                <c:pt idx="0">
                  <c:v>2</c:v>
                </c:pt>
                <c:pt idx="1">
                  <c:v>2</c:v>
                </c:pt>
                <c:pt idx="2">
                  <c:v>2</c:v>
                </c:pt>
                <c:pt idx="3">
                  <c:v>2</c:v>
                </c:pt>
                <c:pt idx="4">
                  <c:v>2</c:v>
                </c:pt>
                <c:pt idx="5">
                  <c:v>2</c:v>
                </c:pt>
                <c:pt idx="6">
                  <c:v>2</c:v>
                </c:pt>
                <c:pt idx="7">
                  <c:v>2</c:v>
                </c:pt>
                <c:pt idx="8">
                  <c:v>2</c:v>
                </c:pt>
                <c:pt idx="9">
                  <c:v>2</c:v>
                </c:pt>
                <c:pt idx="10">
                  <c:v>2</c:v>
                </c:pt>
                <c:pt idx="11">
                  <c:v>2</c:v>
                </c:pt>
                <c:pt idx="12">
                  <c:v>2</c:v>
                </c:pt>
                <c:pt idx="13">
                  <c:v>2</c:v>
                </c:pt>
              </c:numCache>
            </c:numRef>
          </c:val>
          <c:extLst xmlns:c16r2="http://schemas.microsoft.com/office/drawing/2015/06/chart">
            <c:ext xmlns:c16="http://schemas.microsoft.com/office/drawing/2014/chart" uri="{C3380CC4-5D6E-409C-BE32-E72D297353CC}">
              <c16:uniqueId val="{00000002-E9F5-43AD-8812-26D4B2A21E27}"/>
            </c:ext>
          </c:extLst>
        </c:ser>
        <c:dLbls>
          <c:showLegendKey val="0"/>
          <c:showVal val="0"/>
          <c:showCatName val="0"/>
          <c:showSerName val="0"/>
          <c:showPercent val="0"/>
          <c:showBubbleSize val="0"/>
        </c:dLbls>
        <c:axId val="505921008"/>
        <c:axId val="505921400"/>
      </c:areaChart>
      <c:barChart>
        <c:barDir val="col"/>
        <c:grouping val="clustered"/>
        <c:varyColors val="0"/>
        <c:ser>
          <c:idx val="0"/>
          <c:order val="0"/>
          <c:tx>
            <c:strRef>
              <c:f>'PS_2022 (2)'!$A$80</c:f>
              <c:strCache>
                <c:ptCount val="1"/>
                <c:pt idx="0">
                  <c:v>EK</c:v>
                </c:pt>
              </c:strCache>
            </c:strRef>
          </c:tx>
          <c:spPr>
            <a:solidFill>
              <a:schemeClr val="tx1"/>
            </a:solidFill>
            <a:ln>
              <a:noFill/>
            </a:ln>
            <a:effectLst/>
          </c:spPr>
          <c:invertIfNegative val="0"/>
          <c:dLbls>
            <c:dLbl>
              <c:idx val="9"/>
              <c:tx>
                <c:rich>
                  <a:bodyPr/>
                  <a:lstStyle/>
                  <a:p>
                    <a:r>
                      <a:rPr lang="en-US"/>
                      <a:t>7,7*</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9F5-43AD-8812-26D4B2A21E27}"/>
                </c:ext>
                <c:ext xmlns:c15="http://schemas.microsoft.com/office/drawing/2012/chart" uri="{CE6537A1-D6FC-4f65-9D91-7224C49458BB}"/>
              </c:extLst>
            </c:dLbl>
            <c:dLbl>
              <c:idx val="10"/>
              <c:tx>
                <c:rich>
                  <a:bodyPr/>
                  <a:lstStyle/>
                  <a:p>
                    <a:r>
                      <a:rPr lang="en-US"/>
                      <a:t>8,2*</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9F5-43AD-8812-26D4B2A21E27}"/>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'PS_2022 (2)'!$B$79:$O$79</c:f>
              <c:numCache>
                <c:formatCode>General</c:formatCode>
                <c:ptCount val="14"/>
                <c:pt idx="1">
                  <c:v>2006</c:v>
                </c:pt>
                <c:pt idx="2">
                  <c:v>2009</c:v>
                </c:pt>
                <c:pt idx="3">
                  <c:v>2012</c:v>
                </c:pt>
                <c:pt idx="4">
                  <c:v>2015</c:v>
                </c:pt>
                <c:pt idx="5">
                  <c:v>2016</c:v>
                </c:pt>
                <c:pt idx="6" formatCode="0">
                  <c:v>2017</c:v>
                </c:pt>
                <c:pt idx="7" formatCode="0">
                  <c:v>2018</c:v>
                </c:pt>
                <c:pt idx="8" formatCode="0">
                  <c:v>2019</c:v>
                </c:pt>
                <c:pt idx="9" formatCode="0">
                  <c:v>2020</c:v>
                </c:pt>
                <c:pt idx="10" formatCode="0">
                  <c:v>2021</c:v>
                </c:pt>
                <c:pt idx="11" formatCode="0">
                  <c:v>2022</c:v>
                </c:pt>
                <c:pt idx="12" formatCode="0">
                  <c:v>2025</c:v>
                </c:pt>
              </c:numCache>
            </c:numRef>
          </c:cat>
          <c:val>
            <c:numRef>
              <c:f>'PS_2022 (2)'!$B$80:$O$80</c:f>
              <c:numCache>
                <c:formatCode>0.0</c:formatCode>
                <c:ptCount val="14"/>
                <c:pt idx="1">
                  <c:v>3</c:v>
                </c:pt>
                <c:pt idx="2">
                  <c:v>7.4</c:v>
                </c:pt>
                <c:pt idx="3">
                  <c:v>6.9</c:v>
                </c:pt>
                <c:pt idx="4">
                  <c:v>3.5</c:v>
                </c:pt>
                <c:pt idx="5">
                  <c:v>2.4</c:v>
                </c:pt>
                <c:pt idx="6">
                  <c:v>2.4</c:v>
                </c:pt>
                <c:pt idx="7">
                  <c:v>2.5</c:v>
                </c:pt>
                <c:pt idx="8">
                  <c:v>3.8</c:v>
                </c:pt>
                <c:pt idx="9">
                  <c:v>7.7</c:v>
                </c:pt>
                <c:pt idx="10" formatCode="General">
                  <c:v>8.1999999999999993</c:v>
                </c:pt>
              </c:numCache>
            </c:numRef>
          </c:val>
          <c:extLst xmlns:c16r2="http://schemas.microsoft.com/office/drawing/2015/06/chart">
            <c:ext xmlns:c16="http://schemas.microsoft.com/office/drawing/2014/chart" uri="{C3380CC4-5D6E-409C-BE32-E72D297353CC}">
              <c16:uniqueId val="{00000005-E9F5-43AD-8812-26D4B2A21E27}"/>
            </c:ext>
          </c:extLst>
        </c:ser>
        <c:ser>
          <c:idx val="6"/>
          <c:order val="5"/>
          <c:tx>
            <c:strRef>
              <c:f>'PS_2022 (2)'!$A$82</c:f>
              <c:strCache>
                <c:ptCount val="1"/>
                <c:pt idx="0">
                  <c:v>Program stability 2022</c:v>
                </c:pt>
              </c:strCache>
            </c:strRef>
          </c:tx>
          <c:spPr>
            <a:solidFill>
              <a:srgbClr val="2C9ADC"/>
            </a:solidFill>
            <a:ln>
              <a:noFill/>
            </a:ln>
            <a:effectLst/>
          </c:spPr>
          <c:invertIfNegative val="0"/>
          <c:dLbls>
            <c:dLbl>
              <c:idx val="10"/>
              <c:layout>
                <c:manualLayout>
                  <c:x val="0"/>
                  <c:y val="7.092986823241093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9F5-43AD-8812-26D4B2A21E27}"/>
                </c:ext>
                <c:ext xmlns:c15="http://schemas.microsoft.com/office/drawing/2012/chart" uri="{CE6537A1-D6FC-4f65-9D91-7224C49458BB}"/>
              </c:extLst>
            </c:dLbl>
            <c:dLbl>
              <c:idx val="11"/>
              <c:numFmt formatCode="#,##0.0" sourceLinked="0"/>
              <c:spPr>
                <a:solidFill>
                  <a:srgbClr val="2C9ADC"/>
                </a:solidFill>
                <a:ln>
                  <a:solidFill>
                    <a:schemeClr val="accent1"/>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9F5-43AD-8812-26D4B2A21E27}"/>
                </c:ext>
                <c:ext xmlns:c15="http://schemas.microsoft.com/office/drawing/2012/chart" uri="{CE6537A1-D6FC-4f65-9D91-7224C49458BB}"/>
              </c:extLst>
            </c:dLbl>
            <c:dLbl>
              <c:idx val="12"/>
              <c:numFmt formatCode="#,##0.0" sourceLinked="0"/>
              <c:spPr>
                <a:solidFill>
                  <a:srgbClr val="2C9ADC"/>
                </a:solidFill>
                <a:ln>
                  <a:solidFill>
                    <a:schemeClr val="accent1"/>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6020202030204" pitchFamily="34" charset="0"/>
                      <a:ea typeface="+mn-ea"/>
                      <a:cs typeface="+mn-cs"/>
                    </a:defRPr>
                  </a:pPr>
                  <a:endParaRPr lang="sk-SK"/>
                </a:p>
              </c:txPr>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9F5-43AD-8812-26D4B2A21E27}"/>
                </c:ex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solidFill>
                    <a:latin typeface="Arial Narrow" panose="020B0606020202030204" pitchFamily="34" charset="0"/>
                    <a:ea typeface="+mn-ea"/>
                    <a:cs typeface="+mn-cs"/>
                  </a:defRPr>
                </a:pPr>
                <a:endParaRPr lang="sk-SK"/>
              </a:p>
            </c:tx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'PS_2022 (2)'!$B$79:$O$79</c:f>
              <c:numCache>
                <c:formatCode>General</c:formatCode>
                <c:ptCount val="14"/>
                <c:pt idx="1">
                  <c:v>2006</c:v>
                </c:pt>
                <c:pt idx="2">
                  <c:v>2009</c:v>
                </c:pt>
                <c:pt idx="3">
                  <c:v>2012</c:v>
                </c:pt>
                <c:pt idx="4">
                  <c:v>2015</c:v>
                </c:pt>
                <c:pt idx="5">
                  <c:v>2016</c:v>
                </c:pt>
                <c:pt idx="6" formatCode="0">
                  <c:v>2017</c:v>
                </c:pt>
                <c:pt idx="7" formatCode="0">
                  <c:v>2018</c:v>
                </c:pt>
                <c:pt idx="8" formatCode="0">
                  <c:v>2019</c:v>
                </c:pt>
                <c:pt idx="9" formatCode="0">
                  <c:v>2020</c:v>
                </c:pt>
                <c:pt idx="10" formatCode="0">
                  <c:v>2021</c:v>
                </c:pt>
                <c:pt idx="11" formatCode="0">
                  <c:v>2022</c:v>
                </c:pt>
                <c:pt idx="12" formatCode="0">
                  <c:v>2025</c:v>
                </c:pt>
              </c:numCache>
            </c:numRef>
          </c:cat>
          <c:val>
            <c:numRef>
              <c:f>'PS_2022 (2)'!$B$82:$O$82</c:f>
              <c:numCache>
                <c:formatCode>General</c:formatCode>
                <c:ptCount val="14"/>
                <c:pt idx="11">
                  <c:v>10.8</c:v>
                </c:pt>
                <c:pt idx="12">
                  <c:v>8.1999999999999993</c:v>
                </c:pt>
              </c:numCache>
            </c:numRef>
          </c:val>
          <c:extLst xmlns:c15="http://schemas.microsoft.com/office/drawing/2012/chart" xmlns:c16r2="http://schemas.microsoft.com/office/drawing/2015/06/chart">
            <c:ext xmlns:c16="http://schemas.microsoft.com/office/drawing/2014/chart" uri="{C3380CC4-5D6E-409C-BE32-E72D297353CC}">
              <c16:uniqueId val="{00000013-E9F5-43AD-8812-26D4B2A21E27}"/>
            </c:ext>
          </c:extLst>
        </c:ser>
        <c:dLbls>
          <c:showLegendKey val="0"/>
          <c:showVal val="0"/>
          <c:showCatName val="0"/>
          <c:showSerName val="0"/>
          <c:showPercent val="0"/>
          <c:showBubbleSize val="0"/>
        </c:dLbls>
        <c:gapWidth val="0"/>
        <c:overlap val="-20"/>
        <c:axId val="505921008"/>
        <c:axId val="505921400"/>
        <c:extLst xmlns:c16r2="http://schemas.microsoft.com/office/drawing/2015/06/chart"/>
      </c:barChart>
      <c:lineChart>
        <c:grouping val="standard"/>
        <c:varyColors val="0"/>
        <c:ser>
          <c:idx val="4"/>
          <c:order val="4"/>
          <c:tx>
            <c:strRef>
              <c:f>'PS_2022 (2)'!$A$86</c:f>
              <c:strCache>
                <c:ptCount val="1"/>
                <c:pt idx="0">
                  <c:v>Borders / Threshold</c:v>
                </c:pt>
              </c:strCache>
            </c:strRef>
          </c:tx>
          <c:spPr>
            <a:ln w="28575" cap="rnd">
              <a:solidFill>
                <a:srgbClr val="FF0000"/>
              </a:solidFill>
              <a:prstDash val="sysDot"/>
              <a:round/>
            </a:ln>
            <a:effectLst/>
          </c:spPr>
          <c:marker>
            <c:symbol val="none"/>
          </c:marker>
          <c:cat>
            <c:numRef>
              <c:f>'PS_2022 (2)'!$B$79:$O$79</c:f>
              <c:numCache>
                <c:formatCode>General</c:formatCode>
                <c:ptCount val="14"/>
                <c:pt idx="1">
                  <c:v>2006</c:v>
                </c:pt>
                <c:pt idx="2">
                  <c:v>2009</c:v>
                </c:pt>
                <c:pt idx="3">
                  <c:v>2012</c:v>
                </c:pt>
                <c:pt idx="4">
                  <c:v>2015</c:v>
                </c:pt>
                <c:pt idx="5">
                  <c:v>2016</c:v>
                </c:pt>
                <c:pt idx="6" formatCode="0">
                  <c:v>2017</c:v>
                </c:pt>
                <c:pt idx="7" formatCode="0">
                  <c:v>2018</c:v>
                </c:pt>
                <c:pt idx="8" formatCode="0">
                  <c:v>2019</c:v>
                </c:pt>
                <c:pt idx="9" formatCode="0">
                  <c:v>2020</c:v>
                </c:pt>
                <c:pt idx="10" formatCode="0">
                  <c:v>2021</c:v>
                </c:pt>
                <c:pt idx="11" formatCode="0">
                  <c:v>2022</c:v>
                </c:pt>
                <c:pt idx="12" formatCode="0">
                  <c:v>2025</c:v>
                </c:pt>
              </c:numCache>
            </c:numRef>
          </c:cat>
          <c:val>
            <c:numRef>
              <c:f>'PS_2022 (2)'!$B$86:$O$86</c:f>
              <c:numCache>
                <c:formatCode>0.0</c:formatCode>
                <c:ptCount val="14"/>
                <c:pt idx="0">
                  <c:v>6</c:v>
                </c:pt>
                <c:pt idx="1">
                  <c:v>6</c:v>
                </c:pt>
                <c:pt idx="2">
                  <c:v>6</c:v>
                </c:pt>
                <c:pt idx="3">
                  <c:v>6</c:v>
                </c:pt>
                <c:pt idx="4">
                  <c:v>6</c:v>
                </c:pt>
                <c:pt idx="5">
                  <c:v>6</c:v>
                </c:pt>
                <c:pt idx="6">
                  <c:v>6</c:v>
                </c:pt>
                <c:pt idx="7">
                  <c:v>6</c:v>
                </c:pt>
                <c:pt idx="8">
                  <c:v>6</c:v>
                </c:pt>
                <c:pt idx="9">
                  <c:v>6</c:v>
                </c:pt>
                <c:pt idx="10">
                  <c:v>6</c:v>
                </c:pt>
                <c:pt idx="11">
                  <c:v>6</c:v>
                </c:pt>
                <c:pt idx="12">
                  <c:v>6</c:v>
                </c:pt>
                <c:pt idx="13">
                  <c:v>6</c:v>
                </c:pt>
              </c:numCache>
            </c:numRef>
          </c:val>
          <c:smooth val="0"/>
          <c:extLst xmlns:c16r2="http://schemas.microsoft.com/office/drawing/2015/06/chart">
            <c:ext xmlns:c16="http://schemas.microsoft.com/office/drawing/2014/chart" uri="{C3380CC4-5D6E-409C-BE32-E72D297353CC}">
              <c16:uniqueId val="{00000014-E9F5-43AD-8812-26D4B2A21E27}"/>
            </c:ext>
          </c:extLst>
        </c:ser>
        <c:dLbls>
          <c:showLegendKey val="0"/>
          <c:showVal val="0"/>
          <c:showCatName val="0"/>
          <c:showSerName val="0"/>
          <c:showPercent val="0"/>
          <c:showBubbleSize val="0"/>
        </c:dLbls>
        <c:marker val="1"/>
        <c:smooth val="0"/>
        <c:axId val="505921008"/>
        <c:axId val="505921400"/>
      </c:lineChart>
      <c:catAx>
        <c:axId val="505921008"/>
        <c:scaling>
          <c:orientation val="minMax"/>
        </c:scaling>
        <c:delete val="0"/>
        <c:axPos val="b"/>
        <c:numFmt formatCode="General" sourceLinked="1"/>
        <c:majorTickMark val="none"/>
        <c:minorTickMark val="out"/>
        <c:tickLblPos val="low"/>
        <c:spPr>
          <a:noFill/>
          <a:ln w="9525" cap="flat" cmpd="sng" algn="ctr">
            <a:solidFill>
              <a:schemeClr val="tx1"/>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5921400"/>
        <c:crosses val="autoZero"/>
        <c:auto val="0"/>
        <c:lblAlgn val="ctr"/>
        <c:lblOffset val="100"/>
        <c:noMultiLvlLbl val="0"/>
      </c:catAx>
      <c:valAx>
        <c:axId val="505921400"/>
        <c:scaling>
          <c:orientation val="minMax"/>
          <c:max val="12"/>
          <c:min val="0"/>
        </c:scaling>
        <c:delete val="0"/>
        <c:axPos val="l"/>
        <c:majorGridlines>
          <c:spPr>
            <a:ln w="9525" cap="flat" cmpd="sng" algn="ctr">
              <a:noFill/>
              <a:prstDash val="sysDot"/>
              <a:round/>
            </a:ln>
            <a:effectLst/>
          </c:spPr>
        </c:majorGridlines>
        <c:numFmt formatCode="#,##0.0" sourceLinked="0"/>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505921008"/>
        <c:crosses val="autoZero"/>
        <c:crossBetween val="midCat"/>
      </c:valAx>
      <c:spPr>
        <a:noFill/>
        <a:ln>
          <a:noFill/>
        </a:ln>
        <a:effectLst/>
      </c:spPr>
    </c:plotArea>
    <c:legend>
      <c:legendPos val="b"/>
      <c:legendEntry>
        <c:idx val="0"/>
        <c:delete val="1"/>
      </c:legendEntry>
      <c:legendEntry>
        <c:idx val="1"/>
        <c:delete val="1"/>
      </c:legendEntry>
      <c:legendEntry>
        <c:idx val="2"/>
        <c:delete val="1"/>
      </c:legendEntry>
      <c:legendEntry>
        <c:idx val="5"/>
        <c:delete val="1"/>
      </c:legendEntry>
      <c:legendEntry>
        <c:idx val="6"/>
        <c:delete val="1"/>
      </c:legendEntry>
      <c:layout>
        <c:manualLayout>
          <c:xMode val="edge"/>
          <c:yMode val="edge"/>
          <c:x val="5.0000010762040734E-2"/>
          <c:y val="0.87856320913730845"/>
          <c:w val="0.89999997847591851"/>
          <c:h val="9.998744565884393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700" b="0">
          <a:latin typeface="Arial Narrow" panose="020B0606020202030204" pitchFamily="34" charset="0"/>
        </a:defRPr>
      </a:pPr>
      <a:endParaRPr lang="sk-SK"/>
    </a:p>
  </c:txPr>
  <c:externalData r:id="rId4">
    <c:autoUpdate val="0"/>
  </c:externalData>
  <c:userShapes r:id="rId5"/>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995625546806648E-2"/>
          <c:y val="3.4212598425196854E-2"/>
          <c:w val="0.92833770778652669"/>
          <c:h val="0.85459900845727621"/>
        </c:manualLayout>
      </c:layout>
      <c:areaChart>
        <c:grouping val="standard"/>
        <c:varyColors val="0"/>
        <c:ser>
          <c:idx val="3"/>
          <c:order val="0"/>
          <c:spPr>
            <a:solidFill>
              <a:srgbClr val="2C9ADC"/>
            </a:solidFill>
            <a:ln w="19050">
              <a:noFill/>
              <a:prstDash val="solid"/>
            </a:ln>
          </c:spPr>
          <c:cat>
            <c:numRef>
              <c:f>Data!$F$56:$BA$56</c:f>
              <c:numCache>
                <c:formatCode>0</c:formatCode>
                <c:ptCount val="48"/>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pt idx="32">
                  <c:v>2055</c:v>
                </c:pt>
                <c:pt idx="33">
                  <c:v>2056</c:v>
                </c:pt>
                <c:pt idx="34">
                  <c:v>2057</c:v>
                </c:pt>
                <c:pt idx="35">
                  <c:v>2058</c:v>
                </c:pt>
                <c:pt idx="36">
                  <c:v>2059</c:v>
                </c:pt>
                <c:pt idx="37">
                  <c:v>2060</c:v>
                </c:pt>
                <c:pt idx="38">
                  <c:v>2061</c:v>
                </c:pt>
                <c:pt idx="39">
                  <c:v>2062</c:v>
                </c:pt>
                <c:pt idx="40">
                  <c:v>2063</c:v>
                </c:pt>
                <c:pt idx="41">
                  <c:v>2064</c:v>
                </c:pt>
                <c:pt idx="42">
                  <c:v>2065</c:v>
                </c:pt>
                <c:pt idx="43">
                  <c:v>2066</c:v>
                </c:pt>
                <c:pt idx="44">
                  <c:v>2067</c:v>
                </c:pt>
                <c:pt idx="45">
                  <c:v>2068</c:v>
                </c:pt>
                <c:pt idx="46">
                  <c:v>2069</c:v>
                </c:pt>
                <c:pt idx="47">
                  <c:v>2070</c:v>
                </c:pt>
              </c:numCache>
            </c:numRef>
          </c:cat>
          <c:val>
            <c:numRef>
              <c:f>Data!$F$57:$BA$57</c:f>
              <c:numCache>
                <c:formatCode>General</c:formatCode>
                <c:ptCount val="48"/>
                <c:pt idx="9" formatCode="0.0">
                  <c:v>4.8713872458634455E-3</c:v>
                </c:pt>
                <c:pt idx="10" formatCode="0.0">
                  <c:v>8.7173671658268503E-2</c:v>
                </c:pt>
                <c:pt idx="11" formatCode="0.0">
                  <c:v>0.1502679891638401</c:v>
                </c:pt>
                <c:pt idx="12" formatCode="0.0">
                  <c:v>0.23089789155135598</c:v>
                </c:pt>
                <c:pt idx="13" formatCode="0.0">
                  <c:v>0.30641398195389691</c:v>
                </c:pt>
                <c:pt idx="14" formatCode="0.0">
                  <c:v>0.39996282365940239</c:v>
                </c:pt>
                <c:pt idx="15" formatCode="0.0">
                  <c:v>0.52621223569036779</c:v>
                </c:pt>
                <c:pt idx="16" formatCode="0.0">
                  <c:v>0.62523082495899729</c:v>
                </c:pt>
                <c:pt idx="17" formatCode="0.0">
                  <c:v>0.69129304040816741</c:v>
                </c:pt>
                <c:pt idx="18" formatCode="0.0">
                  <c:v>0.79193010809113851</c:v>
                </c:pt>
                <c:pt idx="19" formatCode="0.0">
                  <c:v>0.90319522310272049</c:v>
                </c:pt>
                <c:pt idx="20" formatCode="0.0">
                  <c:v>1.0172717652695624</c:v>
                </c:pt>
                <c:pt idx="21" formatCode="0.0">
                  <c:v>1.0919120719412803</c:v>
                </c:pt>
                <c:pt idx="22" formatCode="0.0">
                  <c:v>1.1563585099101008</c:v>
                </c:pt>
                <c:pt idx="23" formatCode="0.0">
                  <c:v>1.2625419131960101</c:v>
                </c:pt>
                <c:pt idx="24" formatCode="0.0">
                  <c:v>1.3579101679314416</c:v>
                </c:pt>
                <c:pt idx="25" formatCode="0.0">
                  <c:v>1.4558487020325828</c:v>
                </c:pt>
                <c:pt idx="26" formatCode="0.0">
                  <c:v>1.5774860614942678</c:v>
                </c:pt>
                <c:pt idx="27" formatCode="0.0">
                  <c:v>1.6809987380996656</c:v>
                </c:pt>
                <c:pt idx="28" formatCode="0.0">
                  <c:v>1.7720454420644156</c:v>
                </c:pt>
                <c:pt idx="29" formatCode="0.0">
                  <c:v>1.8466875473438726</c:v>
                </c:pt>
                <c:pt idx="30" formatCode="0.0">
                  <c:v>1.9096064280758611</c:v>
                </c:pt>
                <c:pt idx="31" formatCode="0.0">
                  <c:v>1.9653164764623803</c:v>
                </c:pt>
                <c:pt idx="32" formatCode="0.0">
                  <c:v>2.0420877542478362</c:v>
                </c:pt>
                <c:pt idx="33" formatCode="0.0">
                  <c:v>2.1313513302368872</c:v>
                </c:pt>
                <c:pt idx="34" formatCode="0.0">
                  <c:v>2.1800385114482754</c:v>
                </c:pt>
                <c:pt idx="35" formatCode="0.0">
                  <c:v>2.1757543577556628</c:v>
                </c:pt>
                <c:pt idx="36" formatCode="0.0">
                  <c:v>2.1757400170279251</c:v>
                </c:pt>
                <c:pt idx="37" formatCode="0.0">
                  <c:v>2.1645351423303776</c:v>
                </c:pt>
                <c:pt idx="38" formatCode="0.0">
                  <c:v>2.1639908861781958</c:v>
                </c:pt>
                <c:pt idx="39" formatCode="0.0">
                  <c:v>2.1706778970355582</c:v>
                </c:pt>
                <c:pt idx="40" formatCode="0.0">
                  <c:v>2.183107993436666</c:v>
                </c:pt>
                <c:pt idx="41" formatCode="0.0">
                  <c:v>2.1787632192863082</c:v>
                </c:pt>
                <c:pt idx="42" formatCode="0.0">
                  <c:v>2.2105361028402424</c:v>
                </c:pt>
                <c:pt idx="43" formatCode="0.0">
                  <c:v>2.2291330095147686</c:v>
                </c:pt>
                <c:pt idx="44" formatCode="0.0">
                  <c:v>2.2372854184750395</c:v>
                </c:pt>
                <c:pt idx="45" formatCode="0.0">
                  <c:v>2.2864784098660635</c:v>
                </c:pt>
                <c:pt idx="46" formatCode="0.0">
                  <c:v>2.3783214264557557</c:v>
                </c:pt>
                <c:pt idx="47" formatCode="0.0">
                  <c:v>2.4631200595563723</c:v>
                </c:pt>
              </c:numCache>
            </c:numRef>
          </c:val>
          <c:extLst xmlns:c16r2="http://schemas.microsoft.com/office/drawing/2015/06/chart">
            <c:ext xmlns:c16="http://schemas.microsoft.com/office/drawing/2014/chart" uri="{C3380CC4-5D6E-409C-BE32-E72D297353CC}">
              <c16:uniqueId val="{00000000-482F-49F6-841A-1DD9FAC841FD}"/>
            </c:ext>
          </c:extLst>
        </c:ser>
        <c:ser>
          <c:idx val="5"/>
          <c:order val="1"/>
          <c:spPr>
            <a:solidFill>
              <a:srgbClr val="FF0000"/>
            </a:solidFill>
            <a:ln w="19050">
              <a:noFill/>
              <a:prstDash val="solid"/>
            </a:ln>
          </c:spPr>
          <c:cat>
            <c:numRef>
              <c:f>Data!$F$56:$BA$56</c:f>
              <c:numCache>
                <c:formatCode>0</c:formatCode>
                <c:ptCount val="48"/>
                <c:pt idx="0">
                  <c:v>2023</c:v>
                </c:pt>
                <c:pt idx="1">
                  <c:v>2024</c:v>
                </c:pt>
                <c:pt idx="2">
                  <c:v>2025</c:v>
                </c:pt>
                <c:pt idx="3">
                  <c:v>2026</c:v>
                </c:pt>
                <c:pt idx="4">
                  <c:v>2027</c:v>
                </c:pt>
                <c:pt idx="5">
                  <c:v>2028</c:v>
                </c:pt>
                <c:pt idx="6">
                  <c:v>2029</c:v>
                </c:pt>
                <c:pt idx="7">
                  <c:v>2030</c:v>
                </c:pt>
                <c:pt idx="8">
                  <c:v>2031</c:v>
                </c:pt>
                <c:pt idx="9">
                  <c:v>2032</c:v>
                </c:pt>
                <c:pt idx="10">
                  <c:v>2033</c:v>
                </c:pt>
                <c:pt idx="11">
                  <c:v>2034</c:v>
                </c:pt>
                <c:pt idx="12">
                  <c:v>2035</c:v>
                </c:pt>
                <c:pt idx="13">
                  <c:v>2036</c:v>
                </c:pt>
                <c:pt idx="14">
                  <c:v>2037</c:v>
                </c:pt>
                <c:pt idx="15">
                  <c:v>2038</c:v>
                </c:pt>
                <c:pt idx="16">
                  <c:v>2039</c:v>
                </c:pt>
                <c:pt idx="17">
                  <c:v>2040</c:v>
                </c:pt>
                <c:pt idx="18">
                  <c:v>2041</c:v>
                </c:pt>
                <c:pt idx="19">
                  <c:v>2042</c:v>
                </c:pt>
                <c:pt idx="20">
                  <c:v>2043</c:v>
                </c:pt>
                <c:pt idx="21">
                  <c:v>2044</c:v>
                </c:pt>
                <c:pt idx="22">
                  <c:v>2045</c:v>
                </c:pt>
                <c:pt idx="23">
                  <c:v>2046</c:v>
                </c:pt>
                <c:pt idx="24">
                  <c:v>2047</c:v>
                </c:pt>
                <c:pt idx="25">
                  <c:v>2048</c:v>
                </c:pt>
                <c:pt idx="26">
                  <c:v>2049</c:v>
                </c:pt>
                <c:pt idx="27">
                  <c:v>2050</c:v>
                </c:pt>
                <c:pt idx="28">
                  <c:v>2051</c:v>
                </c:pt>
                <c:pt idx="29">
                  <c:v>2052</c:v>
                </c:pt>
                <c:pt idx="30">
                  <c:v>2053</c:v>
                </c:pt>
                <c:pt idx="31">
                  <c:v>2054</c:v>
                </c:pt>
                <c:pt idx="32">
                  <c:v>2055</c:v>
                </c:pt>
                <c:pt idx="33">
                  <c:v>2056</c:v>
                </c:pt>
                <c:pt idx="34">
                  <c:v>2057</c:v>
                </c:pt>
                <c:pt idx="35">
                  <c:v>2058</c:v>
                </c:pt>
                <c:pt idx="36">
                  <c:v>2059</c:v>
                </c:pt>
                <c:pt idx="37">
                  <c:v>2060</c:v>
                </c:pt>
                <c:pt idx="38">
                  <c:v>2061</c:v>
                </c:pt>
                <c:pt idx="39">
                  <c:v>2062</c:v>
                </c:pt>
                <c:pt idx="40">
                  <c:v>2063</c:v>
                </c:pt>
                <c:pt idx="41">
                  <c:v>2064</c:v>
                </c:pt>
                <c:pt idx="42">
                  <c:v>2065</c:v>
                </c:pt>
                <c:pt idx="43">
                  <c:v>2066</c:v>
                </c:pt>
                <c:pt idx="44">
                  <c:v>2067</c:v>
                </c:pt>
                <c:pt idx="45">
                  <c:v>2068</c:v>
                </c:pt>
                <c:pt idx="46">
                  <c:v>2069</c:v>
                </c:pt>
                <c:pt idx="47">
                  <c:v>2070</c:v>
                </c:pt>
              </c:numCache>
            </c:numRef>
          </c:cat>
          <c:val>
            <c:numRef>
              <c:f>Data!$F$58:$BA$58</c:f>
              <c:numCache>
                <c:formatCode>0.0</c:formatCode>
                <c:ptCount val="48"/>
                <c:pt idx="0">
                  <c:v>-0.30255644437801976</c:v>
                </c:pt>
                <c:pt idx="1">
                  <c:v>-0.28798134243091056</c:v>
                </c:pt>
                <c:pt idx="2">
                  <c:v>-0.25851961593795458</c:v>
                </c:pt>
                <c:pt idx="3">
                  <c:v>-0.2362182845667018</c:v>
                </c:pt>
                <c:pt idx="4">
                  <c:v>-0.22951883176708598</c:v>
                </c:pt>
                <c:pt idx="5">
                  <c:v>-0.21162755452209048</c:v>
                </c:pt>
                <c:pt idx="6">
                  <c:v>-0.18533266131369963</c:v>
                </c:pt>
                <c:pt idx="7">
                  <c:v>-0.15175471320331546</c:v>
                </c:pt>
                <c:pt idx="8">
                  <c:v>-8.1686378566189433E-2</c:v>
                </c:pt>
                <c:pt idx="9">
                  <c:v>4.8713872458634455E-3</c:v>
                </c:pt>
              </c:numCache>
            </c:numRef>
          </c:val>
          <c:extLst xmlns:c16r2="http://schemas.microsoft.com/office/drawing/2015/06/chart">
            <c:ext xmlns:c16="http://schemas.microsoft.com/office/drawing/2014/chart" uri="{C3380CC4-5D6E-409C-BE32-E72D297353CC}">
              <c16:uniqueId val="{00000001-482F-49F6-841A-1DD9FAC841FD}"/>
            </c:ext>
          </c:extLst>
        </c:ser>
        <c:dLbls>
          <c:showLegendKey val="0"/>
          <c:showVal val="0"/>
          <c:showCatName val="0"/>
          <c:showSerName val="0"/>
          <c:showPercent val="0"/>
          <c:showBubbleSize val="0"/>
        </c:dLbls>
        <c:axId val="506791328"/>
        <c:axId val="506791720"/>
      </c:areaChart>
      <c:catAx>
        <c:axId val="506791328"/>
        <c:scaling>
          <c:orientation val="minMax"/>
        </c:scaling>
        <c:delete val="0"/>
        <c:axPos val="b"/>
        <c:numFmt formatCode="General" sourceLinked="0"/>
        <c:majorTickMark val="out"/>
        <c:minorTickMark val="none"/>
        <c:tickLblPos val="low"/>
        <c:txPr>
          <a:bodyPr rot="-5400000" vert="horz"/>
          <a:lstStyle/>
          <a:p>
            <a:pPr>
              <a:defRPr/>
            </a:pPr>
            <a:endParaRPr lang="sk-SK"/>
          </a:p>
        </c:txPr>
        <c:crossAx val="506791720"/>
        <c:crosses val="autoZero"/>
        <c:auto val="1"/>
        <c:lblAlgn val="ctr"/>
        <c:lblOffset val="100"/>
        <c:noMultiLvlLbl val="0"/>
      </c:catAx>
      <c:valAx>
        <c:axId val="506791720"/>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pPr>
            <a:endParaRPr lang="sk-SK"/>
          </a:p>
        </c:txPr>
        <c:crossAx val="506791328"/>
        <c:crosses val="autoZero"/>
        <c:crossBetween val="midCat"/>
      </c:valAx>
    </c:plotArea>
    <c:plotVisOnly val="1"/>
    <c:dispBlanksAs val="gap"/>
    <c:showDLblsOverMax val="0"/>
  </c:chart>
  <c:spPr>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9417436997626964E-2"/>
          <c:y val="4.5633202099737535E-2"/>
          <c:w val="0.93616132135261021"/>
          <c:h val="0.84021471274424031"/>
        </c:manualLayout>
      </c:layout>
      <c:barChart>
        <c:barDir val="col"/>
        <c:grouping val="clustered"/>
        <c:varyColors val="0"/>
        <c:ser>
          <c:idx val="0"/>
          <c:order val="0"/>
          <c:spPr>
            <a:solidFill>
              <a:srgbClr val="2C9ADC"/>
            </a:solidFill>
          </c:spPr>
          <c:invertIfNegative val="0"/>
          <c:dPt>
            <c:idx val="0"/>
            <c:invertIfNegative val="0"/>
            <c:bubble3D val="0"/>
            <c:spPr>
              <a:solidFill>
                <a:srgbClr val="ED7D31">
                  <a:lumMod val="40000"/>
                  <a:lumOff val="60000"/>
                </a:srgbClr>
              </a:solidFill>
            </c:spPr>
            <c:extLst xmlns:c16r2="http://schemas.microsoft.com/office/drawing/2015/06/chart">
              <c:ext xmlns:c16="http://schemas.microsoft.com/office/drawing/2014/chart" uri="{C3380CC4-5D6E-409C-BE32-E72D297353CC}">
                <c16:uniqueId val="{00000001-3CD7-4435-A4E5-CD047171EF94}"/>
              </c:ext>
            </c:extLst>
          </c:dPt>
          <c:dPt>
            <c:idx val="1"/>
            <c:invertIfNegative val="0"/>
            <c:bubble3D val="0"/>
            <c:spPr>
              <a:solidFill>
                <a:srgbClr val="ED7D31">
                  <a:lumMod val="40000"/>
                  <a:lumOff val="60000"/>
                </a:srgbClr>
              </a:solidFill>
            </c:spPr>
            <c:extLst xmlns:c16r2="http://schemas.microsoft.com/office/drawing/2015/06/chart">
              <c:ext xmlns:c16="http://schemas.microsoft.com/office/drawing/2014/chart" uri="{C3380CC4-5D6E-409C-BE32-E72D297353CC}">
                <c16:uniqueId val="{00000003-3CD7-4435-A4E5-CD047171EF94}"/>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'S2 new'!$A$3:$A$8</c:f>
              <c:strCache>
                <c:ptCount val="6"/>
                <c:pt idx="0">
                  <c:v>Rast DV so SDŽ</c:v>
                </c:pt>
                <c:pt idx="1">
                  <c:v>Znížený rast ADH</c:v>
                </c:pt>
                <c:pt idx="2">
                  <c:v>Rodičovský dôchodok</c:v>
                </c:pt>
                <c:pt idx="3">
                  <c:v>PSD - 40 rokov</c:v>
                </c:pt>
                <c:pt idx="4">
                  <c:v>Interakcia opatrení</c:v>
                </c:pt>
                <c:pt idx="5">
                  <c:v>Celkovo</c:v>
                </c:pt>
              </c:strCache>
            </c:strRef>
          </c:cat>
          <c:val>
            <c:numRef>
              <c:f>'S2 new'!$C$3:$C$8</c:f>
              <c:numCache>
                <c:formatCode>0.0</c:formatCode>
                <c:ptCount val="6"/>
                <c:pt idx="0">
                  <c:v>-2.7041146857710672</c:v>
                </c:pt>
                <c:pt idx="1">
                  <c:v>-0.4844153656527812</c:v>
                </c:pt>
                <c:pt idx="2">
                  <c:v>0.2781076413357475</c:v>
                </c:pt>
                <c:pt idx="3">
                  <c:v>0.13429946694041917</c:v>
                </c:pt>
                <c:pt idx="4">
                  <c:v>-7.1409951206438116E-2</c:v>
                </c:pt>
                <c:pt idx="5">
                  <c:v>-2.8475328943541198</c:v>
                </c:pt>
              </c:numCache>
            </c:numRef>
          </c:val>
          <c:extLst xmlns:c16r2="http://schemas.microsoft.com/office/drawing/2015/06/chart">
            <c:ext xmlns:c16="http://schemas.microsoft.com/office/drawing/2014/chart" uri="{C3380CC4-5D6E-409C-BE32-E72D297353CC}">
              <c16:uniqueId val="{00000004-3CD7-4435-A4E5-CD047171EF94}"/>
            </c:ext>
          </c:extLst>
        </c:ser>
        <c:dLbls>
          <c:dLblPos val="outEnd"/>
          <c:showLegendKey val="0"/>
          <c:showVal val="1"/>
          <c:showCatName val="0"/>
          <c:showSerName val="0"/>
          <c:showPercent val="0"/>
          <c:showBubbleSize val="0"/>
        </c:dLbls>
        <c:gapWidth val="150"/>
        <c:axId val="506792504"/>
        <c:axId val="506792896"/>
      </c:barChart>
      <c:catAx>
        <c:axId val="506792504"/>
        <c:scaling>
          <c:orientation val="minMax"/>
        </c:scaling>
        <c:delete val="0"/>
        <c:axPos val="b"/>
        <c:numFmt formatCode="General" sourceLinked="1"/>
        <c:majorTickMark val="out"/>
        <c:minorTickMark val="none"/>
        <c:tickLblPos val="low"/>
        <c:txPr>
          <a:bodyPr/>
          <a:lstStyle/>
          <a:p>
            <a:pPr>
              <a:defRPr sz="700"/>
            </a:pPr>
            <a:endParaRPr lang="sk-SK"/>
          </a:p>
        </c:txPr>
        <c:crossAx val="506792896"/>
        <c:crosses val="autoZero"/>
        <c:auto val="1"/>
        <c:lblAlgn val="ctr"/>
        <c:lblOffset val="100"/>
        <c:noMultiLvlLbl val="0"/>
      </c:catAx>
      <c:valAx>
        <c:axId val="506792896"/>
        <c:scaling>
          <c:orientation val="minMax"/>
        </c:scaling>
        <c:delete val="0"/>
        <c:axPos val="l"/>
        <c:majorGridlines>
          <c:spPr>
            <a:ln>
              <a:solidFill>
                <a:schemeClr val="bg1">
                  <a:lumMod val="75000"/>
                </a:schemeClr>
              </a:solidFill>
              <a:prstDash val="sysDash"/>
            </a:ln>
          </c:spPr>
        </c:majorGridlines>
        <c:numFmt formatCode="0.0" sourceLinked="0"/>
        <c:majorTickMark val="out"/>
        <c:minorTickMark val="none"/>
        <c:tickLblPos val="nextTo"/>
        <c:crossAx val="506792504"/>
        <c:crosses val="autoZero"/>
        <c:crossBetween val="between"/>
      </c:valAx>
    </c:plotArea>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333216614741857E-2"/>
          <c:y val="0.10345885634588564"/>
          <c:w val="0.82068800885419868"/>
          <c:h val="0.83183188921468498"/>
        </c:manualLayout>
      </c:layout>
      <c:barChart>
        <c:barDir val="col"/>
        <c:grouping val="clustered"/>
        <c:varyColors val="0"/>
        <c:ser>
          <c:idx val="0"/>
          <c:order val="0"/>
          <c:spPr>
            <a:solidFill>
              <a:schemeClr val="accent1"/>
            </a:solidFill>
            <a:ln>
              <a:noFill/>
            </a:ln>
            <a:effectLst/>
          </c:spPr>
          <c:invertIfNegative val="0"/>
          <c:dLbls>
            <c:dLbl>
              <c:idx val="0"/>
              <c:tx>
                <c:rich>
                  <a:bodyPr/>
                  <a:lstStyle/>
                  <a:p>
                    <a:fld id="{40A0DF10-82BC-495C-9EDC-A7448839EA5E}"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AFC8-4BD3-8E8D-F736AA9AA792}"/>
                </c:ext>
                <c:ext xmlns:c15="http://schemas.microsoft.com/office/drawing/2012/chart" uri="{CE6537A1-D6FC-4f65-9D91-7224C49458BB}">
                  <c15:dlblFieldTable/>
                  <c15:showDataLabelsRange val="1"/>
                </c:ext>
              </c:extLst>
            </c:dLbl>
            <c:dLbl>
              <c:idx val="1"/>
              <c:tx>
                <c:rich>
                  <a:bodyPr/>
                  <a:lstStyle/>
                  <a:p>
                    <a:fld id="{64A59633-CE31-446F-904F-F7A10C32A3F8}"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AFC8-4BD3-8E8D-F736AA9AA792}"/>
                </c:ext>
                <c:ext xmlns:c15="http://schemas.microsoft.com/office/drawing/2012/chart" uri="{CE6537A1-D6FC-4f65-9D91-7224C49458BB}">
                  <c15:dlblFieldTable/>
                  <c15:showDataLabelsRange val="1"/>
                </c:ext>
              </c:extLst>
            </c:dLbl>
            <c:dLbl>
              <c:idx val="2"/>
              <c:layout>
                <c:manualLayout>
                  <c:x val="9.1220068415051314E-2"/>
                  <c:y val="-5.5788005578800662E-2"/>
                </c:manualLayout>
              </c:layout>
              <c:tx>
                <c:rich>
                  <a:bodyPr/>
                  <a:lstStyle/>
                  <a:p>
                    <a:fld id="{EA234586-82BA-446A-A1A8-21688D86E79D}"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AFC8-4BD3-8E8D-F736AA9AA792}"/>
                </c:ext>
                <c:ext xmlns:c15="http://schemas.microsoft.com/office/drawing/2012/chart" uri="{CE6537A1-D6FC-4f65-9D91-7224C49458BB}">
                  <c15:dlblFieldTable/>
                  <c15:showDataLabelsRange val="1"/>
                </c:ext>
              </c:extLst>
            </c:dLbl>
            <c:dLbl>
              <c:idx val="3"/>
              <c:tx>
                <c:rich>
                  <a:bodyPr/>
                  <a:lstStyle/>
                  <a:p>
                    <a:fld id="{B0281E56-20D4-4AC4-BAC4-C3D250AF912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AFC8-4BD3-8E8D-F736AA9AA792}"/>
                </c:ext>
                <c:ext xmlns:c15="http://schemas.microsoft.com/office/drawing/2012/chart" uri="{CE6537A1-D6FC-4f65-9D91-7224C49458BB}">
                  <c15:dlblFieldTable/>
                  <c15:showDataLabelsRange val="1"/>
                </c:ext>
              </c:extLst>
            </c:dLbl>
            <c:dLbl>
              <c:idx val="4"/>
              <c:tx>
                <c:rich>
                  <a:bodyPr/>
                  <a:lstStyle/>
                  <a:p>
                    <a:fld id="{26F0FDDA-5C9D-4564-A758-10B52390E958}"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AFC8-4BD3-8E8D-F736AA9AA792}"/>
                </c:ext>
                <c:ext xmlns:c15="http://schemas.microsoft.com/office/drawing/2012/chart" uri="{CE6537A1-D6FC-4f65-9D91-7224C49458BB}">
                  <c15:dlblFieldTable/>
                  <c15:showDataLabelsRange val="1"/>
                </c:ext>
              </c:extLst>
            </c:dLbl>
            <c:dLbl>
              <c:idx val="5"/>
              <c:tx>
                <c:rich>
                  <a:bodyPr/>
                  <a:lstStyle/>
                  <a:p>
                    <a:fld id="{2FCB7FF4-FD9E-469A-A308-C6D393FB01F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AFC8-4BD3-8E8D-F736AA9AA792}"/>
                </c:ext>
                <c:ext xmlns:c15="http://schemas.microsoft.com/office/drawing/2012/chart" uri="{CE6537A1-D6FC-4f65-9D91-7224C49458BB}">
                  <c15:dlblFieldTable/>
                  <c15:showDataLabelsRange val="1"/>
                </c:ext>
              </c:extLst>
            </c:dLbl>
            <c:dLbl>
              <c:idx val="6"/>
              <c:tx>
                <c:rich>
                  <a:bodyPr/>
                  <a:lstStyle/>
                  <a:p>
                    <a:fld id="{E0648840-3754-48AC-BDA5-99D658ED356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AFC8-4BD3-8E8D-F736AA9AA792}"/>
                </c:ext>
                <c:ext xmlns:c15="http://schemas.microsoft.com/office/drawing/2012/chart" uri="{CE6537A1-D6FC-4f65-9D91-7224C49458BB}">
                  <c15:dlblFieldTable/>
                  <c15:showDataLabelsRange val="1"/>
                </c:ext>
              </c:extLst>
            </c:dLbl>
            <c:dLbl>
              <c:idx val="7"/>
              <c:tx>
                <c:rich>
                  <a:bodyPr/>
                  <a:lstStyle/>
                  <a:p>
                    <a:fld id="{CB770CAB-87EE-45BD-AB59-74D8DF23E065}"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AFC8-4BD3-8E8D-F736AA9AA792}"/>
                </c:ext>
                <c:ext xmlns:c15="http://schemas.microsoft.com/office/drawing/2012/chart" uri="{CE6537A1-D6FC-4f65-9D91-7224C49458BB}">
                  <c15:dlblFieldTable/>
                  <c15:showDataLabelsRange val="1"/>
                </c:ext>
              </c:extLst>
            </c:dLbl>
            <c:dLbl>
              <c:idx val="8"/>
              <c:tx>
                <c:rich>
                  <a:bodyPr/>
                  <a:lstStyle/>
                  <a:p>
                    <a:fld id="{F8A03607-1654-4A9E-A1B5-25FD3FA951D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AFC8-4BD3-8E8D-F736AA9AA792}"/>
                </c:ext>
                <c:ext xmlns:c15="http://schemas.microsoft.com/office/drawing/2012/chart" uri="{CE6537A1-D6FC-4f65-9D91-7224C49458BB}">
                  <c15:dlblFieldTable/>
                  <c15:showDataLabelsRange val="1"/>
                </c:ext>
              </c:extLst>
            </c:dLbl>
            <c:dLbl>
              <c:idx val="9"/>
              <c:tx>
                <c:rich>
                  <a:bodyPr/>
                  <a:lstStyle/>
                  <a:p>
                    <a:fld id="{9B361618-E89E-4829-8EED-C0C7EDCF361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AFC8-4BD3-8E8D-F736AA9AA792}"/>
                </c:ext>
                <c:ext xmlns:c15="http://schemas.microsoft.com/office/drawing/2012/chart" uri="{CE6537A1-D6FC-4f65-9D91-7224C49458BB}">
                  <c15:dlblFieldTable/>
                  <c15:showDataLabelsRange val="1"/>
                </c:ext>
              </c:extLst>
            </c:dLbl>
            <c:dLbl>
              <c:idx val="10"/>
              <c:tx>
                <c:rich>
                  <a:bodyPr/>
                  <a:lstStyle/>
                  <a:p>
                    <a:fld id="{BCE9F3AE-A8F0-4C14-98A4-A30F077B3D1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AFC8-4BD3-8E8D-F736AA9AA792}"/>
                </c:ext>
                <c:ext xmlns:c15="http://schemas.microsoft.com/office/drawing/2012/chart" uri="{CE6537A1-D6FC-4f65-9D91-7224C49458BB}">
                  <c15:dlblFieldTable/>
                  <c15:showDataLabelsRange val="1"/>
                </c:ext>
              </c:extLst>
            </c:dLbl>
            <c:dLbl>
              <c:idx val="11"/>
              <c:tx>
                <c:rich>
                  <a:bodyPr/>
                  <a:lstStyle/>
                  <a:p>
                    <a:fld id="{9A649E88-376A-46BF-A157-FDC3B920D94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AFC8-4BD3-8E8D-F736AA9AA792}"/>
                </c:ext>
                <c:ext xmlns:c15="http://schemas.microsoft.com/office/drawing/2012/chart" uri="{CE6537A1-D6FC-4f65-9D91-7224C49458BB}">
                  <c15:dlblFieldTable/>
                  <c15:showDataLabelsRange val="1"/>
                </c:ext>
              </c:extLst>
            </c:dLbl>
            <c:dLbl>
              <c:idx val="12"/>
              <c:tx>
                <c:rich>
                  <a:bodyPr/>
                  <a:lstStyle/>
                  <a:p>
                    <a:fld id="{0273F25F-D769-4F29-8B2B-43CBB814688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AFC8-4BD3-8E8D-F736AA9AA792}"/>
                </c:ext>
                <c:ext xmlns:c15="http://schemas.microsoft.com/office/drawing/2012/chart" uri="{CE6537A1-D6FC-4f65-9D91-7224C49458BB}">
                  <c15:dlblFieldTable/>
                  <c15:showDataLabelsRange val="1"/>
                </c:ext>
              </c:extLst>
            </c:dLbl>
            <c:dLbl>
              <c:idx val="13"/>
              <c:tx>
                <c:rich>
                  <a:bodyPr/>
                  <a:lstStyle/>
                  <a:p>
                    <a:fld id="{175604D2-AAA3-4618-B0BC-E677952B18A7}"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AFC8-4BD3-8E8D-F736AA9AA792}"/>
                </c:ext>
                <c:ext xmlns:c15="http://schemas.microsoft.com/office/drawing/2012/chart" uri="{CE6537A1-D6FC-4f65-9D91-7224C49458BB}">
                  <c15:dlblFieldTable/>
                  <c15:showDataLabelsRange val="1"/>
                </c:ext>
              </c:extLst>
            </c:dLbl>
            <c:dLbl>
              <c:idx val="14"/>
              <c:tx>
                <c:rich>
                  <a:bodyPr/>
                  <a:lstStyle/>
                  <a:p>
                    <a:fld id="{D64B5899-281D-4FA5-AEBE-983222A8A601}"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AFC8-4BD3-8E8D-F736AA9AA792}"/>
                </c:ext>
                <c:ext xmlns:c15="http://schemas.microsoft.com/office/drawing/2012/chart" uri="{CE6537A1-D6FC-4f65-9D91-7224C49458BB}">
                  <c15:dlblFieldTable/>
                  <c15:showDataLabelsRange val="1"/>
                </c:ext>
              </c:extLst>
            </c:dLbl>
            <c:dLbl>
              <c:idx val="15"/>
              <c:tx>
                <c:rich>
                  <a:bodyPr/>
                  <a:lstStyle/>
                  <a:p>
                    <a:fld id="{59A017D8-F814-43AE-AC8B-78CC12934E0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AFC8-4BD3-8E8D-F736AA9AA792}"/>
                </c:ext>
                <c:ext xmlns:c15="http://schemas.microsoft.com/office/drawing/2012/chart" uri="{CE6537A1-D6FC-4f65-9D91-7224C49458BB}">
                  <c15:dlblFieldTable/>
                  <c15:showDataLabelsRange val="1"/>
                </c:ext>
              </c:extLst>
            </c:dLbl>
            <c:dLbl>
              <c:idx val="16"/>
              <c:tx>
                <c:rich>
                  <a:bodyPr/>
                  <a:lstStyle/>
                  <a:p>
                    <a:fld id="{0CAE6138-F66C-406A-B254-E0E8EDEEC0C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0-AFC8-4BD3-8E8D-F736AA9AA792}"/>
                </c:ext>
                <c:ext xmlns:c15="http://schemas.microsoft.com/office/drawing/2012/chart" uri="{CE6537A1-D6FC-4f65-9D91-7224C49458BB}">
                  <c15:dlblFieldTable/>
                  <c15:showDataLabelsRange val="1"/>
                </c:ext>
              </c:extLst>
            </c:dLbl>
            <c:dLbl>
              <c:idx val="17"/>
              <c:tx>
                <c:rich>
                  <a:bodyPr/>
                  <a:lstStyle/>
                  <a:p>
                    <a:fld id="{B67E8158-78FE-4DA8-9D3C-304FA255743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1-AFC8-4BD3-8E8D-F736AA9AA792}"/>
                </c:ext>
                <c:ext xmlns:c15="http://schemas.microsoft.com/office/drawing/2012/chart" uri="{CE6537A1-D6FC-4f65-9D91-7224C49458BB}">
                  <c15:dlblFieldTable/>
                  <c15:showDataLabelsRange val="1"/>
                </c:ext>
              </c:extLst>
            </c:dLbl>
            <c:dLbl>
              <c:idx val="18"/>
              <c:tx>
                <c:rich>
                  <a:bodyPr/>
                  <a:lstStyle/>
                  <a:p>
                    <a:fld id="{291151CA-04B0-444A-A17E-11E062C774D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2-AFC8-4BD3-8E8D-F736AA9AA792}"/>
                </c:ext>
                <c:ext xmlns:c15="http://schemas.microsoft.com/office/drawing/2012/chart" uri="{CE6537A1-D6FC-4f65-9D91-7224C49458BB}">
                  <c15:dlblFieldTable/>
                  <c15:showDataLabelsRange val="1"/>
                </c:ext>
              </c:extLst>
            </c:dLbl>
            <c:dLbl>
              <c:idx val="19"/>
              <c:tx>
                <c:rich>
                  <a:bodyPr/>
                  <a:lstStyle/>
                  <a:p>
                    <a:fld id="{E0C350C5-C82F-4030-9F03-17E9A8D1DBD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3-AFC8-4BD3-8E8D-F736AA9AA792}"/>
                </c:ext>
                <c:ext xmlns:c15="http://schemas.microsoft.com/office/drawing/2012/chart" uri="{CE6537A1-D6FC-4f65-9D91-7224C49458BB}">
                  <c15:dlblFieldTable/>
                  <c15:showDataLabelsRange val="1"/>
                </c:ext>
              </c:extLst>
            </c:dLbl>
            <c:dLbl>
              <c:idx val="20"/>
              <c:tx>
                <c:rich>
                  <a:bodyPr/>
                  <a:lstStyle/>
                  <a:p>
                    <a:fld id="{F7C7F449-DD01-4735-A16A-BB4E2D2A0EF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4-AFC8-4BD3-8E8D-F736AA9AA792}"/>
                </c:ext>
                <c:ext xmlns:c15="http://schemas.microsoft.com/office/drawing/2012/chart" uri="{CE6537A1-D6FC-4f65-9D91-7224C49458BB}">
                  <c15:dlblFieldTable/>
                  <c15:showDataLabelsRange val="1"/>
                </c:ext>
              </c:extLst>
            </c:dLbl>
            <c:dLbl>
              <c:idx val="21"/>
              <c:tx>
                <c:rich>
                  <a:bodyPr/>
                  <a:lstStyle/>
                  <a:p>
                    <a:fld id="{97734C36-DB61-471A-AAF1-DE6C4D8A822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5-AFC8-4BD3-8E8D-F736AA9AA792}"/>
                </c:ext>
                <c:ext xmlns:c15="http://schemas.microsoft.com/office/drawing/2012/chart" uri="{CE6537A1-D6FC-4f65-9D91-7224C49458BB}">
                  <c15:dlblFieldTable/>
                  <c15:showDataLabelsRange val="1"/>
                </c:ext>
              </c:extLst>
            </c:dLbl>
            <c:dLbl>
              <c:idx val="22"/>
              <c:tx>
                <c:rich>
                  <a:bodyPr/>
                  <a:lstStyle/>
                  <a:p>
                    <a:fld id="{0D4E99F2-5F62-402F-8FE4-21D82EE6FBD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6-AFC8-4BD3-8E8D-F736AA9AA792}"/>
                </c:ext>
                <c:ext xmlns:c15="http://schemas.microsoft.com/office/drawing/2012/chart" uri="{CE6537A1-D6FC-4f65-9D91-7224C49458BB}">
                  <c15:dlblFieldTable/>
                  <c15:showDataLabelsRange val="1"/>
                </c:ext>
              </c:extLst>
            </c:dLbl>
            <c:dLbl>
              <c:idx val="23"/>
              <c:tx>
                <c:rich>
                  <a:bodyPr/>
                  <a:lstStyle/>
                  <a:p>
                    <a:fld id="{20447DD9-9150-40E2-823A-A7A48AE3106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7-AFC8-4BD3-8E8D-F736AA9AA792}"/>
                </c:ext>
                <c:ext xmlns:c15="http://schemas.microsoft.com/office/drawing/2012/chart" uri="{CE6537A1-D6FC-4f65-9D91-7224C49458BB}">
                  <c15:dlblFieldTable/>
                  <c15:showDataLabelsRange val="1"/>
                </c:ext>
              </c:extLst>
            </c:dLbl>
            <c:dLbl>
              <c:idx val="24"/>
              <c:tx>
                <c:rich>
                  <a:bodyPr/>
                  <a:lstStyle/>
                  <a:p>
                    <a:fld id="{DE1FFC25-7039-4F62-A7EB-330EB084441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8-AFC8-4BD3-8E8D-F736AA9AA792}"/>
                </c:ext>
                <c:ext xmlns:c15="http://schemas.microsoft.com/office/drawing/2012/chart" uri="{CE6537A1-D6FC-4f65-9D91-7224C49458BB}">
                  <c15:dlblFieldTable/>
                  <c15:showDataLabelsRange val="1"/>
                </c:ext>
              </c:extLst>
            </c:dLbl>
            <c:dLbl>
              <c:idx val="25"/>
              <c:tx>
                <c:rich>
                  <a:bodyPr/>
                  <a:lstStyle/>
                  <a:p>
                    <a:fld id="{8F6D4F22-93A9-4C9D-BB41-B0E939863E0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9-AFC8-4BD3-8E8D-F736AA9AA792}"/>
                </c:ext>
                <c:ext xmlns:c15="http://schemas.microsoft.com/office/drawing/2012/chart" uri="{CE6537A1-D6FC-4f65-9D91-7224C49458BB}">
                  <c15:dlblFieldTable/>
                  <c15:showDataLabelsRange val="1"/>
                </c:ext>
              </c:extLst>
            </c:dLbl>
            <c:dLbl>
              <c:idx val="26"/>
              <c:tx>
                <c:rich>
                  <a:bodyPr/>
                  <a:lstStyle/>
                  <a:p>
                    <a:fld id="{3D370DA4-6298-4CBA-96E1-A78FB37CA12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A-AFC8-4BD3-8E8D-F736AA9AA792}"/>
                </c:ext>
                <c:ext xmlns:c15="http://schemas.microsoft.com/office/drawing/2012/chart" uri="{CE6537A1-D6FC-4f65-9D91-7224C49458BB}">
                  <c15:dlblFieldTable/>
                  <c15:showDataLabelsRange val="1"/>
                </c:ext>
              </c:extLst>
            </c:dLbl>
            <c:dLbl>
              <c:idx val="27"/>
              <c:tx>
                <c:rich>
                  <a:bodyPr/>
                  <a:lstStyle/>
                  <a:p>
                    <a:fld id="{AC8D0A7F-1DE2-4D41-85CC-A6D4E4CE496D}"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B-AFC8-4BD3-8E8D-F736AA9AA792}"/>
                </c:ext>
                <c:ext xmlns:c15="http://schemas.microsoft.com/office/drawing/2012/chart" uri="{CE6537A1-D6FC-4f65-9D91-7224C49458BB}">
                  <c15:dlblFieldTable/>
                  <c15:showDataLabelsRange val="1"/>
                </c:ext>
              </c:extLst>
            </c:dLbl>
            <c:dLbl>
              <c:idx val="28"/>
              <c:tx>
                <c:rich>
                  <a:bodyPr/>
                  <a:lstStyle/>
                  <a:p>
                    <a:fld id="{166842C3-D388-4C0E-A175-36194B5E316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AFC8-4BD3-8E8D-F736AA9AA792}"/>
                </c:ext>
                <c:ext xmlns:c15="http://schemas.microsoft.com/office/drawing/2012/chart" uri="{CE6537A1-D6FC-4f65-9D91-7224C49458BB}">
                  <c15:dlblFieldTable/>
                  <c15:showDataLabelsRange val="1"/>
                </c:ext>
              </c:extLst>
            </c:dLbl>
            <c:dLbl>
              <c:idx val="29"/>
              <c:tx>
                <c:rich>
                  <a:bodyPr/>
                  <a:lstStyle/>
                  <a:p>
                    <a:fld id="{615ACF76-29B2-4ADD-9834-9946919F912D}"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D-AFC8-4BD3-8E8D-F736AA9AA792}"/>
                </c:ext>
                <c:ext xmlns:c15="http://schemas.microsoft.com/office/drawing/2012/chart" uri="{CE6537A1-D6FC-4f65-9D91-7224C49458BB}">
                  <c15:dlblFieldTable/>
                  <c15:showDataLabelsRange val="1"/>
                </c:ext>
              </c:extLst>
            </c:dLbl>
            <c:dLbl>
              <c:idx val="30"/>
              <c:tx>
                <c:rich>
                  <a:bodyPr/>
                  <a:lstStyle/>
                  <a:p>
                    <a:fld id="{6DBF50D1-1AFC-47D0-879A-19AB74CE28E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E-AFC8-4BD3-8E8D-F736AA9AA792}"/>
                </c:ext>
                <c:ext xmlns:c15="http://schemas.microsoft.com/office/drawing/2012/chart" uri="{CE6537A1-D6FC-4f65-9D91-7224C49458BB}">
                  <c15:dlblFieldTable/>
                  <c15:showDataLabelsRange val="1"/>
                </c:ext>
              </c:extLst>
            </c:dLbl>
            <c:dLbl>
              <c:idx val="31"/>
              <c:tx>
                <c:rich>
                  <a:bodyPr/>
                  <a:lstStyle/>
                  <a:p>
                    <a:fld id="{7D7A345F-B310-4DEA-9C99-8A2E3C18F8D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F-AFC8-4BD3-8E8D-F736AA9AA792}"/>
                </c:ext>
                <c:ext xmlns:c15="http://schemas.microsoft.com/office/drawing/2012/chart" uri="{CE6537A1-D6FC-4f65-9D91-7224C49458BB}">
                  <c15:dlblFieldTable/>
                  <c15:showDataLabelsRange val="1"/>
                </c:ext>
              </c:extLst>
            </c:dLbl>
            <c:dLbl>
              <c:idx val="32"/>
              <c:tx>
                <c:rich>
                  <a:bodyPr/>
                  <a:lstStyle/>
                  <a:p>
                    <a:fld id="{CFB3E748-5BF1-40E6-9C7B-AEC9C0757C7D}"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0-AFC8-4BD3-8E8D-F736AA9AA792}"/>
                </c:ext>
                <c:ext xmlns:c15="http://schemas.microsoft.com/office/drawing/2012/chart" uri="{CE6537A1-D6FC-4f65-9D91-7224C49458BB}">
                  <c15:dlblFieldTable/>
                  <c15:showDataLabelsRange val="1"/>
                </c:ext>
              </c:extLst>
            </c:dLbl>
            <c:dLbl>
              <c:idx val="33"/>
              <c:tx>
                <c:rich>
                  <a:bodyPr/>
                  <a:lstStyle/>
                  <a:p>
                    <a:fld id="{785BC27E-6683-46AE-9AFE-944E641A3AA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1-AFC8-4BD3-8E8D-F736AA9AA792}"/>
                </c:ext>
                <c:ext xmlns:c15="http://schemas.microsoft.com/office/drawing/2012/chart" uri="{CE6537A1-D6FC-4f65-9D91-7224C49458BB}">
                  <c15:dlblFieldTable/>
                  <c15:showDataLabelsRange val="1"/>
                </c:ext>
              </c:extLst>
            </c:dLbl>
            <c:dLbl>
              <c:idx val="34"/>
              <c:tx>
                <c:rich>
                  <a:bodyPr/>
                  <a:lstStyle/>
                  <a:p>
                    <a:fld id="{935BA46E-DD1F-4A9B-8431-93DEBC259D6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2-AFC8-4BD3-8E8D-F736AA9AA792}"/>
                </c:ext>
                <c:ext xmlns:c15="http://schemas.microsoft.com/office/drawing/2012/chart" uri="{CE6537A1-D6FC-4f65-9D91-7224C49458BB}">
                  <c15:dlblFieldTable/>
                  <c15:showDataLabelsRange val="1"/>
                </c:ext>
              </c:extLst>
            </c:dLbl>
            <c:dLbl>
              <c:idx val="35"/>
              <c:tx>
                <c:rich>
                  <a:bodyPr/>
                  <a:lstStyle/>
                  <a:p>
                    <a:fld id="{6A3D7FFA-5A31-4BA3-BBF8-8FBBA15F887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3-AFC8-4BD3-8E8D-F736AA9AA792}"/>
                </c:ext>
                <c:ext xmlns:c15="http://schemas.microsoft.com/office/drawing/2012/chart" uri="{CE6537A1-D6FC-4f65-9D91-7224C49458BB}">
                  <c15:dlblFieldTable/>
                  <c15:showDataLabelsRange val="1"/>
                </c:ext>
              </c:extLst>
            </c:dLbl>
            <c:dLbl>
              <c:idx val="36"/>
              <c:tx>
                <c:rich>
                  <a:bodyPr/>
                  <a:lstStyle/>
                  <a:p>
                    <a:fld id="{93CBAA87-9487-4443-AE2A-7F645F7CFF6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4-AFC8-4BD3-8E8D-F736AA9AA792}"/>
                </c:ext>
                <c:ext xmlns:c15="http://schemas.microsoft.com/office/drawing/2012/chart" uri="{CE6537A1-D6FC-4f65-9D91-7224C49458BB}">
                  <c15:dlblFieldTable/>
                  <c15:showDataLabelsRange val="1"/>
                </c:ext>
              </c:extLst>
            </c:dLbl>
            <c:dLbl>
              <c:idx val="37"/>
              <c:tx>
                <c:rich>
                  <a:bodyPr/>
                  <a:lstStyle/>
                  <a:p>
                    <a:fld id="{0F1D5E88-B364-4DC5-B80E-3B6154BB231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5-AFC8-4BD3-8E8D-F736AA9AA792}"/>
                </c:ext>
                <c:ext xmlns:c15="http://schemas.microsoft.com/office/drawing/2012/chart" uri="{CE6537A1-D6FC-4f65-9D91-7224C49458BB}">
                  <c15:dlblFieldTable/>
                  <c15:showDataLabelsRange val="1"/>
                </c:ext>
              </c:extLst>
            </c:dLbl>
            <c:dLbl>
              <c:idx val="38"/>
              <c:tx>
                <c:rich>
                  <a:bodyPr/>
                  <a:lstStyle/>
                  <a:p>
                    <a:fld id="{925F7245-86FF-40A2-AC56-29A88D23171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6-AFC8-4BD3-8E8D-F736AA9AA792}"/>
                </c:ext>
                <c:ext xmlns:c15="http://schemas.microsoft.com/office/drawing/2012/chart" uri="{CE6537A1-D6FC-4f65-9D91-7224C49458BB}">
                  <c15:dlblFieldTable/>
                  <c15:showDataLabelsRange val="1"/>
                </c:ext>
              </c:extLst>
            </c:dLbl>
            <c:dLbl>
              <c:idx val="39"/>
              <c:tx>
                <c:rich>
                  <a:bodyPr/>
                  <a:lstStyle/>
                  <a:p>
                    <a:fld id="{BBA4A111-8CF3-4B47-B46B-392BBD949DA7}"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7-AFC8-4BD3-8E8D-F736AA9AA792}"/>
                </c:ext>
                <c:ext xmlns:c15="http://schemas.microsoft.com/office/drawing/2012/chart" uri="{CE6537A1-D6FC-4f65-9D91-7224C49458BB}">
                  <c15:dlblFieldTable/>
                  <c15:showDataLabelsRange val="1"/>
                </c:ext>
              </c:extLst>
            </c:dLbl>
            <c:dLbl>
              <c:idx val="40"/>
              <c:tx>
                <c:rich>
                  <a:bodyPr/>
                  <a:lstStyle/>
                  <a:p>
                    <a:fld id="{D0E735AC-2AD7-4342-AF36-94619D47979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8-AFC8-4BD3-8E8D-F736AA9AA792}"/>
                </c:ext>
                <c:ext xmlns:c15="http://schemas.microsoft.com/office/drawing/2012/chart" uri="{CE6537A1-D6FC-4f65-9D91-7224C49458BB}">
                  <c15:dlblFieldTable/>
                  <c15:showDataLabelsRange val="1"/>
                </c:ext>
              </c:extLst>
            </c:dLbl>
            <c:dLbl>
              <c:idx val="41"/>
              <c:tx>
                <c:rich>
                  <a:bodyPr/>
                  <a:lstStyle/>
                  <a:p>
                    <a:fld id="{FD68EAB0-6C29-4506-A5A0-A91F8AFB3558}"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9-AFC8-4BD3-8E8D-F736AA9AA792}"/>
                </c:ext>
                <c:ext xmlns:c15="http://schemas.microsoft.com/office/drawing/2012/chart" uri="{CE6537A1-D6FC-4f65-9D91-7224C49458BB}">
                  <c15:dlblFieldTable/>
                  <c15:showDataLabelsRange val="1"/>
                </c:ext>
              </c:extLst>
            </c:dLbl>
            <c:dLbl>
              <c:idx val="42"/>
              <c:tx>
                <c:rich>
                  <a:bodyPr/>
                  <a:lstStyle/>
                  <a:p>
                    <a:fld id="{FE8CDDC5-5297-4CAE-ADA1-9823A5446AF8}"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A-AFC8-4BD3-8E8D-F736AA9AA792}"/>
                </c:ext>
                <c:ext xmlns:c15="http://schemas.microsoft.com/office/drawing/2012/chart" uri="{CE6537A1-D6FC-4f65-9D91-7224C49458BB}">
                  <c15:dlblFieldTable/>
                  <c15:showDataLabelsRange val="1"/>
                </c:ext>
              </c:extLst>
            </c:dLbl>
            <c:dLbl>
              <c:idx val="43"/>
              <c:tx>
                <c:rich>
                  <a:bodyPr/>
                  <a:lstStyle/>
                  <a:p>
                    <a:fld id="{F75852BD-75AB-49A7-B650-A88A9A10E3F5}"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B-AFC8-4BD3-8E8D-F736AA9AA792}"/>
                </c:ext>
                <c:ext xmlns:c15="http://schemas.microsoft.com/office/drawing/2012/chart" uri="{CE6537A1-D6FC-4f65-9D91-7224C49458BB}">
                  <c15:dlblFieldTable/>
                  <c15:showDataLabelsRange val="1"/>
                </c:ext>
              </c:extLst>
            </c:dLbl>
            <c:dLbl>
              <c:idx val="44"/>
              <c:tx>
                <c:rich>
                  <a:bodyPr/>
                  <a:lstStyle/>
                  <a:p>
                    <a:fld id="{179FCA23-9177-44B5-8D1F-717A9A87F06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C-AFC8-4BD3-8E8D-F736AA9AA792}"/>
                </c:ext>
                <c:ext xmlns:c15="http://schemas.microsoft.com/office/drawing/2012/chart" uri="{CE6537A1-D6FC-4f65-9D91-7224C49458BB}">
                  <c15:dlblFieldTable/>
                  <c15:showDataLabelsRange val="1"/>
                </c:ext>
              </c:extLst>
            </c:dLbl>
            <c:dLbl>
              <c:idx val="45"/>
              <c:tx>
                <c:rich>
                  <a:bodyPr/>
                  <a:lstStyle/>
                  <a:p>
                    <a:fld id="{D206D370-E650-4000-A343-E3AA90359AE6}"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D-AFC8-4BD3-8E8D-F736AA9AA792}"/>
                </c:ext>
                <c:ext xmlns:c15="http://schemas.microsoft.com/office/drawing/2012/chart" uri="{CE6537A1-D6FC-4f65-9D91-7224C49458BB}">
                  <c15:dlblFieldTable/>
                  <c15:showDataLabelsRange val="1"/>
                </c:ext>
              </c:extLst>
            </c:dLbl>
            <c:dLbl>
              <c:idx val="46"/>
              <c:layout>
                <c:manualLayout>
                  <c:x val="-0.14569059103214191"/>
                  <c:y val="-6.4309386417708655E-2"/>
                </c:manualLayout>
              </c:layout>
              <c:tx>
                <c:rich>
                  <a:bodyPr/>
                  <a:lstStyle/>
                  <a:p>
                    <a:fld id="{10833739-6F2B-4596-9186-F8AC75EF1162}"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E-AFC8-4BD3-8E8D-F736AA9AA792}"/>
                </c:ext>
                <c:ext xmlns:c15="http://schemas.microsoft.com/office/drawing/2012/chart" uri="{CE6537A1-D6FC-4f65-9D91-7224C49458BB}">
                  <c15:dlblFieldTable/>
                  <c15:showDataLabelsRange val="1"/>
                </c:ext>
              </c:extLst>
            </c:dLbl>
            <c:dLbl>
              <c:idx val="47"/>
              <c:tx>
                <c:rich>
                  <a:bodyPr/>
                  <a:lstStyle/>
                  <a:p>
                    <a:fld id="{5461697E-A9C2-4DB3-967A-B95B1426E946}"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2F-AFC8-4BD3-8E8D-F736AA9AA792}"/>
                </c:ext>
                <c:ext xmlns:c15="http://schemas.microsoft.com/office/drawing/2012/chart" uri="{CE6537A1-D6FC-4f65-9D91-7224C49458BB}">
                  <c15:dlblFieldTable/>
                  <c15:showDataLabelsRange val="1"/>
                </c:ext>
              </c:extLst>
            </c:dLbl>
            <c:dLbl>
              <c:idx val="48"/>
              <c:tx>
                <c:rich>
                  <a:bodyPr/>
                  <a:lstStyle/>
                  <a:p>
                    <a:fld id="{3AD7A3DA-BFFF-496E-9034-14CF169982CD}"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0-AFC8-4BD3-8E8D-F736AA9AA792}"/>
                </c:ext>
                <c:ext xmlns:c15="http://schemas.microsoft.com/office/drawing/2012/chart" uri="{CE6537A1-D6FC-4f65-9D91-7224C49458BB}">
                  <c15:dlblFieldTable/>
                  <c15:showDataLabelsRange val="1"/>
                </c:ext>
              </c:extLst>
            </c:dLbl>
            <c:dLbl>
              <c:idx val="49"/>
              <c:tx>
                <c:rich>
                  <a:bodyPr/>
                  <a:lstStyle/>
                  <a:p>
                    <a:fld id="{DA4CD5B6-F8B4-42F5-BFAA-E77AC72B2143}"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1-AFC8-4BD3-8E8D-F736AA9AA792}"/>
                </c:ext>
                <c:ext xmlns:c15="http://schemas.microsoft.com/office/drawing/2012/chart" uri="{CE6537A1-D6FC-4f65-9D91-7224C49458BB}">
                  <c15:dlblFieldTable/>
                  <c15:showDataLabelsRange val="1"/>
                </c:ext>
              </c:extLst>
            </c:dLbl>
            <c:dLbl>
              <c:idx val="50"/>
              <c:tx>
                <c:rich>
                  <a:bodyPr/>
                  <a:lstStyle/>
                  <a:p>
                    <a:fld id="{A7C84B5C-ED88-48A4-8746-984E999BA86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2-AFC8-4BD3-8E8D-F736AA9AA792}"/>
                </c:ext>
                <c:ext xmlns:c15="http://schemas.microsoft.com/office/drawing/2012/chart" uri="{CE6537A1-D6FC-4f65-9D91-7224C49458BB}">
                  <c15:dlblFieldTable/>
                  <c15:showDataLabelsRange val="1"/>
                </c:ext>
              </c:extLst>
            </c:dLbl>
            <c:dLbl>
              <c:idx val="51"/>
              <c:tx>
                <c:rich>
                  <a:bodyPr/>
                  <a:lstStyle/>
                  <a:p>
                    <a:fld id="{728E63F4-513D-45F7-A009-B5E3F07A683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3-AFC8-4BD3-8E8D-F736AA9AA792}"/>
                </c:ext>
                <c:ext xmlns:c15="http://schemas.microsoft.com/office/drawing/2012/chart" uri="{CE6537A1-D6FC-4f65-9D91-7224C49458BB}">
                  <c15:dlblFieldTable/>
                  <c15:showDataLabelsRange val="1"/>
                </c:ext>
              </c:extLst>
            </c:dLbl>
            <c:dLbl>
              <c:idx val="52"/>
              <c:tx>
                <c:rich>
                  <a:bodyPr/>
                  <a:lstStyle/>
                  <a:p>
                    <a:fld id="{B2A951FC-48E0-47C0-B66B-247AB655485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4-AFC8-4BD3-8E8D-F736AA9AA792}"/>
                </c:ext>
                <c:ext xmlns:c15="http://schemas.microsoft.com/office/drawing/2012/chart" uri="{CE6537A1-D6FC-4f65-9D91-7224C49458BB}">
                  <c15:dlblFieldTable/>
                  <c15:showDataLabelsRange val="1"/>
                </c:ext>
              </c:extLst>
            </c:dLbl>
            <c:dLbl>
              <c:idx val="53"/>
              <c:layout>
                <c:manualLayout>
                  <c:x val="-5.0171037628278278E-2"/>
                  <c:y val="-3.9051603905160444E-2"/>
                </c:manualLayout>
              </c:layout>
              <c:tx>
                <c:rich>
                  <a:bodyPr/>
                  <a:lstStyle/>
                  <a:p>
                    <a:fld id="{DF936BAD-8D5B-465B-94E0-7FA1EEE100A6}"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5-AFC8-4BD3-8E8D-F736AA9AA792}"/>
                </c:ext>
                <c:ext xmlns:c15="http://schemas.microsoft.com/office/drawing/2012/chart" uri="{CE6537A1-D6FC-4f65-9D91-7224C49458BB}">
                  <c15:dlblFieldTable/>
                  <c15:showDataLabelsRange val="1"/>
                </c:ext>
              </c:extLst>
            </c:dLbl>
            <c:dLbl>
              <c:idx val="54"/>
              <c:tx>
                <c:rich>
                  <a:bodyPr/>
                  <a:lstStyle/>
                  <a:p>
                    <a:fld id="{376EF74B-0CC0-4CD9-866D-49D7BC395E2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6-AFC8-4BD3-8E8D-F736AA9AA792}"/>
                </c:ext>
                <c:ext xmlns:c15="http://schemas.microsoft.com/office/drawing/2012/chart" uri="{CE6537A1-D6FC-4f65-9D91-7224C49458BB}">
                  <c15:dlblFieldTable/>
                  <c15:showDataLabelsRange val="1"/>
                </c:ext>
              </c:extLst>
            </c:dLbl>
            <c:dLbl>
              <c:idx val="55"/>
              <c:tx>
                <c:rich>
                  <a:bodyPr/>
                  <a:lstStyle/>
                  <a:p>
                    <a:fld id="{AE2B7D06-B258-4FAC-8E50-81C0249E605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7-AFC8-4BD3-8E8D-F736AA9AA792}"/>
                </c:ext>
                <c:ext xmlns:c15="http://schemas.microsoft.com/office/drawing/2012/chart" uri="{CE6537A1-D6FC-4f65-9D91-7224C49458BB}">
                  <c15:dlblFieldTable/>
                  <c15:showDataLabelsRange val="1"/>
                </c:ext>
              </c:extLst>
            </c:dLbl>
            <c:dLbl>
              <c:idx val="56"/>
              <c:tx>
                <c:rich>
                  <a:bodyPr/>
                  <a:lstStyle/>
                  <a:p>
                    <a:fld id="{F6BF8308-2FE3-4D40-BEBF-E84516C295D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8-AFC8-4BD3-8E8D-F736AA9AA792}"/>
                </c:ext>
                <c:ext xmlns:c15="http://schemas.microsoft.com/office/drawing/2012/chart" uri="{CE6537A1-D6FC-4f65-9D91-7224C49458BB}">
                  <c15:dlblFieldTable/>
                  <c15:showDataLabelsRange val="1"/>
                </c:ext>
              </c:extLst>
            </c:dLbl>
            <c:dLbl>
              <c:idx val="57"/>
              <c:tx>
                <c:rich>
                  <a:bodyPr/>
                  <a:lstStyle/>
                  <a:p>
                    <a:fld id="{D6E81E2D-E8B0-4FFF-90E2-013050650CC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9-AFC8-4BD3-8E8D-F736AA9AA792}"/>
                </c:ext>
                <c:ext xmlns:c15="http://schemas.microsoft.com/office/drawing/2012/chart" uri="{CE6537A1-D6FC-4f65-9D91-7224C49458BB}">
                  <c15:dlblFieldTable/>
                  <c15:showDataLabelsRange val="1"/>
                </c:ext>
              </c:extLst>
            </c:dLbl>
            <c:dLbl>
              <c:idx val="58"/>
              <c:tx>
                <c:rich>
                  <a:bodyPr/>
                  <a:lstStyle/>
                  <a:p>
                    <a:fld id="{5543A102-726C-4CBA-99AF-21C30F334D8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A-AFC8-4BD3-8E8D-F736AA9AA792}"/>
                </c:ext>
                <c:ext xmlns:c15="http://schemas.microsoft.com/office/drawing/2012/chart" uri="{CE6537A1-D6FC-4f65-9D91-7224C49458BB}">
                  <c15:dlblFieldTable/>
                  <c15:showDataLabelsRange val="1"/>
                </c:ext>
              </c:extLst>
            </c:dLbl>
            <c:dLbl>
              <c:idx val="59"/>
              <c:tx>
                <c:rich>
                  <a:bodyPr/>
                  <a:lstStyle/>
                  <a:p>
                    <a:fld id="{C5C2D827-5333-4BAC-A35E-0C0F06355A1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B-AFC8-4BD3-8E8D-F736AA9AA792}"/>
                </c:ext>
                <c:ext xmlns:c15="http://schemas.microsoft.com/office/drawing/2012/chart" uri="{CE6537A1-D6FC-4f65-9D91-7224C49458BB}">
                  <c15:dlblFieldTable/>
                  <c15:showDataLabelsRange val="1"/>
                </c:ext>
              </c:extLst>
            </c:dLbl>
            <c:dLbl>
              <c:idx val="60"/>
              <c:tx>
                <c:rich>
                  <a:bodyPr/>
                  <a:lstStyle/>
                  <a:p>
                    <a:fld id="{3B12749E-45D4-4BC8-81A1-76C55532CDD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C-AFC8-4BD3-8E8D-F736AA9AA792}"/>
                </c:ext>
                <c:ext xmlns:c15="http://schemas.microsoft.com/office/drawing/2012/chart" uri="{CE6537A1-D6FC-4f65-9D91-7224C49458BB}">
                  <c15:dlblFieldTable/>
                  <c15:showDataLabelsRange val="1"/>
                </c:ext>
              </c:extLst>
            </c:dLbl>
            <c:dLbl>
              <c:idx val="61"/>
              <c:tx>
                <c:rich>
                  <a:bodyPr/>
                  <a:lstStyle/>
                  <a:p>
                    <a:fld id="{1B9E0018-F1B1-4440-B9DE-89EA96F7680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D-AFC8-4BD3-8E8D-F736AA9AA792}"/>
                </c:ext>
                <c:ext xmlns:c15="http://schemas.microsoft.com/office/drawing/2012/chart" uri="{CE6537A1-D6FC-4f65-9D91-7224C49458BB}">
                  <c15:dlblFieldTable/>
                  <c15:showDataLabelsRange val="1"/>
                </c:ext>
              </c:extLst>
            </c:dLbl>
            <c:dLbl>
              <c:idx val="62"/>
              <c:tx>
                <c:rich>
                  <a:bodyPr/>
                  <a:lstStyle/>
                  <a:p>
                    <a:fld id="{5EC5FF4F-54F3-4745-B0D6-5F92621D3C3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E-AFC8-4BD3-8E8D-F736AA9AA792}"/>
                </c:ext>
                <c:ext xmlns:c15="http://schemas.microsoft.com/office/drawing/2012/chart" uri="{CE6537A1-D6FC-4f65-9D91-7224C49458BB}">
                  <c15:dlblFieldTable/>
                  <c15:showDataLabelsRange val="1"/>
                </c:ext>
              </c:extLst>
            </c:dLbl>
            <c:dLbl>
              <c:idx val="63"/>
              <c:tx>
                <c:rich>
                  <a:bodyPr/>
                  <a:lstStyle/>
                  <a:p>
                    <a:fld id="{0626764F-E8A6-40DE-B883-DC183AB3153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3F-AFC8-4BD3-8E8D-F736AA9AA792}"/>
                </c:ext>
                <c:ext xmlns:c15="http://schemas.microsoft.com/office/drawing/2012/chart" uri="{CE6537A1-D6FC-4f65-9D91-7224C49458BB}">
                  <c15:dlblFieldTable/>
                  <c15:showDataLabelsRange val="1"/>
                </c:ext>
              </c:extLst>
            </c:dLbl>
            <c:dLbl>
              <c:idx val="64"/>
              <c:tx>
                <c:rich>
                  <a:bodyPr/>
                  <a:lstStyle/>
                  <a:p>
                    <a:fld id="{656C7A6B-4E04-49F3-8F4C-952659C470F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0-AFC8-4BD3-8E8D-F736AA9AA792}"/>
                </c:ext>
                <c:ext xmlns:c15="http://schemas.microsoft.com/office/drawing/2012/chart" uri="{CE6537A1-D6FC-4f65-9D91-7224C49458BB}">
                  <c15:dlblFieldTable/>
                  <c15:showDataLabelsRange val="1"/>
                </c:ext>
              </c:extLst>
            </c:dLbl>
            <c:dLbl>
              <c:idx val="65"/>
              <c:tx>
                <c:rich>
                  <a:bodyPr/>
                  <a:lstStyle/>
                  <a:p>
                    <a:fld id="{A145A66B-CF6F-4CD0-AC13-C7877E066F2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1-AFC8-4BD3-8E8D-F736AA9AA792}"/>
                </c:ext>
                <c:ext xmlns:c15="http://schemas.microsoft.com/office/drawing/2012/chart" uri="{CE6537A1-D6FC-4f65-9D91-7224C49458BB}">
                  <c15:dlblFieldTable/>
                  <c15:showDataLabelsRange val="1"/>
                </c:ext>
              </c:extLst>
            </c:dLbl>
            <c:dLbl>
              <c:idx val="66"/>
              <c:tx>
                <c:rich>
                  <a:bodyPr/>
                  <a:lstStyle/>
                  <a:p>
                    <a:fld id="{AA7BE39D-211D-4E9E-BA4B-D981717BB7D7}"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2-AFC8-4BD3-8E8D-F736AA9AA792}"/>
                </c:ext>
                <c:ext xmlns:c15="http://schemas.microsoft.com/office/drawing/2012/chart" uri="{CE6537A1-D6FC-4f65-9D91-7224C49458BB}">
                  <c15:dlblFieldTable/>
                  <c15:showDataLabelsRange val="1"/>
                </c:ext>
              </c:extLst>
            </c:dLbl>
            <c:dLbl>
              <c:idx val="67"/>
              <c:tx>
                <c:rich>
                  <a:bodyPr/>
                  <a:lstStyle/>
                  <a:p>
                    <a:fld id="{CEB77A01-FC65-42AC-8EAD-1A428D951DC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3-AFC8-4BD3-8E8D-F736AA9AA792}"/>
                </c:ext>
                <c:ext xmlns:c15="http://schemas.microsoft.com/office/drawing/2012/chart" uri="{CE6537A1-D6FC-4f65-9D91-7224C49458BB}">
                  <c15:dlblFieldTable/>
                  <c15:showDataLabelsRange val="1"/>
                </c:ext>
              </c:extLst>
            </c:dLbl>
            <c:dLbl>
              <c:idx val="68"/>
              <c:tx>
                <c:rich>
                  <a:bodyPr/>
                  <a:lstStyle/>
                  <a:p>
                    <a:fld id="{65EB2368-E99A-4BE9-BBB2-7E95ED9DAD1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4-AFC8-4BD3-8E8D-F736AA9AA792}"/>
                </c:ext>
                <c:ext xmlns:c15="http://schemas.microsoft.com/office/drawing/2012/chart" uri="{CE6537A1-D6FC-4f65-9D91-7224C49458BB}">
                  <c15:dlblFieldTable/>
                  <c15:showDataLabelsRange val="1"/>
                </c:ext>
              </c:extLst>
            </c:dLbl>
            <c:dLbl>
              <c:idx val="69"/>
              <c:tx>
                <c:rich>
                  <a:bodyPr/>
                  <a:lstStyle/>
                  <a:p>
                    <a:fld id="{0DFE579F-4EB7-4B90-92C2-91D60953EDC3}"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5-AFC8-4BD3-8E8D-F736AA9AA792}"/>
                </c:ext>
                <c:ext xmlns:c15="http://schemas.microsoft.com/office/drawing/2012/chart" uri="{CE6537A1-D6FC-4f65-9D91-7224C49458BB}">
                  <c15:dlblFieldTable/>
                  <c15:showDataLabelsRange val="1"/>
                </c:ext>
              </c:extLst>
            </c:dLbl>
            <c:dLbl>
              <c:idx val="70"/>
              <c:layout>
                <c:manualLayout>
                  <c:x val="-1.5203344735841829E-2"/>
                  <c:y val="-4.1841004184100417E-2"/>
                </c:manualLayout>
              </c:layout>
              <c:tx>
                <c:rich>
                  <a:bodyPr/>
                  <a:lstStyle/>
                  <a:p>
                    <a:fld id="{98F8B796-EA05-4198-BD92-809517B27A86}"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6-AFC8-4BD3-8E8D-F736AA9AA792}"/>
                </c:ext>
                <c:ext xmlns:c15="http://schemas.microsoft.com/office/drawing/2012/chart" uri="{CE6537A1-D6FC-4f65-9D91-7224C49458BB}">
                  <c15:dlblFieldTable/>
                  <c15:showDataLabelsRange val="1"/>
                </c:ext>
              </c:extLst>
            </c:dLbl>
            <c:dLbl>
              <c:idx val="71"/>
              <c:tx>
                <c:rich>
                  <a:bodyPr/>
                  <a:lstStyle/>
                  <a:p>
                    <a:fld id="{27E7A626-429F-4391-BCBF-F91C04B6758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7-AFC8-4BD3-8E8D-F736AA9AA792}"/>
                </c:ext>
                <c:ext xmlns:c15="http://schemas.microsoft.com/office/drawing/2012/chart" uri="{CE6537A1-D6FC-4f65-9D91-7224C49458BB}">
                  <c15:dlblFieldTable/>
                  <c15:showDataLabelsRange val="1"/>
                </c:ext>
              </c:extLst>
            </c:dLbl>
            <c:dLbl>
              <c:idx val="72"/>
              <c:tx>
                <c:rich>
                  <a:bodyPr/>
                  <a:lstStyle/>
                  <a:p>
                    <a:fld id="{5570B197-1D7A-4A14-85A3-387067736756}"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8-AFC8-4BD3-8E8D-F736AA9AA792}"/>
                </c:ext>
                <c:ext xmlns:c15="http://schemas.microsoft.com/office/drawing/2012/chart" uri="{CE6537A1-D6FC-4f65-9D91-7224C49458BB}">
                  <c15:dlblFieldTable/>
                  <c15:showDataLabelsRange val="1"/>
                </c:ext>
              </c:extLst>
            </c:dLbl>
            <c:dLbl>
              <c:idx val="73"/>
              <c:tx>
                <c:rich>
                  <a:bodyPr/>
                  <a:lstStyle/>
                  <a:p>
                    <a:fld id="{EE62F16F-866D-44C1-9870-97C0F3ABE4F1}"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9-AFC8-4BD3-8E8D-F736AA9AA792}"/>
                </c:ext>
                <c:ext xmlns:c15="http://schemas.microsoft.com/office/drawing/2012/chart" uri="{CE6537A1-D6FC-4f65-9D91-7224C49458BB}">
                  <c15:dlblFieldTable/>
                  <c15:showDataLabelsRange val="1"/>
                </c:ext>
              </c:extLst>
            </c:dLbl>
            <c:dLbl>
              <c:idx val="74"/>
              <c:tx>
                <c:rich>
                  <a:bodyPr/>
                  <a:lstStyle/>
                  <a:p>
                    <a:fld id="{763B5AE8-ED92-4C72-8D31-E73D7B5322A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A-AFC8-4BD3-8E8D-F736AA9AA792}"/>
                </c:ext>
                <c:ext xmlns:c15="http://schemas.microsoft.com/office/drawing/2012/chart" uri="{CE6537A1-D6FC-4f65-9D91-7224C49458BB}">
                  <c15:dlblFieldTable/>
                  <c15:showDataLabelsRange val="1"/>
                </c:ext>
              </c:extLst>
            </c:dLbl>
            <c:dLbl>
              <c:idx val="75"/>
              <c:tx>
                <c:rich>
                  <a:bodyPr/>
                  <a:lstStyle/>
                  <a:p>
                    <a:fld id="{D8739FE2-26A7-4867-8BAE-C347D08FD1D5}"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B-AFC8-4BD3-8E8D-F736AA9AA792}"/>
                </c:ext>
                <c:ext xmlns:c15="http://schemas.microsoft.com/office/drawing/2012/chart" uri="{CE6537A1-D6FC-4f65-9D91-7224C49458BB}">
                  <c15:dlblFieldTable/>
                  <c15:showDataLabelsRange val="1"/>
                </c:ext>
              </c:extLst>
            </c:dLbl>
            <c:dLbl>
              <c:idx val="76"/>
              <c:tx>
                <c:rich>
                  <a:bodyPr/>
                  <a:lstStyle/>
                  <a:p>
                    <a:fld id="{D3C7697A-7C95-466E-93A9-F47F048A862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C-AFC8-4BD3-8E8D-F736AA9AA792}"/>
                </c:ext>
                <c:ext xmlns:c15="http://schemas.microsoft.com/office/drawing/2012/chart" uri="{CE6537A1-D6FC-4f65-9D91-7224C49458BB}">
                  <c15:dlblFieldTable/>
                  <c15:showDataLabelsRange val="1"/>
                </c:ext>
              </c:extLst>
            </c:dLbl>
            <c:dLbl>
              <c:idx val="77"/>
              <c:tx>
                <c:rich>
                  <a:bodyPr/>
                  <a:lstStyle/>
                  <a:p>
                    <a:fld id="{1532C564-56B3-4942-95C3-5788F48A554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D-AFC8-4BD3-8E8D-F736AA9AA792}"/>
                </c:ext>
                <c:ext xmlns:c15="http://schemas.microsoft.com/office/drawing/2012/chart" uri="{CE6537A1-D6FC-4f65-9D91-7224C49458BB}">
                  <c15:dlblFieldTable/>
                  <c15:showDataLabelsRange val="1"/>
                </c:ext>
              </c:extLst>
            </c:dLbl>
            <c:dLbl>
              <c:idx val="78"/>
              <c:tx>
                <c:rich>
                  <a:bodyPr/>
                  <a:lstStyle/>
                  <a:p>
                    <a:fld id="{714F91C0-AE38-428A-B9D1-FC3BBD4A12A7}"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E-AFC8-4BD3-8E8D-F736AA9AA792}"/>
                </c:ext>
                <c:ext xmlns:c15="http://schemas.microsoft.com/office/drawing/2012/chart" uri="{CE6537A1-D6FC-4f65-9D91-7224C49458BB}">
                  <c15:dlblFieldTable/>
                  <c15:showDataLabelsRange val="1"/>
                </c:ext>
              </c:extLst>
            </c:dLbl>
            <c:dLbl>
              <c:idx val="79"/>
              <c:tx>
                <c:rich>
                  <a:bodyPr/>
                  <a:lstStyle/>
                  <a:p>
                    <a:fld id="{69B5031D-6E4D-4B18-BD82-D4BD60F0FE0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4F-AFC8-4BD3-8E8D-F736AA9AA792}"/>
                </c:ext>
                <c:ext xmlns:c15="http://schemas.microsoft.com/office/drawing/2012/chart" uri="{CE6537A1-D6FC-4f65-9D91-7224C49458BB}">
                  <c15:dlblFieldTable/>
                  <c15:showDataLabelsRange val="1"/>
                </c:ext>
              </c:extLst>
            </c:dLbl>
            <c:dLbl>
              <c:idx val="80"/>
              <c:tx>
                <c:rich>
                  <a:bodyPr/>
                  <a:lstStyle/>
                  <a:p>
                    <a:fld id="{C0F2AE1F-0C6E-40CF-81FE-7D516BDAFA0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0-AFC8-4BD3-8E8D-F736AA9AA792}"/>
                </c:ext>
                <c:ext xmlns:c15="http://schemas.microsoft.com/office/drawing/2012/chart" uri="{CE6537A1-D6FC-4f65-9D91-7224C49458BB}">
                  <c15:dlblFieldTable/>
                  <c15:showDataLabelsRange val="1"/>
                </c:ext>
              </c:extLst>
            </c:dLbl>
            <c:dLbl>
              <c:idx val="81"/>
              <c:tx>
                <c:rich>
                  <a:bodyPr/>
                  <a:lstStyle/>
                  <a:p>
                    <a:fld id="{753AE4CF-9132-49CA-8381-8C830FE653C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1-AFC8-4BD3-8E8D-F736AA9AA792}"/>
                </c:ext>
                <c:ext xmlns:c15="http://schemas.microsoft.com/office/drawing/2012/chart" uri="{CE6537A1-D6FC-4f65-9D91-7224C49458BB}">
                  <c15:dlblFieldTable/>
                  <c15:showDataLabelsRange val="1"/>
                </c:ext>
              </c:extLst>
            </c:dLbl>
            <c:dLbl>
              <c:idx val="82"/>
              <c:tx>
                <c:rich>
                  <a:bodyPr/>
                  <a:lstStyle/>
                  <a:p>
                    <a:fld id="{DD5ACFAA-AB9D-4B9E-80D3-53F58C520355}"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2-AFC8-4BD3-8E8D-F736AA9AA792}"/>
                </c:ext>
                <c:ext xmlns:c15="http://schemas.microsoft.com/office/drawing/2012/chart" uri="{CE6537A1-D6FC-4f65-9D91-7224C49458BB}">
                  <c15:dlblFieldTable/>
                  <c15:showDataLabelsRange val="1"/>
                </c:ext>
              </c:extLst>
            </c:dLbl>
            <c:dLbl>
              <c:idx val="83"/>
              <c:tx>
                <c:rich>
                  <a:bodyPr/>
                  <a:lstStyle/>
                  <a:p>
                    <a:fld id="{EA9E4048-720B-4FB9-BB7B-425746BA4208}"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3-AFC8-4BD3-8E8D-F736AA9AA792}"/>
                </c:ext>
                <c:ext xmlns:c15="http://schemas.microsoft.com/office/drawing/2012/chart" uri="{CE6537A1-D6FC-4f65-9D91-7224C49458BB}">
                  <c15:dlblFieldTable/>
                  <c15:showDataLabelsRange val="1"/>
                </c:ext>
              </c:extLst>
            </c:dLbl>
            <c:dLbl>
              <c:idx val="84"/>
              <c:tx>
                <c:rich>
                  <a:bodyPr/>
                  <a:lstStyle/>
                  <a:p>
                    <a:fld id="{D278CC4E-21CE-45A6-9DDE-158063C77A7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4-AFC8-4BD3-8E8D-F736AA9AA792}"/>
                </c:ext>
                <c:ext xmlns:c15="http://schemas.microsoft.com/office/drawing/2012/chart" uri="{CE6537A1-D6FC-4f65-9D91-7224C49458BB}">
                  <c15:dlblFieldTable/>
                  <c15:showDataLabelsRange val="1"/>
                </c:ext>
              </c:extLst>
            </c:dLbl>
            <c:dLbl>
              <c:idx val="85"/>
              <c:tx>
                <c:rich>
                  <a:bodyPr/>
                  <a:lstStyle/>
                  <a:p>
                    <a:fld id="{B0D22C7A-B01E-4399-92A3-A2DE7C5179B6}"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5-AFC8-4BD3-8E8D-F736AA9AA792}"/>
                </c:ext>
                <c:ext xmlns:c15="http://schemas.microsoft.com/office/drawing/2012/chart" uri="{CE6537A1-D6FC-4f65-9D91-7224C49458BB}">
                  <c15:dlblFieldTable/>
                  <c15:showDataLabelsRange val="1"/>
                </c:ext>
              </c:extLst>
            </c:dLbl>
            <c:dLbl>
              <c:idx val="86"/>
              <c:tx>
                <c:rich>
                  <a:bodyPr/>
                  <a:lstStyle/>
                  <a:p>
                    <a:fld id="{AA1B8650-2A16-4018-ACD1-9CAB1CB4E27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6-AFC8-4BD3-8E8D-F736AA9AA792}"/>
                </c:ext>
                <c:ext xmlns:c15="http://schemas.microsoft.com/office/drawing/2012/chart" uri="{CE6537A1-D6FC-4f65-9D91-7224C49458BB}">
                  <c15:dlblFieldTable/>
                  <c15:showDataLabelsRange val="1"/>
                </c:ext>
              </c:extLst>
            </c:dLbl>
            <c:dLbl>
              <c:idx val="87"/>
              <c:tx>
                <c:rich>
                  <a:bodyPr/>
                  <a:lstStyle/>
                  <a:p>
                    <a:fld id="{D24C2350-4675-4816-AE62-5BED0F52FAC1}"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7-AFC8-4BD3-8E8D-F736AA9AA792}"/>
                </c:ext>
                <c:ext xmlns:c15="http://schemas.microsoft.com/office/drawing/2012/chart" uri="{CE6537A1-D6FC-4f65-9D91-7224C49458BB}">
                  <c15:dlblFieldTable/>
                  <c15:showDataLabelsRange val="1"/>
                </c:ext>
              </c:extLst>
            </c:dLbl>
            <c:dLbl>
              <c:idx val="88"/>
              <c:tx>
                <c:rich>
                  <a:bodyPr/>
                  <a:lstStyle/>
                  <a:p>
                    <a:fld id="{C2194D9A-78F4-40A6-AB32-54EBBBD3D18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8-AFC8-4BD3-8E8D-F736AA9AA792}"/>
                </c:ext>
                <c:ext xmlns:c15="http://schemas.microsoft.com/office/drawing/2012/chart" uri="{CE6537A1-D6FC-4f65-9D91-7224C49458BB}">
                  <c15:dlblFieldTable/>
                  <c15:showDataLabelsRange val="1"/>
                </c:ext>
              </c:extLst>
            </c:dLbl>
            <c:dLbl>
              <c:idx val="89"/>
              <c:tx>
                <c:rich>
                  <a:bodyPr/>
                  <a:lstStyle/>
                  <a:p>
                    <a:fld id="{0E127636-424C-4E7A-B04D-3C277C9A8085}"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9-AFC8-4BD3-8E8D-F736AA9AA792}"/>
                </c:ext>
                <c:ext xmlns:c15="http://schemas.microsoft.com/office/drawing/2012/chart" uri="{CE6537A1-D6FC-4f65-9D91-7224C49458BB}">
                  <c15:dlblFieldTable/>
                  <c15:showDataLabelsRange val="1"/>
                </c:ext>
              </c:extLst>
            </c:dLbl>
            <c:dLbl>
              <c:idx val="90"/>
              <c:tx>
                <c:rich>
                  <a:bodyPr/>
                  <a:lstStyle/>
                  <a:p>
                    <a:fld id="{B6CC3D91-352A-4A5A-969A-0F6F474FE79D}"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A-AFC8-4BD3-8E8D-F736AA9AA792}"/>
                </c:ext>
                <c:ext xmlns:c15="http://schemas.microsoft.com/office/drawing/2012/chart" uri="{CE6537A1-D6FC-4f65-9D91-7224C49458BB}">
                  <c15:dlblFieldTable/>
                  <c15:showDataLabelsRange val="1"/>
                </c:ext>
              </c:extLst>
            </c:dLbl>
            <c:dLbl>
              <c:idx val="91"/>
              <c:layout>
                <c:manualLayout>
                  <c:x val="-0.11713629055530363"/>
                  <c:y val="-3.0705353933810641E-2"/>
                </c:manualLayout>
              </c:layout>
              <c:tx>
                <c:rich>
                  <a:bodyPr/>
                  <a:lstStyle/>
                  <a:p>
                    <a:fld id="{F292AB1E-1B1D-4CD8-9C0D-44532A3FDFBD}"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B-AFC8-4BD3-8E8D-F736AA9AA792}"/>
                </c:ext>
                <c:ext xmlns:c15="http://schemas.microsoft.com/office/drawing/2012/chart" uri="{CE6537A1-D6FC-4f65-9D91-7224C49458BB}">
                  <c15:dlblFieldTable/>
                  <c15:showDataLabelsRange val="1"/>
                </c:ext>
              </c:extLst>
            </c:dLbl>
            <c:dLbl>
              <c:idx val="92"/>
              <c:tx>
                <c:rich>
                  <a:bodyPr/>
                  <a:lstStyle/>
                  <a:p>
                    <a:fld id="{98E3BFEA-3F45-4F9F-A5D5-334D75C3D48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C-AFC8-4BD3-8E8D-F736AA9AA792}"/>
                </c:ext>
                <c:ext xmlns:c15="http://schemas.microsoft.com/office/drawing/2012/chart" uri="{CE6537A1-D6FC-4f65-9D91-7224C49458BB}">
                  <c15:dlblFieldTable/>
                  <c15:showDataLabelsRange val="1"/>
                </c:ext>
              </c:extLst>
            </c:dLbl>
            <c:dLbl>
              <c:idx val="93"/>
              <c:tx>
                <c:rich>
                  <a:bodyPr/>
                  <a:lstStyle/>
                  <a:p>
                    <a:fld id="{8080BDDB-767B-42F3-8698-5E8E7B59FE41}"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D-AFC8-4BD3-8E8D-F736AA9AA792}"/>
                </c:ext>
                <c:ext xmlns:c15="http://schemas.microsoft.com/office/drawing/2012/chart" uri="{CE6537A1-D6FC-4f65-9D91-7224C49458BB}">
                  <c15:dlblFieldTable/>
                  <c15:showDataLabelsRange val="1"/>
                </c:ext>
              </c:extLst>
            </c:dLbl>
            <c:dLbl>
              <c:idx val="94"/>
              <c:tx>
                <c:rich>
                  <a:bodyPr/>
                  <a:lstStyle/>
                  <a:p>
                    <a:fld id="{A2D6A0F7-5AA8-4130-9427-4343473751D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E-AFC8-4BD3-8E8D-F736AA9AA792}"/>
                </c:ext>
                <c:ext xmlns:c15="http://schemas.microsoft.com/office/drawing/2012/chart" uri="{CE6537A1-D6FC-4f65-9D91-7224C49458BB}">
                  <c15:dlblFieldTable/>
                  <c15:showDataLabelsRange val="1"/>
                </c:ext>
              </c:extLst>
            </c:dLbl>
            <c:dLbl>
              <c:idx val="95"/>
              <c:tx>
                <c:rich>
                  <a:bodyPr/>
                  <a:lstStyle/>
                  <a:p>
                    <a:fld id="{8ED83160-CC18-46A5-9B14-010A128D236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5F-AFC8-4BD3-8E8D-F736AA9AA792}"/>
                </c:ext>
                <c:ext xmlns:c15="http://schemas.microsoft.com/office/drawing/2012/chart" uri="{CE6537A1-D6FC-4f65-9D91-7224C49458BB}">
                  <c15:dlblFieldTable/>
                  <c15:showDataLabelsRange val="1"/>
                </c:ext>
              </c:extLst>
            </c:dLbl>
            <c:dLbl>
              <c:idx val="96"/>
              <c:tx>
                <c:rich>
                  <a:bodyPr/>
                  <a:lstStyle/>
                  <a:p>
                    <a:fld id="{02C78E77-44AB-4CB7-B5D7-CFA7670266C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0-AFC8-4BD3-8E8D-F736AA9AA792}"/>
                </c:ext>
                <c:ext xmlns:c15="http://schemas.microsoft.com/office/drawing/2012/chart" uri="{CE6537A1-D6FC-4f65-9D91-7224C49458BB}">
                  <c15:dlblFieldTable/>
                  <c15:showDataLabelsRange val="1"/>
                </c:ext>
              </c:extLst>
            </c:dLbl>
            <c:dLbl>
              <c:idx val="97"/>
              <c:tx>
                <c:rich>
                  <a:bodyPr/>
                  <a:lstStyle/>
                  <a:p>
                    <a:fld id="{5615B447-1C40-4A4B-89A0-60850DD5B28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1-AFC8-4BD3-8E8D-F736AA9AA792}"/>
                </c:ext>
                <c:ext xmlns:c15="http://schemas.microsoft.com/office/drawing/2012/chart" uri="{CE6537A1-D6FC-4f65-9D91-7224C49458BB}">
                  <c15:dlblFieldTable/>
                  <c15:showDataLabelsRange val="1"/>
                </c:ext>
              </c:extLst>
            </c:dLbl>
            <c:dLbl>
              <c:idx val="98"/>
              <c:tx>
                <c:rich>
                  <a:bodyPr/>
                  <a:lstStyle/>
                  <a:p>
                    <a:fld id="{12508334-7AF5-404D-937C-68BB20AA41E1}"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2-AFC8-4BD3-8E8D-F736AA9AA792}"/>
                </c:ext>
                <c:ext xmlns:c15="http://schemas.microsoft.com/office/drawing/2012/chart" uri="{CE6537A1-D6FC-4f65-9D91-7224C49458BB}">
                  <c15:dlblFieldTable/>
                  <c15:showDataLabelsRange val="1"/>
                </c:ext>
              </c:extLst>
            </c:dLbl>
            <c:dLbl>
              <c:idx val="99"/>
              <c:tx>
                <c:rich>
                  <a:bodyPr/>
                  <a:lstStyle/>
                  <a:p>
                    <a:fld id="{F26CE493-4D65-4A8D-ACB3-641DB000F66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3-AFC8-4BD3-8E8D-F736AA9AA792}"/>
                </c:ext>
                <c:ext xmlns:c15="http://schemas.microsoft.com/office/drawing/2012/chart" uri="{CE6537A1-D6FC-4f65-9D91-7224C49458BB}">
                  <c15:dlblFieldTable/>
                  <c15:showDataLabelsRange val="1"/>
                </c:ext>
              </c:extLst>
            </c:dLbl>
            <c:dLbl>
              <c:idx val="100"/>
              <c:tx>
                <c:rich>
                  <a:bodyPr/>
                  <a:lstStyle/>
                  <a:p>
                    <a:fld id="{61AC4CBA-49DA-4DB5-A91F-C2FFB645838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4-AFC8-4BD3-8E8D-F736AA9AA792}"/>
                </c:ext>
                <c:ext xmlns:c15="http://schemas.microsoft.com/office/drawing/2012/chart" uri="{CE6537A1-D6FC-4f65-9D91-7224C49458BB}">
                  <c15:dlblFieldTable/>
                  <c15:showDataLabelsRange val="1"/>
                </c:ext>
              </c:extLst>
            </c:dLbl>
            <c:dLbl>
              <c:idx val="101"/>
              <c:tx>
                <c:rich>
                  <a:bodyPr/>
                  <a:lstStyle/>
                  <a:p>
                    <a:fld id="{A9D062DF-94BE-4B37-B972-C5E0A55BC031}"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5-AFC8-4BD3-8E8D-F736AA9AA792}"/>
                </c:ext>
                <c:ext xmlns:c15="http://schemas.microsoft.com/office/drawing/2012/chart" uri="{CE6537A1-D6FC-4f65-9D91-7224C49458BB}">
                  <c15:dlblFieldTable/>
                  <c15:showDataLabelsRange val="1"/>
                </c:ext>
              </c:extLst>
            </c:dLbl>
            <c:dLbl>
              <c:idx val="102"/>
              <c:tx>
                <c:rich>
                  <a:bodyPr/>
                  <a:lstStyle/>
                  <a:p>
                    <a:fld id="{C8F75DBF-C3C0-45FB-A22F-63736FB134A4}"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6-AFC8-4BD3-8E8D-F736AA9AA792}"/>
                </c:ext>
                <c:ext xmlns:c15="http://schemas.microsoft.com/office/drawing/2012/chart" uri="{CE6537A1-D6FC-4f65-9D91-7224C49458BB}">
                  <c15:dlblFieldTable/>
                  <c15:showDataLabelsRange val="1"/>
                </c:ext>
              </c:extLst>
            </c:dLbl>
            <c:dLbl>
              <c:idx val="103"/>
              <c:tx>
                <c:rich>
                  <a:bodyPr/>
                  <a:lstStyle/>
                  <a:p>
                    <a:fld id="{0D6ED67C-3145-4BA9-BF19-B9F8A8320B07}"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7-AFC8-4BD3-8E8D-F736AA9AA792}"/>
                </c:ext>
                <c:ext xmlns:c15="http://schemas.microsoft.com/office/drawing/2012/chart" uri="{CE6537A1-D6FC-4f65-9D91-7224C49458BB}">
                  <c15:dlblFieldTable/>
                  <c15:showDataLabelsRange val="1"/>
                </c:ext>
              </c:extLst>
            </c:dLbl>
            <c:dLbl>
              <c:idx val="104"/>
              <c:tx>
                <c:rich>
                  <a:bodyPr/>
                  <a:lstStyle/>
                  <a:p>
                    <a:fld id="{D558B723-8C6F-4EF2-BD42-1F8540D0A18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8-AFC8-4BD3-8E8D-F736AA9AA792}"/>
                </c:ext>
                <c:ext xmlns:c15="http://schemas.microsoft.com/office/drawing/2012/chart" uri="{CE6537A1-D6FC-4f65-9D91-7224C49458BB}">
                  <c15:dlblFieldTable/>
                  <c15:showDataLabelsRange val="1"/>
                </c:ext>
              </c:extLst>
            </c:dLbl>
            <c:dLbl>
              <c:idx val="105"/>
              <c:tx>
                <c:rich>
                  <a:bodyPr/>
                  <a:lstStyle/>
                  <a:p>
                    <a:fld id="{C1224D9D-E7A9-4185-AB0E-F14153D1EFE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9-AFC8-4BD3-8E8D-F736AA9AA792}"/>
                </c:ext>
                <c:ext xmlns:c15="http://schemas.microsoft.com/office/drawing/2012/chart" uri="{CE6537A1-D6FC-4f65-9D91-7224C49458BB}">
                  <c15:dlblFieldTable/>
                  <c15:showDataLabelsRange val="1"/>
                </c:ext>
              </c:extLst>
            </c:dLbl>
            <c:dLbl>
              <c:idx val="106"/>
              <c:layout>
                <c:manualLayout>
                  <c:x val="-5.3147888581990078E-2"/>
                  <c:y val="-8.3242745034916004E-3"/>
                </c:manualLayout>
              </c:layout>
              <c:tx>
                <c:rich>
                  <a:bodyPr/>
                  <a:lstStyle/>
                  <a:p>
                    <a:fld id="{85DEF769-B42C-4139-8CE6-9C4AD56CAF71}"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A-AFC8-4BD3-8E8D-F736AA9AA792}"/>
                </c:ext>
                <c:ext xmlns:c15="http://schemas.microsoft.com/office/drawing/2012/chart" uri="{CE6537A1-D6FC-4f65-9D91-7224C49458BB}">
                  <c15:dlblFieldTable/>
                  <c15:showDataLabelsRange val="1"/>
                </c:ext>
              </c:extLst>
            </c:dLbl>
            <c:dLbl>
              <c:idx val="107"/>
              <c:layout>
                <c:manualLayout>
                  <c:x val="-2.7366020524515394E-2"/>
                  <c:y val="-5.5788005578800558E-2"/>
                </c:manualLayout>
              </c:layout>
              <c:tx>
                <c:rich>
                  <a:bodyPr/>
                  <a:lstStyle/>
                  <a:p>
                    <a:fld id="{F3B70235-8572-493C-AA01-8697DF81D5F8}"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B-AFC8-4BD3-8E8D-F736AA9AA792}"/>
                </c:ext>
                <c:ext xmlns:c15="http://schemas.microsoft.com/office/drawing/2012/chart" uri="{CE6537A1-D6FC-4f65-9D91-7224C49458BB}">
                  <c15:dlblFieldTable/>
                  <c15:showDataLabelsRange val="1"/>
                </c:ext>
              </c:extLst>
            </c:dLbl>
            <c:dLbl>
              <c:idx val="108"/>
              <c:tx>
                <c:rich>
                  <a:bodyPr/>
                  <a:lstStyle/>
                  <a:p>
                    <a:fld id="{8F4B9855-760B-4679-8725-8EA058BD2988}"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C-AFC8-4BD3-8E8D-F736AA9AA792}"/>
                </c:ext>
                <c:ext xmlns:c15="http://schemas.microsoft.com/office/drawing/2012/chart" uri="{CE6537A1-D6FC-4f65-9D91-7224C49458BB}">
                  <c15:dlblFieldTable/>
                  <c15:showDataLabelsRange val="1"/>
                </c:ext>
              </c:extLst>
            </c:dLbl>
            <c:dLbl>
              <c:idx val="109"/>
              <c:tx>
                <c:rich>
                  <a:bodyPr/>
                  <a:lstStyle/>
                  <a:p>
                    <a:fld id="{1D511E15-90E2-45C6-A6D1-B3E81880EE2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D-AFC8-4BD3-8E8D-F736AA9AA792}"/>
                </c:ext>
                <c:ext xmlns:c15="http://schemas.microsoft.com/office/drawing/2012/chart" uri="{CE6537A1-D6FC-4f65-9D91-7224C49458BB}">
                  <c15:dlblFieldTable/>
                  <c15:showDataLabelsRange val="1"/>
                </c:ext>
              </c:extLst>
            </c:dLbl>
            <c:dLbl>
              <c:idx val="110"/>
              <c:tx>
                <c:rich>
                  <a:bodyPr/>
                  <a:lstStyle/>
                  <a:p>
                    <a:fld id="{7E680C51-1AD8-4CEE-B110-24812899819F}"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E-AFC8-4BD3-8E8D-F736AA9AA792}"/>
                </c:ext>
                <c:ext xmlns:c15="http://schemas.microsoft.com/office/drawing/2012/chart" uri="{CE6537A1-D6FC-4f65-9D91-7224C49458BB}">
                  <c15:dlblFieldTable/>
                  <c15:showDataLabelsRange val="1"/>
                </c:ext>
              </c:extLst>
            </c:dLbl>
            <c:dLbl>
              <c:idx val="111"/>
              <c:tx>
                <c:rich>
                  <a:bodyPr/>
                  <a:lstStyle/>
                  <a:p>
                    <a:fld id="{8A868A73-5C22-4175-91C7-43575CFE5C6D}"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6F-AFC8-4BD3-8E8D-F736AA9AA792}"/>
                </c:ext>
                <c:ext xmlns:c15="http://schemas.microsoft.com/office/drawing/2012/chart" uri="{CE6537A1-D6FC-4f65-9D91-7224C49458BB}">
                  <c15:dlblFieldTable/>
                  <c15:showDataLabelsRange val="1"/>
                </c:ext>
              </c:extLst>
            </c:dLbl>
            <c:dLbl>
              <c:idx val="112"/>
              <c:tx>
                <c:rich>
                  <a:bodyPr/>
                  <a:lstStyle/>
                  <a:p>
                    <a:fld id="{AFC90FC7-6FC8-4899-8FB7-DE7A2411EC4E}"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0-AFC8-4BD3-8E8D-F736AA9AA792}"/>
                </c:ext>
                <c:ext xmlns:c15="http://schemas.microsoft.com/office/drawing/2012/chart" uri="{CE6537A1-D6FC-4f65-9D91-7224C49458BB}">
                  <c15:dlblFieldTable/>
                  <c15:showDataLabelsRange val="1"/>
                </c:ext>
              </c:extLst>
            </c:dLbl>
            <c:dLbl>
              <c:idx val="113"/>
              <c:tx>
                <c:rich>
                  <a:bodyPr/>
                  <a:lstStyle/>
                  <a:p>
                    <a:fld id="{7B4250D7-7784-4EBB-9CE9-4500D9879CC9}"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1-AFC8-4BD3-8E8D-F736AA9AA792}"/>
                </c:ext>
                <c:ext xmlns:c15="http://schemas.microsoft.com/office/drawing/2012/chart" uri="{CE6537A1-D6FC-4f65-9D91-7224C49458BB}">
                  <c15:dlblFieldTable/>
                  <c15:showDataLabelsRange val="1"/>
                </c:ext>
              </c:extLst>
            </c:dLbl>
            <c:dLbl>
              <c:idx val="114"/>
              <c:tx>
                <c:rich>
                  <a:bodyPr/>
                  <a:lstStyle/>
                  <a:p>
                    <a:fld id="{D6F70F02-FB64-46DD-AB93-1C37AD548723}"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2-AFC8-4BD3-8E8D-F736AA9AA792}"/>
                </c:ext>
                <c:ext xmlns:c15="http://schemas.microsoft.com/office/drawing/2012/chart" uri="{CE6537A1-D6FC-4f65-9D91-7224C49458BB}">
                  <c15:dlblFieldTable/>
                  <c15:showDataLabelsRange val="1"/>
                </c:ext>
              </c:extLst>
            </c:dLbl>
            <c:dLbl>
              <c:idx val="115"/>
              <c:tx>
                <c:rich>
                  <a:bodyPr/>
                  <a:lstStyle/>
                  <a:p>
                    <a:fld id="{6792B910-11E2-4BB5-AB87-376A2A5572A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3-AFC8-4BD3-8E8D-F736AA9AA792}"/>
                </c:ext>
                <c:ext xmlns:c15="http://schemas.microsoft.com/office/drawing/2012/chart" uri="{CE6537A1-D6FC-4f65-9D91-7224C49458BB}">
                  <c15:dlblFieldTable/>
                  <c15:showDataLabelsRange val="1"/>
                </c:ext>
              </c:extLst>
            </c:dLbl>
            <c:dLbl>
              <c:idx val="116"/>
              <c:tx>
                <c:rich>
                  <a:bodyPr/>
                  <a:lstStyle/>
                  <a:p>
                    <a:fld id="{51E1A98E-5F85-4909-AF2A-D0AEAC3C6CE8}"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4-AFC8-4BD3-8E8D-F736AA9AA792}"/>
                </c:ext>
                <c:ext xmlns:c15="http://schemas.microsoft.com/office/drawing/2012/chart" uri="{CE6537A1-D6FC-4f65-9D91-7224C49458BB}">
                  <c15:dlblFieldTable/>
                  <c15:showDataLabelsRange val="1"/>
                </c:ext>
              </c:extLst>
            </c:dLbl>
            <c:dLbl>
              <c:idx val="117"/>
              <c:layout>
                <c:manualLayout>
                  <c:x val="-0.11858608893956682"/>
                  <c:y val="-0.13389121338912133"/>
                </c:manualLayout>
              </c:layout>
              <c:tx>
                <c:rich>
                  <a:bodyPr/>
                  <a:lstStyle/>
                  <a:p>
                    <a:fld id="{990FB766-0B9C-4B8E-80F0-D44D5AF1234C}"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5-AFC8-4BD3-8E8D-F736AA9AA792}"/>
                </c:ext>
                <c:ext xmlns:c15="http://schemas.microsoft.com/office/drawing/2012/chart" uri="{CE6537A1-D6FC-4f65-9D91-7224C49458BB}">
                  <c15:dlblFieldTable/>
                  <c15:showDataLabelsRange val="1"/>
                </c:ext>
              </c:extLst>
            </c:dLbl>
            <c:dLbl>
              <c:idx val="118"/>
              <c:tx>
                <c:rich>
                  <a:bodyPr/>
                  <a:lstStyle/>
                  <a:p>
                    <a:fld id="{A15EC79A-8E33-4C49-A0A8-22C1DA92ED61}"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6-AFC8-4BD3-8E8D-F736AA9AA792}"/>
                </c:ext>
                <c:ext xmlns:c15="http://schemas.microsoft.com/office/drawing/2012/chart" uri="{CE6537A1-D6FC-4f65-9D91-7224C49458BB}">
                  <c15:dlblFieldTable/>
                  <c15:showDataLabelsRange val="1"/>
                </c:ext>
              </c:extLst>
            </c:dLbl>
            <c:dLbl>
              <c:idx val="119"/>
              <c:tx>
                <c:rich>
                  <a:bodyPr/>
                  <a:lstStyle/>
                  <a:p>
                    <a:fld id="{05E1395A-8754-4397-A02F-DF2801A5EAB0}"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7-AFC8-4BD3-8E8D-F736AA9AA792}"/>
                </c:ext>
                <c:ext xmlns:c15="http://schemas.microsoft.com/office/drawing/2012/chart" uri="{CE6537A1-D6FC-4f65-9D91-7224C49458BB}">
                  <c15:dlblFieldTable/>
                  <c15:showDataLabelsRange val="1"/>
                </c:ext>
              </c:extLst>
            </c:dLbl>
            <c:dLbl>
              <c:idx val="120"/>
              <c:layout>
                <c:manualLayout>
                  <c:x val="-3.040703027304993E-3"/>
                  <c:y val="-5.3108042256409353E-2"/>
                </c:manualLayout>
              </c:layout>
              <c:tx>
                <c:rich>
                  <a:bodyPr/>
                  <a:lstStyle/>
                  <a:p>
                    <a:fld id="{62879449-48CE-4BCD-8BF3-FFDFFAEC966A}" type="CELLRANGE">
                      <a:rPr lang="en-US"/>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8-AFC8-4BD3-8E8D-F736AA9AA792}"/>
                </c:ext>
                <c:ext xmlns:c15="http://schemas.microsoft.com/office/drawing/2012/chart" uri="{CE6537A1-D6FC-4f65-9D91-7224C49458BB}">
                  <c15:dlblFieldTable/>
                  <c15:showDataLabelsRange val="1"/>
                </c:ext>
              </c:extLst>
            </c:dLbl>
            <c:dLbl>
              <c:idx val="121"/>
              <c:tx>
                <c:rich>
                  <a:bodyPr/>
                  <a:lstStyle/>
                  <a:p>
                    <a:fld id="{36798A68-6767-4C02-865D-1B977CE50DBB}"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9-AFC8-4BD3-8E8D-F736AA9AA792}"/>
                </c:ext>
                <c:ext xmlns:c15="http://schemas.microsoft.com/office/drawing/2012/chart" uri="{CE6537A1-D6FC-4f65-9D91-7224C49458BB}">
                  <c15:dlblFieldTable/>
                  <c15:showDataLabelsRange val="1"/>
                </c:ext>
              </c:extLst>
            </c:dLbl>
            <c:dLbl>
              <c:idx val="122"/>
              <c:tx>
                <c:rich>
                  <a:bodyPr/>
                  <a:lstStyle/>
                  <a:p>
                    <a:fld id="{D09B9130-6F87-4F97-84D3-16B58BBF1AC2}"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A-AFC8-4BD3-8E8D-F736AA9AA792}"/>
                </c:ext>
                <c:ext xmlns:c15="http://schemas.microsoft.com/office/drawing/2012/chart" uri="{CE6537A1-D6FC-4f65-9D91-7224C49458BB}">
                  <c15:dlblFieldTable/>
                  <c15:showDataLabelsRange val="1"/>
                </c:ext>
              </c:extLst>
            </c:dLbl>
            <c:dLbl>
              <c:idx val="123"/>
              <c:tx>
                <c:rich>
                  <a:bodyPr/>
                  <a:lstStyle/>
                  <a:p>
                    <a:fld id="{85590457-2A86-4F81-AC62-26C704A3A99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B-AFC8-4BD3-8E8D-F736AA9AA792}"/>
                </c:ext>
                <c:ext xmlns:c15="http://schemas.microsoft.com/office/drawing/2012/chart" uri="{CE6537A1-D6FC-4f65-9D91-7224C49458BB}">
                  <c15:dlblFieldTable/>
                  <c15:showDataLabelsRange val="1"/>
                </c:ext>
              </c:extLst>
            </c:dLbl>
            <c:dLbl>
              <c:idx val="124"/>
              <c:tx>
                <c:rich>
                  <a:bodyPr/>
                  <a:lstStyle/>
                  <a:p>
                    <a:fld id="{6E3CDD99-2099-4B3F-9C49-E3A89E77407A}"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C-AFC8-4BD3-8E8D-F736AA9AA792}"/>
                </c:ext>
                <c:ext xmlns:c15="http://schemas.microsoft.com/office/drawing/2012/chart" uri="{CE6537A1-D6FC-4f65-9D91-7224C49458BB}">
                  <c15:dlblFieldTable/>
                  <c15:showDataLabelsRange val="1"/>
                </c:ext>
              </c:extLst>
            </c:dLbl>
            <c:dLbl>
              <c:idx val="125"/>
              <c:tx>
                <c:rich>
                  <a:bodyPr/>
                  <a:lstStyle/>
                  <a:p>
                    <a:fld id="{15CD9C2F-BCE2-4289-878D-A7E78B9B73B6}"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D-AFC8-4BD3-8E8D-F736AA9AA792}"/>
                </c:ext>
                <c:ext xmlns:c15="http://schemas.microsoft.com/office/drawing/2012/chart" uri="{CE6537A1-D6FC-4f65-9D91-7224C49458BB}">
                  <c15:dlblFieldTable/>
                  <c15:showDataLabelsRange val="1"/>
                </c:ext>
              </c:extLst>
            </c:dLbl>
            <c:dLbl>
              <c:idx val="126"/>
              <c:tx>
                <c:rich>
                  <a:bodyPr/>
                  <a:lstStyle/>
                  <a:p>
                    <a:fld id="{A5B6CE58-142C-4519-AF55-534D1960A82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E-AFC8-4BD3-8E8D-F736AA9AA792}"/>
                </c:ext>
                <c:ext xmlns:c15="http://schemas.microsoft.com/office/drawing/2012/chart" uri="{CE6537A1-D6FC-4f65-9D91-7224C49458BB}">
                  <c15:dlblFieldTable/>
                  <c15:showDataLabelsRange val="1"/>
                </c:ext>
              </c:extLst>
            </c:dLbl>
            <c:dLbl>
              <c:idx val="127"/>
              <c:tx>
                <c:rich>
                  <a:bodyPr/>
                  <a:lstStyle/>
                  <a:p>
                    <a:fld id="{144669A3-DECF-492D-84BE-698455621FAC}" type="CELLRANGE">
                      <a:rPr lang="sk-SK"/>
                      <a:pPr/>
                      <a:t>[CELLRANGE]</a:t>
                    </a:fld>
                    <a:endParaRPr lang="sk-SK"/>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7F-AFC8-4BD3-8E8D-F736AA9AA792}"/>
                </c:ext>
                <c:ext xmlns:c15="http://schemas.microsoft.com/office/drawing/2012/chart" uri="{CE6537A1-D6FC-4f65-9D91-7224C49458BB}">
                  <c15:dlblFieldTable/>
                  <c15:showDataLabelsRange val="1"/>
                </c:ext>
              </c:extLst>
            </c:dLbl>
            <c:dLbl>
              <c:idx val="128"/>
              <c:layout>
                <c:manualLayout>
                  <c:x val="1.0831721054941568E-2"/>
                  <c:y val="-1.9416456639926041E-2"/>
                </c:manualLayout>
              </c:layout>
              <c:tx>
                <c:rich>
                  <a:bodyPr/>
                  <a:lstStyle/>
                  <a:p>
                    <a:r>
                      <a:rPr lang="en-US"/>
                      <a:t>Konflikt na Ukrajine</a:t>
                    </a:r>
                  </a:p>
                </c:rich>
              </c:tx>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80-AFC8-4BD3-8E8D-F736AA9AA792}"/>
                </c:ext>
                <c:ext xmlns:c15="http://schemas.microsoft.com/office/drawing/2012/chart" uri="{CE6537A1-D6FC-4f65-9D91-7224C49458BB}">
                  <c15:layout>
                    <c:manualLayout>
                      <c:w val="0.11108185431804947"/>
                      <c:h val="0.16196217561855455"/>
                    </c:manualLayout>
                  </c15:layout>
                </c:ext>
              </c:extLst>
            </c:dLbl>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sk-SK"/>
              </a:p>
            </c:txPr>
            <c:showLegendKey val="0"/>
            <c:showVal val="0"/>
            <c:showCatName val="0"/>
            <c:showSerName val="0"/>
            <c:showPercent val="0"/>
            <c:showBubbleSize val="0"/>
            <c:showLeaderLines val="0"/>
            <c:extLst xmlns:c16r2="http://schemas.microsoft.com/office/drawing/2015/06/char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numRef>
              <c:f>'[WUI_Data.xlsx]T1'!$A$2:$A$130</c:f>
              <c:numCache>
                <c:formatCode>General</c:formatCode>
                <c:ptCount val="129"/>
                <c:pt idx="0">
                  <c:v>1990</c:v>
                </c:pt>
                <c:pt idx="20">
                  <c:v>1995</c:v>
                </c:pt>
                <c:pt idx="40">
                  <c:v>2000</c:v>
                </c:pt>
                <c:pt idx="60">
                  <c:v>2005</c:v>
                </c:pt>
                <c:pt idx="80">
                  <c:v>2010</c:v>
                </c:pt>
                <c:pt idx="100">
                  <c:v>2015</c:v>
                </c:pt>
                <c:pt idx="120">
                  <c:v>2020</c:v>
                </c:pt>
                <c:pt idx="128">
                  <c:v>2022</c:v>
                </c:pt>
              </c:numCache>
            </c:numRef>
          </c:cat>
          <c:val>
            <c:numRef>
              <c:f>'[WUI_Data.xlsx]T1'!$C$2:$C$130</c:f>
              <c:numCache>
                <c:formatCode>#,##0</c:formatCode>
                <c:ptCount val="129"/>
                <c:pt idx="0">
                  <c:v>12496.47</c:v>
                </c:pt>
                <c:pt idx="1">
                  <c:v>8769.9650000000001</c:v>
                </c:pt>
                <c:pt idx="2">
                  <c:v>16198.83</c:v>
                </c:pt>
                <c:pt idx="3">
                  <c:v>11872.27</c:v>
                </c:pt>
                <c:pt idx="4">
                  <c:v>8223.5499999999993</c:v>
                </c:pt>
                <c:pt idx="5">
                  <c:v>10483.81</c:v>
                </c:pt>
                <c:pt idx="6">
                  <c:v>6208.3220000000001</c:v>
                </c:pt>
                <c:pt idx="7">
                  <c:v>7314.1329999999998</c:v>
                </c:pt>
                <c:pt idx="8">
                  <c:v>12616.9</c:v>
                </c:pt>
                <c:pt idx="9">
                  <c:v>7358.835</c:v>
                </c:pt>
                <c:pt idx="10">
                  <c:v>6777.6109999999999</c:v>
                </c:pt>
                <c:pt idx="11">
                  <c:v>13982.37</c:v>
                </c:pt>
                <c:pt idx="12">
                  <c:v>13705.72</c:v>
                </c:pt>
                <c:pt idx="13">
                  <c:v>10558.9</c:v>
                </c:pt>
                <c:pt idx="14">
                  <c:v>15698.88</c:v>
                </c:pt>
                <c:pt idx="15">
                  <c:v>11880.08</c:v>
                </c:pt>
                <c:pt idx="16">
                  <c:v>9655.8529999999992</c:v>
                </c:pt>
                <c:pt idx="17">
                  <c:v>9446.2360000000008</c:v>
                </c:pt>
                <c:pt idx="18">
                  <c:v>12937.13</c:v>
                </c:pt>
                <c:pt idx="19">
                  <c:v>8478.3179999999993</c:v>
                </c:pt>
                <c:pt idx="20">
                  <c:v>11010.07</c:v>
                </c:pt>
                <c:pt idx="21">
                  <c:v>9926.9740000000002</c:v>
                </c:pt>
                <c:pt idx="22">
                  <c:v>8000.6670000000004</c:v>
                </c:pt>
                <c:pt idx="23">
                  <c:v>11781.52</c:v>
                </c:pt>
                <c:pt idx="24">
                  <c:v>10780.95</c:v>
                </c:pt>
                <c:pt idx="25">
                  <c:v>11799.2</c:v>
                </c:pt>
                <c:pt idx="26">
                  <c:v>9862.2459999999992</c:v>
                </c:pt>
                <c:pt idx="27">
                  <c:v>8467.3970000000008</c:v>
                </c:pt>
                <c:pt idx="28">
                  <c:v>8311.3050000000003</c:v>
                </c:pt>
                <c:pt idx="29">
                  <c:v>11003.56</c:v>
                </c:pt>
                <c:pt idx="30">
                  <c:v>8718.8449999999993</c:v>
                </c:pt>
                <c:pt idx="31">
                  <c:v>6869.1059999999998</c:v>
                </c:pt>
                <c:pt idx="32">
                  <c:v>13808.13</c:v>
                </c:pt>
                <c:pt idx="33">
                  <c:v>9724.482</c:v>
                </c:pt>
                <c:pt idx="34">
                  <c:v>14250.31</c:v>
                </c:pt>
                <c:pt idx="35">
                  <c:v>9511.1049999999996</c:v>
                </c:pt>
                <c:pt idx="36">
                  <c:v>11074.92</c:v>
                </c:pt>
                <c:pt idx="37">
                  <c:v>13018.25</c:v>
                </c:pt>
                <c:pt idx="38">
                  <c:v>5777.7690000000002</c:v>
                </c:pt>
                <c:pt idx="39">
                  <c:v>7862.549</c:v>
                </c:pt>
                <c:pt idx="40">
                  <c:v>5832.3329999999996</c:v>
                </c:pt>
                <c:pt idx="41">
                  <c:v>5569.9409999999998</c:v>
                </c:pt>
                <c:pt idx="42">
                  <c:v>13816.67</c:v>
                </c:pt>
                <c:pt idx="43">
                  <c:v>11881.05</c:v>
                </c:pt>
                <c:pt idx="44">
                  <c:v>22324.51</c:v>
                </c:pt>
                <c:pt idx="45">
                  <c:v>13179.21</c:v>
                </c:pt>
                <c:pt idx="46">
                  <c:v>25155.95</c:v>
                </c:pt>
                <c:pt idx="47">
                  <c:v>23448.18</c:v>
                </c:pt>
                <c:pt idx="48">
                  <c:v>22597.360000000001</c:v>
                </c:pt>
                <c:pt idx="49">
                  <c:v>17938.45</c:v>
                </c:pt>
                <c:pt idx="50">
                  <c:v>14136.45</c:v>
                </c:pt>
                <c:pt idx="51">
                  <c:v>27832.880000000001</c:v>
                </c:pt>
                <c:pt idx="52">
                  <c:v>25718.62</c:v>
                </c:pt>
                <c:pt idx="53">
                  <c:v>34454.82</c:v>
                </c:pt>
                <c:pt idx="54">
                  <c:v>23886.34</c:v>
                </c:pt>
                <c:pt idx="55">
                  <c:v>12058.21</c:v>
                </c:pt>
                <c:pt idx="56">
                  <c:v>16122.31</c:v>
                </c:pt>
                <c:pt idx="57">
                  <c:v>9975.3389999999999</c:v>
                </c:pt>
                <c:pt idx="58">
                  <c:v>14397.81</c:v>
                </c:pt>
                <c:pt idx="59">
                  <c:v>13202.73</c:v>
                </c:pt>
                <c:pt idx="60">
                  <c:v>11537.9</c:v>
                </c:pt>
                <c:pt idx="61">
                  <c:v>11866.98</c:v>
                </c:pt>
                <c:pt idx="62">
                  <c:v>20193.73</c:v>
                </c:pt>
                <c:pt idx="63">
                  <c:v>12165.63</c:v>
                </c:pt>
                <c:pt idx="64">
                  <c:v>11552.83</c:v>
                </c:pt>
                <c:pt idx="65">
                  <c:v>8235.1579999999994</c:v>
                </c:pt>
                <c:pt idx="66">
                  <c:v>11854.69</c:v>
                </c:pt>
                <c:pt idx="67">
                  <c:v>9051.4310000000005</c:v>
                </c:pt>
                <c:pt idx="68">
                  <c:v>13357.51</c:v>
                </c:pt>
                <c:pt idx="69">
                  <c:v>18459.61</c:v>
                </c:pt>
                <c:pt idx="70">
                  <c:v>21867.71</c:v>
                </c:pt>
                <c:pt idx="71">
                  <c:v>13843.68</c:v>
                </c:pt>
                <c:pt idx="72">
                  <c:v>13176.87</c:v>
                </c:pt>
                <c:pt idx="73">
                  <c:v>18019.05</c:v>
                </c:pt>
                <c:pt idx="74">
                  <c:v>14048.15</c:v>
                </c:pt>
                <c:pt idx="75">
                  <c:v>13245.42</c:v>
                </c:pt>
                <c:pt idx="76">
                  <c:v>21794.11</c:v>
                </c:pt>
                <c:pt idx="77">
                  <c:v>18972.07</c:v>
                </c:pt>
                <c:pt idx="78">
                  <c:v>14507.25</c:v>
                </c:pt>
                <c:pt idx="79">
                  <c:v>18951.79</c:v>
                </c:pt>
                <c:pt idx="80">
                  <c:v>19711.91</c:v>
                </c:pt>
                <c:pt idx="81">
                  <c:v>21449.03</c:v>
                </c:pt>
                <c:pt idx="82">
                  <c:v>19653.439999999999</c:v>
                </c:pt>
                <c:pt idx="83">
                  <c:v>14901.64</c:v>
                </c:pt>
                <c:pt idx="84">
                  <c:v>13397.83</c:v>
                </c:pt>
                <c:pt idx="85">
                  <c:v>14121</c:v>
                </c:pt>
                <c:pt idx="86">
                  <c:v>20227.560000000001</c:v>
                </c:pt>
                <c:pt idx="87">
                  <c:v>19436.98</c:v>
                </c:pt>
                <c:pt idx="88">
                  <c:v>18629.88</c:v>
                </c:pt>
                <c:pt idx="89">
                  <c:v>36827.879999999997</c:v>
                </c:pt>
                <c:pt idx="90">
                  <c:v>25945.24</c:v>
                </c:pt>
                <c:pt idx="91">
                  <c:v>38752.269999999997</c:v>
                </c:pt>
                <c:pt idx="92">
                  <c:v>31598.92</c:v>
                </c:pt>
                <c:pt idx="93">
                  <c:v>14113.9</c:v>
                </c:pt>
                <c:pt idx="94">
                  <c:v>15802.53</c:v>
                </c:pt>
                <c:pt idx="95">
                  <c:v>18492.009999999998</c:v>
                </c:pt>
                <c:pt idx="96">
                  <c:v>19536.86</c:v>
                </c:pt>
                <c:pt idx="97">
                  <c:v>20086.099999999999</c:v>
                </c:pt>
                <c:pt idx="98">
                  <c:v>14211.19</c:v>
                </c:pt>
                <c:pt idx="99">
                  <c:v>17252.02</c:v>
                </c:pt>
                <c:pt idx="100">
                  <c:v>29838.2</c:v>
                </c:pt>
                <c:pt idx="101">
                  <c:v>25360.74</c:v>
                </c:pt>
                <c:pt idx="102">
                  <c:v>21280.47</c:v>
                </c:pt>
                <c:pt idx="103">
                  <c:v>18517.900000000001</c:v>
                </c:pt>
                <c:pt idx="104">
                  <c:v>22826.080000000002</c:v>
                </c:pt>
                <c:pt idx="105">
                  <c:v>18513.21</c:v>
                </c:pt>
                <c:pt idx="106">
                  <c:v>30182.29</c:v>
                </c:pt>
                <c:pt idx="107">
                  <c:v>32031.3</c:v>
                </c:pt>
                <c:pt idx="108">
                  <c:v>29910.11</c:v>
                </c:pt>
                <c:pt idx="109">
                  <c:v>16514.349999999999</c:v>
                </c:pt>
                <c:pt idx="110">
                  <c:v>16325.61</c:v>
                </c:pt>
                <c:pt idx="111">
                  <c:v>28396.560000000001</c:v>
                </c:pt>
                <c:pt idx="112">
                  <c:v>13622.16</c:v>
                </c:pt>
                <c:pt idx="113">
                  <c:v>25653.23</c:v>
                </c:pt>
                <c:pt idx="114">
                  <c:v>28710.76</c:v>
                </c:pt>
                <c:pt idx="115">
                  <c:v>26443.05</c:v>
                </c:pt>
                <c:pt idx="116">
                  <c:v>36588.019999999997</c:v>
                </c:pt>
                <c:pt idx="117">
                  <c:v>40489.040000000001</c:v>
                </c:pt>
                <c:pt idx="118">
                  <c:v>32800.980000000003</c:v>
                </c:pt>
                <c:pt idx="119">
                  <c:v>52716.26</c:v>
                </c:pt>
                <c:pt idx="120">
                  <c:v>55684.71</c:v>
                </c:pt>
                <c:pt idx="121">
                  <c:v>28914.37</c:v>
                </c:pt>
                <c:pt idx="122">
                  <c:v>27497.73</c:v>
                </c:pt>
                <c:pt idx="123">
                  <c:v>22319.62</c:v>
                </c:pt>
                <c:pt idx="124">
                  <c:v>11888.73</c:v>
                </c:pt>
                <c:pt idx="125">
                  <c:v>18072.810000000001</c:v>
                </c:pt>
                <c:pt idx="126">
                  <c:v>21508.560000000001</c:v>
                </c:pt>
                <c:pt idx="127">
                  <c:v>19802.650000000001</c:v>
                </c:pt>
                <c:pt idx="128">
                  <c:v>26455.02</c:v>
                </c:pt>
              </c:numCache>
            </c:numRef>
          </c:val>
          <c:extLst xmlns:c16r2="http://schemas.microsoft.com/office/drawing/2015/06/chart">
            <c:ext xmlns:c16="http://schemas.microsoft.com/office/drawing/2014/chart" uri="{C3380CC4-5D6E-409C-BE32-E72D297353CC}">
              <c16:uniqueId val="{00000081-AFC8-4BD3-8E8D-F736AA9AA792}"/>
            </c:ext>
            <c:ext xmlns:c15="http://schemas.microsoft.com/office/drawing/2012/chart" uri="{02D57815-91ED-43cb-92C2-25804820EDAC}">
              <c15:datalabelsRange>
                <c15:f>'[WUI_Data.xlsx]T1'!$D$2:$D$130</c15:f>
                <c15:dlblRangeCache>
                  <c:ptCount val="129"/>
                  <c:pt idx="2">
                    <c:v>Vojna v Perzskom zálive</c:v>
                  </c:pt>
                  <c:pt idx="46">
                    <c:v>Recesia v USA a útoky na WTC</c:v>
                  </c:pt>
                  <c:pt idx="53">
                    <c:v>Vojna v Iraku a vypuknutie SARS</c:v>
                  </c:pt>
                  <c:pt idx="70">
                    <c:v>Globálna finančná kríza</c:v>
                  </c:pt>
                  <c:pt idx="91">
                    <c:v>Fiškálny útes USA a dlhová kríza v eurozóne</c:v>
                  </c:pt>
                  <c:pt idx="106">
                    <c:v>Brexit</c:v>
                  </c:pt>
                  <c:pt idx="107">
                    <c:v>Prezidentské voľby v USA</c:v>
                  </c:pt>
                  <c:pt idx="117">
                    <c:v>Napätie v obchodných vzťahoch USA-Čína; Brexit</c:v>
                  </c:pt>
                  <c:pt idx="120">
                    <c:v>COVID-19</c:v>
                  </c:pt>
                  <c:pt idx="128">
                    <c:v>Agresia na Ukrajine</c:v>
                  </c:pt>
                </c15:dlblRangeCache>
              </c15:datalabelsRange>
            </c:ext>
          </c:extLst>
        </c:ser>
        <c:dLbls>
          <c:showLegendKey val="0"/>
          <c:showVal val="0"/>
          <c:showCatName val="0"/>
          <c:showSerName val="0"/>
          <c:showPercent val="0"/>
          <c:showBubbleSize val="0"/>
        </c:dLbls>
        <c:gapWidth val="0"/>
        <c:overlap val="-27"/>
        <c:axId val="502658368"/>
        <c:axId val="502870720"/>
      </c:barChart>
      <c:catAx>
        <c:axId val="502658368"/>
        <c:scaling>
          <c:orientation val="minMax"/>
        </c:scaling>
        <c:delete val="0"/>
        <c:axPos val="b"/>
        <c:numFmt formatCode="General" sourceLinked="1"/>
        <c:majorTickMark val="none"/>
        <c:minorTickMark val="none"/>
        <c:tickLblPos val="nextTo"/>
        <c:spPr>
          <a:noFill/>
          <a:ln w="3175" cap="flat" cmpd="sng" algn="ctr">
            <a:solidFill>
              <a:sysClr val="windowText" lastClr="000000"/>
            </a:solidFill>
            <a:round/>
          </a:ln>
          <a:effectLst/>
        </c:spPr>
        <c:txPr>
          <a:bodyPr rot="-5400000" spcFirstLastPara="1" vertOverflow="ellipsis"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2870720"/>
        <c:crosses val="autoZero"/>
        <c:auto val="1"/>
        <c:lblAlgn val="ctr"/>
        <c:lblOffset val="100"/>
        <c:tickMarkSkip val="1"/>
        <c:noMultiLvlLbl val="0"/>
      </c:catAx>
      <c:valAx>
        <c:axId val="502870720"/>
        <c:scaling>
          <c:orientation val="minMax"/>
        </c:scaling>
        <c:delete val="0"/>
        <c:axPos val="l"/>
        <c:majorGridlines>
          <c:spPr>
            <a:ln w="3175" cap="flat" cmpd="sng" algn="ctr">
              <a:solidFill>
                <a:schemeClr val="tx1">
                  <a:lumMod val="15000"/>
                  <a:lumOff val="85000"/>
                </a:schemeClr>
              </a:solidFill>
              <a:prstDash val="sysDot"/>
              <a:round/>
            </a:ln>
            <a:effectLst/>
          </c:spPr>
        </c:majorGridlines>
        <c:numFmt formatCode="#,##0" sourceLinked="1"/>
        <c:majorTickMark val="none"/>
        <c:minorTickMark val="none"/>
        <c:tickLblPos val="nextTo"/>
        <c:spPr>
          <a:noFill/>
          <a:ln w="3175">
            <a:solidFill>
              <a:sysClr val="windowText" lastClr="000000"/>
            </a:solidFill>
          </a:ln>
          <a:effectLst/>
        </c:spPr>
        <c:txPr>
          <a:bodyPr rot="-60000000" spcFirstLastPara="1" vertOverflow="ellipsis" vert="horz" wrap="square" anchor="ctr" anchorCtr="1"/>
          <a:lstStyle/>
          <a:p>
            <a:pPr>
              <a:defRPr sz="700" b="0" i="0" u="none" strike="noStrike" kern="1200" baseline="0">
                <a:solidFill>
                  <a:schemeClr val="tx1"/>
                </a:solidFill>
                <a:latin typeface="Arial Narrow" panose="020B0606020202030204" pitchFamily="34" charset="0"/>
                <a:ea typeface="+mn-ea"/>
                <a:cs typeface="+mn-cs"/>
              </a:defRPr>
            </a:pPr>
            <a:endParaRPr lang="sk-SK"/>
          </a:p>
        </c:txPr>
        <c:crossAx val="502658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Arial Narrow" panose="020B0606020202030204" pitchFamily="34" charset="0"/>
        </a:defRPr>
      </a:pPr>
      <a:endParaRPr lang="sk-SK"/>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342393722227885E-2"/>
          <c:y val="8.2150858849887973E-2"/>
          <c:w val="0.85573702538373986"/>
          <c:h val="0.7310179767484255"/>
        </c:manualLayout>
      </c:layout>
      <c:lineChart>
        <c:grouping val="standard"/>
        <c:varyColors val="0"/>
        <c:ser>
          <c:idx val="1"/>
          <c:order val="0"/>
          <c:tx>
            <c:strRef>
              <c:f>Hárok1!$A$3</c:f>
              <c:strCache>
                <c:ptCount val="1"/>
                <c:pt idx="0">
                  <c:v>EU 27</c:v>
                </c:pt>
              </c:strCache>
            </c:strRef>
          </c:tx>
          <c:spPr>
            <a:ln w="22225" cap="rnd">
              <a:solidFill>
                <a:schemeClr val="tx1">
                  <a:lumMod val="50000"/>
                  <a:lumOff val="50000"/>
                </a:schemeClr>
              </a:solidFill>
              <a:round/>
            </a:ln>
            <a:effectLst/>
          </c:spPr>
          <c:marker>
            <c:symbol val="none"/>
          </c:marker>
          <c:cat>
            <c:strRef>
              <c:f>Hárok1!$B$1:$Q$1</c:f>
              <c:strCach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strCache>
            </c:strRef>
          </c:cat>
          <c:val>
            <c:numRef>
              <c:f>Hárok1!$B$3:$L$3</c:f>
              <c:numCache>
                <c:formatCode>General</c:formatCode>
                <c:ptCount val="11"/>
                <c:pt idx="0">
                  <c:v>50.5</c:v>
                </c:pt>
                <c:pt idx="1">
                  <c:v>49.1</c:v>
                </c:pt>
                <c:pt idx="2">
                  <c:v>49.7</c:v>
                </c:pt>
                <c:pt idx="3">
                  <c:v>49.6</c:v>
                </c:pt>
                <c:pt idx="4">
                  <c:v>49</c:v>
                </c:pt>
                <c:pt idx="5">
                  <c:v>48.1</c:v>
                </c:pt>
                <c:pt idx="6">
                  <c:v>47.3</c:v>
                </c:pt>
                <c:pt idx="7">
                  <c:v>46.7</c:v>
                </c:pt>
                <c:pt idx="8">
                  <c:v>46.5</c:v>
                </c:pt>
                <c:pt idx="9">
                  <c:v>46.5</c:v>
                </c:pt>
                <c:pt idx="10">
                  <c:v>53.1</c:v>
                </c:pt>
              </c:numCache>
            </c:numRef>
          </c:val>
          <c:smooth val="0"/>
          <c:extLst xmlns:c16r2="http://schemas.microsoft.com/office/drawing/2015/06/chart">
            <c:ext xmlns:c16="http://schemas.microsoft.com/office/drawing/2014/chart" uri="{C3380CC4-5D6E-409C-BE32-E72D297353CC}">
              <c16:uniqueId val="{00000000-018F-4BA6-94BF-249A28439FBF}"/>
            </c:ext>
          </c:extLst>
        </c:ser>
        <c:ser>
          <c:idx val="2"/>
          <c:order val="1"/>
          <c:tx>
            <c:strRef>
              <c:f>Hárok1!$A$4</c:f>
              <c:strCache>
                <c:ptCount val="1"/>
                <c:pt idx="0">
                  <c:v>SK</c:v>
                </c:pt>
              </c:strCache>
            </c:strRef>
          </c:tx>
          <c:spPr>
            <a:ln w="22225" cap="rnd">
              <a:solidFill>
                <a:srgbClr val="2C9ADC"/>
              </a:solidFill>
              <a:round/>
            </a:ln>
            <a:effectLst/>
          </c:spPr>
          <c:marker>
            <c:symbol val="none"/>
          </c:marker>
          <c:cat>
            <c:strRef>
              <c:f>Hárok1!$B$1:$Q$1</c:f>
              <c:strCach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strCache>
            </c:strRef>
          </c:cat>
          <c:val>
            <c:numRef>
              <c:f>Hárok1!$B$4:$Q$4</c:f>
              <c:numCache>
                <c:formatCode>General</c:formatCode>
                <c:ptCount val="16"/>
                <c:pt idx="0">
                  <c:v>42.3</c:v>
                </c:pt>
                <c:pt idx="1">
                  <c:v>41.5</c:v>
                </c:pt>
                <c:pt idx="2">
                  <c:v>41.3</c:v>
                </c:pt>
                <c:pt idx="3">
                  <c:v>42.6</c:v>
                </c:pt>
                <c:pt idx="4">
                  <c:v>43.4</c:v>
                </c:pt>
                <c:pt idx="5">
                  <c:v>45.7</c:v>
                </c:pt>
                <c:pt idx="6">
                  <c:v>42.7</c:v>
                </c:pt>
                <c:pt idx="7">
                  <c:v>39.6</c:v>
                </c:pt>
                <c:pt idx="8">
                  <c:v>39.799999999999997</c:v>
                </c:pt>
                <c:pt idx="9">
                  <c:v>40.700000000000003</c:v>
                </c:pt>
                <c:pt idx="10">
                  <c:v>45.6</c:v>
                </c:pt>
                <c:pt idx="11" formatCode="0.0">
                  <c:v>46.833003459579082</c:v>
                </c:pt>
                <c:pt idx="12" formatCode="0.0">
                  <c:v>45.271376106032392</c:v>
                </c:pt>
                <c:pt idx="13" formatCode="0.0">
                  <c:v>44.071456219607214</c:v>
                </c:pt>
                <c:pt idx="14" formatCode="0.0">
                  <c:v>41.902638559238781</c:v>
                </c:pt>
                <c:pt idx="15" formatCode="0.0">
                  <c:v>41.7642371270152</c:v>
                </c:pt>
              </c:numCache>
            </c:numRef>
          </c:val>
          <c:smooth val="0"/>
          <c:extLst xmlns:c16r2="http://schemas.microsoft.com/office/drawing/2015/06/chart">
            <c:ext xmlns:c16="http://schemas.microsoft.com/office/drawing/2014/chart" uri="{C3380CC4-5D6E-409C-BE32-E72D297353CC}">
              <c16:uniqueId val="{00000001-018F-4BA6-94BF-249A28439FBF}"/>
            </c:ext>
          </c:extLst>
        </c:ser>
        <c:ser>
          <c:idx val="3"/>
          <c:order val="2"/>
          <c:tx>
            <c:strRef>
              <c:f>Hárok1!$A$5</c:f>
              <c:strCache>
                <c:ptCount val="1"/>
                <c:pt idx="0">
                  <c:v>V3</c:v>
                </c:pt>
              </c:strCache>
            </c:strRef>
          </c:tx>
          <c:spPr>
            <a:ln w="22225" cap="rnd">
              <a:solidFill>
                <a:schemeClr val="tx1">
                  <a:lumMod val="50000"/>
                  <a:lumOff val="50000"/>
                </a:schemeClr>
              </a:solidFill>
              <a:prstDash val="sysDash"/>
              <a:round/>
            </a:ln>
            <a:effectLst/>
          </c:spPr>
          <c:marker>
            <c:symbol val="none"/>
          </c:marker>
          <c:cat>
            <c:strRef>
              <c:f>Hárok1!$B$1:$Q$1</c:f>
              <c:strCache>
                <c:ptCount val="16"/>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strCache>
            </c:strRef>
          </c:cat>
          <c:val>
            <c:numRef>
              <c:f>Hárok1!$B$5:$L$5</c:f>
              <c:numCache>
                <c:formatCode>0.0</c:formatCode>
                <c:ptCount val="11"/>
                <c:pt idx="0">
                  <c:v>46.066666666666663</c:v>
                </c:pt>
                <c:pt idx="1">
                  <c:v>45.433333333333337</c:v>
                </c:pt>
                <c:pt idx="2">
                  <c:v>45.633333333333333</c:v>
                </c:pt>
                <c:pt idx="3">
                  <c:v>45.233333333333327</c:v>
                </c:pt>
                <c:pt idx="4">
                  <c:v>45.066666666666663</c:v>
                </c:pt>
                <c:pt idx="5">
                  <c:v>44.666666666666664</c:v>
                </c:pt>
                <c:pt idx="6">
                  <c:v>42.566666666666663</c:v>
                </c:pt>
                <c:pt idx="7">
                  <c:v>42.333333333333336</c:v>
                </c:pt>
                <c:pt idx="8">
                  <c:v>42.733333333333327</c:v>
                </c:pt>
                <c:pt idx="9">
                  <c:v>42.866666666666674</c:v>
                </c:pt>
                <c:pt idx="10">
                  <c:v>49.166666666666664</c:v>
                </c:pt>
              </c:numCache>
            </c:numRef>
          </c:val>
          <c:smooth val="0"/>
          <c:extLst xmlns:c16r2="http://schemas.microsoft.com/office/drawing/2015/06/chart">
            <c:ext xmlns:c16="http://schemas.microsoft.com/office/drawing/2014/chart" uri="{C3380CC4-5D6E-409C-BE32-E72D297353CC}">
              <c16:uniqueId val="{00000002-018F-4BA6-94BF-249A28439FBF}"/>
            </c:ext>
          </c:extLst>
        </c:ser>
        <c:dLbls>
          <c:showLegendKey val="0"/>
          <c:showVal val="0"/>
          <c:showCatName val="0"/>
          <c:showSerName val="0"/>
          <c:showPercent val="0"/>
          <c:showBubbleSize val="0"/>
        </c:dLbls>
        <c:smooth val="0"/>
        <c:axId val="506794072"/>
        <c:axId val="505404512"/>
      </c:lineChart>
      <c:catAx>
        <c:axId val="506794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a:pPr>
            <a:endParaRPr lang="sk-SK"/>
          </a:p>
        </c:txPr>
        <c:crossAx val="505404512"/>
        <c:crosses val="autoZero"/>
        <c:auto val="1"/>
        <c:lblAlgn val="ctr"/>
        <c:lblOffset val="100"/>
        <c:noMultiLvlLbl val="0"/>
      </c:catAx>
      <c:valAx>
        <c:axId val="505404512"/>
        <c:scaling>
          <c:orientation val="minMax"/>
          <c:max val="60"/>
          <c:min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sk-SK"/>
          </a:p>
        </c:txPr>
        <c:crossAx val="506794072"/>
        <c:crosses val="autoZero"/>
        <c:crossBetween val="between"/>
      </c:valAx>
      <c:spPr>
        <a:noFill/>
        <a:ln w="25400">
          <a:noFill/>
        </a:ln>
      </c:spPr>
    </c:plotArea>
    <c:legend>
      <c:legendPos val="b"/>
      <c:layout>
        <c:manualLayout>
          <c:xMode val="edge"/>
          <c:yMode val="edge"/>
          <c:x val="0.24265404537162602"/>
          <c:y val="8.9101044968333348E-2"/>
          <c:w val="0.70529740623810722"/>
          <c:h val="0.11179514621911991"/>
        </c:manualLayout>
      </c:layout>
      <c:overlay val="0"/>
      <c:spPr>
        <a:noFill/>
        <a:ln>
          <a:noFill/>
        </a:ln>
        <a:effectLst/>
      </c:spPr>
      <c:txPr>
        <a:bodyPr rot="0" vert="horz"/>
        <a:lstStyle/>
        <a:p>
          <a:pPr>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sk-SK"/>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723990122536458E-2"/>
          <c:y val="5.5226824457593686E-2"/>
          <c:w val="0.90060737082420905"/>
          <c:h val="0.7951221481930143"/>
        </c:manualLayout>
      </c:layout>
      <c:barChart>
        <c:barDir val="col"/>
        <c:grouping val="clustered"/>
        <c:varyColors val="0"/>
        <c:ser>
          <c:idx val="0"/>
          <c:order val="0"/>
          <c:tx>
            <c:strRef>
              <c:f>Hárok1!$B$26</c:f>
              <c:strCache>
                <c:ptCount val="1"/>
                <c:pt idx="0">
                  <c:v>2020</c:v>
                </c:pt>
              </c:strCache>
            </c:strRef>
          </c:tx>
          <c:spPr>
            <a:solidFill>
              <a:srgbClr val="2C9ADC"/>
            </a:solidFill>
            <a:ln>
              <a:solidFill>
                <a:srgbClr val="2C9ADC"/>
              </a:solidFill>
            </a:ln>
            <a:effectLst/>
          </c:spPr>
          <c:invertIfNegative val="0"/>
          <c:dPt>
            <c:idx val="6"/>
            <c:invertIfNegative val="0"/>
            <c:bubble3D val="0"/>
            <c:spPr>
              <a:solidFill>
                <a:srgbClr val="FF0000"/>
              </a:solidFill>
              <a:ln>
                <a:solidFill>
                  <a:srgbClr val="FF0000"/>
                </a:solidFill>
              </a:ln>
              <a:effectLst/>
            </c:spPr>
            <c:extLst xmlns:c16r2="http://schemas.microsoft.com/office/drawing/2015/06/chart">
              <c:ext xmlns:c16="http://schemas.microsoft.com/office/drawing/2014/chart" uri="{C3380CC4-5D6E-409C-BE32-E72D297353CC}">
                <c16:uniqueId val="{00000001-E2A6-4DA2-8791-51FEC11BFC98}"/>
              </c:ext>
            </c:extLst>
          </c:dPt>
          <c:dPt>
            <c:idx val="19"/>
            <c:invertIfNegative val="0"/>
            <c:bubble3D val="0"/>
            <c:spPr>
              <a:solidFill>
                <a:schemeClr val="tx1">
                  <a:lumMod val="50000"/>
                  <a:lumOff val="50000"/>
                </a:schemeClr>
              </a:solidFill>
              <a:ln>
                <a:solidFill>
                  <a:schemeClr val="tx1">
                    <a:lumMod val="50000"/>
                    <a:lumOff val="50000"/>
                  </a:schemeClr>
                </a:solidFill>
              </a:ln>
              <a:effectLst/>
            </c:spPr>
            <c:extLst xmlns:c16r2="http://schemas.microsoft.com/office/drawing/2015/06/chart">
              <c:ext xmlns:c16="http://schemas.microsoft.com/office/drawing/2014/chart" uri="{C3380CC4-5D6E-409C-BE32-E72D297353CC}">
                <c16:uniqueId val="{00000003-E2A6-4DA2-8791-51FEC11BFC98}"/>
              </c:ext>
            </c:extLst>
          </c:dPt>
          <c:dPt>
            <c:idx val="21"/>
            <c:invertIfNegative val="0"/>
            <c:bubble3D val="0"/>
            <c:spPr>
              <a:solidFill>
                <a:schemeClr val="tx1">
                  <a:lumMod val="50000"/>
                  <a:lumOff val="50000"/>
                </a:schemeClr>
              </a:solidFill>
              <a:ln>
                <a:solidFill>
                  <a:schemeClr val="tx1">
                    <a:lumMod val="50000"/>
                    <a:lumOff val="50000"/>
                  </a:schemeClr>
                </a:solidFill>
              </a:ln>
              <a:effectLst/>
            </c:spPr>
            <c:extLst xmlns:c16r2="http://schemas.microsoft.com/office/drawing/2015/06/chart">
              <c:ext xmlns:c16="http://schemas.microsoft.com/office/drawing/2014/chart" uri="{C3380CC4-5D6E-409C-BE32-E72D297353CC}">
                <c16:uniqueId val="{00000005-E2A6-4DA2-8791-51FEC11BFC98}"/>
              </c:ext>
            </c:extLst>
          </c:dPt>
          <c:cat>
            <c:strRef>
              <c:f>Hárok1!$A$27:$A$55</c:f>
              <c:strCache>
                <c:ptCount val="29"/>
                <c:pt idx="0">
                  <c:v>IR</c:v>
                </c:pt>
                <c:pt idx="1">
                  <c:v>BG</c:v>
                </c:pt>
                <c:pt idx="2">
                  <c:v>RO</c:v>
                </c:pt>
                <c:pt idx="3">
                  <c:v>LT</c:v>
                </c:pt>
                <c:pt idx="4">
                  <c:v>LV</c:v>
                </c:pt>
                <c:pt idx="5">
                  <c:v>CY</c:v>
                </c:pt>
                <c:pt idx="6">
                  <c:v>SK</c:v>
                </c:pt>
                <c:pt idx="7">
                  <c:v>EE</c:v>
                </c:pt>
                <c:pt idx="8">
                  <c:v>MT</c:v>
                </c:pt>
                <c:pt idx="9">
                  <c:v>LU</c:v>
                </c:pt>
                <c:pt idx="10">
                  <c:v>CZ</c:v>
                </c:pt>
                <c:pt idx="11">
                  <c:v>NL</c:v>
                </c:pt>
                <c:pt idx="12">
                  <c:v>PL</c:v>
                </c:pt>
                <c:pt idx="13">
                  <c:v>PT</c:v>
                </c:pt>
                <c:pt idx="14">
                  <c:v>DE</c:v>
                </c:pt>
                <c:pt idx="15">
                  <c:v>SK</c:v>
                </c:pt>
                <c:pt idx="16">
                  <c:v>HU</c:v>
                </c:pt>
                <c:pt idx="17">
                  <c:v>ES</c:v>
                </c:pt>
                <c:pt idx="18">
                  <c:v>SE</c:v>
                </c:pt>
                <c:pt idx="19">
                  <c:v>EU 27</c:v>
                </c:pt>
                <c:pt idx="20">
                  <c:v>DK</c:v>
                </c:pt>
                <c:pt idx="21">
                  <c:v>EA 19</c:v>
                </c:pt>
                <c:pt idx="22">
                  <c:v>HR</c:v>
                </c:pt>
                <c:pt idx="23">
                  <c:v>AT</c:v>
                </c:pt>
                <c:pt idx="24">
                  <c:v>IT</c:v>
                </c:pt>
                <c:pt idx="25">
                  <c:v>FI</c:v>
                </c:pt>
                <c:pt idx="26">
                  <c:v>BE</c:v>
                </c:pt>
                <c:pt idx="27">
                  <c:v>GR</c:v>
                </c:pt>
                <c:pt idx="28">
                  <c:v>FR</c:v>
                </c:pt>
              </c:strCache>
            </c:strRef>
          </c:cat>
          <c:val>
            <c:numRef>
              <c:f>Hárok1!$B$27:$B$55</c:f>
              <c:numCache>
                <c:formatCode>0</c:formatCode>
                <c:ptCount val="29"/>
                <c:pt idx="0">
                  <c:v>27.4</c:v>
                </c:pt>
                <c:pt idx="1">
                  <c:v>41.8</c:v>
                </c:pt>
                <c:pt idx="2">
                  <c:v>42</c:v>
                </c:pt>
                <c:pt idx="3">
                  <c:v>42.9</c:v>
                </c:pt>
                <c:pt idx="4">
                  <c:v>43.1</c:v>
                </c:pt>
                <c:pt idx="5">
                  <c:v>45.1</c:v>
                </c:pt>
                <c:pt idx="6">
                  <c:v>45.6</c:v>
                </c:pt>
                <c:pt idx="7">
                  <c:v>45.9</c:v>
                </c:pt>
                <c:pt idx="8">
                  <c:v>45.9</c:v>
                </c:pt>
                <c:pt idx="9">
                  <c:v>47.2</c:v>
                </c:pt>
                <c:pt idx="10">
                  <c:v>47.2</c:v>
                </c:pt>
                <c:pt idx="11">
                  <c:v>48</c:v>
                </c:pt>
                <c:pt idx="12">
                  <c:v>48.7</c:v>
                </c:pt>
                <c:pt idx="13">
                  <c:v>49.3</c:v>
                </c:pt>
                <c:pt idx="14">
                  <c:v>50.8</c:v>
                </c:pt>
                <c:pt idx="15">
                  <c:v>51.3</c:v>
                </c:pt>
                <c:pt idx="16">
                  <c:v>51.6</c:v>
                </c:pt>
                <c:pt idx="17">
                  <c:v>52.4</c:v>
                </c:pt>
                <c:pt idx="18">
                  <c:v>52.6</c:v>
                </c:pt>
                <c:pt idx="19">
                  <c:v>53.1</c:v>
                </c:pt>
                <c:pt idx="20">
                  <c:v>53.4</c:v>
                </c:pt>
                <c:pt idx="21">
                  <c:v>53.8</c:v>
                </c:pt>
                <c:pt idx="22">
                  <c:v>54.5</c:v>
                </c:pt>
                <c:pt idx="23">
                  <c:v>57.1</c:v>
                </c:pt>
                <c:pt idx="24">
                  <c:v>57.1</c:v>
                </c:pt>
                <c:pt idx="25">
                  <c:v>57.5</c:v>
                </c:pt>
                <c:pt idx="26">
                  <c:v>59.2</c:v>
                </c:pt>
                <c:pt idx="27">
                  <c:v>59.8</c:v>
                </c:pt>
                <c:pt idx="28">
                  <c:v>61.6</c:v>
                </c:pt>
              </c:numCache>
            </c:numRef>
          </c:val>
          <c:extLst xmlns:c16r2="http://schemas.microsoft.com/office/drawing/2015/06/chart">
            <c:ext xmlns:c16="http://schemas.microsoft.com/office/drawing/2014/chart" uri="{C3380CC4-5D6E-409C-BE32-E72D297353CC}">
              <c16:uniqueId val="{00000006-E2A6-4DA2-8791-51FEC11BFC98}"/>
            </c:ext>
          </c:extLst>
        </c:ser>
        <c:dLbls>
          <c:showLegendKey val="0"/>
          <c:showVal val="0"/>
          <c:showCatName val="0"/>
          <c:showSerName val="0"/>
          <c:showPercent val="0"/>
          <c:showBubbleSize val="0"/>
        </c:dLbls>
        <c:gapWidth val="219"/>
        <c:overlap val="-27"/>
        <c:axId val="505405296"/>
        <c:axId val="505405688"/>
      </c:barChart>
      <c:catAx>
        <c:axId val="50540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500" b="0" i="0" u="none" strike="noStrike" kern="1200" baseline="0">
                <a:solidFill>
                  <a:schemeClr val="tx1"/>
                </a:solidFill>
                <a:latin typeface="Arial Narrow" panose="020B0606020202030204" pitchFamily="34" charset="0"/>
                <a:ea typeface="+mn-ea"/>
                <a:cs typeface="+mn-cs"/>
              </a:defRPr>
            </a:pPr>
            <a:endParaRPr lang="sk-SK"/>
          </a:p>
        </c:txPr>
        <c:crossAx val="505405688"/>
        <c:crosses val="autoZero"/>
        <c:auto val="1"/>
        <c:lblAlgn val="ctr"/>
        <c:lblOffset val="100"/>
        <c:noMultiLvlLbl val="0"/>
      </c:catAx>
      <c:valAx>
        <c:axId val="505405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sk-SK"/>
          </a:p>
        </c:txPr>
        <c:crossAx val="5054052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Arial Narrow" panose="020B0606020202030204" pitchFamily="34" charset="0"/>
        </a:defRPr>
      </a:pPr>
      <a:endParaRPr lang="sk-SK"/>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spPr>
            <a:noFill/>
            <a:ln>
              <a:noFill/>
            </a:ln>
            <a:effectLst/>
          </c:spPr>
          <c:invertIfNegative val="0"/>
          <c:dLbls>
            <c:delete val="1"/>
          </c:dLbls>
          <c:cat>
            <c:strRef>
              <c:f>Graf!$A$1:$A$13</c:f>
              <c:strCache>
                <c:ptCount val="13"/>
                <c:pt idx="0">
                  <c:v>Daňové výdavky - podpora podnikov a organiz.</c:v>
                </c:pt>
                <c:pt idx="1">
                  <c:v>Daňové výdavky - podpora jendnotlivcov</c:v>
                </c:pt>
                <c:pt idx="2">
                  <c:v>Daňové výdavky</c:v>
                </c:pt>
                <c:pt idx="3">
                  <c:v>Súťaživé transfery 3. sektoru</c:v>
                </c:pt>
                <c:pt idx="4">
                  <c:v>Subvencie</c:v>
                </c:pt>
                <c:pt idx="5">
                  <c:v>Nesúťaživé transfery 3. sektoru</c:v>
                </c:pt>
                <c:pt idx="6">
                  <c:v>Investičné transfery</c:v>
                </c:pt>
                <c:pt idx="7">
                  <c:v>Do zahraničia (príspevky do EÚ a pod.)</c:v>
                </c:pt>
                <c:pt idx="8">
                  <c:v>Z fondov EÚ a spolufinancovanie</c:v>
                </c:pt>
                <c:pt idx="9">
                  <c:v>Jednotlivcovi (sociálne dávky a pod.)</c:v>
                </c:pt>
                <c:pt idx="10">
                  <c:v>V rámci VS (obci, VÚC a pod.)</c:v>
                </c:pt>
                <c:pt idx="11">
                  <c:v>Transfery</c:v>
                </c:pt>
                <c:pt idx="12">
                  <c:v>Transfery a daňové výdavky</c:v>
                </c:pt>
              </c:strCache>
            </c:strRef>
          </c:cat>
          <c:val>
            <c:numRef>
              <c:f>Graf!$B$1:$B$13</c:f>
              <c:numCache>
                <c:formatCode>#,##0</c:formatCode>
                <c:ptCount val="13"/>
                <c:pt idx="0">
                  <c:v>0</c:v>
                </c:pt>
                <c:pt idx="1">
                  <c:v>320</c:v>
                </c:pt>
                <c:pt idx="2">
                  <c:v>0</c:v>
                </c:pt>
                <c:pt idx="3">
                  <c:v>1500.999999999998</c:v>
                </c:pt>
                <c:pt idx="4">
                  <c:v>1637.194722247307</c:v>
                </c:pt>
                <c:pt idx="5">
                  <c:v>2476.9225276165125</c:v>
                </c:pt>
                <c:pt idx="6">
                  <c:v>2860.3421686316983</c:v>
                </c:pt>
                <c:pt idx="7">
                  <c:v>2953.3851476199948</c:v>
                </c:pt>
                <c:pt idx="8">
                  <c:v>3877.18138547834</c:v>
                </c:pt>
                <c:pt idx="9">
                  <c:v>6143.137726969966</c:v>
                </c:pt>
                <c:pt idx="10">
                  <c:v>10347.407043335315</c:v>
                </c:pt>
                <c:pt idx="11">
                  <c:v>1501</c:v>
                </c:pt>
                <c:pt idx="12">
                  <c:v>0</c:v>
                </c:pt>
              </c:numCache>
            </c:numRef>
          </c:val>
          <c:extLst xmlns:c16r2="http://schemas.microsoft.com/office/drawing/2015/06/chart">
            <c:ext xmlns:c16="http://schemas.microsoft.com/office/drawing/2014/chart" uri="{C3380CC4-5D6E-409C-BE32-E72D297353CC}">
              <c16:uniqueId val="{00000000-2A5F-45B3-8799-3EF5DDF26F9E}"/>
            </c:ext>
          </c:extLst>
        </c:ser>
        <c:ser>
          <c:idx val="1"/>
          <c:order val="1"/>
          <c:spPr>
            <a:solidFill>
              <a:srgbClr val="00B0F0"/>
            </a:solidFill>
            <a:ln>
              <a:noFill/>
            </a:ln>
            <a:effectLst/>
          </c:spPr>
          <c:invertIfNegative val="0"/>
          <c:dPt>
            <c:idx val="1"/>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2-2A5F-45B3-8799-3EF5DDF26F9E}"/>
              </c:ext>
            </c:extLst>
          </c:dPt>
          <c:dPt>
            <c:idx val="2"/>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04-2A5F-45B3-8799-3EF5DDF26F9E}"/>
              </c:ext>
            </c:extLst>
          </c:dPt>
          <c:dPt>
            <c:idx val="5"/>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6-2A5F-45B3-8799-3EF5DDF26F9E}"/>
              </c:ext>
            </c:extLst>
          </c:dPt>
          <c:dPt>
            <c:idx val="6"/>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8-2A5F-45B3-8799-3EF5DDF26F9E}"/>
              </c:ext>
            </c:extLst>
          </c:dPt>
          <c:dPt>
            <c:idx val="7"/>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A-2A5F-45B3-8799-3EF5DDF26F9E}"/>
              </c:ext>
            </c:extLst>
          </c:dPt>
          <c:dPt>
            <c:idx val="8"/>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C-2A5F-45B3-8799-3EF5DDF26F9E}"/>
              </c:ext>
            </c:extLst>
          </c:dPt>
          <c:dPt>
            <c:idx val="9"/>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0E-2A5F-45B3-8799-3EF5DDF26F9E}"/>
              </c:ext>
            </c:extLst>
          </c:dPt>
          <c:dPt>
            <c:idx val="10"/>
            <c:invertIfNegative val="0"/>
            <c:bubble3D val="0"/>
            <c:spPr>
              <a:solidFill>
                <a:schemeClr val="bg1">
                  <a:lumMod val="75000"/>
                </a:schemeClr>
              </a:solidFill>
              <a:ln>
                <a:noFill/>
              </a:ln>
              <a:effectLst/>
            </c:spPr>
            <c:extLst xmlns:c16r2="http://schemas.microsoft.com/office/drawing/2015/06/chart">
              <c:ext xmlns:c16="http://schemas.microsoft.com/office/drawing/2014/chart" uri="{C3380CC4-5D6E-409C-BE32-E72D297353CC}">
                <c16:uniqueId val="{00000010-2A5F-45B3-8799-3EF5DDF26F9E}"/>
              </c:ext>
            </c:extLst>
          </c:dPt>
          <c:dPt>
            <c:idx val="11"/>
            <c:invertIfNegative val="0"/>
            <c:bubble3D val="0"/>
            <c:spPr>
              <a:solidFill>
                <a:schemeClr val="bg1">
                  <a:lumMod val="50000"/>
                </a:schemeClr>
              </a:solidFill>
              <a:ln>
                <a:noFill/>
              </a:ln>
              <a:effectLst/>
            </c:spPr>
            <c:extLst xmlns:c16r2="http://schemas.microsoft.com/office/drawing/2015/06/chart">
              <c:ext xmlns:c16="http://schemas.microsoft.com/office/drawing/2014/chart" uri="{C3380CC4-5D6E-409C-BE32-E72D297353CC}">
                <c16:uniqueId val="{00000012-2A5F-45B3-8799-3EF5DDF26F9E}"/>
              </c:ext>
            </c:extLst>
          </c:dPt>
          <c:dPt>
            <c:idx val="12"/>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14-2A5F-45B3-8799-3EF5DDF26F9E}"/>
              </c:ext>
            </c:extLst>
          </c:dPt>
          <c:dLbls>
            <c:dLbl>
              <c:idx val="2"/>
              <c:layout>
                <c:manualLayout>
                  <c:x val="2.7777777777777779E-3"/>
                  <c:y val="0"/>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A5F-45B3-8799-3EF5DDF26F9E}"/>
                </c:ext>
                <c:ext xmlns:c15="http://schemas.microsoft.com/office/drawing/2012/chart" uri="{CE6537A1-D6FC-4f65-9D91-7224C49458BB}"/>
              </c:extLst>
            </c:dLbl>
            <c:dLbl>
              <c:idx val="12"/>
              <c:spPr>
                <a:noFill/>
                <a:ln>
                  <a:noFill/>
                </a:ln>
                <a:effectLst/>
              </c:spPr>
              <c:txPr>
                <a:bodyPr rot="0" spcFirstLastPara="1" vertOverflow="ellipsis" vert="horz" wrap="square" anchor="ctr" anchorCtr="1"/>
                <a:lstStyle/>
                <a:p>
                  <a:pPr>
                    <a:defRPr sz="900" b="0" i="0" u="none" strike="noStrike" kern="1200" baseline="0">
                      <a:solidFill>
                        <a:schemeClr val="bg1">
                          <a:lumMod val="75000"/>
                        </a:schemeClr>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Graf!$A$1:$A$13</c:f>
              <c:strCache>
                <c:ptCount val="13"/>
                <c:pt idx="0">
                  <c:v>Daňové výdavky - podpora podnikov a organiz.</c:v>
                </c:pt>
                <c:pt idx="1">
                  <c:v>Daňové výdavky - podpora jendnotlivcov</c:v>
                </c:pt>
                <c:pt idx="2">
                  <c:v>Daňové výdavky</c:v>
                </c:pt>
                <c:pt idx="3">
                  <c:v>Súťaživé transfery 3. sektoru</c:v>
                </c:pt>
                <c:pt idx="4">
                  <c:v>Subvencie</c:v>
                </c:pt>
                <c:pt idx="5">
                  <c:v>Nesúťaživé transfery 3. sektoru</c:v>
                </c:pt>
                <c:pt idx="6">
                  <c:v>Investičné transfery</c:v>
                </c:pt>
                <c:pt idx="7">
                  <c:v>Do zahraničia (príspevky do EÚ a pod.)</c:v>
                </c:pt>
                <c:pt idx="8">
                  <c:v>Z fondov EÚ a spolufinancovanie</c:v>
                </c:pt>
                <c:pt idx="9">
                  <c:v>Jednotlivcovi (sociálne dávky a pod.)</c:v>
                </c:pt>
                <c:pt idx="10">
                  <c:v>V rámci VS (obci, VÚC a pod.)</c:v>
                </c:pt>
                <c:pt idx="11">
                  <c:v>Transfery</c:v>
                </c:pt>
                <c:pt idx="12">
                  <c:v>Transfery a daňové výdavky</c:v>
                </c:pt>
              </c:strCache>
            </c:strRef>
          </c:cat>
          <c:val>
            <c:numRef>
              <c:f>Graf!$C$1:$C$13</c:f>
              <c:numCache>
                <c:formatCode>#,##0</c:formatCode>
                <c:ptCount val="13"/>
                <c:pt idx="0">
                  <c:v>320</c:v>
                </c:pt>
                <c:pt idx="1">
                  <c:v>1181</c:v>
                </c:pt>
                <c:pt idx="2">
                  <c:v>1501</c:v>
                </c:pt>
                <c:pt idx="3">
                  <c:v>136.19472224730902</c:v>
                </c:pt>
                <c:pt idx="4">
                  <c:v>839.7278053692055</c:v>
                </c:pt>
                <c:pt idx="5">
                  <c:v>383.41964101518585</c:v>
                </c:pt>
                <c:pt idx="6">
                  <c:v>93.042978988296511</c:v>
                </c:pt>
                <c:pt idx="7">
                  <c:v>923.79623785834519</c:v>
                </c:pt>
                <c:pt idx="8">
                  <c:v>2265.9563414916261</c:v>
                </c:pt>
                <c:pt idx="9">
                  <c:v>4204.2693163653494</c:v>
                </c:pt>
                <c:pt idx="10">
                  <c:v>6105.7463928819534</c:v>
                </c:pt>
                <c:pt idx="11">
                  <c:v>14952.153436217268</c:v>
                </c:pt>
                <c:pt idx="12">
                  <c:v>16453.153436217268</c:v>
                </c:pt>
              </c:numCache>
            </c:numRef>
          </c:val>
          <c:extLst xmlns:c16r2="http://schemas.microsoft.com/office/drawing/2015/06/chart">
            <c:ext xmlns:c16="http://schemas.microsoft.com/office/drawing/2014/chart" uri="{C3380CC4-5D6E-409C-BE32-E72D297353CC}">
              <c16:uniqueId val="{00000015-2A5F-45B3-8799-3EF5DDF26F9E}"/>
            </c:ext>
          </c:extLst>
        </c:ser>
        <c:dLbls>
          <c:dLblPos val="ctr"/>
          <c:showLegendKey val="0"/>
          <c:showVal val="1"/>
          <c:showCatName val="0"/>
          <c:showSerName val="0"/>
          <c:showPercent val="0"/>
          <c:showBubbleSize val="0"/>
        </c:dLbls>
        <c:gapWidth val="72"/>
        <c:overlap val="100"/>
        <c:axId val="505406472"/>
        <c:axId val="505406864"/>
      </c:barChart>
      <c:catAx>
        <c:axId val="505406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505406864"/>
        <c:crosses val="autoZero"/>
        <c:auto val="1"/>
        <c:lblAlgn val="ctr"/>
        <c:lblOffset val="100"/>
        <c:noMultiLvlLbl val="0"/>
      </c:catAx>
      <c:valAx>
        <c:axId val="505406864"/>
        <c:scaling>
          <c:orientation val="minMax"/>
          <c:max val="17000"/>
          <c:min val="0"/>
        </c:scaling>
        <c:delete val="0"/>
        <c:axPos val="b"/>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505406472"/>
        <c:crosses val="autoZero"/>
        <c:crossBetween val="between"/>
        <c:majorUnit val="40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590773653896978E-2"/>
          <c:y val="8.3745717548534451E-2"/>
          <c:w val="0.92884559437314962"/>
          <c:h val="0.6550581634090562"/>
        </c:manualLayout>
      </c:layout>
      <c:barChart>
        <c:barDir val="col"/>
        <c:grouping val="stacked"/>
        <c:varyColors val="0"/>
        <c:ser>
          <c:idx val="1"/>
          <c:order val="0"/>
          <c:tx>
            <c:strRef>
              <c:f>'Tab 2 + Graf 1'!$J$14</c:f>
              <c:strCache>
                <c:ptCount val="1"/>
                <c:pt idx="0">
                  <c:v>Fondy EÚ</c:v>
                </c:pt>
              </c:strCache>
            </c:strRef>
          </c:tx>
          <c:spPr>
            <a:solidFill>
              <a:schemeClr val="bg1">
                <a:lumMod val="65000"/>
              </a:schemeClr>
            </a:solidFill>
            <a:ln>
              <a:noFill/>
            </a:ln>
            <a:effectLst/>
          </c:spPr>
          <c:invertIfNegative val="0"/>
          <c:cat>
            <c:numRef>
              <c:f>'Tab 2 + Graf 1'!$K$12:$AA$12</c:f>
              <c:numCache>
                <c:formatCode>General</c:formatCode>
                <c:ptCount val="17"/>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numCache>
            </c:numRef>
          </c:cat>
          <c:val>
            <c:numRef>
              <c:f>'Tab 2 + Graf 1'!$K$14:$AA$14</c:f>
              <c:numCache>
                <c:formatCode>0.0</c:formatCode>
                <c:ptCount val="17"/>
                <c:pt idx="0">
                  <c:v>1.3858000392400001</c:v>
                </c:pt>
                <c:pt idx="1">
                  <c:v>1.2833699292199998</c:v>
                </c:pt>
                <c:pt idx="2">
                  <c:v>1.16508914671</c:v>
                </c:pt>
                <c:pt idx="3">
                  <c:v>1.1040810760199999</c:v>
                </c:pt>
                <c:pt idx="4">
                  <c:v>1.0751658763</c:v>
                </c:pt>
                <c:pt idx="5">
                  <c:v>2.81654151096</c:v>
                </c:pt>
                <c:pt idx="6">
                  <c:v>0.36088635676000003</c:v>
                </c:pt>
                <c:pt idx="7">
                  <c:v>0.5448147242000001</c:v>
                </c:pt>
                <c:pt idx="8">
                  <c:v>1.00806776471</c:v>
                </c:pt>
                <c:pt idx="9">
                  <c:v>0.94604048491999992</c:v>
                </c:pt>
                <c:pt idx="10">
                  <c:v>0.90013201985000002</c:v>
                </c:pt>
                <c:pt idx="11">
                  <c:v>0.80502676714999988</c:v>
                </c:pt>
                <c:pt idx="12">
                  <c:v>1.3974821627899516</c:v>
                </c:pt>
                <c:pt idx="13">
                  <c:v>2.970522494858852</c:v>
                </c:pt>
                <c:pt idx="14">
                  <c:v>1.1107646694392006</c:v>
                </c:pt>
                <c:pt idx="15">
                  <c:v>0.82591833273215609</c:v>
                </c:pt>
                <c:pt idx="16">
                  <c:v>0.75232982528501091</c:v>
                </c:pt>
              </c:numCache>
            </c:numRef>
          </c:val>
          <c:extLst xmlns:c16r2="http://schemas.microsoft.com/office/drawing/2015/06/chart">
            <c:ext xmlns:c16="http://schemas.microsoft.com/office/drawing/2014/chart" uri="{C3380CC4-5D6E-409C-BE32-E72D297353CC}">
              <c16:uniqueId val="{00000000-2D26-44C5-BC39-9F5D58923132}"/>
            </c:ext>
          </c:extLst>
        </c:ser>
        <c:ser>
          <c:idx val="0"/>
          <c:order val="1"/>
          <c:tx>
            <c:strRef>
              <c:f>'Tab 2 + Graf 1'!$J$13</c:f>
              <c:strCache>
                <c:ptCount val="1"/>
                <c:pt idx="0">
                  <c:v>RRP</c:v>
                </c:pt>
              </c:strCache>
            </c:strRef>
          </c:tx>
          <c:spPr>
            <a:solidFill>
              <a:srgbClr val="369ADC"/>
            </a:solidFill>
            <a:ln>
              <a:noFill/>
            </a:ln>
            <a:effectLst/>
          </c:spPr>
          <c:invertIfNegative val="0"/>
          <c:cat>
            <c:numRef>
              <c:f>'Tab 2 + Graf 1'!$K$12:$AA$12</c:f>
              <c:numCache>
                <c:formatCode>General</c:formatCode>
                <c:ptCount val="17"/>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numCache>
            </c:numRef>
          </c:cat>
          <c:val>
            <c:numRef>
              <c:f>'Tab 2 + Graf 1'!$K$13:$AA$13</c:f>
              <c:numCache>
                <c:formatCode>0.0</c:formatCode>
                <c:ptCount val="17"/>
                <c:pt idx="0">
                  <c:v>0</c:v>
                </c:pt>
                <c:pt idx="1">
                  <c:v>0</c:v>
                </c:pt>
                <c:pt idx="2">
                  <c:v>0</c:v>
                </c:pt>
                <c:pt idx="3">
                  <c:v>0</c:v>
                </c:pt>
                <c:pt idx="4">
                  <c:v>0</c:v>
                </c:pt>
                <c:pt idx="5">
                  <c:v>0</c:v>
                </c:pt>
                <c:pt idx="6">
                  <c:v>0</c:v>
                </c:pt>
                <c:pt idx="7">
                  <c:v>0</c:v>
                </c:pt>
                <c:pt idx="8">
                  <c:v>0</c:v>
                </c:pt>
                <c:pt idx="9">
                  <c:v>0</c:v>
                </c:pt>
                <c:pt idx="10">
                  <c:v>0</c:v>
                </c:pt>
                <c:pt idx="11">
                  <c:v>0</c:v>
                </c:pt>
                <c:pt idx="12">
                  <c:v>1.374710393744931</c:v>
                </c:pt>
                <c:pt idx="13">
                  <c:v>1.5948073323897793</c:v>
                </c:pt>
                <c:pt idx="14">
                  <c:v>1.5459601787282184</c:v>
                </c:pt>
                <c:pt idx="15">
                  <c:v>1.0909372376491089</c:v>
                </c:pt>
                <c:pt idx="16">
                  <c:v>0.55017310749575832</c:v>
                </c:pt>
              </c:numCache>
            </c:numRef>
          </c:val>
          <c:extLst xmlns:c16r2="http://schemas.microsoft.com/office/drawing/2015/06/chart">
            <c:ext xmlns:c16="http://schemas.microsoft.com/office/drawing/2014/chart" uri="{C3380CC4-5D6E-409C-BE32-E72D297353CC}">
              <c16:uniqueId val="{00000001-2D26-44C5-BC39-9F5D58923132}"/>
            </c:ext>
          </c:extLst>
        </c:ser>
        <c:dLbls>
          <c:showLegendKey val="0"/>
          <c:showVal val="0"/>
          <c:showCatName val="0"/>
          <c:showSerName val="0"/>
          <c:showPercent val="0"/>
          <c:showBubbleSize val="0"/>
        </c:dLbls>
        <c:gapWidth val="40"/>
        <c:overlap val="100"/>
        <c:axId val="503148888"/>
        <c:axId val="499011552"/>
      </c:barChart>
      <c:catAx>
        <c:axId val="503148888"/>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endParaRPr lang="sk-SK"/>
          </a:p>
        </c:txPr>
        <c:crossAx val="499011552"/>
        <c:crosses val="autoZero"/>
        <c:auto val="1"/>
        <c:lblAlgn val="ctr"/>
        <c:lblOffset val="100"/>
        <c:noMultiLvlLbl val="0"/>
      </c:catAx>
      <c:valAx>
        <c:axId val="4990115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endParaRPr lang="sk-SK"/>
          </a:p>
        </c:txPr>
        <c:crossAx val="503148888"/>
        <c:crosses val="autoZero"/>
        <c:crossBetween val="between"/>
      </c:valAx>
      <c:spPr>
        <a:noFill/>
        <a:ln>
          <a:noFill/>
        </a:ln>
        <a:effectLst/>
      </c:spPr>
    </c:plotArea>
    <c:legend>
      <c:legendPos val="b"/>
      <c:layout>
        <c:manualLayout>
          <c:xMode val="edge"/>
          <c:yMode val="edge"/>
          <c:x val="0.40332435202421724"/>
          <c:y val="0.87751724220616312"/>
          <c:w val="0.19335110580387788"/>
          <c:h val="0.122482757793836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Times New Roman" panose="02020603050405020304" pitchFamily="18" charset="0"/>
            </a:defRPr>
          </a:pPr>
          <a:endParaRPr lang="sk-SK"/>
        </a:p>
      </c:txPr>
    </c:legend>
    <c:plotVisOnly val="1"/>
    <c:dispBlanksAs val="gap"/>
    <c:showDLblsOverMax val="0"/>
  </c:chart>
  <c:spPr>
    <a:noFill/>
    <a:ln w="9525" cap="flat" cmpd="sng" algn="ctr">
      <a:noFill/>
      <a:round/>
    </a:ln>
    <a:effectLst/>
  </c:spPr>
  <c:txPr>
    <a:bodyPr/>
    <a:lstStyle/>
    <a:p>
      <a:pPr>
        <a:defRPr>
          <a:solidFill>
            <a:sysClr val="windowText" lastClr="000000"/>
          </a:solidFill>
          <a:latin typeface="Arial Narrow" panose="020B0606020202030204" pitchFamily="34" charset="0"/>
          <a:cs typeface="Times New Roman" panose="02020603050405020304" pitchFamily="18" charset="0"/>
        </a:defRPr>
      </a:pPr>
      <a:endParaRPr lang="sk-S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8.5242482034935022E-2"/>
          <c:w val="0.89093095636884034"/>
          <c:h val="0.82106259115597957"/>
        </c:manualLayout>
      </c:layout>
      <c:barChart>
        <c:barDir val="col"/>
        <c:grouping val="stacked"/>
        <c:varyColors val="0"/>
        <c:ser>
          <c:idx val="5"/>
          <c:order val="0"/>
          <c:tx>
            <c:strRef>
              <c:f>'Graf 2+3'!$I$4</c:f>
              <c:strCache>
                <c:ptCount val="1"/>
                <c:pt idx="0">
                  <c:v>Spotreba</c:v>
                </c:pt>
              </c:strCache>
            </c:strRef>
          </c:tx>
          <c:spPr>
            <a:solidFill>
              <a:srgbClr val="2C9ADC"/>
            </a:solidFill>
          </c:spPr>
          <c:invertIfNegative val="0"/>
          <c:cat>
            <c:strRef>
              <c:f>'Graf 2+3'!$J$3:$P$3</c:f>
              <c:strCache>
                <c:ptCount val="7"/>
                <c:pt idx="0">
                  <c:v>2019</c:v>
                </c:pt>
                <c:pt idx="1">
                  <c:v>2020</c:v>
                </c:pt>
                <c:pt idx="2">
                  <c:v>2021</c:v>
                </c:pt>
                <c:pt idx="3">
                  <c:v>2022F</c:v>
                </c:pt>
                <c:pt idx="4">
                  <c:v>2023F</c:v>
                </c:pt>
                <c:pt idx="5">
                  <c:v>2024F</c:v>
                </c:pt>
                <c:pt idx="6">
                  <c:v>2025F</c:v>
                </c:pt>
              </c:strCache>
            </c:strRef>
          </c:cat>
          <c:val>
            <c:numRef>
              <c:f>'Graf 2+3'!$J$4:$P$4</c:f>
              <c:numCache>
                <c:formatCode>0.0</c:formatCode>
                <c:ptCount val="7"/>
                <c:pt idx="0">
                  <c:v>2.3007325856706915</c:v>
                </c:pt>
                <c:pt idx="1">
                  <c:v>-0.56127028762356301</c:v>
                </c:pt>
                <c:pt idx="2">
                  <c:v>1.0423395085279297</c:v>
                </c:pt>
                <c:pt idx="3">
                  <c:v>5.2529029622964352E-2</c:v>
                </c:pt>
                <c:pt idx="4">
                  <c:v>1.3476582343167263</c:v>
                </c:pt>
                <c:pt idx="5">
                  <c:v>1.4366648811717919</c:v>
                </c:pt>
                <c:pt idx="6">
                  <c:v>1.0573101651244794</c:v>
                </c:pt>
              </c:numCache>
            </c:numRef>
          </c:val>
          <c:extLst xmlns:c16r2="http://schemas.microsoft.com/office/drawing/2015/06/chart">
            <c:ext xmlns:c16="http://schemas.microsoft.com/office/drawing/2014/chart" uri="{C3380CC4-5D6E-409C-BE32-E72D297353CC}">
              <c16:uniqueId val="{00000000-95E5-4069-873E-CB8D0B499DDF}"/>
            </c:ext>
          </c:extLst>
        </c:ser>
        <c:ser>
          <c:idx val="8"/>
          <c:order val="1"/>
          <c:tx>
            <c:strRef>
              <c:f>'Graf 2+3'!$I$5</c:f>
              <c:strCache>
                <c:ptCount val="1"/>
                <c:pt idx="0">
                  <c:v>Investície</c:v>
                </c:pt>
              </c:strCache>
            </c:strRef>
          </c:tx>
          <c:spPr>
            <a:solidFill>
              <a:schemeClr val="tx2">
                <a:lumMod val="20000"/>
                <a:lumOff val="80000"/>
              </a:schemeClr>
            </a:solidFill>
            <a:ln>
              <a:noFill/>
            </a:ln>
          </c:spPr>
          <c:invertIfNegative val="0"/>
          <c:cat>
            <c:strRef>
              <c:f>'Graf 2+3'!$J$3:$P$3</c:f>
              <c:strCache>
                <c:ptCount val="7"/>
                <c:pt idx="0">
                  <c:v>2019</c:v>
                </c:pt>
                <c:pt idx="1">
                  <c:v>2020</c:v>
                </c:pt>
                <c:pt idx="2">
                  <c:v>2021</c:v>
                </c:pt>
                <c:pt idx="3">
                  <c:v>2022F</c:v>
                </c:pt>
                <c:pt idx="4">
                  <c:v>2023F</c:v>
                </c:pt>
                <c:pt idx="5">
                  <c:v>2024F</c:v>
                </c:pt>
                <c:pt idx="6">
                  <c:v>2025F</c:v>
                </c:pt>
              </c:strCache>
            </c:strRef>
          </c:cat>
          <c:val>
            <c:numRef>
              <c:f>'Graf 2+3'!$J$5:$P$5</c:f>
              <c:numCache>
                <c:formatCode>0.0</c:formatCode>
                <c:ptCount val="7"/>
                <c:pt idx="0">
                  <c:v>1.4113903576283173</c:v>
                </c:pt>
                <c:pt idx="1">
                  <c:v>-2.519658590975514</c:v>
                </c:pt>
                <c:pt idx="2">
                  <c:v>0.11138198707515963</c:v>
                </c:pt>
                <c:pt idx="3">
                  <c:v>2.9782025731488448</c:v>
                </c:pt>
                <c:pt idx="4">
                  <c:v>3.356479818904762</c:v>
                </c:pt>
                <c:pt idx="5">
                  <c:v>-0.60600030301447394</c:v>
                </c:pt>
                <c:pt idx="6">
                  <c:v>-0.14530660923324804</c:v>
                </c:pt>
              </c:numCache>
            </c:numRef>
          </c:val>
          <c:extLst xmlns:c16r2="http://schemas.microsoft.com/office/drawing/2015/06/chart">
            <c:ext xmlns:c16="http://schemas.microsoft.com/office/drawing/2014/chart" uri="{C3380CC4-5D6E-409C-BE32-E72D297353CC}">
              <c16:uniqueId val="{00000001-95E5-4069-873E-CB8D0B499DDF}"/>
            </c:ext>
          </c:extLst>
        </c:ser>
        <c:ser>
          <c:idx val="0"/>
          <c:order val="2"/>
          <c:tx>
            <c:strRef>
              <c:f>'Graf 2+3'!$I$6</c:f>
              <c:strCache>
                <c:ptCount val="1"/>
                <c:pt idx="0">
                  <c:v>Zásoby a diskrepancia</c:v>
                </c:pt>
              </c:strCache>
            </c:strRef>
          </c:tx>
          <c:invertIfNegative val="0"/>
          <c:cat>
            <c:strRef>
              <c:f>'Graf 2+3'!$J$3:$P$3</c:f>
              <c:strCache>
                <c:ptCount val="7"/>
                <c:pt idx="0">
                  <c:v>2019</c:v>
                </c:pt>
                <c:pt idx="1">
                  <c:v>2020</c:v>
                </c:pt>
                <c:pt idx="2">
                  <c:v>2021</c:v>
                </c:pt>
                <c:pt idx="3">
                  <c:v>2022F</c:v>
                </c:pt>
                <c:pt idx="4">
                  <c:v>2023F</c:v>
                </c:pt>
                <c:pt idx="5">
                  <c:v>2024F</c:v>
                </c:pt>
                <c:pt idx="6">
                  <c:v>2025F</c:v>
                </c:pt>
              </c:strCache>
            </c:strRef>
          </c:cat>
          <c:val>
            <c:numRef>
              <c:f>'Graf 2+3'!$J$6:$P$6</c:f>
              <c:numCache>
                <c:formatCode>0.0</c:formatCode>
                <c:ptCount val="7"/>
                <c:pt idx="0">
                  <c:v>7.3759141178883963E-2</c:v>
                </c:pt>
                <c:pt idx="1">
                  <c:v>-2.0193281270228449</c:v>
                </c:pt>
                <c:pt idx="2">
                  <c:v>2.4666315315700467</c:v>
                </c:pt>
                <c:pt idx="3">
                  <c:v>-0.60578941239229223</c:v>
                </c:pt>
                <c:pt idx="4">
                  <c:v>-0.15592365379535122</c:v>
                </c:pt>
                <c:pt idx="5">
                  <c:v>5.7497731466341538E-2</c:v>
                </c:pt>
                <c:pt idx="6">
                  <c:v>-1.7219976132505511E-2</c:v>
                </c:pt>
              </c:numCache>
            </c:numRef>
          </c:val>
          <c:extLst xmlns:c16r2="http://schemas.microsoft.com/office/drawing/2015/06/chart">
            <c:ext xmlns:c16="http://schemas.microsoft.com/office/drawing/2014/chart" uri="{C3380CC4-5D6E-409C-BE32-E72D297353CC}">
              <c16:uniqueId val="{00000002-95E5-4069-873E-CB8D0B499DDF}"/>
            </c:ext>
          </c:extLst>
        </c:ser>
        <c:ser>
          <c:idx val="1"/>
          <c:order val="3"/>
          <c:tx>
            <c:strRef>
              <c:f>'Graf 2+3'!$I$7</c:f>
              <c:strCache>
                <c:ptCount val="1"/>
                <c:pt idx="0">
                  <c:v>Čistý export</c:v>
                </c:pt>
              </c:strCache>
            </c:strRef>
          </c:tx>
          <c:invertIfNegative val="0"/>
          <c:cat>
            <c:strRef>
              <c:f>'Graf 2+3'!$J$3:$P$3</c:f>
              <c:strCache>
                <c:ptCount val="7"/>
                <c:pt idx="0">
                  <c:v>2019</c:v>
                </c:pt>
                <c:pt idx="1">
                  <c:v>2020</c:v>
                </c:pt>
                <c:pt idx="2">
                  <c:v>2021</c:v>
                </c:pt>
                <c:pt idx="3">
                  <c:v>2022F</c:v>
                </c:pt>
                <c:pt idx="4">
                  <c:v>2023F</c:v>
                </c:pt>
                <c:pt idx="5">
                  <c:v>2024F</c:v>
                </c:pt>
                <c:pt idx="6">
                  <c:v>2025F</c:v>
                </c:pt>
              </c:strCache>
            </c:strRef>
          </c:cat>
          <c:val>
            <c:numRef>
              <c:f>'Graf 2+3'!$J$7:$P$7</c:f>
              <c:numCache>
                <c:formatCode>0.0</c:formatCode>
                <c:ptCount val="7"/>
                <c:pt idx="0">
                  <c:v>-1.180512756775586</c:v>
                </c:pt>
                <c:pt idx="1">
                  <c:v>0.7415031976947446</c:v>
                </c:pt>
                <c:pt idx="2">
                  <c:v>-0.5998812762169754</c:v>
                </c:pt>
                <c:pt idx="3">
                  <c:v>-0.31839745034810435</c:v>
                </c:pt>
                <c:pt idx="4">
                  <c:v>0.74099656532654268</c:v>
                </c:pt>
                <c:pt idx="5">
                  <c:v>0.89099582907244579</c:v>
                </c:pt>
                <c:pt idx="6">
                  <c:v>0.89437430583953326</c:v>
                </c:pt>
              </c:numCache>
            </c:numRef>
          </c:val>
          <c:extLst xmlns:c16r2="http://schemas.microsoft.com/office/drawing/2015/06/chart">
            <c:ext xmlns:c16="http://schemas.microsoft.com/office/drawing/2014/chart" uri="{C3380CC4-5D6E-409C-BE32-E72D297353CC}">
              <c16:uniqueId val="{00000003-95E5-4069-873E-CB8D0B499DDF}"/>
            </c:ext>
          </c:extLst>
        </c:ser>
        <c:dLbls>
          <c:showLegendKey val="0"/>
          <c:showVal val="0"/>
          <c:showCatName val="0"/>
          <c:showSerName val="0"/>
          <c:showPercent val="0"/>
          <c:showBubbleSize val="0"/>
        </c:dLbls>
        <c:gapWidth val="150"/>
        <c:overlap val="100"/>
        <c:axId val="499012336"/>
        <c:axId val="499012728"/>
      </c:barChart>
      <c:lineChart>
        <c:grouping val="standard"/>
        <c:varyColors val="0"/>
        <c:ser>
          <c:idx val="2"/>
          <c:order val="4"/>
          <c:tx>
            <c:strRef>
              <c:f>'Graf 2+3'!$I$8</c:f>
              <c:strCache>
                <c:ptCount val="1"/>
                <c:pt idx="0">
                  <c:v>HDP</c:v>
                </c:pt>
              </c:strCache>
            </c:strRef>
          </c:tx>
          <c:spPr>
            <a:ln w="19050">
              <a:solidFill>
                <a:sysClr val="windowText" lastClr="000000"/>
              </a:solidFill>
            </a:ln>
          </c:spPr>
          <c:marker>
            <c:symbol val="none"/>
          </c:marker>
          <c:cat>
            <c:strRef>
              <c:f>'Graf 2+3'!$J$3:$P$3</c:f>
              <c:strCache>
                <c:ptCount val="7"/>
                <c:pt idx="0">
                  <c:v>2019</c:v>
                </c:pt>
                <c:pt idx="1">
                  <c:v>2020</c:v>
                </c:pt>
                <c:pt idx="2">
                  <c:v>2021</c:v>
                </c:pt>
                <c:pt idx="3">
                  <c:v>2022F</c:v>
                </c:pt>
                <c:pt idx="4">
                  <c:v>2023F</c:v>
                </c:pt>
                <c:pt idx="5">
                  <c:v>2024F</c:v>
                </c:pt>
                <c:pt idx="6">
                  <c:v>2025F</c:v>
                </c:pt>
              </c:strCache>
            </c:strRef>
          </c:cat>
          <c:val>
            <c:numRef>
              <c:f>'Graf 2+3'!$J$8:$P$8</c:f>
              <c:numCache>
                <c:formatCode>0.0</c:formatCode>
                <c:ptCount val="7"/>
                <c:pt idx="0">
                  <c:v>2.6053693277023227</c:v>
                </c:pt>
                <c:pt idx="1">
                  <c:v>-4.3587538079271848</c:v>
                </c:pt>
                <c:pt idx="2">
                  <c:v>3.0204717509561663</c:v>
                </c:pt>
                <c:pt idx="3">
                  <c:v>2.1065447400314019</c:v>
                </c:pt>
                <c:pt idx="4">
                  <c:v>5.2892109647526997</c:v>
                </c:pt>
                <c:pt idx="5">
                  <c:v>1.7791581386961131</c:v>
                </c:pt>
                <c:pt idx="6">
                  <c:v>1.7891578855982582</c:v>
                </c:pt>
              </c:numCache>
            </c:numRef>
          </c:val>
          <c:smooth val="0"/>
          <c:extLst xmlns:c16r2="http://schemas.microsoft.com/office/drawing/2015/06/chart">
            <c:ext xmlns:c16="http://schemas.microsoft.com/office/drawing/2014/chart" uri="{C3380CC4-5D6E-409C-BE32-E72D297353CC}">
              <c16:uniqueId val="{00000004-95E5-4069-873E-CB8D0B499DDF}"/>
            </c:ext>
          </c:extLst>
        </c:ser>
        <c:dLbls>
          <c:showLegendKey val="0"/>
          <c:showVal val="0"/>
          <c:showCatName val="0"/>
          <c:showSerName val="0"/>
          <c:showPercent val="0"/>
          <c:showBubbleSize val="0"/>
        </c:dLbls>
        <c:marker val="1"/>
        <c:smooth val="0"/>
        <c:axId val="499012336"/>
        <c:axId val="499012728"/>
      </c:lineChart>
      <c:catAx>
        <c:axId val="499012336"/>
        <c:scaling>
          <c:orientation val="minMax"/>
        </c:scaling>
        <c:delete val="0"/>
        <c:axPos val="b"/>
        <c:numFmt formatCode="General" sourceLinked="1"/>
        <c:majorTickMark val="out"/>
        <c:minorTickMark val="none"/>
        <c:tickLblPos val="low"/>
        <c:crossAx val="499012728"/>
        <c:crosses val="autoZero"/>
        <c:auto val="1"/>
        <c:lblAlgn val="ctr"/>
        <c:lblOffset val="100"/>
        <c:noMultiLvlLbl val="0"/>
      </c:catAx>
      <c:valAx>
        <c:axId val="499012728"/>
        <c:scaling>
          <c:orientation val="minMax"/>
          <c:max val="8"/>
        </c:scaling>
        <c:delete val="0"/>
        <c:axPos val="l"/>
        <c:majorGridlines>
          <c:spPr>
            <a:ln>
              <a:solidFill>
                <a:schemeClr val="bg1">
                  <a:lumMod val="75000"/>
                </a:schemeClr>
              </a:solidFill>
              <a:prstDash val="dash"/>
            </a:ln>
          </c:spPr>
        </c:majorGridlines>
        <c:numFmt formatCode="0.0" sourceLinked="0"/>
        <c:majorTickMark val="out"/>
        <c:minorTickMark val="none"/>
        <c:tickLblPos val="nextTo"/>
        <c:crossAx val="499012336"/>
        <c:crosses val="autoZero"/>
        <c:crossBetween val="between"/>
      </c:valAx>
    </c:plotArea>
    <c:legend>
      <c:legendPos val="r"/>
      <c:layout>
        <c:manualLayout>
          <c:xMode val="edge"/>
          <c:yMode val="edge"/>
          <c:x val="0.53147765918841272"/>
          <c:y val="0.58390050658646064"/>
          <c:w val="0.45338199625059344"/>
          <c:h val="0.3057177129566494"/>
        </c:manualLayout>
      </c:layout>
      <c:overlay val="0"/>
    </c:legend>
    <c:plotVisOnly val="1"/>
    <c:dispBlanksAs val="gap"/>
    <c:showDLblsOverMax val="0"/>
  </c:chart>
  <c:spPr>
    <a:ln>
      <a:noFill/>
    </a:ln>
  </c:spPr>
  <c:txPr>
    <a:bodyPr/>
    <a:lstStyle/>
    <a:p>
      <a:pPr>
        <a:defRPr sz="800">
          <a:latin typeface="Arial Narrow" pitchFamily="34" charset="0"/>
        </a:defRPr>
      </a:pPr>
      <a:endParaRPr lang="sk-SK"/>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4.8823828544190706E-2"/>
          <c:w val="0.89093095636884034"/>
          <c:h val="0.85748137319626516"/>
        </c:manualLayout>
      </c:layout>
      <c:barChart>
        <c:barDir val="col"/>
        <c:grouping val="stacked"/>
        <c:varyColors val="0"/>
        <c:ser>
          <c:idx val="5"/>
          <c:order val="0"/>
          <c:tx>
            <c:strRef>
              <c:f>'Graf 2+3'!$I$12</c:f>
              <c:strCache>
                <c:ptCount val="1"/>
                <c:pt idx="0">
                  <c:v>Poľnohospodárstvo</c:v>
                </c:pt>
              </c:strCache>
            </c:strRef>
          </c:tx>
          <c:spPr>
            <a:solidFill>
              <a:srgbClr val="2C9ADC"/>
            </a:solidFill>
          </c:spPr>
          <c:invertIfNegative val="0"/>
          <c:cat>
            <c:strRef>
              <c:f>'Graf 2+3'!$K$11:$P$11</c:f>
              <c:strCache>
                <c:ptCount val="6"/>
                <c:pt idx="0">
                  <c:v>2020</c:v>
                </c:pt>
                <c:pt idx="1">
                  <c:v>2021</c:v>
                </c:pt>
                <c:pt idx="2">
                  <c:v>2022F</c:v>
                </c:pt>
                <c:pt idx="3">
                  <c:v>2023F</c:v>
                </c:pt>
                <c:pt idx="4">
                  <c:v>2024F</c:v>
                </c:pt>
                <c:pt idx="5">
                  <c:v>2025F</c:v>
                </c:pt>
              </c:strCache>
            </c:strRef>
          </c:cat>
          <c:val>
            <c:numRef>
              <c:f>'Graf 2+3'!$K$12:$P$12</c:f>
              <c:numCache>
                <c:formatCode>0.0</c:formatCode>
                <c:ptCount val="6"/>
                <c:pt idx="0">
                  <c:v>-7.5863225352630681E-2</c:v>
                </c:pt>
                <c:pt idx="1">
                  <c:v>-0.13526074687274608</c:v>
                </c:pt>
                <c:pt idx="2">
                  <c:v>-8.5289281285034962E-2</c:v>
                </c:pt>
                <c:pt idx="3">
                  <c:v>-1.1847940722532474E-15</c:v>
                </c:pt>
                <c:pt idx="4">
                  <c:v>0</c:v>
                </c:pt>
                <c:pt idx="5" formatCode="General">
                  <c:v>0</c:v>
                </c:pt>
              </c:numCache>
            </c:numRef>
          </c:val>
          <c:extLst xmlns:c16r2="http://schemas.microsoft.com/office/drawing/2015/06/chart">
            <c:ext xmlns:c16="http://schemas.microsoft.com/office/drawing/2014/chart" uri="{C3380CC4-5D6E-409C-BE32-E72D297353CC}">
              <c16:uniqueId val="{00000000-0653-473A-887D-1F69D5C07AB2}"/>
            </c:ext>
          </c:extLst>
        </c:ser>
        <c:ser>
          <c:idx val="8"/>
          <c:order val="1"/>
          <c:tx>
            <c:strRef>
              <c:f>'Graf 2+3'!$I$13</c:f>
              <c:strCache>
                <c:ptCount val="1"/>
                <c:pt idx="0">
                  <c:v>Priemysel</c:v>
                </c:pt>
              </c:strCache>
            </c:strRef>
          </c:tx>
          <c:spPr>
            <a:solidFill>
              <a:srgbClr val="C6D9F1"/>
            </a:solidFill>
            <a:ln>
              <a:noFill/>
            </a:ln>
          </c:spPr>
          <c:invertIfNegative val="0"/>
          <c:cat>
            <c:strRef>
              <c:f>'Graf 2+3'!$K$11:$P$11</c:f>
              <c:strCache>
                <c:ptCount val="6"/>
                <c:pt idx="0">
                  <c:v>2020</c:v>
                </c:pt>
                <c:pt idx="1">
                  <c:v>2021</c:v>
                </c:pt>
                <c:pt idx="2">
                  <c:v>2022F</c:v>
                </c:pt>
                <c:pt idx="3">
                  <c:v>2023F</c:v>
                </c:pt>
                <c:pt idx="4">
                  <c:v>2024F</c:v>
                </c:pt>
                <c:pt idx="5">
                  <c:v>2025F</c:v>
                </c:pt>
              </c:strCache>
            </c:strRef>
          </c:cat>
          <c:val>
            <c:numRef>
              <c:f>'Graf 2+3'!$K$13:$P$13</c:f>
              <c:numCache>
                <c:formatCode>0.0</c:formatCode>
                <c:ptCount val="6"/>
                <c:pt idx="0">
                  <c:v>-0.97186721686248934</c:v>
                </c:pt>
                <c:pt idx="1">
                  <c:v>-0.36885126319781958</c:v>
                </c:pt>
                <c:pt idx="2">
                  <c:v>5.2652200431727102E-2</c:v>
                </c:pt>
                <c:pt idx="3">
                  <c:v>0.4503597011777532</c:v>
                </c:pt>
                <c:pt idx="4">
                  <c:v>0.50377740795047621</c:v>
                </c:pt>
                <c:pt idx="5">
                  <c:v>0.23091057013207195</c:v>
                </c:pt>
              </c:numCache>
            </c:numRef>
          </c:val>
          <c:extLst xmlns:c16r2="http://schemas.microsoft.com/office/drawing/2015/06/chart">
            <c:ext xmlns:c16="http://schemas.microsoft.com/office/drawing/2014/chart" uri="{C3380CC4-5D6E-409C-BE32-E72D297353CC}">
              <c16:uniqueId val="{00000001-0653-473A-887D-1F69D5C07AB2}"/>
            </c:ext>
          </c:extLst>
        </c:ser>
        <c:ser>
          <c:idx val="0"/>
          <c:order val="2"/>
          <c:tx>
            <c:strRef>
              <c:f>'Graf 2+3'!$I$16</c:f>
              <c:strCache>
                <c:ptCount val="1"/>
                <c:pt idx="0">
                  <c:v>Stavebníctvo</c:v>
                </c:pt>
              </c:strCache>
            </c:strRef>
          </c:tx>
          <c:spPr>
            <a:solidFill>
              <a:srgbClr val="1F497D"/>
            </a:solidFill>
          </c:spPr>
          <c:invertIfNegative val="0"/>
          <c:cat>
            <c:strRef>
              <c:f>'Graf 2+3'!$K$11:$P$11</c:f>
              <c:strCache>
                <c:ptCount val="6"/>
                <c:pt idx="0">
                  <c:v>2020</c:v>
                </c:pt>
                <c:pt idx="1">
                  <c:v>2021</c:v>
                </c:pt>
                <c:pt idx="2">
                  <c:v>2022F</c:v>
                </c:pt>
                <c:pt idx="3">
                  <c:v>2023F</c:v>
                </c:pt>
                <c:pt idx="4">
                  <c:v>2024F</c:v>
                </c:pt>
                <c:pt idx="5">
                  <c:v>2025F</c:v>
                </c:pt>
              </c:strCache>
            </c:strRef>
          </c:cat>
          <c:val>
            <c:numRef>
              <c:f>'Graf 2+3'!$K$16:$P$16</c:f>
              <c:numCache>
                <c:formatCode>0.0</c:formatCode>
                <c:ptCount val="6"/>
                <c:pt idx="0">
                  <c:v>-5.549670986712571E-2</c:v>
                </c:pt>
                <c:pt idx="1">
                  <c:v>3.1762307894309054E-2</c:v>
                </c:pt>
                <c:pt idx="2">
                  <c:v>2.8991479119672783E-2</c:v>
                </c:pt>
                <c:pt idx="3">
                  <c:v>0.10534104501231085</c:v>
                </c:pt>
                <c:pt idx="4">
                  <c:v>4.5665427988412638E-2</c:v>
                </c:pt>
                <c:pt idx="5">
                  <c:v>5.7015297187392837E-3</c:v>
                </c:pt>
              </c:numCache>
            </c:numRef>
          </c:val>
          <c:extLst xmlns:c16r2="http://schemas.microsoft.com/office/drawing/2015/06/chart">
            <c:ext xmlns:c16="http://schemas.microsoft.com/office/drawing/2014/chart" uri="{C3380CC4-5D6E-409C-BE32-E72D297353CC}">
              <c16:uniqueId val="{00000002-0653-473A-887D-1F69D5C07AB2}"/>
            </c:ext>
          </c:extLst>
        </c:ser>
        <c:ser>
          <c:idx val="1"/>
          <c:order val="3"/>
          <c:tx>
            <c:strRef>
              <c:f>'Graf 2+3'!$I$15</c:f>
              <c:strCache>
                <c:ptCount val="1"/>
                <c:pt idx="0">
                  <c:v>Verejný sektor</c:v>
                </c:pt>
              </c:strCache>
            </c:strRef>
          </c:tx>
          <c:spPr>
            <a:solidFill>
              <a:srgbClr val="9E9E9E"/>
            </a:solidFill>
          </c:spPr>
          <c:invertIfNegative val="0"/>
          <c:cat>
            <c:strRef>
              <c:f>'Graf 2+3'!$K$11:$P$11</c:f>
              <c:strCache>
                <c:ptCount val="6"/>
                <c:pt idx="0">
                  <c:v>2020</c:v>
                </c:pt>
                <c:pt idx="1">
                  <c:v>2021</c:v>
                </c:pt>
                <c:pt idx="2">
                  <c:v>2022F</c:v>
                </c:pt>
                <c:pt idx="3">
                  <c:v>2023F</c:v>
                </c:pt>
                <c:pt idx="4">
                  <c:v>2024F</c:v>
                </c:pt>
                <c:pt idx="5">
                  <c:v>2025F</c:v>
                </c:pt>
              </c:strCache>
            </c:strRef>
          </c:cat>
          <c:val>
            <c:numRef>
              <c:f>'Graf 2+3'!$K$15:$P$15</c:f>
              <c:numCache>
                <c:formatCode>0.0</c:formatCode>
                <c:ptCount val="6"/>
                <c:pt idx="0">
                  <c:v>0.150090586007632</c:v>
                </c:pt>
                <c:pt idx="1">
                  <c:v>-2.5259788167917203E-2</c:v>
                </c:pt>
                <c:pt idx="2">
                  <c:v>0.23430396348119897</c:v>
                </c:pt>
                <c:pt idx="3">
                  <c:v>-8.0689669364011049E-2</c:v>
                </c:pt>
                <c:pt idx="4">
                  <c:v>-0.22837827258910798</c:v>
                </c:pt>
                <c:pt idx="5">
                  <c:v>-0.21360614304595646</c:v>
                </c:pt>
              </c:numCache>
            </c:numRef>
          </c:val>
          <c:extLst xmlns:c16r2="http://schemas.microsoft.com/office/drawing/2015/06/chart">
            <c:ext xmlns:c16="http://schemas.microsoft.com/office/drawing/2014/chart" uri="{C3380CC4-5D6E-409C-BE32-E72D297353CC}">
              <c16:uniqueId val="{00000003-0653-473A-887D-1F69D5C07AB2}"/>
            </c:ext>
          </c:extLst>
        </c:ser>
        <c:ser>
          <c:idx val="2"/>
          <c:order val="4"/>
          <c:tx>
            <c:strRef>
              <c:f>'Graf 2+3'!$I$14</c:f>
              <c:strCache>
                <c:ptCount val="1"/>
                <c:pt idx="0">
                  <c:v>Trhové služby</c:v>
                </c:pt>
              </c:strCache>
            </c:strRef>
          </c:tx>
          <c:spPr>
            <a:solidFill>
              <a:srgbClr val="555555"/>
            </a:solidFill>
          </c:spPr>
          <c:invertIfNegative val="0"/>
          <c:cat>
            <c:strRef>
              <c:f>'Graf 2+3'!$K$11:$P$11</c:f>
              <c:strCache>
                <c:ptCount val="6"/>
                <c:pt idx="0">
                  <c:v>2020</c:v>
                </c:pt>
                <c:pt idx="1">
                  <c:v>2021</c:v>
                </c:pt>
                <c:pt idx="2">
                  <c:v>2022F</c:v>
                </c:pt>
                <c:pt idx="3">
                  <c:v>2023F</c:v>
                </c:pt>
                <c:pt idx="4">
                  <c:v>2024F</c:v>
                </c:pt>
                <c:pt idx="5">
                  <c:v>2025F</c:v>
                </c:pt>
              </c:strCache>
            </c:strRef>
          </c:cat>
          <c:val>
            <c:numRef>
              <c:f>'Graf 2+3'!$K$14:$P$14</c:f>
              <c:numCache>
                <c:formatCode>0.0</c:formatCode>
                <c:ptCount val="6"/>
                <c:pt idx="0">
                  <c:v>-0.93301543029375456</c:v>
                </c:pt>
                <c:pt idx="1">
                  <c:v>-8.3949196980501753E-2</c:v>
                </c:pt>
                <c:pt idx="2">
                  <c:v>0.34605797204639516</c:v>
                </c:pt>
                <c:pt idx="3">
                  <c:v>1.1263733784336225</c:v>
                </c:pt>
                <c:pt idx="4">
                  <c:v>0.26255551550313799</c:v>
                </c:pt>
                <c:pt idx="5">
                  <c:v>2.2424132755814528E-2</c:v>
                </c:pt>
              </c:numCache>
            </c:numRef>
          </c:val>
          <c:extLst xmlns:c16r2="http://schemas.microsoft.com/office/drawing/2015/06/chart">
            <c:ext xmlns:c16="http://schemas.microsoft.com/office/drawing/2014/chart" uri="{C3380CC4-5D6E-409C-BE32-E72D297353CC}">
              <c16:uniqueId val="{00000004-0653-473A-887D-1F69D5C07AB2}"/>
            </c:ext>
          </c:extLst>
        </c:ser>
        <c:dLbls>
          <c:showLegendKey val="0"/>
          <c:showVal val="0"/>
          <c:showCatName val="0"/>
          <c:showSerName val="0"/>
          <c:showPercent val="0"/>
          <c:showBubbleSize val="0"/>
        </c:dLbls>
        <c:gapWidth val="150"/>
        <c:overlap val="100"/>
        <c:axId val="498079840"/>
        <c:axId val="498080232"/>
      </c:barChart>
      <c:lineChart>
        <c:grouping val="standard"/>
        <c:varyColors val="0"/>
        <c:ser>
          <c:idx val="3"/>
          <c:order val="5"/>
          <c:tx>
            <c:strRef>
              <c:f>'Graf 2+3'!$I$17</c:f>
              <c:strCache>
                <c:ptCount val="1"/>
                <c:pt idx="0">
                  <c:v>Hospodárstvo spolu</c:v>
                </c:pt>
              </c:strCache>
            </c:strRef>
          </c:tx>
          <c:spPr>
            <a:ln w="19050">
              <a:solidFill>
                <a:sysClr val="windowText" lastClr="000000"/>
              </a:solidFill>
            </a:ln>
          </c:spPr>
          <c:marker>
            <c:symbol val="none"/>
          </c:marker>
          <c:cat>
            <c:strRef>
              <c:f>'Graf 2+3'!$K$11:$P$11</c:f>
              <c:strCache>
                <c:ptCount val="6"/>
                <c:pt idx="0">
                  <c:v>2020</c:v>
                </c:pt>
                <c:pt idx="1">
                  <c:v>2021</c:v>
                </c:pt>
                <c:pt idx="2">
                  <c:v>2022F</c:v>
                </c:pt>
                <c:pt idx="3">
                  <c:v>2023F</c:v>
                </c:pt>
                <c:pt idx="4">
                  <c:v>2024F</c:v>
                </c:pt>
                <c:pt idx="5">
                  <c:v>2025F</c:v>
                </c:pt>
              </c:strCache>
            </c:strRef>
          </c:cat>
          <c:val>
            <c:numRef>
              <c:f>'Graf 2+3'!$K$17:$P$17</c:f>
              <c:numCache>
                <c:formatCode>0.0</c:formatCode>
                <c:ptCount val="6"/>
                <c:pt idx="0">
                  <c:v>-1.8861519963683349</c:v>
                </c:pt>
                <c:pt idx="1">
                  <c:v>-0.5815586873247014</c:v>
                </c:pt>
                <c:pt idx="2">
                  <c:v>0.57671633379394738</c:v>
                </c:pt>
                <c:pt idx="3">
                  <c:v>1.6013844552596801</c:v>
                </c:pt>
                <c:pt idx="4">
                  <c:v>0.5836200788529089</c:v>
                </c:pt>
                <c:pt idx="5">
                  <c:v>4.5430089560682951E-2</c:v>
                </c:pt>
              </c:numCache>
            </c:numRef>
          </c:val>
          <c:smooth val="0"/>
          <c:extLst xmlns:c16r2="http://schemas.microsoft.com/office/drawing/2015/06/chart">
            <c:ext xmlns:c16="http://schemas.microsoft.com/office/drawing/2014/chart" uri="{C3380CC4-5D6E-409C-BE32-E72D297353CC}">
              <c16:uniqueId val="{00000005-0653-473A-887D-1F69D5C07AB2}"/>
            </c:ext>
          </c:extLst>
        </c:ser>
        <c:dLbls>
          <c:showLegendKey val="0"/>
          <c:showVal val="0"/>
          <c:showCatName val="0"/>
          <c:showSerName val="0"/>
          <c:showPercent val="0"/>
          <c:showBubbleSize val="0"/>
        </c:dLbls>
        <c:marker val="1"/>
        <c:smooth val="0"/>
        <c:axId val="498079840"/>
        <c:axId val="498080232"/>
      </c:lineChart>
      <c:catAx>
        <c:axId val="498079840"/>
        <c:scaling>
          <c:orientation val="minMax"/>
        </c:scaling>
        <c:delete val="0"/>
        <c:axPos val="b"/>
        <c:numFmt formatCode="General" sourceLinked="1"/>
        <c:majorTickMark val="out"/>
        <c:minorTickMark val="none"/>
        <c:tickLblPos val="low"/>
        <c:crossAx val="498080232"/>
        <c:crosses val="autoZero"/>
        <c:auto val="1"/>
        <c:lblAlgn val="ctr"/>
        <c:lblOffset val="100"/>
        <c:noMultiLvlLbl val="0"/>
      </c:catAx>
      <c:valAx>
        <c:axId val="498080232"/>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crossAx val="498079840"/>
        <c:crosses val="autoZero"/>
        <c:crossBetween val="between"/>
      </c:valAx>
    </c:plotArea>
    <c:legend>
      <c:legendPos val="r"/>
      <c:layout>
        <c:manualLayout>
          <c:xMode val="edge"/>
          <c:yMode val="edge"/>
          <c:x val="0.40306808793747578"/>
          <c:y val="0.44448944235702409"/>
          <c:w val="0.57696247230934572"/>
          <c:h val="0.46834378281420164"/>
        </c:manualLayout>
      </c:layout>
      <c:overlay val="0"/>
    </c:legend>
    <c:plotVisOnly val="1"/>
    <c:dispBlanksAs val="gap"/>
    <c:showDLblsOverMax val="0"/>
  </c:chart>
  <c:spPr>
    <a:ln>
      <a:noFill/>
    </a:ln>
  </c:spPr>
  <c:txPr>
    <a:bodyPr/>
    <a:lstStyle/>
    <a:p>
      <a:pPr>
        <a:defRPr sz="800">
          <a:latin typeface="Arial Narrow" panose="020B0606020202030204" pitchFamily="34" charset="0"/>
        </a:defRPr>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099679777191692E-2"/>
          <c:y val="8.5242482034935022E-2"/>
          <c:w val="0.89093095636884034"/>
          <c:h val="0.75584386814033566"/>
        </c:manualLayout>
      </c:layout>
      <c:barChart>
        <c:barDir val="col"/>
        <c:grouping val="stacked"/>
        <c:varyColors val="0"/>
        <c:ser>
          <c:idx val="5"/>
          <c:order val="0"/>
          <c:tx>
            <c:strRef>
              <c:f>'Graf 4+5'!$I$5</c:f>
              <c:strCache>
                <c:ptCount val="1"/>
                <c:pt idx="0">
                  <c:v>Tovary</c:v>
                </c:pt>
              </c:strCache>
            </c:strRef>
          </c:tx>
          <c:spPr>
            <a:solidFill>
              <a:srgbClr val="2C9ADC"/>
            </a:solidFill>
          </c:spPr>
          <c:invertIfNegative val="0"/>
          <c:cat>
            <c:strRef>
              <c:f>'Graf 4+5'!$U$4:$Z$4</c:f>
              <c:strCache>
                <c:ptCount val="6"/>
                <c:pt idx="0">
                  <c:v>2020</c:v>
                </c:pt>
                <c:pt idx="1">
                  <c:v>2021</c:v>
                </c:pt>
                <c:pt idx="2">
                  <c:v>2022F</c:v>
                </c:pt>
                <c:pt idx="3">
                  <c:v>2023F</c:v>
                </c:pt>
                <c:pt idx="4">
                  <c:v>2024F</c:v>
                </c:pt>
                <c:pt idx="5">
                  <c:v>2025F</c:v>
                </c:pt>
              </c:strCache>
            </c:strRef>
          </c:cat>
          <c:val>
            <c:numRef>
              <c:f>'Graf 4+5'!$U$5:$Z$5</c:f>
              <c:numCache>
                <c:formatCode>0.0</c:formatCode>
                <c:ptCount val="6"/>
                <c:pt idx="0">
                  <c:v>1.1025200682286451</c:v>
                </c:pt>
                <c:pt idx="1">
                  <c:v>-2.6475417090837998E-2</c:v>
                </c:pt>
                <c:pt idx="2">
                  <c:v>-1.1215285405438795</c:v>
                </c:pt>
                <c:pt idx="3">
                  <c:v>-0.7060775077585203</c:v>
                </c:pt>
                <c:pt idx="4">
                  <c:v>3.2182881054204797E-2</c:v>
                </c:pt>
                <c:pt idx="5">
                  <c:v>0.8055196658908883</c:v>
                </c:pt>
              </c:numCache>
            </c:numRef>
          </c:val>
          <c:extLst xmlns:c16r2="http://schemas.microsoft.com/office/drawing/2015/06/chart">
            <c:ext xmlns:c16="http://schemas.microsoft.com/office/drawing/2014/chart" uri="{C3380CC4-5D6E-409C-BE32-E72D297353CC}">
              <c16:uniqueId val="{00000000-E4F0-4AC7-B49C-15F9A85BA648}"/>
            </c:ext>
          </c:extLst>
        </c:ser>
        <c:ser>
          <c:idx val="8"/>
          <c:order val="1"/>
          <c:tx>
            <c:strRef>
              <c:f>'Graf 4+5'!$I$6</c:f>
              <c:strCache>
                <c:ptCount val="1"/>
                <c:pt idx="0">
                  <c:v>Služby</c:v>
                </c:pt>
              </c:strCache>
            </c:strRef>
          </c:tx>
          <c:spPr>
            <a:solidFill>
              <a:schemeClr val="tx2">
                <a:lumMod val="20000"/>
                <a:lumOff val="80000"/>
              </a:schemeClr>
            </a:solidFill>
            <a:ln>
              <a:noFill/>
            </a:ln>
          </c:spPr>
          <c:invertIfNegative val="0"/>
          <c:cat>
            <c:strRef>
              <c:f>'Graf 4+5'!$U$4:$Z$4</c:f>
              <c:strCache>
                <c:ptCount val="6"/>
                <c:pt idx="0">
                  <c:v>2020</c:v>
                </c:pt>
                <c:pt idx="1">
                  <c:v>2021</c:v>
                </c:pt>
                <c:pt idx="2">
                  <c:v>2022F</c:v>
                </c:pt>
                <c:pt idx="3">
                  <c:v>2023F</c:v>
                </c:pt>
                <c:pt idx="4">
                  <c:v>2024F</c:v>
                </c:pt>
                <c:pt idx="5">
                  <c:v>2025F</c:v>
                </c:pt>
              </c:strCache>
            </c:strRef>
          </c:cat>
          <c:val>
            <c:numRef>
              <c:f>'Graf 4+5'!$U$6:$Z$6</c:f>
              <c:numCache>
                <c:formatCode>0.0</c:formatCode>
                <c:ptCount val="6"/>
                <c:pt idx="0">
                  <c:v>1.1814155508837756</c:v>
                </c:pt>
                <c:pt idx="1">
                  <c:v>0.81874243811556913</c:v>
                </c:pt>
                <c:pt idx="2">
                  <c:v>0.73428647907016609</c:v>
                </c:pt>
                <c:pt idx="3">
                  <c:v>0.79467708193996078</c:v>
                </c:pt>
                <c:pt idx="4">
                  <c:v>0.9067206168554991</c:v>
                </c:pt>
                <c:pt idx="5">
                  <c:v>1.0070437463967483</c:v>
                </c:pt>
              </c:numCache>
            </c:numRef>
          </c:val>
          <c:extLst xmlns:c16r2="http://schemas.microsoft.com/office/drawing/2015/06/chart">
            <c:ext xmlns:c16="http://schemas.microsoft.com/office/drawing/2014/chart" uri="{C3380CC4-5D6E-409C-BE32-E72D297353CC}">
              <c16:uniqueId val="{00000001-E4F0-4AC7-B49C-15F9A85BA648}"/>
            </c:ext>
          </c:extLst>
        </c:ser>
        <c:ser>
          <c:idx val="0"/>
          <c:order val="2"/>
          <c:tx>
            <c:strRef>
              <c:f>'Graf 4+5'!$I$7</c:f>
              <c:strCache>
                <c:ptCount val="1"/>
                <c:pt idx="0">
                  <c:v>Primárne výnosy</c:v>
                </c:pt>
              </c:strCache>
            </c:strRef>
          </c:tx>
          <c:invertIfNegative val="0"/>
          <c:cat>
            <c:strRef>
              <c:f>'Graf 4+5'!$U$4:$Z$4</c:f>
              <c:strCache>
                <c:ptCount val="6"/>
                <c:pt idx="0">
                  <c:v>2020</c:v>
                </c:pt>
                <c:pt idx="1">
                  <c:v>2021</c:v>
                </c:pt>
                <c:pt idx="2">
                  <c:v>2022F</c:v>
                </c:pt>
                <c:pt idx="3">
                  <c:v>2023F</c:v>
                </c:pt>
                <c:pt idx="4">
                  <c:v>2024F</c:v>
                </c:pt>
                <c:pt idx="5">
                  <c:v>2025F</c:v>
                </c:pt>
              </c:strCache>
            </c:strRef>
          </c:cat>
          <c:val>
            <c:numRef>
              <c:f>'Graf 4+5'!$U$7:$Z$7</c:f>
              <c:numCache>
                <c:formatCode>0.0</c:formatCode>
                <c:ptCount val="6"/>
                <c:pt idx="0">
                  <c:v>-1.1690396025961722</c:v>
                </c:pt>
                <c:pt idx="1">
                  <c:v>-1.0001700793412607</c:v>
                </c:pt>
                <c:pt idx="2">
                  <c:v>-0.35727921980000105</c:v>
                </c:pt>
                <c:pt idx="3">
                  <c:v>-0.54197527992580552</c:v>
                </c:pt>
                <c:pt idx="4">
                  <c:v>-0.94702926991035596</c:v>
                </c:pt>
                <c:pt idx="5">
                  <c:v>-1.3657963404935578</c:v>
                </c:pt>
              </c:numCache>
            </c:numRef>
          </c:val>
          <c:extLst xmlns:c16r2="http://schemas.microsoft.com/office/drawing/2015/06/chart">
            <c:ext xmlns:c16="http://schemas.microsoft.com/office/drawing/2014/chart" uri="{C3380CC4-5D6E-409C-BE32-E72D297353CC}">
              <c16:uniqueId val="{00000002-E4F0-4AC7-B49C-15F9A85BA648}"/>
            </c:ext>
          </c:extLst>
        </c:ser>
        <c:ser>
          <c:idx val="1"/>
          <c:order val="3"/>
          <c:tx>
            <c:strRef>
              <c:f>'Graf 4+5'!$I$8</c:f>
              <c:strCache>
                <c:ptCount val="1"/>
                <c:pt idx="0">
                  <c:v>Sekundárne výnosy</c:v>
                </c:pt>
              </c:strCache>
            </c:strRef>
          </c:tx>
          <c:invertIfNegative val="0"/>
          <c:cat>
            <c:strRef>
              <c:f>'Graf 4+5'!$U$4:$Z$4</c:f>
              <c:strCache>
                <c:ptCount val="6"/>
                <c:pt idx="0">
                  <c:v>2020</c:v>
                </c:pt>
                <c:pt idx="1">
                  <c:v>2021</c:v>
                </c:pt>
                <c:pt idx="2">
                  <c:v>2022F</c:v>
                </c:pt>
                <c:pt idx="3">
                  <c:v>2023F</c:v>
                </c:pt>
                <c:pt idx="4">
                  <c:v>2024F</c:v>
                </c:pt>
                <c:pt idx="5">
                  <c:v>2025F</c:v>
                </c:pt>
              </c:strCache>
            </c:strRef>
          </c:cat>
          <c:val>
            <c:numRef>
              <c:f>'Graf 4+5'!$U$8:$Z$8</c:f>
              <c:numCache>
                <c:formatCode>0.0</c:formatCode>
                <c:ptCount val="6"/>
                <c:pt idx="0">
                  <c:v>-1.0008918154451145</c:v>
                </c:pt>
                <c:pt idx="1">
                  <c:v>-0.80673988471261138</c:v>
                </c:pt>
                <c:pt idx="2">
                  <c:v>-0.45831842353458441</c:v>
                </c:pt>
                <c:pt idx="3">
                  <c:v>-0.52364552362783301</c:v>
                </c:pt>
                <c:pt idx="4">
                  <c:v>-0.71596926144920625</c:v>
                </c:pt>
                <c:pt idx="5">
                  <c:v>-0.9161827034402622</c:v>
                </c:pt>
              </c:numCache>
            </c:numRef>
          </c:val>
          <c:extLst xmlns:c16r2="http://schemas.microsoft.com/office/drawing/2015/06/chart">
            <c:ext xmlns:c16="http://schemas.microsoft.com/office/drawing/2014/chart" uri="{C3380CC4-5D6E-409C-BE32-E72D297353CC}">
              <c16:uniqueId val="{00000003-E4F0-4AC7-B49C-15F9A85BA648}"/>
            </c:ext>
          </c:extLst>
        </c:ser>
        <c:dLbls>
          <c:showLegendKey val="0"/>
          <c:showVal val="0"/>
          <c:showCatName val="0"/>
          <c:showSerName val="0"/>
          <c:showPercent val="0"/>
          <c:showBubbleSize val="0"/>
        </c:dLbls>
        <c:gapWidth val="150"/>
        <c:overlap val="100"/>
        <c:axId val="498081016"/>
        <c:axId val="498081408"/>
      </c:barChart>
      <c:lineChart>
        <c:grouping val="standard"/>
        <c:varyColors val="0"/>
        <c:ser>
          <c:idx val="3"/>
          <c:order val="4"/>
          <c:tx>
            <c:strRef>
              <c:f>'Graf 4+5'!$I$9</c:f>
              <c:strCache>
                <c:ptCount val="1"/>
                <c:pt idx="0">
                  <c:v>BÚ PB</c:v>
                </c:pt>
              </c:strCache>
            </c:strRef>
          </c:tx>
          <c:spPr>
            <a:ln w="19050">
              <a:solidFill>
                <a:sysClr val="windowText" lastClr="000000"/>
              </a:solidFill>
            </a:ln>
          </c:spPr>
          <c:marker>
            <c:symbol val="none"/>
          </c:marker>
          <c:cat>
            <c:strRef>
              <c:f>'Graf 4+5'!$U$4:$Z$4</c:f>
              <c:strCache>
                <c:ptCount val="6"/>
                <c:pt idx="0">
                  <c:v>2020</c:v>
                </c:pt>
                <c:pt idx="1">
                  <c:v>2021</c:v>
                </c:pt>
                <c:pt idx="2">
                  <c:v>2022F</c:v>
                </c:pt>
                <c:pt idx="3">
                  <c:v>2023F</c:v>
                </c:pt>
                <c:pt idx="4">
                  <c:v>2024F</c:v>
                </c:pt>
                <c:pt idx="5">
                  <c:v>2025F</c:v>
                </c:pt>
              </c:strCache>
            </c:strRef>
          </c:cat>
          <c:val>
            <c:numRef>
              <c:f>'Graf 4+5'!$U$9:$Z$9</c:f>
              <c:numCache>
                <c:formatCode>0.0</c:formatCode>
                <c:ptCount val="6"/>
                <c:pt idx="0">
                  <c:v>0.11400420107112767</c:v>
                </c:pt>
                <c:pt idx="1">
                  <c:v>-1.0146429430291339</c:v>
                </c:pt>
                <c:pt idx="2">
                  <c:v>-1.2028397048083017</c:v>
                </c:pt>
                <c:pt idx="3">
                  <c:v>-0.97702122937219227</c:v>
                </c:pt>
                <c:pt idx="4">
                  <c:v>-0.72409503344985693</c:v>
                </c:pt>
                <c:pt idx="5">
                  <c:v>-0.46941563164617939</c:v>
                </c:pt>
              </c:numCache>
            </c:numRef>
          </c:val>
          <c:smooth val="0"/>
          <c:extLst xmlns:c16r2="http://schemas.microsoft.com/office/drawing/2015/06/chart">
            <c:ext xmlns:c16="http://schemas.microsoft.com/office/drawing/2014/chart" uri="{C3380CC4-5D6E-409C-BE32-E72D297353CC}">
              <c16:uniqueId val="{00000004-E4F0-4AC7-B49C-15F9A85BA648}"/>
            </c:ext>
          </c:extLst>
        </c:ser>
        <c:dLbls>
          <c:showLegendKey val="0"/>
          <c:showVal val="0"/>
          <c:showCatName val="0"/>
          <c:showSerName val="0"/>
          <c:showPercent val="0"/>
          <c:showBubbleSize val="0"/>
        </c:dLbls>
        <c:marker val="1"/>
        <c:smooth val="0"/>
        <c:axId val="498081016"/>
        <c:axId val="498081408"/>
      </c:lineChart>
      <c:catAx>
        <c:axId val="498081016"/>
        <c:scaling>
          <c:orientation val="minMax"/>
        </c:scaling>
        <c:delete val="0"/>
        <c:axPos val="b"/>
        <c:numFmt formatCode="General" sourceLinked="1"/>
        <c:majorTickMark val="out"/>
        <c:minorTickMark val="none"/>
        <c:tickLblPos val="low"/>
        <c:txPr>
          <a:bodyPr/>
          <a:lstStyle/>
          <a:p>
            <a:pPr>
              <a:defRPr sz="800"/>
            </a:pPr>
            <a:endParaRPr lang="sk-SK"/>
          </a:p>
        </c:txPr>
        <c:crossAx val="498081408"/>
        <c:crosses val="autoZero"/>
        <c:auto val="1"/>
        <c:lblAlgn val="ctr"/>
        <c:lblOffset val="100"/>
        <c:noMultiLvlLbl val="0"/>
      </c:catAx>
      <c:valAx>
        <c:axId val="498081408"/>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800"/>
            </a:pPr>
            <a:endParaRPr lang="sk-SK"/>
          </a:p>
        </c:txPr>
        <c:crossAx val="498081016"/>
        <c:crosses val="autoZero"/>
        <c:crossBetween val="between"/>
      </c:valAx>
    </c:plotArea>
    <c:legend>
      <c:legendPos val="b"/>
      <c:layout>
        <c:manualLayout>
          <c:xMode val="edge"/>
          <c:yMode val="edge"/>
          <c:x val="7.2660898376296121E-2"/>
          <c:y val="1.1594789183462156E-2"/>
          <c:w val="0.9104445974671419"/>
          <c:h val="0.2116468010306051"/>
        </c:manualLayout>
      </c:layout>
      <c:overlay val="0"/>
      <c:txPr>
        <a:bodyPr/>
        <a:lstStyle/>
        <a:p>
          <a:pPr>
            <a:defRPr sz="600"/>
          </a:pPr>
          <a:endParaRPr lang="sk-SK"/>
        </a:p>
      </c:txPr>
    </c:legend>
    <c:plotVisOnly val="1"/>
    <c:dispBlanksAs val="gap"/>
    <c:showDLblsOverMax val="0"/>
  </c:chart>
  <c:spPr>
    <a:ln>
      <a:noFill/>
    </a:ln>
  </c:spPr>
  <c:txPr>
    <a:bodyPr/>
    <a:lstStyle/>
    <a:p>
      <a:pPr>
        <a:defRPr>
          <a:latin typeface="Arial Narrow" pitchFamily="34" charset="0"/>
        </a:defRPr>
      </a:pPr>
      <a:endParaRPr lang="sk-S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98591299275993E-2"/>
          <c:y val="5.9986353855937424E-2"/>
          <c:w val="0.8809365133706113"/>
          <c:h val="0.83395502440461289"/>
        </c:manualLayout>
      </c:layout>
      <c:barChart>
        <c:barDir val="col"/>
        <c:grouping val="stacked"/>
        <c:varyColors val="0"/>
        <c:ser>
          <c:idx val="1"/>
          <c:order val="1"/>
          <c:tx>
            <c:strRef>
              <c:f>'Graf 4+5'!$I$15</c:f>
              <c:strCache>
                <c:ptCount val="1"/>
                <c:pt idx="0">
                  <c:v>Čistá inflácia</c:v>
                </c:pt>
              </c:strCache>
            </c:strRef>
          </c:tx>
          <c:spPr>
            <a:solidFill>
              <a:srgbClr val="2C9ADC"/>
            </a:solidFill>
            <a:ln>
              <a:noFill/>
            </a:ln>
            <a:effectLst/>
          </c:spPr>
          <c:invertIfNegative val="0"/>
          <c:cat>
            <c:strRef>
              <c:f>'Graf 4+5'!$O$13:$T$13</c:f>
              <c:strCache>
                <c:ptCount val="6"/>
                <c:pt idx="0">
                  <c:v>2020</c:v>
                </c:pt>
                <c:pt idx="1">
                  <c:v>2021F</c:v>
                </c:pt>
                <c:pt idx="2">
                  <c:v>2022F</c:v>
                </c:pt>
                <c:pt idx="3">
                  <c:v>2023F</c:v>
                </c:pt>
                <c:pt idx="4">
                  <c:v>2024F</c:v>
                </c:pt>
                <c:pt idx="5">
                  <c:v>2025F</c:v>
                </c:pt>
              </c:strCache>
            </c:strRef>
          </c:cat>
          <c:val>
            <c:numRef>
              <c:f>'Graf 4+5'!$O$15:$T$15</c:f>
              <c:numCache>
                <c:formatCode>0.0</c:formatCode>
                <c:ptCount val="6"/>
                <c:pt idx="0">
                  <c:v>0.60191102151064746</c:v>
                </c:pt>
                <c:pt idx="1">
                  <c:v>2.7902094620460165</c:v>
                </c:pt>
                <c:pt idx="2">
                  <c:v>4.416884825014705</c:v>
                </c:pt>
                <c:pt idx="3">
                  <c:v>2.2469959026090338</c:v>
                </c:pt>
                <c:pt idx="4">
                  <c:v>1.5446278415540604</c:v>
                </c:pt>
                <c:pt idx="5">
                  <c:v>1.6008709012463476</c:v>
                </c:pt>
              </c:numCache>
            </c:numRef>
          </c:val>
          <c:extLst xmlns:c16r2="http://schemas.microsoft.com/office/drawing/2015/06/chart">
            <c:ext xmlns:c16="http://schemas.microsoft.com/office/drawing/2014/chart" uri="{C3380CC4-5D6E-409C-BE32-E72D297353CC}">
              <c16:uniqueId val="{00000000-E7EC-4EF3-B1EA-D5A7BB8C7E11}"/>
            </c:ext>
          </c:extLst>
        </c:ser>
        <c:ser>
          <c:idx val="2"/>
          <c:order val="2"/>
          <c:tx>
            <c:strRef>
              <c:f>'Graf 4+5'!$I$16</c:f>
              <c:strCache>
                <c:ptCount val="1"/>
                <c:pt idx="0">
                  <c:v>Ceny potravín</c:v>
                </c:pt>
              </c:strCache>
            </c:strRef>
          </c:tx>
          <c:spPr>
            <a:solidFill>
              <a:srgbClr val="555555"/>
            </a:solidFill>
            <a:ln>
              <a:noFill/>
            </a:ln>
            <a:effectLst/>
          </c:spPr>
          <c:invertIfNegative val="0"/>
          <c:cat>
            <c:strRef>
              <c:f>'Graf 4+5'!$O$13:$T$13</c:f>
              <c:strCache>
                <c:ptCount val="6"/>
                <c:pt idx="0">
                  <c:v>2020</c:v>
                </c:pt>
                <c:pt idx="1">
                  <c:v>2021F</c:v>
                </c:pt>
                <c:pt idx="2">
                  <c:v>2022F</c:v>
                </c:pt>
                <c:pt idx="3">
                  <c:v>2023F</c:v>
                </c:pt>
                <c:pt idx="4">
                  <c:v>2024F</c:v>
                </c:pt>
                <c:pt idx="5">
                  <c:v>2025F</c:v>
                </c:pt>
              </c:strCache>
            </c:strRef>
          </c:cat>
          <c:val>
            <c:numRef>
              <c:f>'Graf 4+5'!$O$16:$T$16</c:f>
              <c:numCache>
                <c:formatCode>0.0</c:formatCode>
                <c:ptCount val="6"/>
                <c:pt idx="0">
                  <c:v>0.43965978244380477</c:v>
                </c:pt>
                <c:pt idx="1">
                  <c:v>0.35468285405816607</c:v>
                </c:pt>
                <c:pt idx="2">
                  <c:v>2.0512996928328682</c:v>
                </c:pt>
                <c:pt idx="3">
                  <c:v>1.1499418321315953</c:v>
                </c:pt>
                <c:pt idx="4">
                  <c:v>0.8521854645965169</c:v>
                </c:pt>
                <c:pt idx="5">
                  <c:v>0.81531328418086935</c:v>
                </c:pt>
              </c:numCache>
            </c:numRef>
          </c:val>
          <c:extLst xmlns:c16r2="http://schemas.microsoft.com/office/drawing/2015/06/chart">
            <c:ext xmlns:c16="http://schemas.microsoft.com/office/drawing/2014/chart" uri="{C3380CC4-5D6E-409C-BE32-E72D297353CC}">
              <c16:uniqueId val="{00000001-E7EC-4EF3-B1EA-D5A7BB8C7E11}"/>
            </c:ext>
          </c:extLst>
        </c:ser>
        <c:ser>
          <c:idx val="3"/>
          <c:order val="3"/>
          <c:tx>
            <c:strRef>
              <c:f>'Graf 4+5'!$I$17</c:f>
              <c:strCache>
                <c:ptCount val="1"/>
                <c:pt idx="0">
                  <c:v>Regulované ceny</c:v>
                </c:pt>
              </c:strCache>
            </c:strRef>
          </c:tx>
          <c:spPr>
            <a:solidFill>
              <a:srgbClr val="BDD7EE"/>
            </a:solidFill>
            <a:ln>
              <a:noFill/>
            </a:ln>
            <a:effectLst/>
          </c:spPr>
          <c:invertIfNegative val="0"/>
          <c:cat>
            <c:strRef>
              <c:f>'Graf 4+5'!$O$13:$T$13</c:f>
              <c:strCache>
                <c:ptCount val="6"/>
                <c:pt idx="0">
                  <c:v>2020</c:v>
                </c:pt>
                <c:pt idx="1">
                  <c:v>2021F</c:v>
                </c:pt>
                <c:pt idx="2">
                  <c:v>2022F</c:v>
                </c:pt>
                <c:pt idx="3">
                  <c:v>2023F</c:v>
                </c:pt>
                <c:pt idx="4">
                  <c:v>2024F</c:v>
                </c:pt>
                <c:pt idx="5">
                  <c:v>2025F</c:v>
                </c:pt>
              </c:strCache>
            </c:strRef>
          </c:cat>
          <c:val>
            <c:numRef>
              <c:f>'Graf 4+5'!$O$17:$T$17</c:f>
              <c:numCache>
                <c:formatCode>0.0</c:formatCode>
                <c:ptCount val="6"/>
                <c:pt idx="0">
                  <c:v>0.89000710924353876</c:v>
                </c:pt>
                <c:pt idx="1">
                  <c:v>-0.10551605757211414</c:v>
                </c:pt>
                <c:pt idx="2">
                  <c:v>1.9741336342136142</c:v>
                </c:pt>
                <c:pt idx="3">
                  <c:v>3.0427419630337313</c:v>
                </c:pt>
                <c:pt idx="4">
                  <c:v>-0.34498246659177229</c:v>
                </c:pt>
                <c:pt idx="5">
                  <c:v>-0.35096820618122848</c:v>
                </c:pt>
              </c:numCache>
            </c:numRef>
          </c:val>
          <c:extLst xmlns:c16r2="http://schemas.microsoft.com/office/drawing/2015/06/chart">
            <c:ext xmlns:c16="http://schemas.microsoft.com/office/drawing/2014/chart" uri="{C3380CC4-5D6E-409C-BE32-E72D297353CC}">
              <c16:uniqueId val="{00000002-E7EC-4EF3-B1EA-D5A7BB8C7E11}"/>
            </c:ext>
          </c:extLst>
        </c:ser>
        <c:ser>
          <c:idx val="4"/>
          <c:order val="4"/>
          <c:tx>
            <c:strRef>
              <c:f>'Graf 4+5'!$I$18</c:f>
              <c:strCache>
                <c:ptCount val="1"/>
                <c:pt idx="0">
                  <c:v>Zmena nepriamych daní</c:v>
                </c:pt>
              </c:strCache>
            </c:strRef>
          </c:tx>
          <c:spPr>
            <a:solidFill>
              <a:srgbClr val="9E9E9E"/>
            </a:solidFill>
            <a:ln>
              <a:noFill/>
            </a:ln>
            <a:effectLst/>
          </c:spPr>
          <c:invertIfNegative val="0"/>
          <c:cat>
            <c:strRef>
              <c:f>'Graf 4+5'!$O$13:$T$13</c:f>
              <c:strCache>
                <c:ptCount val="6"/>
                <c:pt idx="0">
                  <c:v>2020</c:v>
                </c:pt>
                <c:pt idx="1">
                  <c:v>2021F</c:v>
                </c:pt>
                <c:pt idx="2">
                  <c:v>2022F</c:v>
                </c:pt>
                <c:pt idx="3">
                  <c:v>2023F</c:v>
                </c:pt>
                <c:pt idx="4">
                  <c:v>2024F</c:v>
                </c:pt>
                <c:pt idx="5">
                  <c:v>2025F</c:v>
                </c:pt>
              </c:strCache>
            </c:strRef>
          </c:cat>
          <c:val>
            <c:numRef>
              <c:f>'Graf 4+5'!$O$18:$T$18</c:f>
              <c:numCache>
                <c:formatCode>0.0</c:formatCode>
                <c:ptCount val="6"/>
                <c:pt idx="1">
                  <c:v>0.23931106738705676</c:v>
                </c:pt>
                <c:pt idx="2">
                  <c:v>7.3317400844105929E-2</c:v>
                </c:pt>
                <c:pt idx="3">
                  <c:v>0.10708933239105894</c:v>
                </c:pt>
                <c:pt idx="4">
                  <c:v>3.4344401880163487E-2</c:v>
                </c:pt>
                <c:pt idx="5">
                  <c:v>0</c:v>
                </c:pt>
              </c:numCache>
            </c:numRef>
          </c:val>
          <c:extLst xmlns:c16r2="http://schemas.microsoft.com/office/drawing/2015/06/chart">
            <c:ext xmlns:c16="http://schemas.microsoft.com/office/drawing/2014/chart" uri="{C3380CC4-5D6E-409C-BE32-E72D297353CC}">
              <c16:uniqueId val="{00000003-E7EC-4EF3-B1EA-D5A7BB8C7E11}"/>
            </c:ext>
          </c:extLst>
        </c:ser>
        <c:dLbls>
          <c:showLegendKey val="0"/>
          <c:showVal val="0"/>
          <c:showCatName val="0"/>
          <c:showSerName val="0"/>
          <c:showPercent val="0"/>
          <c:showBubbleSize val="0"/>
        </c:dLbls>
        <c:gapWidth val="150"/>
        <c:overlap val="100"/>
        <c:axId val="498500112"/>
        <c:axId val="498500504"/>
      </c:barChart>
      <c:lineChart>
        <c:grouping val="standard"/>
        <c:varyColors val="0"/>
        <c:ser>
          <c:idx val="0"/>
          <c:order val="0"/>
          <c:tx>
            <c:strRef>
              <c:f>'Graf 4+5'!$I$14</c:f>
              <c:strCache>
                <c:ptCount val="1"/>
                <c:pt idx="0">
                  <c:v>Celková inflácia</c:v>
                </c:pt>
              </c:strCache>
            </c:strRef>
          </c:tx>
          <c:spPr>
            <a:ln w="19050" cap="rnd">
              <a:solidFill>
                <a:schemeClr val="tx1"/>
              </a:solidFill>
              <a:round/>
            </a:ln>
            <a:effectLst/>
          </c:spPr>
          <c:marker>
            <c:symbol val="none"/>
          </c:marker>
          <c:cat>
            <c:strRef>
              <c:f>'Graf 4+5'!$O$13:$T$13</c:f>
              <c:strCache>
                <c:ptCount val="6"/>
                <c:pt idx="0">
                  <c:v>2020</c:v>
                </c:pt>
                <c:pt idx="1">
                  <c:v>2021F</c:v>
                </c:pt>
                <c:pt idx="2">
                  <c:v>2022F</c:v>
                </c:pt>
                <c:pt idx="3">
                  <c:v>2023F</c:v>
                </c:pt>
                <c:pt idx="4">
                  <c:v>2024F</c:v>
                </c:pt>
                <c:pt idx="5">
                  <c:v>2025F</c:v>
                </c:pt>
              </c:strCache>
            </c:strRef>
          </c:cat>
          <c:val>
            <c:numRef>
              <c:f>'Graf 4+5'!$O$14:$T$14</c:f>
              <c:numCache>
                <c:formatCode>0.0</c:formatCode>
                <c:ptCount val="6"/>
                <c:pt idx="0">
                  <c:v>1.9315779131979909</c:v>
                </c:pt>
                <c:pt idx="1">
                  <c:v>3.2786873259191247</c:v>
                </c:pt>
                <c:pt idx="2">
                  <c:v>8.5156355529052927</c:v>
                </c:pt>
                <c:pt idx="3">
                  <c:v>6.5467690301654198</c:v>
                </c:pt>
                <c:pt idx="4">
                  <c:v>2.0861752414389683</c:v>
                </c:pt>
                <c:pt idx="5">
                  <c:v>2.0652159792459885</c:v>
                </c:pt>
              </c:numCache>
            </c:numRef>
          </c:val>
          <c:smooth val="0"/>
          <c:extLst xmlns:c16r2="http://schemas.microsoft.com/office/drawing/2015/06/chart">
            <c:ext xmlns:c16="http://schemas.microsoft.com/office/drawing/2014/chart" uri="{C3380CC4-5D6E-409C-BE32-E72D297353CC}">
              <c16:uniqueId val="{00000004-E7EC-4EF3-B1EA-D5A7BB8C7E11}"/>
            </c:ext>
          </c:extLst>
        </c:ser>
        <c:dLbls>
          <c:showLegendKey val="0"/>
          <c:showVal val="0"/>
          <c:showCatName val="0"/>
          <c:showSerName val="0"/>
          <c:showPercent val="0"/>
          <c:showBubbleSize val="0"/>
        </c:dLbls>
        <c:marker val="1"/>
        <c:smooth val="0"/>
        <c:axId val="498500112"/>
        <c:axId val="498500504"/>
      </c:lineChart>
      <c:catAx>
        <c:axId val="498500112"/>
        <c:scaling>
          <c:orientation val="minMax"/>
        </c:scaling>
        <c:delete val="0"/>
        <c:axPos val="b"/>
        <c:numFmt formatCode="General" sourceLinked="1"/>
        <c:majorTickMark val="none"/>
        <c:minorTickMark val="none"/>
        <c:tickLblPos val="low"/>
        <c:spPr>
          <a:noFill/>
          <a:ln w="6350"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98500504"/>
        <c:crosses val="autoZero"/>
        <c:auto val="1"/>
        <c:lblAlgn val="ctr"/>
        <c:lblOffset val="100"/>
        <c:noMultiLvlLbl val="0"/>
      </c:catAx>
      <c:valAx>
        <c:axId val="498500504"/>
        <c:scaling>
          <c:orientation val="minMax"/>
        </c:scaling>
        <c:delete val="0"/>
        <c:axPos val="l"/>
        <c:majorGridlines>
          <c:spPr>
            <a:ln w="6350" cap="flat" cmpd="sng" algn="ctr">
              <a:solidFill>
                <a:schemeClr val="bg1">
                  <a:lumMod val="95000"/>
                </a:schemeClr>
              </a:solidFill>
              <a:prstDash val="sysDot"/>
              <a:round/>
            </a:ln>
            <a:effectLst/>
          </c:spPr>
        </c:majorGridlines>
        <c:numFmt formatCode="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sk-SK"/>
          </a:p>
        </c:txPr>
        <c:crossAx val="498500112"/>
        <c:crosses val="autoZero"/>
        <c:crossBetween val="between"/>
      </c:valAx>
      <c:spPr>
        <a:noFill/>
        <a:ln>
          <a:noFill/>
        </a:ln>
        <a:effectLst/>
      </c:spPr>
    </c:plotArea>
    <c:legend>
      <c:legendPos val="b"/>
      <c:layout>
        <c:manualLayout>
          <c:xMode val="edge"/>
          <c:yMode val="edge"/>
          <c:x val="0.11739223449408971"/>
          <c:y val="6.3367179639073221E-2"/>
          <c:w val="0.81092470151389506"/>
          <c:h val="0.19856536662481003"/>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sz="800" b="0">
          <a:solidFill>
            <a:sysClr val="windowText" lastClr="000000"/>
          </a:solidFill>
          <a:latin typeface="Arial Narrow" panose="020B0606020202030204" pitchFamily="34" charset="0"/>
        </a:defRPr>
      </a:pPr>
      <a:endParaRPr lang="sk-SK"/>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63768358742392E-2"/>
          <c:y val="8.4437714516454654E-2"/>
          <c:w val="0.91819511922711794"/>
          <c:h val="0.72496937882764645"/>
        </c:manualLayout>
      </c:layout>
      <c:lineChart>
        <c:grouping val="standard"/>
        <c:varyColors val="0"/>
        <c:ser>
          <c:idx val="3"/>
          <c:order val="0"/>
          <c:tx>
            <c:strRef>
              <c:f>'Graf 6'!$I$3</c:f>
              <c:strCache>
                <c:ptCount val="1"/>
                <c:pt idx="0">
                  <c:v>S&amp;P</c:v>
                </c:pt>
              </c:strCache>
            </c:strRef>
          </c:tx>
          <c:spPr>
            <a:ln w="19050">
              <a:solidFill>
                <a:srgbClr val="2C9ADC"/>
              </a:solidFill>
              <a:prstDash val="solid"/>
            </a:ln>
          </c:spPr>
          <c:marker>
            <c:symbol val="none"/>
          </c:marker>
          <c:cat>
            <c:numRef>
              <c:f>'Graf 6'!$H$4:$H$643</c:f>
              <c:numCache>
                <c:formatCode>m/d/yyyy</c:formatCode>
                <c:ptCount val="640"/>
                <c:pt idx="0">
                  <c:v>40179</c:v>
                </c:pt>
                <c:pt idx="1">
                  <c:v>40186</c:v>
                </c:pt>
                <c:pt idx="2">
                  <c:v>40193</c:v>
                </c:pt>
                <c:pt idx="3">
                  <c:v>40200</c:v>
                </c:pt>
                <c:pt idx="4">
                  <c:v>40207</c:v>
                </c:pt>
                <c:pt idx="5">
                  <c:v>40214</c:v>
                </c:pt>
                <c:pt idx="6">
                  <c:v>40221</c:v>
                </c:pt>
                <c:pt idx="7">
                  <c:v>40228</c:v>
                </c:pt>
                <c:pt idx="8">
                  <c:v>40235</c:v>
                </c:pt>
                <c:pt idx="9">
                  <c:v>40242</c:v>
                </c:pt>
                <c:pt idx="10">
                  <c:v>40249</c:v>
                </c:pt>
                <c:pt idx="11">
                  <c:v>40256</c:v>
                </c:pt>
                <c:pt idx="12">
                  <c:v>40263</c:v>
                </c:pt>
                <c:pt idx="13">
                  <c:v>40270</c:v>
                </c:pt>
                <c:pt idx="14">
                  <c:v>40277</c:v>
                </c:pt>
                <c:pt idx="15">
                  <c:v>40284</c:v>
                </c:pt>
                <c:pt idx="16">
                  <c:v>40291</c:v>
                </c:pt>
                <c:pt idx="17">
                  <c:v>40298</c:v>
                </c:pt>
                <c:pt idx="18">
                  <c:v>40305</c:v>
                </c:pt>
                <c:pt idx="19">
                  <c:v>40312</c:v>
                </c:pt>
                <c:pt idx="20">
                  <c:v>40319</c:v>
                </c:pt>
                <c:pt idx="21">
                  <c:v>40326</c:v>
                </c:pt>
                <c:pt idx="22">
                  <c:v>40333</c:v>
                </c:pt>
                <c:pt idx="23">
                  <c:v>40340</c:v>
                </c:pt>
                <c:pt idx="24">
                  <c:v>40347</c:v>
                </c:pt>
                <c:pt idx="25">
                  <c:v>40354</c:v>
                </c:pt>
                <c:pt idx="26">
                  <c:v>40361</c:v>
                </c:pt>
                <c:pt idx="27">
                  <c:v>40368</c:v>
                </c:pt>
                <c:pt idx="28">
                  <c:v>40375</c:v>
                </c:pt>
                <c:pt idx="29">
                  <c:v>40382</c:v>
                </c:pt>
                <c:pt idx="30">
                  <c:v>40389</c:v>
                </c:pt>
                <c:pt idx="31">
                  <c:v>40396</c:v>
                </c:pt>
                <c:pt idx="32">
                  <c:v>40403</c:v>
                </c:pt>
                <c:pt idx="33">
                  <c:v>40410</c:v>
                </c:pt>
                <c:pt idx="34">
                  <c:v>40417</c:v>
                </c:pt>
                <c:pt idx="35">
                  <c:v>40424</c:v>
                </c:pt>
                <c:pt idx="36">
                  <c:v>40431</c:v>
                </c:pt>
                <c:pt idx="37">
                  <c:v>40438</c:v>
                </c:pt>
                <c:pt idx="38">
                  <c:v>40445</c:v>
                </c:pt>
                <c:pt idx="39">
                  <c:v>40452</c:v>
                </c:pt>
                <c:pt idx="40">
                  <c:v>40459</c:v>
                </c:pt>
                <c:pt idx="41">
                  <c:v>40466</c:v>
                </c:pt>
                <c:pt idx="42">
                  <c:v>40473</c:v>
                </c:pt>
                <c:pt idx="43">
                  <c:v>40480</c:v>
                </c:pt>
                <c:pt idx="44">
                  <c:v>40487</c:v>
                </c:pt>
                <c:pt idx="45">
                  <c:v>40494</c:v>
                </c:pt>
                <c:pt idx="46">
                  <c:v>40501</c:v>
                </c:pt>
                <c:pt idx="47">
                  <c:v>40508</c:v>
                </c:pt>
                <c:pt idx="48">
                  <c:v>40515</c:v>
                </c:pt>
                <c:pt idx="49">
                  <c:v>40522</c:v>
                </c:pt>
                <c:pt idx="50">
                  <c:v>40529</c:v>
                </c:pt>
                <c:pt idx="51">
                  <c:v>40536</c:v>
                </c:pt>
                <c:pt idx="52">
                  <c:v>40543</c:v>
                </c:pt>
                <c:pt idx="53">
                  <c:v>40550</c:v>
                </c:pt>
                <c:pt idx="54">
                  <c:v>40557</c:v>
                </c:pt>
                <c:pt idx="55">
                  <c:v>40564</c:v>
                </c:pt>
                <c:pt idx="56">
                  <c:v>40571</c:v>
                </c:pt>
                <c:pt idx="57">
                  <c:v>40578</c:v>
                </c:pt>
                <c:pt idx="58">
                  <c:v>40585</c:v>
                </c:pt>
                <c:pt idx="59">
                  <c:v>40592</c:v>
                </c:pt>
                <c:pt idx="60">
                  <c:v>40599</c:v>
                </c:pt>
                <c:pt idx="61">
                  <c:v>40606</c:v>
                </c:pt>
                <c:pt idx="62">
                  <c:v>40613</c:v>
                </c:pt>
                <c:pt idx="63">
                  <c:v>40620</c:v>
                </c:pt>
                <c:pt idx="64">
                  <c:v>40627</c:v>
                </c:pt>
                <c:pt idx="65">
                  <c:v>40634</c:v>
                </c:pt>
                <c:pt idx="66">
                  <c:v>40641</c:v>
                </c:pt>
                <c:pt idx="67">
                  <c:v>40648</c:v>
                </c:pt>
                <c:pt idx="68">
                  <c:v>40655</c:v>
                </c:pt>
                <c:pt idx="69">
                  <c:v>40662</c:v>
                </c:pt>
                <c:pt idx="70">
                  <c:v>40669</c:v>
                </c:pt>
                <c:pt idx="71">
                  <c:v>40676</c:v>
                </c:pt>
                <c:pt idx="72">
                  <c:v>40683</c:v>
                </c:pt>
                <c:pt idx="73">
                  <c:v>40690</c:v>
                </c:pt>
                <c:pt idx="74">
                  <c:v>40697</c:v>
                </c:pt>
                <c:pt idx="75">
                  <c:v>40704</c:v>
                </c:pt>
                <c:pt idx="76">
                  <c:v>40711</c:v>
                </c:pt>
                <c:pt idx="77">
                  <c:v>40718</c:v>
                </c:pt>
                <c:pt idx="78">
                  <c:v>40725</c:v>
                </c:pt>
                <c:pt idx="79">
                  <c:v>40732</c:v>
                </c:pt>
                <c:pt idx="80">
                  <c:v>40739</c:v>
                </c:pt>
                <c:pt idx="81">
                  <c:v>40746</c:v>
                </c:pt>
                <c:pt idx="82">
                  <c:v>40753</c:v>
                </c:pt>
                <c:pt idx="83">
                  <c:v>40760</c:v>
                </c:pt>
                <c:pt idx="84">
                  <c:v>40767</c:v>
                </c:pt>
                <c:pt idx="85">
                  <c:v>40774</c:v>
                </c:pt>
                <c:pt idx="86">
                  <c:v>40781</c:v>
                </c:pt>
                <c:pt idx="87">
                  <c:v>40788</c:v>
                </c:pt>
                <c:pt idx="88">
                  <c:v>40795</c:v>
                </c:pt>
                <c:pt idx="89">
                  <c:v>40802</c:v>
                </c:pt>
                <c:pt idx="90">
                  <c:v>40809</c:v>
                </c:pt>
                <c:pt idx="91">
                  <c:v>40816</c:v>
                </c:pt>
                <c:pt idx="92">
                  <c:v>40823</c:v>
                </c:pt>
                <c:pt idx="93">
                  <c:v>40830</c:v>
                </c:pt>
                <c:pt idx="94">
                  <c:v>40837</c:v>
                </c:pt>
                <c:pt idx="95">
                  <c:v>40844</c:v>
                </c:pt>
                <c:pt idx="96">
                  <c:v>40851</c:v>
                </c:pt>
                <c:pt idx="97">
                  <c:v>40858</c:v>
                </c:pt>
                <c:pt idx="98">
                  <c:v>40865</c:v>
                </c:pt>
                <c:pt idx="99">
                  <c:v>40872</c:v>
                </c:pt>
                <c:pt idx="100">
                  <c:v>40879</c:v>
                </c:pt>
                <c:pt idx="101">
                  <c:v>40886</c:v>
                </c:pt>
                <c:pt idx="102">
                  <c:v>40893</c:v>
                </c:pt>
                <c:pt idx="103">
                  <c:v>40900</c:v>
                </c:pt>
                <c:pt idx="104">
                  <c:v>40907</c:v>
                </c:pt>
                <c:pt idx="105">
                  <c:v>40914</c:v>
                </c:pt>
                <c:pt idx="106">
                  <c:v>40921</c:v>
                </c:pt>
                <c:pt idx="107">
                  <c:v>40928</c:v>
                </c:pt>
                <c:pt idx="108">
                  <c:v>40935</c:v>
                </c:pt>
                <c:pt idx="109">
                  <c:v>40942</c:v>
                </c:pt>
                <c:pt idx="110">
                  <c:v>40949</c:v>
                </c:pt>
                <c:pt idx="111">
                  <c:v>40956</c:v>
                </c:pt>
                <c:pt idx="112">
                  <c:v>40963</c:v>
                </c:pt>
                <c:pt idx="113">
                  <c:v>40970</c:v>
                </c:pt>
                <c:pt idx="114">
                  <c:v>40977</c:v>
                </c:pt>
                <c:pt idx="115">
                  <c:v>40984</c:v>
                </c:pt>
                <c:pt idx="116">
                  <c:v>40991</c:v>
                </c:pt>
                <c:pt idx="117">
                  <c:v>40998</c:v>
                </c:pt>
                <c:pt idx="118">
                  <c:v>41005</c:v>
                </c:pt>
                <c:pt idx="119">
                  <c:v>41012</c:v>
                </c:pt>
                <c:pt idx="120">
                  <c:v>41019</c:v>
                </c:pt>
                <c:pt idx="121">
                  <c:v>41026</c:v>
                </c:pt>
                <c:pt idx="122">
                  <c:v>41033</c:v>
                </c:pt>
                <c:pt idx="123">
                  <c:v>41040</c:v>
                </c:pt>
                <c:pt idx="124">
                  <c:v>41047</c:v>
                </c:pt>
                <c:pt idx="125">
                  <c:v>41054</c:v>
                </c:pt>
                <c:pt idx="126">
                  <c:v>41061</c:v>
                </c:pt>
                <c:pt idx="127">
                  <c:v>41068</c:v>
                </c:pt>
                <c:pt idx="128">
                  <c:v>41075</c:v>
                </c:pt>
                <c:pt idx="129">
                  <c:v>41082</c:v>
                </c:pt>
                <c:pt idx="130">
                  <c:v>41089</c:v>
                </c:pt>
                <c:pt idx="131">
                  <c:v>41096</c:v>
                </c:pt>
                <c:pt idx="132">
                  <c:v>41103</c:v>
                </c:pt>
                <c:pt idx="133">
                  <c:v>41110</c:v>
                </c:pt>
                <c:pt idx="134">
                  <c:v>41117</c:v>
                </c:pt>
                <c:pt idx="135">
                  <c:v>41124</c:v>
                </c:pt>
                <c:pt idx="136">
                  <c:v>41131</c:v>
                </c:pt>
                <c:pt idx="137">
                  <c:v>41138</c:v>
                </c:pt>
                <c:pt idx="138">
                  <c:v>41145</c:v>
                </c:pt>
                <c:pt idx="139">
                  <c:v>41152</c:v>
                </c:pt>
                <c:pt idx="140">
                  <c:v>41159</c:v>
                </c:pt>
                <c:pt idx="141">
                  <c:v>41166</c:v>
                </c:pt>
                <c:pt idx="142">
                  <c:v>41173</c:v>
                </c:pt>
                <c:pt idx="143">
                  <c:v>41180</c:v>
                </c:pt>
                <c:pt idx="144">
                  <c:v>41187</c:v>
                </c:pt>
                <c:pt idx="145">
                  <c:v>41194</c:v>
                </c:pt>
                <c:pt idx="146">
                  <c:v>41201</c:v>
                </c:pt>
                <c:pt idx="147">
                  <c:v>41208</c:v>
                </c:pt>
                <c:pt idx="148">
                  <c:v>41215</c:v>
                </c:pt>
                <c:pt idx="149">
                  <c:v>41222</c:v>
                </c:pt>
                <c:pt idx="150">
                  <c:v>41229</c:v>
                </c:pt>
                <c:pt idx="151">
                  <c:v>41236</c:v>
                </c:pt>
                <c:pt idx="152">
                  <c:v>41243</c:v>
                </c:pt>
                <c:pt idx="153">
                  <c:v>41250</c:v>
                </c:pt>
                <c:pt idx="154">
                  <c:v>41257</c:v>
                </c:pt>
                <c:pt idx="155">
                  <c:v>41264</c:v>
                </c:pt>
                <c:pt idx="156">
                  <c:v>41271</c:v>
                </c:pt>
                <c:pt idx="157">
                  <c:v>41278</c:v>
                </c:pt>
                <c:pt idx="158">
                  <c:v>41285</c:v>
                </c:pt>
                <c:pt idx="159">
                  <c:v>41292</c:v>
                </c:pt>
                <c:pt idx="160">
                  <c:v>41299</c:v>
                </c:pt>
                <c:pt idx="161">
                  <c:v>41306</c:v>
                </c:pt>
                <c:pt idx="162">
                  <c:v>41313</c:v>
                </c:pt>
                <c:pt idx="163">
                  <c:v>41320</c:v>
                </c:pt>
                <c:pt idx="164">
                  <c:v>41327</c:v>
                </c:pt>
                <c:pt idx="165">
                  <c:v>41334</c:v>
                </c:pt>
                <c:pt idx="166">
                  <c:v>41341</c:v>
                </c:pt>
                <c:pt idx="167">
                  <c:v>41348</c:v>
                </c:pt>
                <c:pt idx="168">
                  <c:v>41355</c:v>
                </c:pt>
                <c:pt idx="169">
                  <c:v>41362</c:v>
                </c:pt>
                <c:pt idx="170">
                  <c:v>41369</c:v>
                </c:pt>
                <c:pt idx="171">
                  <c:v>41376</c:v>
                </c:pt>
                <c:pt idx="172">
                  <c:v>41383</c:v>
                </c:pt>
                <c:pt idx="173">
                  <c:v>41390</c:v>
                </c:pt>
                <c:pt idx="174">
                  <c:v>41397</c:v>
                </c:pt>
                <c:pt idx="175">
                  <c:v>41404</c:v>
                </c:pt>
                <c:pt idx="176">
                  <c:v>41411</c:v>
                </c:pt>
                <c:pt idx="177">
                  <c:v>41418</c:v>
                </c:pt>
                <c:pt idx="178">
                  <c:v>41425</c:v>
                </c:pt>
                <c:pt idx="179">
                  <c:v>41432</c:v>
                </c:pt>
                <c:pt idx="180">
                  <c:v>41439</c:v>
                </c:pt>
                <c:pt idx="181">
                  <c:v>41446</c:v>
                </c:pt>
                <c:pt idx="182">
                  <c:v>41453</c:v>
                </c:pt>
                <c:pt idx="183">
                  <c:v>41460</c:v>
                </c:pt>
                <c:pt idx="184">
                  <c:v>41467</c:v>
                </c:pt>
                <c:pt idx="185">
                  <c:v>41474</c:v>
                </c:pt>
                <c:pt idx="186">
                  <c:v>41481</c:v>
                </c:pt>
                <c:pt idx="187">
                  <c:v>41488</c:v>
                </c:pt>
                <c:pt idx="188">
                  <c:v>41495</c:v>
                </c:pt>
                <c:pt idx="189">
                  <c:v>41502</c:v>
                </c:pt>
                <c:pt idx="190">
                  <c:v>41509</c:v>
                </c:pt>
                <c:pt idx="191">
                  <c:v>41516</c:v>
                </c:pt>
                <c:pt idx="192">
                  <c:v>41523</c:v>
                </c:pt>
                <c:pt idx="193">
                  <c:v>41530</c:v>
                </c:pt>
                <c:pt idx="194">
                  <c:v>41537</c:v>
                </c:pt>
                <c:pt idx="195">
                  <c:v>41544</c:v>
                </c:pt>
                <c:pt idx="196">
                  <c:v>41551</c:v>
                </c:pt>
                <c:pt idx="197">
                  <c:v>41558</c:v>
                </c:pt>
                <c:pt idx="198">
                  <c:v>41565</c:v>
                </c:pt>
                <c:pt idx="199">
                  <c:v>41572</c:v>
                </c:pt>
                <c:pt idx="200">
                  <c:v>41579</c:v>
                </c:pt>
                <c:pt idx="201">
                  <c:v>41586</c:v>
                </c:pt>
                <c:pt idx="202">
                  <c:v>41593</c:v>
                </c:pt>
                <c:pt idx="203">
                  <c:v>41600</c:v>
                </c:pt>
                <c:pt idx="204">
                  <c:v>41607</c:v>
                </c:pt>
                <c:pt idx="205">
                  <c:v>41614</c:v>
                </c:pt>
                <c:pt idx="206">
                  <c:v>41621</c:v>
                </c:pt>
                <c:pt idx="207">
                  <c:v>41628</c:v>
                </c:pt>
                <c:pt idx="208">
                  <c:v>41635</c:v>
                </c:pt>
                <c:pt idx="209">
                  <c:v>41642</c:v>
                </c:pt>
                <c:pt idx="210">
                  <c:v>41649</c:v>
                </c:pt>
                <c:pt idx="211">
                  <c:v>41656</c:v>
                </c:pt>
                <c:pt idx="212">
                  <c:v>41663</c:v>
                </c:pt>
                <c:pt idx="213">
                  <c:v>41670</c:v>
                </c:pt>
                <c:pt idx="214">
                  <c:v>41677</c:v>
                </c:pt>
                <c:pt idx="215">
                  <c:v>41684</c:v>
                </c:pt>
                <c:pt idx="216">
                  <c:v>41691</c:v>
                </c:pt>
                <c:pt idx="217">
                  <c:v>41698</c:v>
                </c:pt>
                <c:pt idx="218">
                  <c:v>41705</c:v>
                </c:pt>
                <c:pt idx="219">
                  <c:v>41712</c:v>
                </c:pt>
                <c:pt idx="220">
                  <c:v>41719</c:v>
                </c:pt>
                <c:pt idx="221">
                  <c:v>41726</c:v>
                </c:pt>
                <c:pt idx="222">
                  <c:v>41733</c:v>
                </c:pt>
                <c:pt idx="223">
                  <c:v>41740</c:v>
                </c:pt>
                <c:pt idx="224">
                  <c:v>41747</c:v>
                </c:pt>
                <c:pt idx="225">
                  <c:v>41754</c:v>
                </c:pt>
                <c:pt idx="226">
                  <c:v>41761</c:v>
                </c:pt>
                <c:pt idx="227">
                  <c:v>41768</c:v>
                </c:pt>
                <c:pt idx="228">
                  <c:v>41775</c:v>
                </c:pt>
                <c:pt idx="229">
                  <c:v>41782</c:v>
                </c:pt>
                <c:pt idx="230">
                  <c:v>41789</c:v>
                </c:pt>
                <c:pt idx="231">
                  <c:v>41796</c:v>
                </c:pt>
                <c:pt idx="232">
                  <c:v>41803</c:v>
                </c:pt>
                <c:pt idx="233">
                  <c:v>41810</c:v>
                </c:pt>
                <c:pt idx="234">
                  <c:v>41817</c:v>
                </c:pt>
                <c:pt idx="235">
                  <c:v>41824</c:v>
                </c:pt>
                <c:pt idx="236">
                  <c:v>41831</c:v>
                </c:pt>
                <c:pt idx="237">
                  <c:v>41838</c:v>
                </c:pt>
                <c:pt idx="238">
                  <c:v>41845</c:v>
                </c:pt>
                <c:pt idx="239">
                  <c:v>41852</c:v>
                </c:pt>
                <c:pt idx="240">
                  <c:v>41859</c:v>
                </c:pt>
                <c:pt idx="241">
                  <c:v>41866</c:v>
                </c:pt>
                <c:pt idx="242">
                  <c:v>41873</c:v>
                </c:pt>
                <c:pt idx="243">
                  <c:v>41880</c:v>
                </c:pt>
                <c:pt idx="244">
                  <c:v>41887</c:v>
                </c:pt>
                <c:pt idx="245">
                  <c:v>41894</c:v>
                </c:pt>
                <c:pt idx="246">
                  <c:v>41901</c:v>
                </c:pt>
                <c:pt idx="247">
                  <c:v>41908</c:v>
                </c:pt>
                <c:pt idx="248">
                  <c:v>41915</c:v>
                </c:pt>
                <c:pt idx="249">
                  <c:v>41922</c:v>
                </c:pt>
                <c:pt idx="250">
                  <c:v>41929</c:v>
                </c:pt>
                <c:pt idx="251">
                  <c:v>41936</c:v>
                </c:pt>
                <c:pt idx="252">
                  <c:v>41943</c:v>
                </c:pt>
                <c:pt idx="253">
                  <c:v>41950</c:v>
                </c:pt>
                <c:pt idx="254">
                  <c:v>41957</c:v>
                </c:pt>
                <c:pt idx="255">
                  <c:v>41964</c:v>
                </c:pt>
                <c:pt idx="256">
                  <c:v>41971</c:v>
                </c:pt>
                <c:pt idx="257">
                  <c:v>41978</c:v>
                </c:pt>
                <c:pt idx="258">
                  <c:v>41985</c:v>
                </c:pt>
                <c:pt idx="259">
                  <c:v>41992</c:v>
                </c:pt>
                <c:pt idx="260">
                  <c:v>41999</c:v>
                </c:pt>
                <c:pt idx="261">
                  <c:v>42006</c:v>
                </c:pt>
                <c:pt idx="262">
                  <c:v>42013</c:v>
                </c:pt>
                <c:pt idx="263">
                  <c:v>42020</c:v>
                </c:pt>
                <c:pt idx="264">
                  <c:v>42027</c:v>
                </c:pt>
                <c:pt idx="265">
                  <c:v>42034</c:v>
                </c:pt>
                <c:pt idx="266">
                  <c:v>42041</c:v>
                </c:pt>
                <c:pt idx="267">
                  <c:v>42048</c:v>
                </c:pt>
                <c:pt idx="268">
                  <c:v>42055</c:v>
                </c:pt>
                <c:pt idx="269">
                  <c:v>42062</c:v>
                </c:pt>
                <c:pt idx="270">
                  <c:v>42069</c:v>
                </c:pt>
                <c:pt idx="271">
                  <c:v>42076</c:v>
                </c:pt>
                <c:pt idx="272">
                  <c:v>42083</c:v>
                </c:pt>
                <c:pt idx="273">
                  <c:v>42090</c:v>
                </c:pt>
                <c:pt idx="274">
                  <c:v>42097</c:v>
                </c:pt>
                <c:pt idx="275">
                  <c:v>42104</c:v>
                </c:pt>
                <c:pt idx="276">
                  <c:v>42111</c:v>
                </c:pt>
                <c:pt idx="277">
                  <c:v>42118</c:v>
                </c:pt>
                <c:pt idx="278">
                  <c:v>42125</c:v>
                </c:pt>
                <c:pt idx="279">
                  <c:v>42132</c:v>
                </c:pt>
                <c:pt idx="280">
                  <c:v>42139</c:v>
                </c:pt>
                <c:pt idx="281">
                  <c:v>42146</c:v>
                </c:pt>
                <c:pt idx="282">
                  <c:v>42153</c:v>
                </c:pt>
                <c:pt idx="283">
                  <c:v>42160</c:v>
                </c:pt>
                <c:pt idx="284">
                  <c:v>42167</c:v>
                </c:pt>
                <c:pt idx="285">
                  <c:v>42174</c:v>
                </c:pt>
                <c:pt idx="286">
                  <c:v>42181</c:v>
                </c:pt>
                <c:pt idx="287">
                  <c:v>42188</c:v>
                </c:pt>
                <c:pt idx="288">
                  <c:v>42195</c:v>
                </c:pt>
                <c:pt idx="289">
                  <c:v>42202</c:v>
                </c:pt>
                <c:pt idx="290">
                  <c:v>42209</c:v>
                </c:pt>
                <c:pt idx="291">
                  <c:v>42216</c:v>
                </c:pt>
                <c:pt idx="292">
                  <c:v>42223</c:v>
                </c:pt>
                <c:pt idx="293">
                  <c:v>42230</c:v>
                </c:pt>
                <c:pt idx="294">
                  <c:v>42237</c:v>
                </c:pt>
                <c:pt idx="295">
                  <c:v>42244</c:v>
                </c:pt>
                <c:pt idx="296">
                  <c:v>42251</c:v>
                </c:pt>
                <c:pt idx="297">
                  <c:v>42258</c:v>
                </c:pt>
                <c:pt idx="298">
                  <c:v>42265</c:v>
                </c:pt>
                <c:pt idx="299">
                  <c:v>42272</c:v>
                </c:pt>
                <c:pt idx="300">
                  <c:v>42279</c:v>
                </c:pt>
                <c:pt idx="301">
                  <c:v>42286</c:v>
                </c:pt>
                <c:pt idx="302">
                  <c:v>42293</c:v>
                </c:pt>
                <c:pt idx="303">
                  <c:v>42300</c:v>
                </c:pt>
                <c:pt idx="304">
                  <c:v>42307</c:v>
                </c:pt>
                <c:pt idx="305">
                  <c:v>42314</c:v>
                </c:pt>
                <c:pt idx="306">
                  <c:v>42321</c:v>
                </c:pt>
                <c:pt idx="307">
                  <c:v>42328</c:v>
                </c:pt>
                <c:pt idx="308">
                  <c:v>42335</c:v>
                </c:pt>
                <c:pt idx="309">
                  <c:v>42342</c:v>
                </c:pt>
                <c:pt idx="310">
                  <c:v>42349</c:v>
                </c:pt>
                <c:pt idx="311">
                  <c:v>42356</c:v>
                </c:pt>
                <c:pt idx="312">
                  <c:v>42363</c:v>
                </c:pt>
                <c:pt idx="313">
                  <c:v>42370</c:v>
                </c:pt>
                <c:pt idx="314">
                  <c:v>42377</c:v>
                </c:pt>
                <c:pt idx="315">
                  <c:v>42384</c:v>
                </c:pt>
                <c:pt idx="316">
                  <c:v>42391</c:v>
                </c:pt>
                <c:pt idx="317">
                  <c:v>42398</c:v>
                </c:pt>
                <c:pt idx="318">
                  <c:v>42405</c:v>
                </c:pt>
                <c:pt idx="319">
                  <c:v>42412</c:v>
                </c:pt>
                <c:pt idx="320">
                  <c:v>42419</c:v>
                </c:pt>
                <c:pt idx="321">
                  <c:v>42426</c:v>
                </c:pt>
                <c:pt idx="322">
                  <c:v>42433</c:v>
                </c:pt>
                <c:pt idx="323">
                  <c:v>42440</c:v>
                </c:pt>
                <c:pt idx="324">
                  <c:v>42447</c:v>
                </c:pt>
                <c:pt idx="325">
                  <c:v>42454</c:v>
                </c:pt>
                <c:pt idx="326">
                  <c:v>42461</c:v>
                </c:pt>
                <c:pt idx="327">
                  <c:v>42468</c:v>
                </c:pt>
                <c:pt idx="328">
                  <c:v>42475</c:v>
                </c:pt>
                <c:pt idx="329">
                  <c:v>42482</c:v>
                </c:pt>
                <c:pt idx="330">
                  <c:v>42489</c:v>
                </c:pt>
                <c:pt idx="331">
                  <c:v>42496</c:v>
                </c:pt>
                <c:pt idx="332">
                  <c:v>42503</c:v>
                </c:pt>
                <c:pt idx="333">
                  <c:v>42510</c:v>
                </c:pt>
                <c:pt idx="334">
                  <c:v>42517</c:v>
                </c:pt>
                <c:pt idx="335">
                  <c:v>42524</c:v>
                </c:pt>
                <c:pt idx="336">
                  <c:v>42531</c:v>
                </c:pt>
                <c:pt idx="337">
                  <c:v>42538</c:v>
                </c:pt>
                <c:pt idx="338">
                  <c:v>42545</c:v>
                </c:pt>
                <c:pt idx="339">
                  <c:v>42552</c:v>
                </c:pt>
                <c:pt idx="340">
                  <c:v>42559</c:v>
                </c:pt>
                <c:pt idx="341">
                  <c:v>42566</c:v>
                </c:pt>
                <c:pt idx="342">
                  <c:v>42573</c:v>
                </c:pt>
                <c:pt idx="343">
                  <c:v>42580</c:v>
                </c:pt>
                <c:pt idx="344">
                  <c:v>42587</c:v>
                </c:pt>
                <c:pt idx="345">
                  <c:v>42594</c:v>
                </c:pt>
                <c:pt idx="346">
                  <c:v>42601</c:v>
                </c:pt>
                <c:pt idx="347">
                  <c:v>42608</c:v>
                </c:pt>
                <c:pt idx="348">
                  <c:v>42615</c:v>
                </c:pt>
                <c:pt idx="349">
                  <c:v>42622</c:v>
                </c:pt>
                <c:pt idx="350">
                  <c:v>42629</c:v>
                </c:pt>
                <c:pt idx="351">
                  <c:v>42636</c:v>
                </c:pt>
                <c:pt idx="352">
                  <c:v>42643</c:v>
                </c:pt>
                <c:pt idx="353">
                  <c:v>42650</c:v>
                </c:pt>
                <c:pt idx="354">
                  <c:v>42657</c:v>
                </c:pt>
                <c:pt idx="355">
                  <c:v>42664</c:v>
                </c:pt>
                <c:pt idx="356">
                  <c:v>42671</c:v>
                </c:pt>
                <c:pt idx="357">
                  <c:v>42678</c:v>
                </c:pt>
                <c:pt idx="358">
                  <c:v>42685</c:v>
                </c:pt>
                <c:pt idx="359">
                  <c:v>42692</c:v>
                </c:pt>
                <c:pt idx="360">
                  <c:v>42699</c:v>
                </c:pt>
                <c:pt idx="361">
                  <c:v>42706</c:v>
                </c:pt>
                <c:pt idx="362">
                  <c:v>42713</c:v>
                </c:pt>
                <c:pt idx="363">
                  <c:v>42720</c:v>
                </c:pt>
                <c:pt idx="364">
                  <c:v>42727</c:v>
                </c:pt>
                <c:pt idx="365">
                  <c:v>42734</c:v>
                </c:pt>
                <c:pt idx="366">
                  <c:v>42741</c:v>
                </c:pt>
                <c:pt idx="367">
                  <c:v>42748</c:v>
                </c:pt>
                <c:pt idx="368">
                  <c:v>42755</c:v>
                </c:pt>
                <c:pt idx="369">
                  <c:v>42762</c:v>
                </c:pt>
                <c:pt idx="370">
                  <c:v>42769</c:v>
                </c:pt>
                <c:pt idx="371">
                  <c:v>42776</c:v>
                </c:pt>
                <c:pt idx="372">
                  <c:v>42783</c:v>
                </c:pt>
                <c:pt idx="373">
                  <c:v>42790</c:v>
                </c:pt>
                <c:pt idx="374">
                  <c:v>42797</c:v>
                </c:pt>
                <c:pt idx="375">
                  <c:v>42804</c:v>
                </c:pt>
                <c:pt idx="376">
                  <c:v>42811</c:v>
                </c:pt>
                <c:pt idx="377">
                  <c:v>42818</c:v>
                </c:pt>
                <c:pt idx="378">
                  <c:v>42825</c:v>
                </c:pt>
                <c:pt idx="379">
                  <c:v>42832</c:v>
                </c:pt>
                <c:pt idx="380">
                  <c:v>42839</c:v>
                </c:pt>
                <c:pt idx="381">
                  <c:v>42846</c:v>
                </c:pt>
                <c:pt idx="382">
                  <c:v>42853</c:v>
                </c:pt>
                <c:pt idx="383">
                  <c:v>42860</c:v>
                </c:pt>
                <c:pt idx="384">
                  <c:v>42867</c:v>
                </c:pt>
                <c:pt idx="385">
                  <c:v>42874</c:v>
                </c:pt>
                <c:pt idx="386">
                  <c:v>42881</c:v>
                </c:pt>
                <c:pt idx="387">
                  <c:v>42888</c:v>
                </c:pt>
                <c:pt idx="388">
                  <c:v>42895</c:v>
                </c:pt>
                <c:pt idx="389">
                  <c:v>42902</c:v>
                </c:pt>
                <c:pt idx="390">
                  <c:v>42909</c:v>
                </c:pt>
                <c:pt idx="391">
                  <c:v>42916</c:v>
                </c:pt>
                <c:pt idx="392">
                  <c:v>42923</c:v>
                </c:pt>
                <c:pt idx="393">
                  <c:v>42930</c:v>
                </c:pt>
                <c:pt idx="394">
                  <c:v>42937</c:v>
                </c:pt>
                <c:pt idx="395">
                  <c:v>42944</c:v>
                </c:pt>
                <c:pt idx="396">
                  <c:v>42951</c:v>
                </c:pt>
                <c:pt idx="397">
                  <c:v>42958</c:v>
                </c:pt>
                <c:pt idx="398">
                  <c:v>42965</c:v>
                </c:pt>
                <c:pt idx="399">
                  <c:v>42972</c:v>
                </c:pt>
                <c:pt idx="400">
                  <c:v>42979</c:v>
                </c:pt>
                <c:pt idx="401">
                  <c:v>42986</c:v>
                </c:pt>
                <c:pt idx="402">
                  <c:v>42993</c:v>
                </c:pt>
                <c:pt idx="403">
                  <c:v>43000</c:v>
                </c:pt>
                <c:pt idx="404">
                  <c:v>43007</c:v>
                </c:pt>
                <c:pt idx="405">
                  <c:v>43014</c:v>
                </c:pt>
                <c:pt idx="406">
                  <c:v>43021</c:v>
                </c:pt>
                <c:pt idx="407">
                  <c:v>43028</c:v>
                </c:pt>
                <c:pt idx="408">
                  <c:v>43035</c:v>
                </c:pt>
                <c:pt idx="409">
                  <c:v>43042</c:v>
                </c:pt>
                <c:pt idx="410">
                  <c:v>43049</c:v>
                </c:pt>
                <c:pt idx="411">
                  <c:v>43056</c:v>
                </c:pt>
                <c:pt idx="412">
                  <c:v>43063</c:v>
                </c:pt>
                <c:pt idx="413">
                  <c:v>43070</c:v>
                </c:pt>
                <c:pt idx="414">
                  <c:v>43077</c:v>
                </c:pt>
                <c:pt idx="415">
                  <c:v>43084</c:v>
                </c:pt>
                <c:pt idx="416">
                  <c:v>43091</c:v>
                </c:pt>
                <c:pt idx="417">
                  <c:v>43098</c:v>
                </c:pt>
                <c:pt idx="418">
                  <c:v>43105</c:v>
                </c:pt>
                <c:pt idx="419">
                  <c:v>43112</c:v>
                </c:pt>
                <c:pt idx="420">
                  <c:v>43119</c:v>
                </c:pt>
                <c:pt idx="421">
                  <c:v>43126</c:v>
                </c:pt>
                <c:pt idx="422">
                  <c:v>43133</c:v>
                </c:pt>
                <c:pt idx="423">
                  <c:v>43140</c:v>
                </c:pt>
                <c:pt idx="424">
                  <c:v>43147</c:v>
                </c:pt>
                <c:pt idx="425">
                  <c:v>43154</c:v>
                </c:pt>
                <c:pt idx="426">
                  <c:v>43161</c:v>
                </c:pt>
                <c:pt idx="427">
                  <c:v>43168</c:v>
                </c:pt>
                <c:pt idx="428">
                  <c:v>43175</c:v>
                </c:pt>
                <c:pt idx="429">
                  <c:v>43182</c:v>
                </c:pt>
                <c:pt idx="430">
                  <c:v>43189</c:v>
                </c:pt>
                <c:pt idx="431">
                  <c:v>43196</c:v>
                </c:pt>
                <c:pt idx="432">
                  <c:v>43203</c:v>
                </c:pt>
                <c:pt idx="433">
                  <c:v>43210</c:v>
                </c:pt>
                <c:pt idx="434">
                  <c:v>43217</c:v>
                </c:pt>
                <c:pt idx="435">
                  <c:v>43224</c:v>
                </c:pt>
                <c:pt idx="436">
                  <c:v>43231</c:v>
                </c:pt>
                <c:pt idx="437">
                  <c:v>43238</c:v>
                </c:pt>
                <c:pt idx="438">
                  <c:v>43245</c:v>
                </c:pt>
                <c:pt idx="439">
                  <c:v>43252</c:v>
                </c:pt>
                <c:pt idx="440">
                  <c:v>43259</c:v>
                </c:pt>
                <c:pt idx="441">
                  <c:v>43266</c:v>
                </c:pt>
                <c:pt idx="442">
                  <c:v>43273</c:v>
                </c:pt>
                <c:pt idx="443">
                  <c:v>43280</c:v>
                </c:pt>
                <c:pt idx="444">
                  <c:v>43287</c:v>
                </c:pt>
                <c:pt idx="445">
                  <c:v>43294</c:v>
                </c:pt>
                <c:pt idx="446">
                  <c:v>43301</c:v>
                </c:pt>
                <c:pt idx="447">
                  <c:v>43308</c:v>
                </c:pt>
                <c:pt idx="448">
                  <c:v>43315</c:v>
                </c:pt>
                <c:pt idx="449">
                  <c:v>43322</c:v>
                </c:pt>
                <c:pt idx="450">
                  <c:v>43329</c:v>
                </c:pt>
                <c:pt idx="451">
                  <c:v>43336</c:v>
                </c:pt>
                <c:pt idx="452">
                  <c:v>43343</c:v>
                </c:pt>
                <c:pt idx="453">
                  <c:v>43350</c:v>
                </c:pt>
                <c:pt idx="454">
                  <c:v>43357</c:v>
                </c:pt>
                <c:pt idx="455">
                  <c:v>43364</c:v>
                </c:pt>
                <c:pt idx="456">
                  <c:v>43371</c:v>
                </c:pt>
                <c:pt idx="457">
                  <c:v>43378</c:v>
                </c:pt>
                <c:pt idx="458">
                  <c:v>43385</c:v>
                </c:pt>
                <c:pt idx="459">
                  <c:v>43392</c:v>
                </c:pt>
                <c:pt idx="460">
                  <c:v>43399</c:v>
                </c:pt>
                <c:pt idx="461">
                  <c:v>43406</c:v>
                </c:pt>
                <c:pt idx="462">
                  <c:v>43413</c:v>
                </c:pt>
                <c:pt idx="463">
                  <c:v>43420</c:v>
                </c:pt>
                <c:pt idx="464">
                  <c:v>43427</c:v>
                </c:pt>
                <c:pt idx="465">
                  <c:v>43434</c:v>
                </c:pt>
                <c:pt idx="466">
                  <c:v>43441</c:v>
                </c:pt>
                <c:pt idx="467">
                  <c:v>43448</c:v>
                </c:pt>
                <c:pt idx="468">
                  <c:v>43455</c:v>
                </c:pt>
                <c:pt idx="469">
                  <c:v>43462</c:v>
                </c:pt>
                <c:pt idx="470">
                  <c:v>43469</c:v>
                </c:pt>
                <c:pt idx="471">
                  <c:v>43476</c:v>
                </c:pt>
                <c:pt idx="472">
                  <c:v>43483</c:v>
                </c:pt>
                <c:pt idx="473">
                  <c:v>43490</c:v>
                </c:pt>
                <c:pt idx="474">
                  <c:v>43497</c:v>
                </c:pt>
                <c:pt idx="475">
                  <c:v>43504</c:v>
                </c:pt>
                <c:pt idx="476">
                  <c:v>43511</c:v>
                </c:pt>
                <c:pt idx="477">
                  <c:v>43518</c:v>
                </c:pt>
                <c:pt idx="478">
                  <c:v>43525</c:v>
                </c:pt>
                <c:pt idx="479">
                  <c:v>43532</c:v>
                </c:pt>
                <c:pt idx="480">
                  <c:v>43539</c:v>
                </c:pt>
                <c:pt idx="481">
                  <c:v>43546</c:v>
                </c:pt>
                <c:pt idx="482">
                  <c:v>43553</c:v>
                </c:pt>
                <c:pt idx="483">
                  <c:v>43560</c:v>
                </c:pt>
                <c:pt idx="484">
                  <c:v>43567</c:v>
                </c:pt>
                <c:pt idx="485">
                  <c:v>43574</c:v>
                </c:pt>
                <c:pt idx="486">
                  <c:v>43581</c:v>
                </c:pt>
                <c:pt idx="487">
                  <c:v>43588</c:v>
                </c:pt>
                <c:pt idx="488">
                  <c:v>43595</c:v>
                </c:pt>
                <c:pt idx="489">
                  <c:v>43602</c:v>
                </c:pt>
                <c:pt idx="490">
                  <c:v>43609</c:v>
                </c:pt>
                <c:pt idx="491">
                  <c:v>43616</c:v>
                </c:pt>
                <c:pt idx="492">
                  <c:v>43623</c:v>
                </c:pt>
                <c:pt idx="493">
                  <c:v>43630</c:v>
                </c:pt>
                <c:pt idx="494">
                  <c:v>43637</c:v>
                </c:pt>
                <c:pt idx="495">
                  <c:v>43644</c:v>
                </c:pt>
                <c:pt idx="496">
                  <c:v>43651</c:v>
                </c:pt>
                <c:pt idx="497">
                  <c:v>43658</c:v>
                </c:pt>
                <c:pt idx="498">
                  <c:v>43665</c:v>
                </c:pt>
                <c:pt idx="499">
                  <c:v>43672</c:v>
                </c:pt>
                <c:pt idx="500">
                  <c:v>43679</c:v>
                </c:pt>
                <c:pt idx="501">
                  <c:v>43686</c:v>
                </c:pt>
                <c:pt idx="502">
                  <c:v>43693</c:v>
                </c:pt>
                <c:pt idx="503">
                  <c:v>43700</c:v>
                </c:pt>
                <c:pt idx="504">
                  <c:v>43707</c:v>
                </c:pt>
                <c:pt idx="505">
                  <c:v>43714</c:v>
                </c:pt>
                <c:pt idx="506">
                  <c:v>43721</c:v>
                </c:pt>
                <c:pt idx="507">
                  <c:v>43728</c:v>
                </c:pt>
                <c:pt idx="508">
                  <c:v>43735</c:v>
                </c:pt>
                <c:pt idx="509">
                  <c:v>43742</c:v>
                </c:pt>
                <c:pt idx="510">
                  <c:v>43749</c:v>
                </c:pt>
                <c:pt idx="511">
                  <c:v>43756</c:v>
                </c:pt>
                <c:pt idx="512">
                  <c:v>43763</c:v>
                </c:pt>
                <c:pt idx="513">
                  <c:v>43770</c:v>
                </c:pt>
                <c:pt idx="514">
                  <c:v>43777</c:v>
                </c:pt>
                <c:pt idx="515">
                  <c:v>43784</c:v>
                </c:pt>
                <c:pt idx="516">
                  <c:v>43791</c:v>
                </c:pt>
                <c:pt idx="517">
                  <c:v>43798</c:v>
                </c:pt>
                <c:pt idx="518">
                  <c:v>43805</c:v>
                </c:pt>
                <c:pt idx="519">
                  <c:v>43812</c:v>
                </c:pt>
                <c:pt idx="520">
                  <c:v>43819</c:v>
                </c:pt>
                <c:pt idx="521">
                  <c:v>43826</c:v>
                </c:pt>
                <c:pt idx="522">
                  <c:v>43833</c:v>
                </c:pt>
                <c:pt idx="523">
                  <c:v>43840</c:v>
                </c:pt>
                <c:pt idx="524">
                  <c:v>43847</c:v>
                </c:pt>
                <c:pt idx="525">
                  <c:v>43854</c:v>
                </c:pt>
                <c:pt idx="526">
                  <c:v>43861</c:v>
                </c:pt>
                <c:pt idx="527">
                  <c:v>43868</c:v>
                </c:pt>
                <c:pt idx="528">
                  <c:v>43875</c:v>
                </c:pt>
                <c:pt idx="529">
                  <c:v>43882</c:v>
                </c:pt>
                <c:pt idx="530">
                  <c:v>43889</c:v>
                </c:pt>
                <c:pt idx="531">
                  <c:v>43896</c:v>
                </c:pt>
                <c:pt idx="532">
                  <c:v>43903</c:v>
                </c:pt>
                <c:pt idx="533">
                  <c:v>43910</c:v>
                </c:pt>
                <c:pt idx="534">
                  <c:v>43917</c:v>
                </c:pt>
                <c:pt idx="535">
                  <c:v>43924</c:v>
                </c:pt>
                <c:pt idx="536">
                  <c:v>43931</c:v>
                </c:pt>
                <c:pt idx="537">
                  <c:v>43938</c:v>
                </c:pt>
                <c:pt idx="538">
                  <c:v>43945</c:v>
                </c:pt>
                <c:pt idx="539">
                  <c:v>43952</c:v>
                </c:pt>
                <c:pt idx="540">
                  <c:v>43959</c:v>
                </c:pt>
                <c:pt idx="541">
                  <c:v>43966</c:v>
                </c:pt>
                <c:pt idx="542">
                  <c:v>43973</c:v>
                </c:pt>
                <c:pt idx="543">
                  <c:v>43980</c:v>
                </c:pt>
                <c:pt idx="544">
                  <c:v>43987</c:v>
                </c:pt>
                <c:pt idx="545">
                  <c:v>43994</c:v>
                </c:pt>
                <c:pt idx="546">
                  <c:v>44001</c:v>
                </c:pt>
                <c:pt idx="547">
                  <c:v>44008</c:v>
                </c:pt>
                <c:pt idx="548">
                  <c:v>44015</c:v>
                </c:pt>
                <c:pt idx="549">
                  <c:v>44022</c:v>
                </c:pt>
                <c:pt idx="550">
                  <c:v>44029</c:v>
                </c:pt>
                <c:pt idx="551">
                  <c:v>44036</c:v>
                </c:pt>
                <c:pt idx="552">
                  <c:v>44043</c:v>
                </c:pt>
                <c:pt idx="553">
                  <c:v>44050</c:v>
                </c:pt>
                <c:pt idx="554">
                  <c:v>44057</c:v>
                </c:pt>
                <c:pt idx="555">
                  <c:v>44064</c:v>
                </c:pt>
                <c:pt idx="556">
                  <c:v>44071</c:v>
                </c:pt>
                <c:pt idx="557">
                  <c:v>44078</c:v>
                </c:pt>
                <c:pt idx="558">
                  <c:v>44085</c:v>
                </c:pt>
                <c:pt idx="559">
                  <c:v>44092</c:v>
                </c:pt>
                <c:pt idx="560">
                  <c:v>44099</c:v>
                </c:pt>
                <c:pt idx="561">
                  <c:v>44106</c:v>
                </c:pt>
                <c:pt idx="562">
                  <c:v>44113</c:v>
                </c:pt>
                <c:pt idx="563">
                  <c:v>44120</c:v>
                </c:pt>
                <c:pt idx="564">
                  <c:v>44127</c:v>
                </c:pt>
                <c:pt idx="565">
                  <c:v>44134</c:v>
                </c:pt>
                <c:pt idx="566">
                  <c:v>44141</c:v>
                </c:pt>
                <c:pt idx="567">
                  <c:v>44148</c:v>
                </c:pt>
                <c:pt idx="568">
                  <c:v>44155</c:v>
                </c:pt>
                <c:pt idx="569">
                  <c:v>44162</c:v>
                </c:pt>
                <c:pt idx="570">
                  <c:v>44169</c:v>
                </c:pt>
                <c:pt idx="571">
                  <c:v>44176</c:v>
                </c:pt>
                <c:pt idx="572">
                  <c:v>44183</c:v>
                </c:pt>
                <c:pt idx="573">
                  <c:v>44190</c:v>
                </c:pt>
                <c:pt idx="574">
                  <c:v>44197</c:v>
                </c:pt>
                <c:pt idx="575">
                  <c:v>44204</c:v>
                </c:pt>
                <c:pt idx="576">
                  <c:v>44211</c:v>
                </c:pt>
                <c:pt idx="577">
                  <c:v>44218</c:v>
                </c:pt>
                <c:pt idx="578">
                  <c:v>44225</c:v>
                </c:pt>
                <c:pt idx="579">
                  <c:v>44232</c:v>
                </c:pt>
                <c:pt idx="580">
                  <c:v>44239</c:v>
                </c:pt>
                <c:pt idx="581">
                  <c:v>44246</c:v>
                </c:pt>
                <c:pt idx="582">
                  <c:v>44253</c:v>
                </c:pt>
                <c:pt idx="583">
                  <c:v>44260</c:v>
                </c:pt>
                <c:pt idx="584">
                  <c:v>44267</c:v>
                </c:pt>
                <c:pt idx="585">
                  <c:v>44274</c:v>
                </c:pt>
                <c:pt idx="586">
                  <c:v>44281</c:v>
                </c:pt>
                <c:pt idx="587">
                  <c:v>44288</c:v>
                </c:pt>
                <c:pt idx="588">
                  <c:v>44295</c:v>
                </c:pt>
                <c:pt idx="589">
                  <c:v>44302</c:v>
                </c:pt>
                <c:pt idx="590">
                  <c:v>44309</c:v>
                </c:pt>
                <c:pt idx="591">
                  <c:v>44316</c:v>
                </c:pt>
                <c:pt idx="592">
                  <c:v>44323</c:v>
                </c:pt>
                <c:pt idx="593">
                  <c:v>44330</c:v>
                </c:pt>
                <c:pt idx="594">
                  <c:v>44337</c:v>
                </c:pt>
                <c:pt idx="595">
                  <c:v>44344</c:v>
                </c:pt>
                <c:pt idx="596">
                  <c:v>44351</c:v>
                </c:pt>
                <c:pt idx="597">
                  <c:v>44358</c:v>
                </c:pt>
                <c:pt idx="598">
                  <c:v>44365</c:v>
                </c:pt>
                <c:pt idx="599">
                  <c:v>44372</c:v>
                </c:pt>
                <c:pt idx="600">
                  <c:v>44379</c:v>
                </c:pt>
                <c:pt idx="601">
                  <c:v>44386</c:v>
                </c:pt>
                <c:pt idx="602">
                  <c:v>44393</c:v>
                </c:pt>
                <c:pt idx="603">
                  <c:v>44400</c:v>
                </c:pt>
                <c:pt idx="604">
                  <c:v>44407</c:v>
                </c:pt>
                <c:pt idx="605">
                  <c:v>44414</c:v>
                </c:pt>
                <c:pt idx="606">
                  <c:v>44421</c:v>
                </c:pt>
                <c:pt idx="607">
                  <c:v>44428</c:v>
                </c:pt>
                <c:pt idx="608">
                  <c:v>44435</c:v>
                </c:pt>
                <c:pt idx="609">
                  <c:v>44442</c:v>
                </c:pt>
                <c:pt idx="610">
                  <c:v>44449</c:v>
                </c:pt>
                <c:pt idx="611">
                  <c:v>44456</c:v>
                </c:pt>
                <c:pt idx="612">
                  <c:v>44463</c:v>
                </c:pt>
                <c:pt idx="613">
                  <c:v>44470</c:v>
                </c:pt>
                <c:pt idx="614">
                  <c:v>44477</c:v>
                </c:pt>
                <c:pt idx="615">
                  <c:v>44484</c:v>
                </c:pt>
                <c:pt idx="616">
                  <c:v>44491</c:v>
                </c:pt>
                <c:pt idx="617">
                  <c:v>44498</c:v>
                </c:pt>
                <c:pt idx="618">
                  <c:v>44505</c:v>
                </c:pt>
                <c:pt idx="619">
                  <c:v>44512</c:v>
                </c:pt>
                <c:pt idx="620">
                  <c:v>44519</c:v>
                </c:pt>
                <c:pt idx="621">
                  <c:v>44526</c:v>
                </c:pt>
                <c:pt idx="622">
                  <c:v>44533</c:v>
                </c:pt>
                <c:pt idx="623">
                  <c:v>44540</c:v>
                </c:pt>
                <c:pt idx="624">
                  <c:v>44547</c:v>
                </c:pt>
                <c:pt idx="625">
                  <c:v>44554</c:v>
                </c:pt>
                <c:pt idx="626">
                  <c:v>44561</c:v>
                </c:pt>
                <c:pt idx="627">
                  <c:v>44568</c:v>
                </c:pt>
                <c:pt idx="628">
                  <c:v>44575</c:v>
                </c:pt>
                <c:pt idx="629">
                  <c:v>44582</c:v>
                </c:pt>
                <c:pt idx="630">
                  <c:v>44589</c:v>
                </c:pt>
                <c:pt idx="631">
                  <c:v>44596</c:v>
                </c:pt>
                <c:pt idx="632">
                  <c:v>44603</c:v>
                </c:pt>
                <c:pt idx="633">
                  <c:v>44610</c:v>
                </c:pt>
                <c:pt idx="634">
                  <c:v>44617</c:v>
                </c:pt>
                <c:pt idx="635">
                  <c:v>44624</c:v>
                </c:pt>
                <c:pt idx="636">
                  <c:v>44631</c:v>
                </c:pt>
                <c:pt idx="637">
                  <c:v>44638</c:v>
                </c:pt>
                <c:pt idx="638">
                  <c:v>44645</c:v>
                </c:pt>
                <c:pt idx="639">
                  <c:v>44652</c:v>
                </c:pt>
              </c:numCache>
            </c:numRef>
          </c:cat>
          <c:val>
            <c:numRef>
              <c:f>'Graf 6'!$I$4:$I$643</c:f>
              <c:numCache>
                <c:formatCode>General</c:formatCode>
                <c:ptCount val="640"/>
                <c:pt idx="0">
                  <c:v>1</c:v>
                </c:pt>
                <c:pt idx="1">
                  <c:v>1.0267958030669897</c:v>
                </c:pt>
                <c:pt idx="2">
                  <c:v>1.0187696170747018</c:v>
                </c:pt>
                <c:pt idx="3">
                  <c:v>0.97906914178100624</c:v>
                </c:pt>
                <c:pt idx="4">
                  <c:v>0.96302573760200882</c:v>
                </c:pt>
                <c:pt idx="5">
                  <c:v>0.9561384629181241</c:v>
                </c:pt>
                <c:pt idx="6">
                  <c:v>0.96449645771679682</c:v>
                </c:pt>
                <c:pt idx="7">
                  <c:v>0.99468209129226093</c:v>
                </c:pt>
                <c:pt idx="8">
                  <c:v>0.99048515828176853</c:v>
                </c:pt>
                <c:pt idx="9">
                  <c:v>1.0211640211640214</c:v>
                </c:pt>
                <c:pt idx="10">
                  <c:v>1.0312886736615552</c:v>
                </c:pt>
                <c:pt idx="11">
                  <c:v>1.0401757689893285</c:v>
                </c:pt>
                <c:pt idx="12">
                  <c:v>1.0461752309209937</c:v>
                </c:pt>
                <c:pt idx="13">
                  <c:v>1.0564971751412429</c:v>
                </c:pt>
                <c:pt idx="14">
                  <c:v>1.0710877948166084</c:v>
                </c:pt>
                <c:pt idx="15">
                  <c:v>1.069079006367142</c:v>
                </c:pt>
                <c:pt idx="16">
                  <c:v>1.0916330373957492</c:v>
                </c:pt>
                <c:pt idx="17">
                  <c:v>1.0642005201327236</c:v>
                </c:pt>
                <c:pt idx="18">
                  <c:v>0.99622455385167263</c:v>
                </c:pt>
                <c:pt idx="19">
                  <c:v>1.0184557438794728</c:v>
                </c:pt>
                <c:pt idx="20">
                  <c:v>0.97541924491077048</c:v>
                </c:pt>
                <c:pt idx="21">
                  <c:v>0.97696170747018218</c:v>
                </c:pt>
                <c:pt idx="22">
                  <c:v>0.95496368038740942</c:v>
                </c:pt>
                <c:pt idx="23">
                  <c:v>0.97892565689175859</c:v>
                </c:pt>
                <c:pt idx="24">
                  <c:v>1.0021612411442922</c:v>
                </c:pt>
                <c:pt idx="25">
                  <c:v>0.96562640121962162</c:v>
                </c:pt>
                <c:pt idx="26">
                  <c:v>0.91702986279257481</c:v>
                </c:pt>
                <c:pt idx="27">
                  <c:v>0.96669357008340073</c:v>
                </c:pt>
                <c:pt idx="28">
                  <c:v>0.95496368038740942</c:v>
                </c:pt>
                <c:pt idx="29">
                  <c:v>0.98884404986099916</c:v>
                </c:pt>
                <c:pt idx="30">
                  <c:v>0.98789346246973364</c:v>
                </c:pt>
                <c:pt idx="31">
                  <c:v>1.0058649448479959</c:v>
                </c:pt>
                <c:pt idx="32">
                  <c:v>0.96785041700295948</c:v>
                </c:pt>
                <c:pt idx="33">
                  <c:v>0.96107075598601033</c:v>
                </c:pt>
                <c:pt idx="34">
                  <c:v>0.95470361402564796</c:v>
                </c:pt>
                <c:pt idx="35">
                  <c:v>0.99050309389292446</c:v>
                </c:pt>
                <c:pt idx="36">
                  <c:v>0.9950228679042239</c:v>
                </c:pt>
                <c:pt idx="37">
                  <c:v>1.0094072280512958</c:v>
                </c:pt>
                <c:pt idx="38">
                  <c:v>1.0301049233252624</c:v>
                </c:pt>
                <c:pt idx="39">
                  <c:v>1.0279257465698144</c:v>
                </c:pt>
                <c:pt idx="40">
                  <c:v>1.0448838669177654</c:v>
                </c:pt>
                <c:pt idx="41">
                  <c:v>1.0547843242758499</c:v>
                </c:pt>
                <c:pt idx="42">
                  <c:v>1.0609631423190746</c:v>
                </c:pt>
                <c:pt idx="43">
                  <c:v>1.0611245628194781</c:v>
                </c:pt>
                <c:pt idx="44">
                  <c:v>1.0993184467760739</c:v>
                </c:pt>
                <c:pt idx="45">
                  <c:v>1.0754282127163484</c:v>
                </c:pt>
                <c:pt idx="46">
                  <c:v>1.0758945386064032</c:v>
                </c:pt>
                <c:pt idx="47">
                  <c:v>1.066630795444355</c:v>
                </c:pt>
                <c:pt idx="48">
                  <c:v>1.0982961169401848</c:v>
                </c:pt>
                <c:pt idx="49">
                  <c:v>1.1123666038920277</c:v>
                </c:pt>
                <c:pt idx="50">
                  <c:v>1.1155143036498971</c:v>
                </c:pt>
                <c:pt idx="51">
                  <c:v>1.1270469016231728</c:v>
                </c:pt>
                <c:pt idx="52">
                  <c:v>1.1278271007084568</c:v>
                </c:pt>
                <c:pt idx="53">
                  <c:v>1.1402564792395302</c:v>
                </c:pt>
                <c:pt idx="54">
                  <c:v>1.159752488566048</c:v>
                </c:pt>
                <c:pt idx="55">
                  <c:v>1.1508833288494305</c:v>
                </c:pt>
                <c:pt idx="56">
                  <c:v>1.1445968971392699</c:v>
                </c:pt>
                <c:pt idx="57">
                  <c:v>1.175562729800018</c:v>
                </c:pt>
                <c:pt idx="58">
                  <c:v>1.1919558783965565</c:v>
                </c:pt>
                <c:pt idx="59">
                  <c:v>1.2043852569276299</c:v>
                </c:pt>
                <c:pt idx="60">
                  <c:v>1.1836427226257737</c:v>
                </c:pt>
                <c:pt idx="61">
                  <c:v>1.1847816339341766</c:v>
                </c:pt>
                <c:pt idx="62">
                  <c:v>1.1696529459241325</c:v>
                </c:pt>
                <c:pt idx="63">
                  <c:v>1.147170657340149</c:v>
                </c:pt>
                <c:pt idx="64">
                  <c:v>1.1781902968343647</c:v>
                </c:pt>
                <c:pt idx="65">
                  <c:v>1.1948793830149764</c:v>
                </c:pt>
                <c:pt idx="66">
                  <c:v>1.191077033449915</c:v>
                </c:pt>
                <c:pt idx="67">
                  <c:v>1.183463366514214</c:v>
                </c:pt>
                <c:pt idx="68">
                  <c:v>1.199345350192808</c:v>
                </c:pt>
                <c:pt idx="69">
                  <c:v>1.2228589364182585</c:v>
                </c:pt>
                <c:pt idx="70">
                  <c:v>1.2018653035602189</c:v>
                </c:pt>
                <c:pt idx="71">
                  <c:v>1.1996861268047709</c:v>
                </c:pt>
                <c:pt idx="72">
                  <c:v>1.1956506142946821</c:v>
                </c:pt>
                <c:pt idx="73">
                  <c:v>1.1937046004842615</c:v>
                </c:pt>
                <c:pt idx="74">
                  <c:v>1.1659582100260069</c:v>
                </c:pt>
                <c:pt idx="75">
                  <c:v>1.1397901533494754</c:v>
                </c:pt>
                <c:pt idx="76">
                  <c:v>1.1402564792395302</c:v>
                </c:pt>
                <c:pt idx="77">
                  <c:v>1.1375212985382479</c:v>
                </c:pt>
                <c:pt idx="78">
                  <c:v>1.2013900098645862</c:v>
                </c:pt>
                <c:pt idx="79">
                  <c:v>1.20509371356829</c:v>
                </c:pt>
                <c:pt idx="80">
                  <c:v>1.1802887633396111</c:v>
                </c:pt>
                <c:pt idx="81">
                  <c:v>1.2061877858488028</c:v>
                </c:pt>
                <c:pt idx="82">
                  <c:v>1.1588915792305623</c:v>
                </c:pt>
                <c:pt idx="83">
                  <c:v>1.0755806654111741</c:v>
                </c:pt>
                <c:pt idx="84">
                  <c:v>1.0571338893372793</c:v>
                </c:pt>
                <c:pt idx="85">
                  <c:v>1.0075598601022331</c:v>
                </c:pt>
                <c:pt idx="86">
                  <c:v>1.0553313604161063</c:v>
                </c:pt>
                <c:pt idx="87">
                  <c:v>1.0527934714375393</c:v>
                </c:pt>
                <c:pt idx="88">
                  <c:v>1.0350910232266166</c:v>
                </c:pt>
                <c:pt idx="89">
                  <c:v>1.0904941260873464</c:v>
                </c:pt>
                <c:pt idx="90">
                  <c:v>1.019128329297821</c:v>
                </c:pt>
                <c:pt idx="91">
                  <c:v>1.0146354587032556</c:v>
                </c:pt>
                <c:pt idx="92">
                  <c:v>1.0361940633127076</c:v>
                </c:pt>
                <c:pt idx="93">
                  <c:v>1.0981795354676711</c:v>
                </c:pt>
                <c:pt idx="94">
                  <c:v>1.1104385256927631</c:v>
                </c:pt>
                <c:pt idx="95">
                  <c:v>1.1524437270199983</c:v>
                </c:pt>
                <c:pt idx="96">
                  <c:v>1.1238722984485698</c:v>
                </c:pt>
                <c:pt idx="97">
                  <c:v>1.1334050757779572</c:v>
                </c:pt>
                <c:pt idx="98">
                  <c:v>1.0901712850865395</c:v>
                </c:pt>
                <c:pt idx="99">
                  <c:v>1.0390727289032375</c:v>
                </c:pt>
                <c:pt idx="100">
                  <c:v>1.115846112456282</c:v>
                </c:pt>
                <c:pt idx="101">
                  <c:v>1.1256299883418528</c:v>
                </c:pt>
                <c:pt idx="102">
                  <c:v>1.0937673751233075</c:v>
                </c:pt>
                <c:pt idx="103">
                  <c:v>1.1347233431979196</c:v>
                </c:pt>
                <c:pt idx="104">
                  <c:v>1.1278001972917227</c:v>
                </c:pt>
                <c:pt idx="105">
                  <c:v>1.1459151645592325</c:v>
                </c:pt>
                <c:pt idx="106">
                  <c:v>1.1560308492511882</c:v>
                </c:pt>
                <c:pt idx="107">
                  <c:v>1.1796072101156849</c:v>
                </c:pt>
                <c:pt idx="108">
                  <c:v>1.1804591516455925</c:v>
                </c:pt>
                <c:pt idx="109">
                  <c:v>1.2060801721818672</c:v>
                </c:pt>
                <c:pt idx="110">
                  <c:v>1.2040534481212448</c:v>
                </c:pt>
                <c:pt idx="111">
                  <c:v>1.2207245986907005</c:v>
                </c:pt>
                <c:pt idx="112">
                  <c:v>1.2247690790063672</c:v>
                </c:pt>
                <c:pt idx="113">
                  <c:v>1.2282575553761996</c:v>
                </c:pt>
                <c:pt idx="114">
                  <c:v>1.2293695632678683</c:v>
                </c:pt>
                <c:pt idx="115">
                  <c:v>1.2592323558425256</c:v>
                </c:pt>
                <c:pt idx="116">
                  <c:v>1.2529010851044748</c:v>
                </c:pt>
                <c:pt idx="117">
                  <c:v>1.2630885122410547</c:v>
                </c:pt>
                <c:pt idx="118">
                  <c:v>1.2537709622455386</c:v>
                </c:pt>
                <c:pt idx="119">
                  <c:v>1.2288225271276119</c:v>
                </c:pt>
                <c:pt idx="120">
                  <c:v>1.2362389023405973</c:v>
                </c:pt>
                <c:pt idx="121">
                  <c:v>1.2585059635907094</c:v>
                </c:pt>
                <c:pt idx="122">
                  <c:v>1.2277822616805667</c:v>
                </c:pt>
                <c:pt idx="123">
                  <c:v>1.2136938391175682</c:v>
                </c:pt>
                <c:pt idx="124">
                  <c:v>1.1615281140704872</c:v>
                </c:pt>
                <c:pt idx="125">
                  <c:v>1.1817953546767106</c:v>
                </c:pt>
                <c:pt idx="126">
                  <c:v>1.1461303918931038</c:v>
                </c:pt>
                <c:pt idx="127">
                  <c:v>1.1888261142498433</c:v>
                </c:pt>
                <c:pt idx="128">
                  <c:v>1.2042328042328043</c:v>
                </c:pt>
                <c:pt idx="129">
                  <c:v>1.1972199802708279</c:v>
                </c:pt>
                <c:pt idx="130">
                  <c:v>1.2215586046094522</c:v>
                </c:pt>
                <c:pt idx="131">
                  <c:v>1.2148506860371269</c:v>
                </c:pt>
                <c:pt idx="132">
                  <c:v>1.2167339252085017</c:v>
                </c:pt>
                <c:pt idx="133">
                  <c:v>1.222006994888351</c:v>
                </c:pt>
                <c:pt idx="134">
                  <c:v>1.2429109496906108</c:v>
                </c:pt>
                <c:pt idx="135">
                  <c:v>1.2474127880907544</c:v>
                </c:pt>
                <c:pt idx="136">
                  <c:v>1.2607568827907811</c:v>
                </c:pt>
                <c:pt idx="137">
                  <c:v>1.2717783158461127</c:v>
                </c:pt>
                <c:pt idx="138">
                  <c:v>1.2654739485247961</c:v>
                </c:pt>
                <c:pt idx="139">
                  <c:v>1.2613935969868173</c:v>
                </c:pt>
                <c:pt idx="140">
                  <c:v>1.2894986996681914</c:v>
                </c:pt>
                <c:pt idx="141">
                  <c:v>1.3144740382028519</c:v>
                </c:pt>
                <c:pt idx="142">
                  <c:v>1.30943413146803</c:v>
                </c:pt>
                <c:pt idx="143">
                  <c:v>1.2919648462021345</c:v>
                </c:pt>
                <c:pt idx="144">
                  <c:v>1.310133620303112</c:v>
                </c:pt>
                <c:pt idx="145">
                  <c:v>1.2811317370639406</c:v>
                </c:pt>
                <c:pt idx="146">
                  <c:v>1.2852569276298091</c:v>
                </c:pt>
                <c:pt idx="147">
                  <c:v>1.266200340776612</c:v>
                </c:pt>
                <c:pt idx="148">
                  <c:v>1.2682270648372345</c:v>
                </c:pt>
                <c:pt idx="149">
                  <c:v>1.2374226526768899</c:v>
                </c:pt>
                <c:pt idx="150">
                  <c:v>1.219513944937674</c:v>
                </c:pt>
                <c:pt idx="151">
                  <c:v>1.2636983230203571</c:v>
                </c:pt>
                <c:pt idx="152">
                  <c:v>1.2700026903416735</c:v>
                </c:pt>
                <c:pt idx="153">
                  <c:v>1.2716976055959108</c:v>
                </c:pt>
                <c:pt idx="154">
                  <c:v>1.2676710608913999</c:v>
                </c:pt>
                <c:pt idx="155">
                  <c:v>1.2825307147341047</c:v>
                </c:pt>
                <c:pt idx="156">
                  <c:v>1.2576719576719579</c:v>
                </c:pt>
                <c:pt idx="157">
                  <c:v>1.3151017845933102</c:v>
                </c:pt>
                <c:pt idx="158">
                  <c:v>1.3201058201058202</c:v>
                </c:pt>
                <c:pt idx="159">
                  <c:v>1.3325979732759394</c:v>
                </c:pt>
                <c:pt idx="160">
                  <c:v>1.3478253071473412</c:v>
                </c:pt>
                <c:pt idx="161">
                  <c:v>1.3569814366424537</c:v>
                </c:pt>
                <c:pt idx="162">
                  <c:v>1.36125011209757</c:v>
                </c:pt>
                <c:pt idx="163">
                  <c:v>1.3629181239350732</c:v>
                </c:pt>
                <c:pt idx="164">
                  <c:v>1.3591606133979015</c:v>
                </c:pt>
                <c:pt idx="165">
                  <c:v>1.3614922428481753</c:v>
                </c:pt>
                <c:pt idx="166">
                  <c:v>1.391068065644337</c:v>
                </c:pt>
                <c:pt idx="167">
                  <c:v>1.3996054165545693</c:v>
                </c:pt>
                <c:pt idx="168">
                  <c:v>1.3961886826293608</c:v>
                </c:pt>
                <c:pt idx="169">
                  <c:v>1.40721908349027</c:v>
                </c:pt>
                <c:pt idx="170">
                  <c:v>1.3929513048157116</c:v>
                </c:pt>
                <c:pt idx="171">
                  <c:v>1.424849789256569</c:v>
                </c:pt>
                <c:pt idx="172">
                  <c:v>1.3947179625145727</c:v>
                </c:pt>
                <c:pt idx="173">
                  <c:v>1.4189220697695275</c:v>
                </c:pt>
                <c:pt idx="174">
                  <c:v>1.4477804681194513</c:v>
                </c:pt>
                <c:pt idx="175">
                  <c:v>1.4650703972737873</c:v>
                </c:pt>
                <c:pt idx="176">
                  <c:v>1.495354676710609</c:v>
                </c:pt>
                <c:pt idx="177">
                  <c:v>1.4793292081427676</c:v>
                </c:pt>
                <c:pt idx="178">
                  <c:v>1.4624159268227066</c:v>
                </c:pt>
                <c:pt idx="179">
                  <c:v>1.4737512330732672</c:v>
                </c:pt>
                <c:pt idx="180">
                  <c:v>1.4588198367859386</c:v>
                </c:pt>
                <c:pt idx="181">
                  <c:v>1.4280602636534843</c:v>
                </c:pt>
                <c:pt idx="182">
                  <c:v>1.4404806743789795</c:v>
                </c:pt>
                <c:pt idx="183">
                  <c:v>1.4634472244641739</c:v>
                </c:pt>
                <c:pt idx="184">
                  <c:v>1.5067617254057935</c:v>
                </c:pt>
                <c:pt idx="185">
                  <c:v>1.5174334140435837</c:v>
                </c:pt>
                <c:pt idx="186">
                  <c:v>1.5170388305981528</c:v>
                </c:pt>
                <c:pt idx="187">
                  <c:v>1.5331988162496639</c:v>
                </c:pt>
                <c:pt idx="188">
                  <c:v>1.5168325710698594</c:v>
                </c:pt>
                <c:pt idx="189">
                  <c:v>1.4849161510178459</c:v>
                </c:pt>
                <c:pt idx="190">
                  <c:v>1.4917944578961528</c:v>
                </c:pt>
                <c:pt idx="191">
                  <c:v>1.4644157474665951</c:v>
                </c:pt>
                <c:pt idx="192">
                  <c:v>1.4843242758496997</c:v>
                </c:pt>
                <c:pt idx="193">
                  <c:v>1.5137566137566139</c:v>
                </c:pt>
                <c:pt idx="194">
                  <c:v>1.5334140435835353</c:v>
                </c:pt>
                <c:pt idx="195">
                  <c:v>1.5171285086539326</c:v>
                </c:pt>
                <c:pt idx="196">
                  <c:v>1.5160075329566856</c:v>
                </c:pt>
                <c:pt idx="197">
                  <c:v>1.527396646040714</c:v>
                </c:pt>
                <c:pt idx="198">
                  <c:v>1.564433683077751</c:v>
                </c:pt>
                <c:pt idx="199">
                  <c:v>1.5781275221953188</c:v>
                </c:pt>
                <c:pt idx="200">
                  <c:v>1.5798045018384004</c:v>
                </c:pt>
                <c:pt idx="201">
                  <c:v>1.5878486234418439</c:v>
                </c:pt>
                <c:pt idx="202">
                  <c:v>1.6125728634203211</c:v>
                </c:pt>
                <c:pt idx="203">
                  <c:v>1.6184736794906287</c:v>
                </c:pt>
                <c:pt idx="204">
                  <c:v>1.6194152990763162</c:v>
                </c:pt>
                <c:pt idx="205">
                  <c:v>1.6187696170747019</c:v>
                </c:pt>
                <c:pt idx="206">
                  <c:v>1.5920724598690701</c:v>
                </c:pt>
                <c:pt idx="207">
                  <c:v>1.6306340238543628</c:v>
                </c:pt>
                <c:pt idx="208">
                  <c:v>1.6513317191283294</c:v>
                </c:pt>
                <c:pt idx="209">
                  <c:v>1.6423370101336203</c:v>
                </c:pt>
                <c:pt idx="210">
                  <c:v>1.652201596269393</c:v>
                </c:pt>
                <c:pt idx="211">
                  <c:v>1.6489104116222761</c:v>
                </c:pt>
                <c:pt idx="212">
                  <c:v>1.6054972648192989</c:v>
                </c:pt>
                <c:pt idx="213">
                  <c:v>1.598592054524258</c:v>
                </c:pt>
                <c:pt idx="214">
                  <c:v>1.611532597973276</c:v>
                </c:pt>
                <c:pt idx="215">
                  <c:v>1.6488476369832303</c:v>
                </c:pt>
                <c:pt idx="216">
                  <c:v>1.6467132992556723</c:v>
                </c:pt>
                <c:pt idx="217">
                  <c:v>1.6675186081965745</c:v>
                </c:pt>
                <c:pt idx="218">
                  <c:v>1.6841897587660302</c:v>
                </c:pt>
                <c:pt idx="219">
                  <c:v>1.6510895883777241</c:v>
                </c:pt>
                <c:pt idx="220">
                  <c:v>1.6738588467402027</c:v>
                </c:pt>
                <c:pt idx="221">
                  <c:v>1.6658774997758048</c:v>
                </c:pt>
                <c:pt idx="222">
                  <c:v>1.6725764505425522</c:v>
                </c:pt>
                <c:pt idx="223">
                  <c:v>1.6282754909873556</c:v>
                </c:pt>
                <c:pt idx="224">
                  <c:v>1.6723612232086809</c:v>
                </c:pt>
                <c:pt idx="225">
                  <c:v>1.6710608913998746</c:v>
                </c:pt>
                <c:pt idx="226">
                  <c:v>1.6869697784952025</c:v>
                </c:pt>
                <c:pt idx="227">
                  <c:v>1.684584342211461</c:v>
                </c:pt>
                <c:pt idx="228">
                  <c:v>1.6840283382656265</c:v>
                </c:pt>
                <c:pt idx="229">
                  <c:v>1.7043583535108959</c:v>
                </c:pt>
                <c:pt idx="230">
                  <c:v>1.7250201775625504</c:v>
                </c:pt>
                <c:pt idx="231">
                  <c:v>1.7482198905927722</c:v>
                </c:pt>
                <c:pt idx="232">
                  <c:v>1.7363106447852212</c:v>
                </c:pt>
                <c:pt idx="233">
                  <c:v>1.7602636534839926</c:v>
                </c:pt>
                <c:pt idx="234">
                  <c:v>1.7585508026185994</c:v>
                </c:pt>
                <c:pt idx="235">
                  <c:v>1.7805039906734823</c:v>
                </c:pt>
                <c:pt idx="236">
                  <c:v>1.7644785221056409</c:v>
                </c:pt>
                <c:pt idx="237">
                  <c:v>1.7740292350461844</c:v>
                </c:pt>
                <c:pt idx="238">
                  <c:v>1.7741368487131199</c:v>
                </c:pt>
                <c:pt idx="239">
                  <c:v>1.7264370908438706</c:v>
                </c:pt>
                <c:pt idx="240">
                  <c:v>1.7322123576360866</c:v>
                </c:pt>
                <c:pt idx="241">
                  <c:v>1.7532597973275941</c:v>
                </c:pt>
                <c:pt idx="242">
                  <c:v>1.783158461124563</c:v>
                </c:pt>
                <c:pt idx="243">
                  <c:v>1.7965832660747916</c:v>
                </c:pt>
                <c:pt idx="244">
                  <c:v>1.8004752936956328</c:v>
                </c:pt>
                <c:pt idx="245">
                  <c:v>1.7805936687292621</c:v>
                </c:pt>
                <c:pt idx="246">
                  <c:v>1.8028876333961081</c:v>
                </c:pt>
                <c:pt idx="247">
                  <c:v>1.7781813290287867</c:v>
                </c:pt>
                <c:pt idx="248">
                  <c:v>1.7647744596897141</c:v>
                </c:pt>
                <c:pt idx="249">
                  <c:v>1.7093803246345622</c:v>
                </c:pt>
                <c:pt idx="250">
                  <c:v>1.6920096852300244</c:v>
                </c:pt>
                <c:pt idx="251">
                  <c:v>1.7617971482378263</c:v>
                </c:pt>
                <c:pt idx="252">
                  <c:v>1.809748004663259</c:v>
                </c:pt>
                <c:pt idx="253">
                  <c:v>1.8221863509999106</c:v>
                </c:pt>
                <c:pt idx="254">
                  <c:v>1.8292709174065107</c:v>
                </c:pt>
                <c:pt idx="255">
                  <c:v>1.8505066810151558</c:v>
                </c:pt>
                <c:pt idx="256">
                  <c:v>1.8541476100798135</c:v>
                </c:pt>
                <c:pt idx="257">
                  <c:v>1.8611514662362121</c:v>
                </c:pt>
                <c:pt idx="258">
                  <c:v>1.7956506142946822</c:v>
                </c:pt>
                <c:pt idx="259">
                  <c:v>1.8569186620034079</c:v>
                </c:pt>
                <c:pt idx="260">
                  <c:v>1.8731683257106988</c:v>
                </c:pt>
                <c:pt idx="261">
                  <c:v>1.8457537440588287</c:v>
                </c:pt>
                <c:pt idx="262">
                  <c:v>1.8337458523899204</c:v>
                </c:pt>
                <c:pt idx="263">
                  <c:v>1.8109765940274416</c:v>
                </c:pt>
                <c:pt idx="264">
                  <c:v>1.8400322841000809</c:v>
                </c:pt>
                <c:pt idx="265">
                  <c:v>1.7890682450004485</c:v>
                </c:pt>
                <c:pt idx="266">
                  <c:v>1.8433055331360415</c:v>
                </c:pt>
                <c:pt idx="267">
                  <c:v>1.880539861895794</c:v>
                </c:pt>
                <c:pt idx="268">
                  <c:v>1.8924760111200791</c:v>
                </c:pt>
                <c:pt idx="269">
                  <c:v>1.8872746838848535</c:v>
                </c:pt>
                <c:pt idx="270">
                  <c:v>1.8574656981436646</c:v>
                </c:pt>
                <c:pt idx="271">
                  <c:v>1.8414491973814009</c:v>
                </c:pt>
                <c:pt idx="272">
                  <c:v>1.8905030938929244</c:v>
                </c:pt>
                <c:pt idx="273">
                  <c:v>1.8482826652318178</c:v>
                </c:pt>
                <c:pt idx="274">
                  <c:v>1.8536095417451353</c:v>
                </c:pt>
                <c:pt idx="275">
                  <c:v>1.8850865393238276</c:v>
                </c:pt>
                <c:pt idx="276">
                  <c:v>1.8663617612770156</c:v>
                </c:pt>
                <c:pt idx="277">
                  <c:v>1.8991032194422026</c:v>
                </c:pt>
                <c:pt idx="278">
                  <c:v>1.890673482198906</c:v>
                </c:pt>
                <c:pt idx="279">
                  <c:v>1.8976773383553045</c:v>
                </c:pt>
                <c:pt idx="280">
                  <c:v>1.9036229934535021</c:v>
                </c:pt>
                <c:pt idx="281">
                  <c:v>1.9066092727109678</c:v>
                </c:pt>
                <c:pt idx="282">
                  <c:v>1.8898663796968882</c:v>
                </c:pt>
                <c:pt idx="283">
                  <c:v>1.8768092547753565</c:v>
                </c:pt>
                <c:pt idx="284">
                  <c:v>1.8779571338893375</c:v>
                </c:pt>
                <c:pt idx="285">
                  <c:v>1.8921980091471617</c:v>
                </c:pt>
                <c:pt idx="286">
                  <c:v>1.8845753744058829</c:v>
                </c:pt>
                <c:pt idx="287">
                  <c:v>1.8624159268227067</c:v>
                </c:pt>
                <c:pt idx="288">
                  <c:v>1.8622724419334589</c:v>
                </c:pt>
                <c:pt idx="289">
                  <c:v>1.9071294054344903</c:v>
                </c:pt>
                <c:pt idx="290">
                  <c:v>1.8649896870235856</c:v>
                </c:pt>
                <c:pt idx="291">
                  <c:v>1.8866828087167073</c:v>
                </c:pt>
                <c:pt idx="292">
                  <c:v>1.8631243834633668</c:v>
                </c:pt>
                <c:pt idx="293">
                  <c:v>1.8756524078557979</c:v>
                </c:pt>
                <c:pt idx="294">
                  <c:v>1.7674558335575288</c:v>
                </c:pt>
                <c:pt idx="295">
                  <c:v>1.7835799479867276</c:v>
                </c:pt>
                <c:pt idx="296">
                  <c:v>1.7229127432517264</c:v>
                </c:pt>
                <c:pt idx="297">
                  <c:v>1.758631512868801</c:v>
                </c:pt>
                <c:pt idx="298">
                  <c:v>1.7559232355842527</c:v>
                </c:pt>
                <c:pt idx="299">
                  <c:v>1.7319881624966371</c:v>
                </c:pt>
                <c:pt idx="300">
                  <c:v>1.7499417092637433</c:v>
                </c:pt>
                <c:pt idx="301">
                  <c:v>1.8069141781006191</c:v>
                </c:pt>
                <c:pt idx="302">
                  <c:v>1.8232535198636894</c:v>
                </c:pt>
                <c:pt idx="303">
                  <c:v>1.8609541745134968</c:v>
                </c:pt>
                <c:pt idx="304">
                  <c:v>1.8647296206618242</c:v>
                </c:pt>
                <c:pt idx="305">
                  <c:v>1.8825217469285265</c:v>
                </c:pt>
                <c:pt idx="306">
                  <c:v>1.8142229396466685</c:v>
                </c:pt>
                <c:pt idx="307">
                  <c:v>1.8735270379338178</c:v>
                </c:pt>
                <c:pt idx="308">
                  <c:v>1.8743700116581474</c:v>
                </c:pt>
                <c:pt idx="309">
                  <c:v>1.8757869249394674</c:v>
                </c:pt>
                <c:pt idx="310">
                  <c:v>1.8046542910949692</c:v>
                </c:pt>
                <c:pt idx="311">
                  <c:v>1.7985382476907901</c:v>
                </c:pt>
                <c:pt idx="312">
                  <c:v>1.8482557618150839</c:v>
                </c:pt>
                <c:pt idx="313">
                  <c:v>1.8329656533046366</c:v>
                </c:pt>
                <c:pt idx="314">
                  <c:v>1.7236391355035423</c:v>
                </c:pt>
                <c:pt idx="315">
                  <c:v>1.6862433862433863</c:v>
                </c:pt>
                <c:pt idx="316">
                  <c:v>1.7100708456640663</c:v>
                </c:pt>
                <c:pt idx="317">
                  <c:v>1.739969509461035</c:v>
                </c:pt>
                <c:pt idx="318">
                  <c:v>1.6859922876872031</c:v>
                </c:pt>
                <c:pt idx="319">
                  <c:v>1.6722984485696351</c:v>
                </c:pt>
                <c:pt idx="320">
                  <c:v>1.719827818132903</c:v>
                </c:pt>
                <c:pt idx="321">
                  <c:v>1.7469733656174335</c:v>
                </c:pt>
                <c:pt idx="322">
                  <c:v>1.7935521477894361</c:v>
                </c:pt>
                <c:pt idx="323">
                  <c:v>1.8134606761725407</c:v>
                </c:pt>
                <c:pt idx="324">
                  <c:v>1.8380234956506143</c:v>
                </c:pt>
                <c:pt idx="325">
                  <c:v>1.8257914088422564</c:v>
                </c:pt>
                <c:pt idx="326">
                  <c:v>1.8588288045915169</c:v>
                </c:pt>
                <c:pt idx="327">
                  <c:v>1.8362478701461753</c:v>
                </c:pt>
                <c:pt idx="328">
                  <c:v>1.8659582100260068</c:v>
                </c:pt>
                <c:pt idx="329">
                  <c:v>1.8756882790781098</c:v>
                </c:pt>
                <c:pt idx="330">
                  <c:v>1.8521208860191913</c:v>
                </c:pt>
                <c:pt idx="331">
                  <c:v>1.8448031566675636</c:v>
                </c:pt>
                <c:pt idx="332">
                  <c:v>1.8353600573939557</c:v>
                </c:pt>
                <c:pt idx="333">
                  <c:v>1.8404806743789797</c:v>
                </c:pt>
                <c:pt idx="334">
                  <c:v>1.8823961976504351</c:v>
                </c:pt>
                <c:pt idx="335">
                  <c:v>1.8824589722894811</c:v>
                </c:pt>
                <c:pt idx="336">
                  <c:v>1.8797148237826207</c:v>
                </c:pt>
                <c:pt idx="337">
                  <c:v>1.8574298269213523</c:v>
                </c:pt>
                <c:pt idx="338">
                  <c:v>1.8271096762622188</c:v>
                </c:pt>
                <c:pt idx="339">
                  <c:v>1.8858846740202673</c:v>
                </c:pt>
                <c:pt idx="340">
                  <c:v>1.9100529100529102</c:v>
                </c:pt>
                <c:pt idx="341">
                  <c:v>1.9386064030131827</c:v>
                </c:pt>
                <c:pt idx="342">
                  <c:v>1.9505246166263119</c:v>
                </c:pt>
                <c:pt idx="343">
                  <c:v>1.9492422204286612</c:v>
                </c:pt>
                <c:pt idx="344">
                  <c:v>1.957555376199444</c:v>
                </c:pt>
                <c:pt idx="345">
                  <c:v>1.9586135772576454</c:v>
                </c:pt>
                <c:pt idx="346">
                  <c:v>1.9584521567572415</c:v>
                </c:pt>
                <c:pt idx="347">
                  <c:v>1.9451529010851045</c:v>
                </c:pt>
                <c:pt idx="348">
                  <c:v>1.9549636803874093</c:v>
                </c:pt>
                <c:pt idx="349">
                  <c:v>1.9081786386871133</c:v>
                </c:pt>
                <c:pt idx="350">
                  <c:v>1.918357098018115</c:v>
                </c:pt>
                <c:pt idx="351">
                  <c:v>1.9412519056586854</c:v>
                </c:pt>
                <c:pt idx="352">
                  <c:v>1.9444623800556005</c:v>
                </c:pt>
                <c:pt idx="353">
                  <c:v>1.9314321585508025</c:v>
                </c:pt>
                <c:pt idx="354">
                  <c:v>1.9128149941709265</c:v>
                </c:pt>
                <c:pt idx="355">
                  <c:v>1.9201506591337101</c:v>
                </c:pt>
                <c:pt idx="356">
                  <c:v>1.9069231459061968</c:v>
                </c:pt>
                <c:pt idx="357">
                  <c:v>1.8699488835082057</c:v>
                </c:pt>
                <c:pt idx="358">
                  <c:v>1.9410366783248139</c:v>
                </c:pt>
                <c:pt idx="359">
                  <c:v>1.9566854990583806</c:v>
                </c:pt>
                <c:pt idx="360">
                  <c:v>1.9848892476011122</c:v>
                </c:pt>
                <c:pt idx="361">
                  <c:v>1.9656981436642453</c:v>
                </c:pt>
                <c:pt idx="362">
                  <c:v>2.0263025737602014</c:v>
                </c:pt>
                <c:pt idx="363">
                  <c:v>2.024993274145817</c:v>
                </c:pt>
                <c:pt idx="364">
                  <c:v>2.0301228589364184</c:v>
                </c:pt>
                <c:pt idx="365">
                  <c:v>2.0077392162137926</c:v>
                </c:pt>
                <c:pt idx="366">
                  <c:v>2.0419513944937675</c:v>
                </c:pt>
                <c:pt idx="367">
                  <c:v>2.0398529279885214</c:v>
                </c:pt>
                <c:pt idx="368">
                  <c:v>2.0368666487310558</c:v>
                </c:pt>
                <c:pt idx="369">
                  <c:v>2.0578333781723614</c:v>
                </c:pt>
                <c:pt idx="370">
                  <c:v>2.0602815890951485</c:v>
                </c:pt>
                <c:pt idx="371">
                  <c:v>2.077033449914806</c:v>
                </c:pt>
                <c:pt idx="372">
                  <c:v>2.1084745762711865</c:v>
                </c:pt>
                <c:pt idx="373">
                  <c:v>2.1229844856963505</c:v>
                </c:pt>
                <c:pt idx="374">
                  <c:v>2.137135682898395</c:v>
                </c:pt>
                <c:pt idx="375">
                  <c:v>2.127701551430365</c:v>
                </c:pt>
                <c:pt idx="376">
                  <c:v>2.1327683615819213</c:v>
                </c:pt>
                <c:pt idx="377">
                  <c:v>2.1020356918662007</c:v>
                </c:pt>
                <c:pt idx="378">
                  <c:v>2.1188413595193256</c:v>
                </c:pt>
                <c:pt idx="379">
                  <c:v>2.1124024751143398</c:v>
                </c:pt>
                <c:pt idx="380">
                  <c:v>2.088557080082504</c:v>
                </c:pt>
                <c:pt idx="381">
                  <c:v>2.1062595282934269</c:v>
                </c:pt>
                <c:pt idx="382">
                  <c:v>2.1381042059008162</c:v>
                </c:pt>
                <c:pt idx="383">
                  <c:v>2.1516366245179808</c:v>
                </c:pt>
                <c:pt idx="384">
                  <c:v>2.1441126356380598</c:v>
                </c:pt>
                <c:pt idx="385">
                  <c:v>2.1358891579230566</c:v>
                </c:pt>
                <c:pt idx="386">
                  <c:v>2.1664604071383735</c:v>
                </c:pt>
                <c:pt idx="387">
                  <c:v>2.1873105551071657</c:v>
                </c:pt>
                <c:pt idx="388">
                  <c:v>2.1807640570352436</c:v>
                </c:pt>
                <c:pt idx="389">
                  <c:v>2.1820016142050043</c:v>
                </c:pt>
                <c:pt idx="390">
                  <c:v>2.1866200340776616</c:v>
                </c:pt>
                <c:pt idx="391">
                  <c:v>2.1732669715720565</c:v>
                </c:pt>
                <c:pt idx="392">
                  <c:v>2.1748542731593581</c:v>
                </c:pt>
                <c:pt idx="393">
                  <c:v>2.205425522374675</c:v>
                </c:pt>
                <c:pt idx="394">
                  <c:v>2.2173258003766478</c:v>
                </c:pt>
                <c:pt idx="395">
                  <c:v>2.2169312169312172</c:v>
                </c:pt>
                <c:pt idx="396">
                  <c:v>2.2211729889695992</c:v>
                </c:pt>
                <c:pt idx="397">
                  <c:v>2.18932831136221</c:v>
                </c:pt>
                <c:pt idx="398">
                  <c:v>2.1751860819657431</c:v>
                </c:pt>
                <c:pt idx="399">
                  <c:v>2.1908797417271999</c:v>
                </c:pt>
                <c:pt idx="400">
                  <c:v>2.220921890413416</c:v>
                </c:pt>
                <c:pt idx="401">
                  <c:v>2.2073625683795175</c:v>
                </c:pt>
                <c:pt idx="402">
                  <c:v>2.2421576540220611</c:v>
                </c:pt>
                <c:pt idx="403">
                  <c:v>2.243942247332078</c:v>
                </c:pt>
                <c:pt idx="404">
                  <c:v>2.2593130660927274</c:v>
                </c:pt>
                <c:pt idx="405">
                  <c:v>2.2861895794099185</c:v>
                </c:pt>
                <c:pt idx="406">
                  <c:v>2.2896332167518612</c:v>
                </c:pt>
                <c:pt idx="407">
                  <c:v>2.3093982602457181</c:v>
                </c:pt>
                <c:pt idx="408">
                  <c:v>2.3146533943144116</c:v>
                </c:pt>
                <c:pt idx="409">
                  <c:v>2.3207245986907008</c:v>
                </c:pt>
                <c:pt idx="410">
                  <c:v>2.3157564344005026</c:v>
                </c:pt>
                <c:pt idx="411">
                  <c:v>2.3126625414761008</c:v>
                </c:pt>
                <c:pt idx="412">
                  <c:v>2.3337996592233883</c:v>
                </c:pt>
                <c:pt idx="413">
                  <c:v>2.369491525423729</c:v>
                </c:pt>
                <c:pt idx="414">
                  <c:v>2.3778136490000898</c:v>
                </c:pt>
                <c:pt idx="415">
                  <c:v>2.3996143843601474</c:v>
                </c:pt>
                <c:pt idx="416">
                  <c:v>2.4063671419603625</c:v>
                </c:pt>
                <c:pt idx="417">
                  <c:v>2.3976414671329929</c:v>
                </c:pt>
                <c:pt idx="418">
                  <c:v>2.4600035871222317</c:v>
                </c:pt>
                <c:pt idx="419">
                  <c:v>2.4986458613577258</c:v>
                </c:pt>
                <c:pt idx="420">
                  <c:v>2.5202224015783341</c:v>
                </c:pt>
                <c:pt idx="421">
                  <c:v>2.5763339610797238</c:v>
                </c:pt>
                <c:pt idx="422">
                  <c:v>2.4770244821092282</c:v>
                </c:pt>
                <c:pt idx="423">
                  <c:v>2.3491615101784595</c:v>
                </c:pt>
                <c:pt idx="424">
                  <c:v>2.4502017756255046</c:v>
                </c:pt>
                <c:pt idx="425">
                  <c:v>2.463725226437091</c:v>
                </c:pt>
                <c:pt idx="426">
                  <c:v>2.4134606761725408</c:v>
                </c:pt>
                <c:pt idx="427">
                  <c:v>2.4989417989417992</c:v>
                </c:pt>
                <c:pt idx="428">
                  <c:v>2.4679490628643177</c:v>
                </c:pt>
                <c:pt idx="429">
                  <c:v>2.3211012465249756</c:v>
                </c:pt>
                <c:pt idx="430">
                  <c:v>2.3682808716707022</c:v>
                </c:pt>
                <c:pt idx="431">
                  <c:v>2.3356380593668731</c:v>
                </c:pt>
                <c:pt idx="432">
                  <c:v>2.3821181956775179</c:v>
                </c:pt>
                <c:pt idx="433">
                  <c:v>2.3945296385974353</c:v>
                </c:pt>
                <c:pt idx="434">
                  <c:v>2.3943233790691418</c:v>
                </c:pt>
                <c:pt idx="435">
                  <c:v>2.3885032732490363</c:v>
                </c:pt>
                <c:pt idx="436">
                  <c:v>2.4461662631154155</c:v>
                </c:pt>
                <c:pt idx="437">
                  <c:v>2.4329387498879025</c:v>
                </c:pt>
                <c:pt idx="438">
                  <c:v>2.4404358353510895</c:v>
                </c:pt>
                <c:pt idx="439">
                  <c:v>2.4523540489642186</c:v>
                </c:pt>
                <c:pt idx="440">
                  <c:v>2.492180073536006</c:v>
                </c:pt>
                <c:pt idx="441">
                  <c:v>2.492745045287418</c:v>
                </c:pt>
                <c:pt idx="442">
                  <c:v>2.4705228230651963</c:v>
                </c:pt>
                <c:pt idx="443">
                  <c:v>2.4377813649000091</c:v>
                </c:pt>
                <c:pt idx="444">
                  <c:v>2.474952919020716</c:v>
                </c:pt>
                <c:pt idx="445">
                  <c:v>2.5121603443637341</c:v>
                </c:pt>
                <c:pt idx="446">
                  <c:v>2.5126266702537889</c:v>
                </c:pt>
                <c:pt idx="447">
                  <c:v>2.527862971930769</c:v>
                </c:pt>
                <c:pt idx="448">
                  <c:v>2.5471706573401489</c:v>
                </c:pt>
                <c:pt idx="449">
                  <c:v>2.5408304187965207</c:v>
                </c:pt>
                <c:pt idx="450">
                  <c:v>2.5559411711954088</c:v>
                </c:pt>
                <c:pt idx="451">
                  <c:v>2.5779661016949156</c:v>
                </c:pt>
                <c:pt idx="452">
                  <c:v>2.6020267240606225</c:v>
                </c:pt>
                <c:pt idx="453">
                  <c:v>2.5752667922159449</c:v>
                </c:pt>
                <c:pt idx="454">
                  <c:v>2.605129584790602</c:v>
                </c:pt>
                <c:pt idx="455">
                  <c:v>2.6272710967626223</c:v>
                </c:pt>
                <c:pt idx="456">
                  <c:v>2.6132006098107796</c:v>
                </c:pt>
                <c:pt idx="457">
                  <c:v>2.5877230741637525</c:v>
                </c:pt>
                <c:pt idx="458">
                  <c:v>2.4815083848982158</c:v>
                </c:pt>
                <c:pt idx="459">
                  <c:v>2.4820912922607841</c:v>
                </c:pt>
                <c:pt idx="460">
                  <c:v>2.3842615012106538</c:v>
                </c:pt>
                <c:pt idx="461">
                  <c:v>2.4419872657160795</c:v>
                </c:pt>
                <c:pt idx="462">
                  <c:v>2.4939556990404452</c:v>
                </c:pt>
                <c:pt idx="463">
                  <c:v>2.4538337368845844</c:v>
                </c:pt>
                <c:pt idx="464">
                  <c:v>2.3608286252354049</c:v>
                </c:pt>
                <c:pt idx="465">
                  <c:v>2.4752667922159448</c:v>
                </c:pt>
                <c:pt idx="466">
                  <c:v>2.3612949511254597</c:v>
                </c:pt>
                <c:pt idx="467">
                  <c:v>2.3315846112456282</c:v>
                </c:pt>
                <c:pt idx="468">
                  <c:v>2.1671778315846115</c:v>
                </c:pt>
                <c:pt idx="469">
                  <c:v>2.2291633037395751</c:v>
                </c:pt>
                <c:pt idx="470">
                  <c:v>2.2705945655098199</c:v>
                </c:pt>
                <c:pt idx="471">
                  <c:v>2.3282754909873558</c:v>
                </c:pt>
                <c:pt idx="472">
                  <c:v>2.3950408035153798</c:v>
                </c:pt>
                <c:pt idx="473">
                  <c:v>2.389704959196485</c:v>
                </c:pt>
                <c:pt idx="474">
                  <c:v>2.4271634830956867</c:v>
                </c:pt>
                <c:pt idx="475">
                  <c:v>2.4283741368487135</c:v>
                </c:pt>
                <c:pt idx="476">
                  <c:v>2.4891041162227605</c:v>
                </c:pt>
                <c:pt idx="477">
                  <c:v>2.5044121603443639</c:v>
                </c:pt>
                <c:pt idx="478">
                  <c:v>2.5142946820912924</c:v>
                </c:pt>
                <c:pt idx="479">
                  <c:v>2.4599318446776079</c:v>
                </c:pt>
                <c:pt idx="480">
                  <c:v>2.5311451887723075</c:v>
                </c:pt>
                <c:pt idx="481">
                  <c:v>2.5116222760290561</c:v>
                </c:pt>
                <c:pt idx="482">
                  <c:v>2.541834813021254</c:v>
                </c:pt>
                <c:pt idx="483">
                  <c:v>2.5941529907631602</c:v>
                </c:pt>
                <c:pt idx="484">
                  <c:v>2.60730876154605</c:v>
                </c:pt>
                <c:pt idx="485">
                  <c:v>2.6051744238184922</c:v>
                </c:pt>
                <c:pt idx="486">
                  <c:v>2.6364272262577351</c:v>
                </c:pt>
                <c:pt idx="487">
                  <c:v>2.6415926822706486</c:v>
                </c:pt>
                <c:pt idx="488">
                  <c:v>2.5839834992377368</c:v>
                </c:pt>
                <c:pt idx="489">
                  <c:v>2.5643709084387054</c:v>
                </c:pt>
                <c:pt idx="490">
                  <c:v>2.5343556631692228</c:v>
                </c:pt>
                <c:pt idx="491">
                  <c:v>2.467993901892207</c:v>
                </c:pt>
                <c:pt idx="492">
                  <c:v>2.5767554479418888</c:v>
                </c:pt>
                <c:pt idx="493">
                  <c:v>2.5889875347502467</c:v>
                </c:pt>
                <c:pt idx="494">
                  <c:v>2.6459151645592325</c:v>
                </c:pt>
                <c:pt idx="495">
                  <c:v>2.6381131737063943</c:v>
                </c:pt>
                <c:pt idx="496">
                  <c:v>2.6817415478432429</c:v>
                </c:pt>
                <c:pt idx="497">
                  <c:v>2.7026903416733927</c:v>
                </c:pt>
                <c:pt idx="498">
                  <c:v>2.6693659761456376</c:v>
                </c:pt>
                <c:pt idx="499">
                  <c:v>2.7135324186171648</c:v>
                </c:pt>
                <c:pt idx="500">
                  <c:v>2.6294054344901805</c:v>
                </c:pt>
                <c:pt idx="501">
                  <c:v>2.6173885750156938</c:v>
                </c:pt>
                <c:pt idx="502">
                  <c:v>2.5905120616985022</c:v>
                </c:pt>
                <c:pt idx="503">
                  <c:v>2.5532328939108604</c:v>
                </c:pt>
                <c:pt idx="504">
                  <c:v>2.6243924311720925</c:v>
                </c:pt>
                <c:pt idx="505">
                  <c:v>2.6712492153170122</c:v>
                </c:pt>
                <c:pt idx="506">
                  <c:v>2.6969688817146444</c:v>
                </c:pt>
                <c:pt idx="507">
                  <c:v>2.6832302035691868</c:v>
                </c:pt>
                <c:pt idx="508">
                  <c:v>2.6560756882790781</c:v>
                </c:pt>
                <c:pt idx="509">
                  <c:v>2.6473051744238187</c:v>
                </c:pt>
                <c:pt idx="510">
                  <c:v>2.663680387409201</c:v>
                </c:pt>
                <c:pt idx="511">
                  <c:v>2.6779661016949152</c:v>
                </c:pt>
                <c:pt idx="512">
                  <c:v>2.7105640749708551</c:v>
                </c:pt>
                <c:pt idx="513">
                  <c:v>2.7503452605147523</c:v>
                </c:pt>
                <c:pt idx="514">
                  <c:v>2.7738140077123128</c:v>
                </c:pt>
                <c:pt idx="515">
                  <c:v>2.7983678593848089</c:v>
                </c:pt>
                <c:pt idx="516">
                  <c:v>2.7892476011120082</c:v>
                </c:pt>
                <c:pt idx="517">
                  <c:v>2.8167697964308136</c:v>
                </c:pt>
                <c:pt idx="518">
                  <c:v>2.8211909245807552</c:v>
                </c:pt>
                <c:pt idx="519">
                  <c:v>2.8417182315487404</c:v>
                </c:pt>
                <c:pt idx="520">
                  <c:v>2.8887274683884856</c:v>
                </c:pt>
                <c:pt idx="521">
                  <c:v>2.9055869428750789</c:v>
                </c:pt>
                <c:pt idx="522">
                  <c:v>2.9009505873912653</c:v>
                </c:pt>
                <c:pt idx="523">
                  <c:v>2.9283023944040893</c:v>
                </c:pt>
                <c:pt idx="524">
                  <c:v>2.985938480853735</c:v>
                </c:pt>
                <c:pt idx="525">
                  <c:v>2.9553134248049502</c:v>
                </c:pt>
                <c:pt idx="526">
                  <c:v>2.8925836247870147</c:v>
                </c:pt>
                <c:pt idx="527">
                  <c:v>2.9842256299883423</c:v>
                </c:pt>
                <c:pt idx="528">
                  <c:v>3.031261770244821</c:v>
                </c:pt>
                <c:pt idx="529">
                  <c:v>2.9932293067886291</c:v>
                </c:pt>
                <c:pt idx="530">
                  <c:v>2.649287059456551</c:v>
                </c:pt>
                <c:pt idx="531">
                  <c:v>2.665563626580576</c:v>
                </c:pt>
                <c:pt idx="532">
                  <c:v>2.4311900278001977</c:v>
                </c:pt>
                <c:pt idx="533">
                  <c:v>2.0670074432786301</c:v>
                </c:pt>
                <c:pt idx="534">
                  <c:v>2.27914088422563</c:v>
                </c:pt>
                <c:pt idx="535">
                  <c:v>2.2317729351627658</c:v>
                </c:pt>
                <c:pt idx="536">
                  <c:v>2.5018563357546411</c:v>
                </c:pt>
                <c:pt idx="537">
                  <c:v>2.5778495202224017</c:v>
                </c:pt>
                <c:pt idx="538">
                  <c:v>2.5439332795264997</c:v>
                </c:pt>
                <c:pt idx="539">
                  <c:v>2.5385256927629811</c:v>
                </c:pt>
                <c:pt idx="540">
                  <c:v>2.6273876782351362</c:v>
                </c:pt>
                <c:pt idx="541">
                  <c:v>2.5681104833647206</c:v>
                </c:pt>
                <c:pt idx="542">
                  <c:v>2.6503900995426419</c:v>
                </c:pt>
                <c:pt idx="543">
                  <c:v>2.7300780199085284</c:v>
                </c:pt>
                <c:pt idx="544">
                  <c:v>2.8642543269661913</c:v>
                </c:pt>
                <c:pt idx="545">
                  <c:v>2.7273876782351358</c:v>
                </c:pt>
                <c:pt idx="546">
                  <c:v>2.7779930051116493</c:v>
                </c:pt>
                <c:pt idx="547">
                  <c:v>2.6984575374405888</c:v>
                </c:pt>
                <c:pt idx="548">
                  <c:v>2.8069321137117753</c:v>
                </c:pt>
                <c:pt idx="549">
                  <c:v>2.8562819478073718</c:v>
                </c:pt>
                <c:pt idx="550">
                  <c:v>2.8918751681463548</c:v>
                </c:pt>
                <c:pt idx="551">
                  <c:v>2.8837144650703976</c:v>
                </c:pt>
                <c:pt idx="552">
                  <c:v>2.933476818222581</c:v>
                </c:pt>
                <c:pt idx="553">
                  <c:v>3.0053627477356297</c:v>
                </c:pt>
                <c:pt idx="554">
                  <c:v>3.0247063043673217</c:v>
                </c:pt>
                <c:pt idx="555">
                  <c:v>3.0465070397273788</c:v>
                </c:pt>
                <c:pt idx="556">
                  <c:v>3.1459151645592329</c:v>
                </c:pt>
                <c:pt idx="557">
                  <c:v>3.0732311003497448</c:v>
                </c:pt>
                <c:pt idx="558">
                  <c:v>2.996116940184737</c:v>
                </c:pt>
                <c:pt idx="559">
                  <c:v>2.9768361581920906</c:v>
                </c:pt>
                <c:pt idx="560">
                  <c:v>2.957994798672765</c:v>
                </c:pt>
                <c:pt idx="561">
                  <c:v>3.0028158909514846</c:v>
                </c:pt>
                <c:pt idx="562">
                  <c:v>3.1182225809344457</c:v>
                </c:pt>
                <c:pt idx="563">
                  <c:v>3.124213075060533</c:v>
                </c:pt>
                <c:pt idx="564">
                  <c:v>3.1076943771859029</c:v>
                </c:pt>
                <c:pt idx="565">
                  <c:v>2.9324365527755361</c:v>
                </c:pt>
                <c:pt idx="566">
                  <c:v>3.147197560756883</c:v>
                </c:pt>
                <c:pt idx="567">
                  <c:v>3.2150928167877324</c:v>
                </c:pt>
                <c:pt idx="568">
                  <c:v>3.1903327055869433</c:v>
                </c:pt>
                <c:pt idx="569">
                  <c:v>3.2628015424625594</c:v>
                </c:pt>
                <c:pt idx="570">
                  <c:v>3.317298896959914</c:v>
                </c:pt>
                <c:pt idx="571">
                  <c:v>3.2853197022688549</c:v>
                </c:pt>
                <c:pt idx="572">
                  <c:v>3.3265267688996505</c:v>
                </c:pt>
                <c:pt idx="573">
                  <c:v>3.3208322123576361</c:v>
                </c:pt>
                <c:pt idx="574">
                  <c:v>3.3683705497264822</c:v>
                </c:pt>
                <c:pt idx="575">
                  <c:v>3.4298986637969691</c:v>
                </c:pt>
                <c:pt idx="576">
                  <c:v>3.3792933369204556</c:v>
                </c:pt>
                <c:pt idx="577">
                  <c:v>3.4449556093623892</c:v>
                </c:pt>
                <c:pt idx="578">
                  <c:v>3.3308582189938121</c:v>
                </c:pt>
                <c:pt idx="579">
                  <c:v>3.4856335754640844</c:v>
                </c:pt>
                <c:pt idx="580">
                  <c:v>3.5286790422383647</c:v>
                </c:pt>
                <c:pt idx="581">
                  <c:v>3.5034615729530989</c:v>
                </c:pt>
                <c:pt idx="582">
                  <c:v>3.4177652228499689</c:v>
                </c:pt>
                <c:pt idx="583">
                  <c:v>3.4453770962245542</c:v>
                </c:pt>
                <c:pt idx="584">
                  <c:v>3.5363106447852215</c:v>
                </c:pt>
                <c:pt idx="585">
                  <c:v>3.5091920007174244</c:v>
                </c:pt>
                <c:pt idx="586">
                  <c:v>3.5642901981885036</c:v>
                </c:pt>
                <c:pt idx="587">
                  <c:v>3.6049412608734643</c:v>
                </c:pt>
                <c:pt idx="588">
                  <c:v>3.7026275670343471</c:v>
                </c:pt>
                <c:pt idx="589">
                  <c:v>3.7534481212447321</c:v>
                </c:pt>
                <c:pt idx="590">
                  <c:v>3.7486951842884051</c:v>
                </c:pt>
                <c:pt idx="591">
                  <c:v>3.7495919648462026</c:v>
                </c:pt>
                <c:pt idx="592">
                  <c:v>3.7957133889337284</c:v>
                </c:pt>
                <c:pt idx="593">
                  <c:v>3.7430275311631251</c:v>
                </c:pt>
                <c:pt idx="594">
                  <c:v>3.7268944489283471</c:v>
                </c:pt>
                <c:pt idx="595">
                  <c:v>3.7701641108420771</c:v>
                </c:pt>
                <c:pt idx="596">
                  <c:v>3.7932831136220972</c:v>
                </c:pt>
                <c:pt idx="597">
                  <c:v>3.8090216124114429</c:v>
                </c:pt>
                <c:pt idx="598">
                  <c:v>3.7363913550354231</c:v>
                </c:pt>
                <c:pt idx="599">
                  <c:v>3.8388485337637883</c:v>
                </c:pt>
                <c:pt idx="600">
                  <c:v>3.9030938929244017</c:v>
                </c:pt>
                <c:pt idx="601">
                  <c:v>3.9185274863240971</c:v>
                </c:pt>
                <c:pt idx="602">
                  <c:v>3.8805129584790605</c:v>
                </c:pt>
                <c:pt idx="603">
                  <c:v>3.9564074970854635</c:v>
                </c:pt>
                <c:pt idx="604">
                  <c:v>3.9415837144650707</c:v>
                </c:pt>
                <c:pt idx="605">
                  <c:v>3.9785848802797963</c:v>
                </c:pt>
                <c:pt idx="606">
                  <c:v>4.0068155322392611</c:v>
                </c:pt>
                <c:pt idx="607">
                  <c:v>3.9832033001524532</c:v>
                </c:pt>
                <c:pt idx="608">
                  <c:v>4.0439153439153444</c:v>
                </c:pt>
                <c:pt idx="609">
                  <c:v>4.0672854452515477</c:v>
                </c:pt>
                <c:pt idx="610">
                  <c:v>3.9983678593848087</c:v>
                </c:pt>
                <c:pt idx="611">
                  <c:v>3.9754192449107704</c:v>
                </c:pt>
                <c:pt idx="612">
                  <c:v>3.9955878396556361</c:v>
                </c:pt>
                <c:pt idx="613">
                  <c:v>3.9073087615460498</c:v>
                </c:pt>
                <c:pt idx="614">
                  <c:v>3.9380683346785048</c:v>
                </c:pt>
                <c:pt idx="615">
                  <c:v>4.0098376827190387</c:v>
                </c:pt>
                <c:pt idx="616">
                  <c:v>4.075777957133889</c:v>
                </c:pt>
                <c:pt idx="617">
                  <c:v>4.1300152452694832</c:v>
                </c:pt>
                <c:pt idx="618">
                  <c:v>4.2126535736705231</c:v>
                </c:pt>
                <c:pt idx="619">
                  <c:v>4.1994888350820565</c:v>
                </c:pt>
                <c:pt idx="620">
                  <c:v>4.2130391893103765</c:v>
                </c:pt>
                <c:pt idx="621">
                  <c:v>4.1203658864675816</c:v>
                </c:pt>
                <c:pt idx="622">
                  <c:v>4.0699757869249398</c:v>
                </c:pt>
                <c:pt idx="623">
                  <c:v>4.2256479239530096</c:v>
                </c:pt>
                <c:pt idx="624">
                  <c:v>4.1437001165814733</c:v>
                </c:pt>
                <c:pt idx="625">
                  <c:v>4.2379965922338805</c:v>
                </c:pt>
                <c:pt idx="626">
                  <c:v>4.274217558963322</c:v>
                </c:pt>
                <c:pt idx="627">
                  <c:v>4.1942695722356742</c:v>
                </c:pt>
                <c:pt idx="628">
                  <c:v>4.1815532239261062</c:v>
                </c:pt>
                <c:pt idx="629">
                  <c:v>3.9439870863599675</c:v>
                </c:pt>
                <c:pt idx="630">
                  <c:v>3.9743969150748817</c:v>
                </c:pt>
                <c:pt idx="631">
                  <c:v>4.0359878037844137</c:v>
                </c:pt>
                <c:pt idx="632">
                  <c:v>3.9625504439063768</c:v>
                </c:pt>
                <c:pt idx="633">
                  <c:v>3.8999820643888441</c:v>
                </c:pt>
                <c:pt idx="634">
                  <c:v>3.9320688727468389</c:v>
                </c:pt>
                <c:pt idx="635">
                  <c:v>3.8820464532328942</c:v>
                </c:pt>
                <c:pt idx="636">
                  <c:v>3.7703434669536371</c:v>
                </c:pt>
                <c:pt idx="637">
                  <c:v>4.0024392431172098</c:v>
                </c:pt>
                <c:pt idx="638">
                  <c:v>4.0741278809075423</c:v>
                </c:pt>
                <c:pt idx="639">
                  <c:v>4.0766388664693753</c:v>
                </c:pt>
              </c:numCache>
            </c:numRef>
          </c:val>
          <c:smooth val="0"/>
          <c:extLst xmlns:c16r2="http://schemas.microsoft.com/office/drawing/2015/06/chart">
            <c:ext xmlns:c16="http://schemas.microsoft.com/office/drawing/2014/chart" uri="{C3380CC4-5D6E-409C-BE32-E72D297353CC}">
              <c16:uniqueId val="{00000000-E880-4D3D-8035-5D6CA951EFCC}"/>
            </c:ext>
          </c:extLst>
        </c:ser>
        <c:ser>
          <c:idx val="5"/>
          <c:order val="1"/>
          <c:tx>
            <c:strRef>
              <c:f>'Graf 6'!$J$3</c:f>
              <c:strCache>
                <c:ptCount val="1"/>
                <c:pt idx="0">
                  <c:v>Eurostoxx 50</c:v>
                </c:pt>
              </c:strCache>
            </c:strRef>
          </c:tx>
          <c:spPr>
            <a:ln w="19050">
              <a:solidFill>
                <a:sysClr val="windowText" lastClr="000000"/>
              </a:solidFill>
              <a:prstDash val="solid"/>
            </a:ln>
          </c:spPr>
          <c:marker>
            <c:symbol val="none"/>
          </c:marker>
          <c:cat>
            <c:numRef>
              <c:f>'Graf 6'!$H$4:$H$643</c:f>
              <c:numCache>
                <c:formatCode>m/d/yyyy</c:formatCode>
                <c:ptCount val="640"/>
                <c:pt idx="0">
                  <c:v>40179</c:v>
                </c:pt>
                <c:pt idx="1">
                  <c:v>40186</c:v>
                </c:pt>
                <c:pt idx="2">
                  <c:v>40193</c:v>
                </c:pt>
                <c:pt idx="3">
                  <c:v>40200</c:v>
                </c:pt>
                <c:pt idx="4">
                  <c:v>40207</c:v>
                </c:pt>
                <c:pt idx="5">
                  <c:v>40214</c:v>
                </c:pt>
                <c:pt idx="6">
                  <c:v>40221</c:v>
                </c:pt>
                <c:pt idx="7">
                  <c:v>40228</c:v>
                </c:pt>
                <c:pt idx="8">
                  <c:v>40235</c:v>
                </c:pt>
                <c:pt idx="9">
                  <c:v>40242</c:v>
                </c:pt>
                <c:pt idx="10">
                  <c:v>40249</c:v>
                </c:pt>
                <c:pt idx="11">
                  <c:v>40256</c:v>
                </c:pt>
                <c:pt idx="12">
                  <c:v>40263</c:v>
                </c:pt>
                <c:pt idx="13">
                  <c:v>40270</c:v>
                </c:pt>
                <c:pt idx="14">
                  <c:v>40277</c:v>
                </c:pt>
                <c:pt idx="15">
                  <c:v>40284</c:v>
                </c:pt>
                <c:pt idx="16">
                  <c:v>40291</c:v>
                </c:pt>
                <c:pt idx="17">
                  <c:v>40298</c:v>
                </c:pt>
                <c:pt idx="18">
                  <c:v>40305</c:v>
                </c:pt>
                <c:pt idx="19">
                  <c:v>40312</c:v>
                </c:pt>
                <c:pt idx="20">
                  <c:v>40319</c:v>
                </c:pt>
                <c:pt idx="21">
                  <c:v>40326</c:v>
                </c:pt>
                <c:pt idx="22">
                  <c:v>40333</c:v>
                </c:pt>
                <c:pt idx="23">
                  <c:v>40340</c:v>
                </c:pt>
                <c:pt idx="24">
                  <c:v>40347</c:v>
                </c:pt>
                <c:pt idx="25">
                  <c:v>40354</c:v>
                </c:pt>
                <c:pt idx="26">
                  <c:v>40361</c:v>
                </c:pt>
                <c:pt idx="27">
                  <c:v>40368</c:v>
                </c:pt>
                <c:pt idx="28">
                  <c:v>40375</c:v>
                </c:pt>
                <c:pt idx="29">
                  <c:v>40382</c:v>
                </c:pt>
                <c:pt idx="30">
                  <c:v>40389</c:v>
                </c:pt>
                <c:pt idx="31">
                  <c:v>40396</c:v>
                </c:pt>
                <c:pt idx="32">
                  <c:v>40403</c:v>
                </c:pt>
                <c:pt idx="33">
                  <c:v>40410</c:v>
                </c:pt>
                <c:pt idx="34">
                  <c:v>40417</c:v>
                </c:pt>
                <c:pt idx="35">
                  <c:v>40424</c:v>
                </c:pt>
                <c:pt idx="36">
                  <c:v>40431</c:v>
                </c:pt>
                <c:pt idx="37">
                  <c:v>40438</c:v>
                </c:pt>
                <c:pt idx="38">
                  <c:v>40445</c:v>
                </c:pt>
                <c:pt idx="39">
                  <c:v>40452</c:v>
                </c:pt>
                <c:pt idx="40">
                  <c:v>40459</c:v>
                </c:pt>
                <c:pt idx="41">
                  <c:v>40466</c:v>
                </c:pt>
                <c:pt idx="42">
                  <c:v>40473</c:v>
                </c:pt>
                <c:pt idx="43">
                  <c:v>40480</c:v>
                </c:pt>
                <c:pt idx="44">
                  <c:v>40487</c:v>
                </c:pt>
                <c:pt idx="45">
                  <c:v>40494</c:v>
                </c:pt>
                <c:pt idx="46">
                  <c:v>40501</c:v>
                </c:pt>
                <c:pt idx="47">
                  <c:v>40508</c:v>
                </c:pt>
                <c:pt idx="48">
                  <c:v>40515</c:v>
                </c:pt>
                <c:pt idx="49">
                  <c:v>40522</c:v>
                </c:pt>
                <c:pt idx="50">
                  <c:v>40529</c:v>
                </c:pt>
                <c:pt idx="51">
                  <c:v>40536</c:v>
                </c:pt>
                <c:pt idx="52">
                  <c:v>40543</c:v>
                </c:pt>
                <c:pt idx="53">
                  <c:v>40550</c:v>
                </c:pt>
                <c:pt idx="54">
                  <c:v>40557</c:v>
                </c:pt>
                <c:pt idx="55">
                  <c:v>40564</c:v>
                </c:pt>
                <c:pt idx="56">
                  <c:v>40571</c:v>
                </c:pt>
                <c:pt idx="57">
                  <c:v>40578</c:v>
                </c:pt>
                <c:pt idx="58">
                  <c:v>40585</c:v>
                </c:pt>
                <c:pt idx="59">
                  <c:v>40592</c:v>
                </c:pt>
                <c:pt idx="60">
                  <c:v>40599</c:v>
                </c:pt>
                <c:pt idx="61">
                  <c:v>40606</c:v>
                </c:pt>
                <c:pt idx="62">
                  <c:v>40613</c:v>
                </c:pt>
                <c:pt idx="63">
                  <c:v>40620</c:v>
                </c:pt>
                <c:pt idx="64">
                  <c:v>40627</c:v>
                </c:pt>
                <c:pt idx="65">
                  <c:v>40634</c:v>
                </c:pt>
                <c:pt idx="66">
                  <c:v>40641</c:v>
                </c:pt>
                <c:pt idx="67">
                  <c:v>40648</c:v>
                </c:pt>
                <c:pt idx="68">
                  <c:v>40655</c:v>
                </c:pt>
                <c:pt idx="69">
                  <c:v>40662</c:v>
                </c:pt>
                <c:pt idx="70">
                  <c:v>40669</c:v>
                </c:pt>
                <c:pt idx="71">
                  <c:v>40676</c:v>
                </c:pt>
                <c:pt idx="72">
                  <c:v>40683</c:v>
                </c:pt>
                <c:pt idx="73">
                  <c:v>40690</c:v>
                </c:pt>
                <c:pt idx="74">
                  <c:v>40697</c:v>
                </c:pt>
                <c:pt idx="75">
                  <c:v>40704</c:v>
                </c:pt>
                <c:pt idx="76">
                  <c:v>40711</c:v>
                </c:pt>
                <c:pt idx="77">
                  <c:v>40718</c:v>
                </c:pt>
                <c:pt idx="78">
                  <c:v>40725</c:v>
                </c:pt>
                <c:pt idx="79">
                  <c:v>40732</c:v>
                </c:pt>
                <c:pt idx="80">
                  <c:v>40739</c:v>
                </c:pt>
                <c:pt idx="81">
                  <c:v>40746</c:v>
                </c:pt>
                <c:pt idx="82">
                  <c:v>40753</c:v>
                </c:pt>
                <c:pt idx="83">
                  <c:v>40760</c:v>
                </c:pt>
                <c:pt idx="84">
                  <c:v>40767</c:v>
                </c:pt>
                <c:pt idx="85">
                  <c:v>40774</c:v>
                </c:pt>
                <c:pt idx="86">
                  <c:v>40781</c:v>
                </c:pt>
                <c:pt idx="87">
                  <c:v>40788</c:v>
                </c:pt>
                <c:pt idx="88">
                  <c:v>40795</c:v>
                </c:pt>
                <c:pt idx="89">
                  <c:v>40802</c:v>
                </c:pt>
                <c:pt idx="90">
                  <c:v>40809</c:v>
                </c:pt>
                <c:pt idx="91">
                  <c:v>40816</c:v>
                </c:pt>
                <c:pt idx="92">
                  <c:v>40823</c:v>
                </c:pt>
                <c:pt idx="93">
                  <c:v>40830</c:v>
                </c:pt>
                <c:pt idx="94">
                  <c:v>40837</c:v>
                </c:pt>
                <c:pt idx="95">
                  <c:v>40844</c:v>
                </c:pt>
                <c:pt idx="96">
                  <c:v>40851</c:v>
                </c:pt>
                <c:pt idx="97">
                  <c:v>40858</c:v>
                </c:pt>
                <c:pt idx="98">
                  <c:v>40865</c:v>
                </c:pt>
                <c:pt idx="99">
                  <c:v>40872</c:v>
                </c:pt>
                <c:pt idx="100">
                  <c:v>40879</c:v>
                </c:pt>
                <c:pt idx="101">
                  <c:v>40886</c:v>
                </c:pt>
                <c:pt idx="102">
                  <c:v>40893</c:v>
                </c:pt>
                <c:pt idx="103">
                  <c:v>40900</c:v>
                </c:pt>
                <c:pt idx="104">
                  <c:v>40907</c:v>
                </c:pt>
                <c:pt idx="105">
                  <c:v>40914</c:v>
                </c:pt>
                <c:pt idx="106">
                  <c:v>40921</c:v>
                </c:pt>
                <c:pt idx="107">
                  <c:v>40928</c:v>
                </c:pt>
                <c:pt idx="108">
                  <c:v>40935</c:v>
                </c:pt>
                <c:pt idx="109">
                  <c:v>40942</c:v>
                </c:pt>
                <c:pt idx="110">
                  <c:v>40949</c:v>
                </c:pt>
                <c:pt idx="111">
                  <c:v>40956</c:v>
                </c:pt>
                <c:pt idx="112">
                  <c:v>40963</c:v>
                </c:pt>
                <c:pt idx="113">
                  <c:v>40970</c:v>
                </c:pt>
                <c:pt idx="114">
                  <c:v>40977</c:v>
                </c:pt>
                <c:pt idx="115">
                  <c:v>40984</c:v>
                </c:pt>
                <c:pt idx="116">
                  <c:v>40991</c:v>
                </c:pt>
                <c:pt idx="117">
                  <c:v>40998</c:v>
                </c:pt>
                <c:pt idx="118">
                  <c:v>41005</c:v>
                </c:pt>
                <c:pt idx="119">
                  <c:v>41012</c:v>
                </c:pt>
                <c:pt idx="120">
                  <c:v>41019</c:v>
                </c:pt>
                <c:pt idx="121">
                  <c:v>41026</c:v>
                </c:pt>
                <c:pt idx="122">
                  <c:v>41033</c:v>
                </c:pt>
                <c:pt idx="123">
                  <c:v>41040</c:v>
                </c:pt>
                <c:pt idx="124">
                  <c:v>41047</c:v>
                </c:pt>
                <c:pt idx="125">
                  <c:v>41054</c:v>
                </c:pt>
                <c:pt idx="126">
                  <c:v>41061</c:v>
                </c:pt>
                <c:pt idx="127">
                  <c:v>41068</c:v>
                </c:pt>
                <c:pt idx="128">
                  <c:v>41075</c:v>
                </c:pt>
                <c:pt idx="129">
                  <c:v>41082</c:v>
                </c:pt>
                <c:pt idx="130">
                  <c:v>41089</c:v>
                </c:pt>
                <c:pt idx="131">
                  <c:v>41096</c:v>
                </c:pt>
                <c:pt idx="132">
                  <c:v>41103</c:v>
                </c:pt>
                <c:pt idx="133">
                  <c:v>41110</c:v>
                </c:pt>
                <c:pt idx="134">
                  <c:v>41117</c:v>
                </c:pt>
                <c:pt idx="135">
                  <c:v>41124</c:v>
                </c:pt>
                <c:pt idx="136">
                  <c:v>41131</c:v>
                </c:pt>
                <c:pt idx="137">
                  <c:v>41138</c:v>
                </c:pt>
                <c:pt idx="138">
                  <c:v>41145</c:v>
                </c:pt>
                <c:pt idx="139">
                  <c:v>41152</c:v>
                </c:pt>
                <c:pt idx="140">
                  <c:v>41159</c:v>
                </c:pt>
                <c:pt idx="141">
                  <c:v>41166</c:v>
                </c:pt>
                <c:pt idx="142">
                  <c:v>41173</c:v>
                </c:pt>
                <c:pt idx="143">
                  <c:v>41180</c:v>
                </c:pt>
                <c:pt idx="144">
                  <c:v>41187</c:v>
                </c:pt>
                <c:pt idx="145">
                  <c:v>41194</c:v>
                </c:pt>
                <c:pt idx="146">
                  <c:v>41201</c:v>
                </c:pt>
                <c:pt idx="147">
                  <c:v>41208</c:v>
                </c:pt>
                <c:pt idx="148">
                  <c:v>41215</c:v>
                </c:pt>
                <c:pt idx="149">
                  <c:v>41222</c:v>
                </c:pt>
                <c:pt idx="150">
                  <c:v>41229</c:v>
                </c:pt>
                <c:pt idx="151">
                  <c:v>41236</c:v>
                </c:pt>
                <c:pt idx="152">
                  <c:v>41243</c:v>
                </c:pt>
                <c:pt idx="153">
                  <c:v>41250</c:v>
                </c:pt>
                <c:pt idx="154">
                  <c:v>41257</c:v>
                </c:pt>
                <c:pt idx="155">
                  <c:v>41264</c:v>
                </c:pt>
                <c:pt idx="156">
                  <c:v>41271</c:v>
                </c:pt>
                <c:pt idx="157">
                  <c:v>41278</c:v>
                </c:pt>
                <c:pt idx="158">
                  <c:v>41285</c:v>
                </c:pt>
                <c:pt idx="159">
                  <c:v>41292</c:v>
                </c:pt>
                <c:pt idx="160">
                  <c:v>41299</c:v>
                </c:pt>
                <c:pt idx="161">
                  <c:v>41306</c:v>
                </c:pt>
                <c:pt idx="162">
                  <c:v>41313</c:v>
                </c:pt>
                <c:pt idx="163">
                  <c:v>41320</c:v>
                </c:pt>
                <c:pt idx="164">
                  <c:v>41327</c:v>
                </c:pt>
                <c:pt idx="165">
                  <c:v>41334</c:v>
                </c:pt>
                <c:pt idx="166">
                  <c:v>41341</c:v>
                </c:pt>
                <c:pt idx="167">
                  <c:v>41348</c:v>
                </c:pt>
                <c:pt idx="168">
                  <c:v>41355</c:v>
                </c:pt>
                <c:pt idx="169">
                  <c:v>41362</c:v>
                </c:pt>
                <c:pt idx="170">
                  <c:v>41369</c:v>
                </c:pt>
                <c:pt idx="171">
                  <c:v>41376</c:v>
                </c:pt>
                <c:pt idx="172">
                  <c:v>41383</c:v>
                </c:pt>
                <c:pt idx="173">
                  <c:v>41390</c:v>
                </c:pt>
                <c:pt idx="174">
                  <c:v>41397</c:v>
                </c:pt>
                <c:pt idx="175">
                  <c:v>41404</c:v>
                </c:pt>
                <c:pt idx="176">
                  <c:v>41411</c:v>
                </c:pt>
                <c:pt idx="177">
                  <c:v>41418</c:v>
                </c:pt>
                <c:pt idx="178">
                  <c:v>41425</c:v>
                </c:pt>
                <c:pt idx="179">
                  <c:v>41432</c:v>
                </c:pt>
                <c:pt idx="180">
                  <c:v>41439</c:v>
                </c:pt>
                <c:pt idx="181">
                  <c:v>41446</c:v>
                </c:pt>
                <c:pt idx="182">
                  <c:v>41453</c:v>
                </c:pt>
                <c:pt idx="183">
                  <c:v>41460</c:v>
                </c:pt>
                <c:pt idx="184">
                  <c:v>41467</c:v>
                </c:pt>
                <c:pt idx="185">
                  <c:v>41474</c:v>
                </c:pt>
                <c:pt idx="186">
                  <c:v>41481</c:v>
                </c:pt>
                <c:pt idx="187">
                  <c:v>41488</c:v>
                </c:pt>
                <c:pt idx="188">
                  <c:v>41495</c:v>
                </c:pt>
                <c:pt idx="189">
                  <c:v>41502</c:v>
                </c:pt>
                <c:pt idx="190">
                  <c:v>41509</c:v>
                </c:pt>
                <c:pt idx="191">
                  <c:v>41516</c:v>
                </c:pt>
                <c:pt idx="192">
                  <c:v>41523</c:v>
                </c:pt>
                <c:pt idx="193">
                  <c:v>41530</c:v>
                </c:pt>
                <c:pt idx="194">
                  <c:v>41537</c:v>
                </c:pt>
                <c:pt idx="195">
                  <c:v>41544</c:v>
                </c:pt>
                <c:pt idx="196">
                  <c:v>41551</c:v>
                </c:pt>
                <c:pt idx="197">
                  <c:v>41558</c:v>
                </c:pt>
                <c:pt idx="198">
                  <c:v>41565</c:v>
                </c:pt>
                <c:pt idx="199">
                  <c:v>41572</c:v>
                </c:pt>
                <c:pt idx="200">
                  <c:v>41579</c:v>
                </c:pt>
                <c:pt idx="201">
                  <c:v>41586</c:v>
                </c:pt>
                <c:pt idx="202">
                  <c:v>41593</c:v>
                </c:pt>
                <c:pt idx="203">
                  <c:v>41600</c:v>
                </c:pt>
                <c:pt idx="204">
                  <c:v>41607</c:v>
                </c:pt>
                <c:pt idx="205">
                  <c:v>41614</c:v>
                </c:pt>
                <c:pt idx="206">
                  <c:v>41621</c:v>
                </c:pt>
                <c:pt idx="207">
                  <c:v>41628</c:v>
                </c:pt>
                <c:pt idx="208">
                  <c:v>41635</c:v>
                </c:pt>
                <c:pt idx="209">
                  <c:v>41642</c:v>
                </c:pt>
                <c:pt idx="210">
                  <c:v>41649</c:v>
                </c:pt>
                <c:pt idx="211">
                  <c:v>41656</c:v>
                </c:pt>
                <c:pt idx="212">
                  <c:v>41663</c:v>
                </c:pt>
                <c:pt idx="213">
                  <c:v>41670</c:v>
                </c:pt>
                <c:pt idx="214">
                  <c:v>41677</c:v>
                </c:pt>
                <c:pt idx="215">
                  <c:v>41684</c:v>
                </c:pt>
                <c:pt idx="216">
                  <c:v>41691</c:v>
                </c:pt>
                <c:pt idx="217">
                  <c:v>41698</c:v>
                </c:pt>
                <c:pt idx="218">
                  <c:v>41705</c:v>
                </c:pt>
                <c:pt idx="219">
                  <c:v>41712</c:v>
                </c:pt>
                <c:pt idx="220">
                  <c:v>41719</c:v>
                </c:pt>
                <c:pt idx="221">
                  <c:v>41726</c:v>
                </c:pt>
                <c:pt idx="222">
                  <c:v>41733</c:v>
                </c:pt>
                <c:pt idx="223">
                  <c:v>41740</c:v>
                </c:pt>
                <c:pt idx="224">
                  <c:v>41747</c:v>
                </c:pt>
                <c:pt idx="225">
                  <c:v>41754</c:v>
                </c:pt>
                <c:pt idx="226">
                  <c:v>41761</c:v>
                </c:pt>
                <c:pt idx="227">
                  <c:v>41768</c:v>
                </c:pt>
                <c:pt idx="228">
                  <c:v>41775</c:v>
                </c:pt>
                <c:pt idx="229">
                  <c:v>41782</c:v>
                </c:pt>
                <c:pt idx="230">
                  <c:v>41789</c:v>
                </c:pt>
                <c:pt idx="231">
                  <c:v>41796</c:v>
                </c:pt>
                <c:pt idx="232">
                  <c:v>41803</c:v>
                </c:pt>
                <c:pt idx="233">
                  <c:v>41810</c:v>
                </c:pt>
                <c:pt idx="234">
                  <c:v>41817</c:v>
                </c:pt>
                <c:pt idx="235">
                  <c:v>41824</c:v>
                </c:pt>
                <c:pt idx="236">
                  <c:v>41831</c:v>
                </c:pt>
                <c:pt idx="237">
                  <c:v>41838</c:v>
                </c:pt>
                <c:pt idx="238">
                  <c:v>41845</c:v>
                </c:pt>
                <c:pt idx="239">
                  <c:v>41852</c:v>
                </c:pt>
                <c:pt idx="240">
                  <c:v>41859</c:v>
                </c:pt>
                <c:pt idx="241">
                  <c:v>41866</c:v>
                </c:pt>
                <c:pt idx="242">
                  <c:v>41873</c:v>
                </c:pt>
                <c:pt idx="243">
                  <c:v>41880</c:v>
                </c:pt>
                <c:pt idx="244">
                  <c:v>41887</c:v>
                </c:pt>
                <c:pt idx="245">
                  <c:v>41894</c:v>
                </c:pt>
                <c:pt idx="246">
                  <c:v>41901</c:v>
                </c:pt>
                <c:pt idx="247">
                  <c:v>41908</c:v>
                </c:pt>
                <c:pt idx="248">
                  <c:v>41915</c:v>
                </c:pt>
                <c:pt idx="249">
                  <c:v>41922</c:v>
                </c:pt>
                <c:pt idx="250">
                  <c:v>41929</c:v>
                </c:pt>
                <c:pt idx="251">
                  <c:v>41936</c:v>
                </c:pt>
                <c:pt idx="252">
                  <c:v>41943</c:v>
                </c:pt>
                <c:pt idx="253">
                  <c:v>41950</c:v>
                </c:pt>
                <c:pt idx="254">
                  <c:v>41957</c:v>
                </c:pt>
                <c:pt idx="255">
                  <c:v>41964</c:v>
                </c:pt>
                <c:pt idx="256">
                  <c:v>41971</c:v>
                </c:pt>
                <c:pt idx="257">
                  <c:v>41978</c:v>
                </c:pt>
                <c:pt idx="258">
                  <c:v>41985</c:v>
                </c:pt>
                <c:pt idx="259">
                  <c:v>41992</c:v>
                </c:pt>
                <c:pt idx="260">
                  <c:v>41999</c:v>
                </c:pt>
                <c:pt idx="261">
                  <c:v>42006</c:v>
                </c:pt>
                <c:pt idx="262">
                  <c:v>42013</c:v>
                </c:pt>
                <c:pt idx="263">
                  <c:v>42020</c:v>
                </c:pt>
                <c:pt idx="264">
                  <c:v>42027</c:v>
                </c:pt>
                <c:pt idx="265">
                  <c:v>42034</c:v>
                </c:pt>
                <c:pt idx="266">
                  <c:v>42041</c:v>
                </c:pt>
                <c:pt idx="267">
                  <c:v>42048</c:v>
                </c:pt>
                <c:pt idx="268">
                  <c:v>42055</c:v>
                </c:pt>
                <c:pt idx="269">
                  <c:v>42062</c:v>
                </c:pt>
                <c:pt idx="270">
                  <c:v>42069</c:v>
                </c:pt>
                <c:pt idx="271">
                  <c:v>42076</c:v>
                </c:pt>
                <c:pt idx="272">
                  <c:v>42083</c:v>
                </c:pt>
                <c:pt idx="273">
                  <c:v>42090</c:v>
                </c:pt>
                <c:pt idx="274">
                  <c:v>42097</c:v>
                </c:pt>
                <c:pt idx="275">
                  <c:v>42104</c:v>
                </c:pt>
                <c:pt idx="276">
                  <c:v>42111</c:v>
                </c:pt>
                <c:pt idx="277">
                  <c:v>42118</c:v>
                </c:pt>
                <c:pt idx="278">
                  <c:v>42125</c:v>
                </c:pt>
                <c:pt idx="279">
                  <c:v>42132</c:v>
                </c:pt>
                <c:pt idx="280">
                  <c:v>42139</c:v>
                </c:pt>
                <c:pt idx="281">
                  <c:v>42146</c:v>
                </c:pt>
                <c:pt idx="282">
                  <c:v>42153</c:v>
                </c:pt>
                <c:pt idx="283">
                  <c:v>42160</c:v>
                </c:pt>
                <c:pt idx="284">
                  <c:v>42167</c:v>
                </c:pt>
                <c:pt idx="285">
                  <c:v>42174</c:v>
                </c:pt>
                <c:pt idx="286">
                  <c:v>42181</c:v>
                </c:pt>
                <c:pt idx="287">
                  <c:v>42188</c:v>
                </c:pt>
                <c:pt idx="288">
                  <c:v>42195</c:v>
                </c:pt>
                <c:pt idx="289">
                  <c:v>42202</c:v>
                </c:pt>
                <c:pt idx="290">
                  <c:v>42209</c:v>
                </c:pt>
                <c:pt idx="291">
                  <c:v>42216</c:v>
                </c:pt>
                <c:pt idx="292">
                  <c:v>42223</c:v>
                </c:pt>
                <c:pt idx="293">
                  <c:v>42230</c:v>
                </c:pt>
                <c:pt idx="294">
                  <c:v>42237</c:v>
                </c:pt>
                <c:pt idx="295">
                  <c:v>42244</c:v>
                </c:pt>
                <c:pt idx="296">
                  <c:v>42251</c:v>
                </c:pt>
                <c:pt idx="297">
                  <c:v>42258</c:v>
                </c:pt>
                <c:pt idx="298">
                  <c:v>42265</c:v>
                </c:pt>
                <c:pt idx="299">
                  <c:v>42272</c:v>
                </c:pt>
                <c:pt idx="300">
                  <c:v>42279</c:v>
                </c:pt>
                <c:pt idx="301">
                  <c:v>42286</c:v>
                </c:pt>
                <c:pt idx="302">
                  <c:v>42293</c:v>
                </c:pt>
                <c:pt idx="303">
                  <c:v>42300</c:v>
                </c:pt>
                <c:pt idx="304">
                  <c:v>42307</c:v>
                </c:pt>
                <c:pt idx="305">
                  <c:v>42314</c:v>
                </c:pt>
                <c:pt idx="306">
                  <c:v>42321</c:v>
                </c:pt>
                <c:pt idx="307">
                  <c:v>42328</c:v>
                </c:pt>
                <c:pt idx="308">
                  <c:v>42335</c:v>
                </c:pt>
                <c:pt idx="309">
                  <c:v>42342</c:v>
                </c:pt>
                <c:pt idx="310">
                  <c:v>42349</c:v>
                </c:pt>
                <c:pt idx="311">
                  <c:v>42356</c:v>
                </c:pt>
                <c:pt idx="312">
                  <c:v>42363</c:v>
                </c:pt>
                <c:pt idx="313">
                  <c:v>42370</c:v>
                </c:pt>
                <c:pt idx="314">
                  <c:v>42377</c:v>
                </c:pt>
                <c:pt idx="315">
                  <c:v>42384</c:v>
                </c:pt>
                <c:pt idx="316">
                  <c:v>42391</c:v>
                </c:pt>
                <c:pt idx="317">
                  <c:v>42398</c:v>
                </c:pt>
                <c:pt idx="318">
                  <c:v>42405</c:v>
                </c:pt>
                <c:pt idx="319">
                  <c:v>42412</c:v>
                </c:pt>
                <c:pt idx="320">
                  <c:v>42419</c:v>
                </c:pt>
                <c:pt idx="321">
                  <c:v>42426</c:v>
                </c:pt>
                <c:pt idx="322">
                  <c:v>42433</c:v>
                </c:pt>
                <c:pt idx="323">
                  <c:v>42440</c:v>
                </c:pt>
                <c:pt idx="324">
                  <c:v>42447</c:v>
                </c:pt>
                <c:pt idx="325">
                  <c:v>42454</c:v>
                </c:pt>
                <c:pt idx="326">
                  <c:v>42461</c:v>
                </c:pt>
                <c:pt idx="327">
                  <c:v>42468</c:v>
                </c:pt>
                <c:pt idx="328">
                  <c:v>42475</c:v>
                </c:pt>
                <c:pt idx="329">
                  <c:v>42482</c:v>
                </c:pt>
                <c:pt idx="330">
                  <c:v>42489</c:v>
                </c:pt>
                <c:pt idx="331">
                  <c:v>42496</c:v>
                </c:pt>
                <c:pt idx="332">
                  <c:v>42503</c:v>
                </c:pt>
                <c:pt idx="333">
                  <c:v>42510</c:v>
                </c:pt>
                <c:pt idx="334">
                  <c:v>42517</c:v>
                </c:pt>
                <c:pt idx="335">
                  <c:v>42524</c:v>
                </c:pt>
                <c:pt idx="336">
                  <c:v>42531</c:v>
                </c:pt>
                <c:pt idx="337">
                  <c:v>42538</c:v>
                </c:pt>
                <c:pt idx="338">
                  <c:v>42545</c:v>
                </c:pt>
                <c:pt idx="339">
                  <c:v>42552</c:v>
                </c:pt>
                <c:pt idx="340">
                  <c:v>42559</c:v>
                </c:pt>
                <c:pt idx="341">
                  <c:v>42566</c:v>
                </c:pt>
                <c:pt idx="342">
                  <c:v>42573</c:v>
                </c:pt>
                <c:pt idx="343">
                  <c:v>42580</c:v>
                </c:pt>
                <c:pt idx="344">
                  <c:v>42587</c:v>
                </c:pt>
                <c:pt idx="345">
                  <c:v>42594</c:v>
                </c:pt>
                <c:pt idx="346">
                  <c:v>42601</c:v>
                </c:pt>
                <c:pt idx="347">
                  <c:v>42608</c:v>
                </c:pt>
                <c:pt idx="348">
                  <c:v>42615</c:v>
                </c:pt>
                <c:pt idx="349">
                  <c:v>42622</c:v>
                </c:pt>
                <c:pt idx="350">
                  <c:v>42629</c:v>
                </c:pt>
                <c:pt idx="351">
                  <c:v>42636</c:v>
                </c:pt>
                <c:pt idx="352">
                  <c:v>42643</c:v>
                </c:pt>
                <c:pt idx="353">
                  <c:v>42650</c:v>
                </c:pt>
                <c:pt idx="354">
                  <c:v>42657</c:v>
                </c:pt>
                <c:pt idx="355">
                  <c:v>42664</c:v>
                </c:pt>
                <c:pt idx="356">
                  <c:v>42671</c:v>
                </c:pt>
                <c:pt idx="357">
                  <c:v>42678</c:v>
                </c:pt>
                <c:pt idx="358">
                  <c:v>42685</c:v>
                </c:pt>
                <c:pt idx="359">
                  <c:v>42692</c:v>
                </c:pt>
                <c:pt idx="360">
                  <c:v>42699</c:v>
                </c:pt>
                <c:pt idx="361">
                  <c:v>42706</c:v>
                </c:pt>
                <c:pt idx="362">
                  <c:v>42713</c:v>
                </c:pt>
                <c:pt idx="363">
                  <c:v>42720</c:v>
                </c:pt>
                <c:pt idx="364">
                  <c:v>42727</c:v>
                </c:pt>
                <c:pt idx="365">
                  <c:v>42734</c:v>
                </c:pt>
                <c:pt idx="366">
                  <c:v>42741</c:v>
                </c:pt>
                <c:pt idx="367">
                  <c:v>42748</c:v>
                </c:pt>
                <c:pt idx="368">
                  <c:v>42755</c:v>
                </c:pt>
                <c:pt idx="369">
                  <c:v>42762</c:v>
                </c:pt>
                <c:pt idx="370">
                  <c:v>42769</c:v>
                </c:pt>
                <c:pt idx="371">
                  <c:v>42776</c:v>
                </c:pt>
                <c:pt idx="372">
                  <c:v>42783</c:v>
                </c:pt>
                <c:pt idx="373">
                  <c:v>42790</c:v>
                </c:pt>
                <c:pt idx="374">
                  <c:v>42797</c:v>
                </c:pt>
                <c:pt idx="375">
                  <c:v>42804</c:v>
                </c:pt>
                <c:pt idx="376">
                  <c:v>42811</c:v>
                </c:pt>
                <c:pt idx="377">
                  <c:v>42818</c:v>
                </c:pt>
                <c:pt idx="378">
                  <c:v>42825</c:v>
                </c:pt>
                <c:pt idx="379">
                  <c:v>42832</c:v>
                </c:pt>
                <c:pt idx="380">
                  <c:v>42839</c:v>
                </c:pt>
                <c:pt idx="381">
                  <c:v>42846</c:v>
                </c:pt>
                <c:pt idx="382">
                  <c:v>42853</c:v>
                </c:pt>
                <c:pt idx="383">
                  <c:v>42860</c:v>
                </c:pt>
                <c:pt idx="384">
                  <c:v>42867</c:v>
                </c:pt>
                <c:pt idx="385">
                  <c:v>42874</c:v>
                </c:pt>
                <c:pt idx="386">
                  <c:v>42881</c:v>
                </c:pt>
                <c:pt idx="387">
                  <c:v>42888</c:v>
                </c:pt>
                <c:pt idx="388">
                  <c:v>42895</c:v>
                </c:pt>
                <c:pt idx="389">
                  <c:v>42902</c:v>
                </c:pt>
                <c:pt idx="390">
                  <c:v>42909</c:v>
                </c:pt>
                <c:pt idx="391">
                  <c:v>42916</c:v>
                </c:pt>
                <c:pt idx="392">
                  <c:v>42923</c:v>
                </c:pt>
                <c:pt idx="393">
                  <c:v>42930</c:v>
                </c:pt>
                <c:pt idx="394">
                  <c:v>42937</c:v>
                </c:pt>
                <c:pt idx="395">
                  <c:v>42944</c:v>
                </c:pt>
                <c:pt idx="396">
                  <c:v>42951</c:v>
                </c:pt>
                <c:pt idx="397">
                  <c:v>42958</c:v>
                </c:pt>
                <c:pt idx="398">
                  <c:v>42965</c:v>
                </c:pt>
                <c:pt idx="399">
                  <c:v>42972</c:v>
                </c:pt>
                <c:pt idx="400">
                  <c:v>42979</c:v>
                </c:pt>
                <c:pt idx="401">
                  <c:v>42986</c:v>
                </c:pt>
                <c:pt idx="402">
                  <c:v>42993</c:v>
                </c:pt>
                <c:pt idx="403">
                  <c:v>43000</c:v>
                </c:pt>
                <c:pt idx="404">
                  <c:v>43007</c:v>
                </c:pt>
                <c:pt idx="405">
                  <c:v>43014</c:v>
                </c:pt>
                <c:pt idx="406">
                  <c:v>43021</c:v>
                </c:pt>
                <c:pt idx="407">
                  <c:v>43028</c:v>
                </c:pt>
                <c:pt idx="408">
                  <c:v>43035</c:v>
                </c:pt>
                <c:pt idx="409">
                  <c:v>43042</c:v>
                </c:pt>
                <c:pt idx="410">
                  <c:v>43049</c:v>
                </c:pt>
                <c:pt idx="411">
                  <c:v>43056</c:v>
                </c:pt>
                <c:pt idx="412">
                  <c:v>43063</c:v>
                </c:pt>
                <c:pt idx="413">
                  <c:v>43070</c:v>
                </c:pt>
                <c:pt idx="414">
                  <c:v>43077</c:v>
                </c:pt>
                <c:pt idx="415">
                  <c:v>43084</c:v>
                </c:pt>
                <c:pt idx="416">
                  <c:v>43091</c:v>
                </c:pt>
                <c:pt idx="417">
                  <c:v>43098</c:v>
                </c:pt>
                <c:pt idx="418">
                  <c:v>43105</c:v>
                </c:pt>
                <c:pt idx="419">
                  <c:v>43112</c:v>
                </c:pt>
                <c:pt idx="420">
                  <c:v>43119</c:v>
                </c:pt>
                <c:pt idx="421">
                  <c:v>43126</c:v>
                </c:pt>
                <c:pt idx="422">
                  <c:v>43133</c:v>
                </c:pt>
                <c:pt idx="423">
                  <c:v>43140</c:v>
                </c:pt>
                <c:pt idx="424">
                  <c:v>43147</c:v>
                </c:pt>
                <c:pt idx="425">
                  <c:v>43154</c:v>
                </c:pt>
                <c:pt idx="426">
                  <c:v>43161</c:v>
                </c:pt>
                <c:pt idx="427">
                  <c:v>43168</c:v>
                </c:pt>
                <c:pt idx="428">
                  <c:v>43175</c:v>
                </c:pt>
                <c:pt idx="429">
                  <c:v>43182</c:v>
                </c:pt>
                <c:pt idx="430">
                  <c:v>43189</c:v>
                </c:pt>
                <c:pt idx="431">
                  <c:v>43196</c:v>
                </c:pt>
                <c:pt idx="432">
                  <c:v>43203</c:v>
                </c:pt>
                <c:pt idx="433">
                  <c:v>43210</c:v>
                </c:pt>
                <c:pt idx="434">
                  <c:v>43217</c:v>
                </c:pt>
                <c:pt idx="435">
                  <c:v>43224</c:v>
                </c:pt>
                <c:pt idx="436">
                  <c:v>43231</c:v>
                </c:pt>
                <c:pt idx="437">
                  <c:v>43238</c:v>
                </c:pt>
                <c:pt idx="438">
                  <c:v>43245</c:v>
                </c:pt>
                <c:pt idx="439">
                  <c:v>43252</c:v>
                </c:pt>
                <c:pt idx="440">
                  <c:v>43259</c:v>
                </c:pt>
                <c:pt idx="441">
                  <c:v>43266</c:v>
                </c:pt>
                <c:pt idx="442">
                  <c:v>43273</c:v>
                </c:pt>
                <c:pt idx="443">
                  <c:v>43280</c:v>
                </c:pt>
                <c:pt idx="444">
                  <c:v>43287</c:v>
                </c:pt>
                <c:pt idx="445">
                  <c:v>43294</c:v>
                </c:pt>
                <c:pt idx="446">
                  <c:v>43301</c:v>
                </c:pt>
                <c:pt idx="447">
                  <c:v>43308</c:v>
                </c:pt>
                <c:pt idx="448">
                  <c:v>43315</c:v>
                </c:pt>
                <c:pt idx="449">
                  <c:v>43322</c:v>
                </c:pt>
                <c:pt idx="450">
                  <c:v>43329</c:v>
                </c:pt>
                <c:pt idx="451">
                  <c:v>43336</c:v>
                </c:pt>
                <c:pt idx="452">
                  <c:v>43343</c:v>
                </c:pt>
                <c:pt idx="453">
                  <c:v>43350</c:v>
                </c:pt>
                <c:pt idx="454">
                  <c:v>43357</c:v>
                </c:pt>
                <c:pt idx="455">
                  <c:v>43364</c:v>
                </c:pt>
                <c:pt idx="456">
                  <c:v>43371</c:v>
                </c:pt>
                <c:pt idx="457">
                  <c:v>43378</c:v>
                </c:pt>
                <c:pt idx="458">
                  <c:v>43385</c:v>
                </c:pt>
                <c:pt idx="459">
                  <c:v>43392</c:v>
                </c:pt>
                <c:pt idx="460">
                  <c:v>43399</c:v>
                </c:pt>
                <c:pt idx="461">
                  <c:v>43406</c:v>
                </c:pt>
                <c:pt idx="462">
                  <c:v>43413</c:v>
                </c:pt>
                <c:pt idx="463">
                  <c:v>43420</c:v>
                </c:pt>
                <c:pt idx="464">
                  <c:v>43427</c:v>
                </c:pt>
                <c:pt idx="465">
                  <c:v>43434</c:v>
                </c:pt>
                <c:pt idx="466">
                  <c:v>43441</c:v>
                </c:pt>
                <c:pt idx="467">
                  <c:v>43448</c:v>
                </c:pt>
                <c:pt idx="468">
                  <c:v>43455</c:v>
                </c:pt>
                <c:pt idx="469">
                  <c:v>43462</c:v>
                </c:pt>
                <c:pt idx="470">
                  <c:v>43469</c:v>
                </c:pt>
                <c:pt idx="471">
                  <c:v>43476</c:v>
                </c:pt>
                <c:pt idx="472">
                  <c:v>43483</c:v>
                </c:pt>
                <c:pt idx="473">
                  <c:v>43490</c:v>
                </c:pt>
                <c:pt idx="474">
                  <c:v>43497</c:v>
                </c:pt>
                <c:pt idx="475">
                  <c:v>43504</c:v>
                </c:pt>
                <c:pt idx="476">
                  <c:v>43511</c:v>
                </c:pt>
                <c:pt idx="477">
                  <c:v>43518</c:v>
                </c:pt>
                <c:pt idx="478">
                  <c:v>43525</c:v>
                </c:pt>
                <c:pt idx="479">
                  <c:v>43532</c:v>
                </c:pt>
                <c:pt idx="480">
                  <c:v>43539</c:v>
                </c:pt>
                <c:pt idx="481">
                  <c:v>43546</c:v>
                </c:pt>
                <c:pt idx="482">
                  <c:v>43553</c:v>
                </c:pt>
                <c:pt idx="483">
                  <c:v>43560</c:v>
                </c:pt>
                <c:pt idx="484">
                  <c:v>43567</c:v>
                </c:pt>
                <c:pt idx="485">
                  <c:v>43574</c:v>
                </c:pt>
                <c:pt idx="486">
                  <c:v>43581</c:v>
                </c:pt>
                <c:pt idx="487">
                  <c:v>43588</c:v>
                </c:pt>
                <c:pt idx="488">
                  <c:v>43595</c:v>
                </c:pt>
                <c:pt idx="489">
                  <c:v>43602</c:v>
                </c:pt>
                <c:pt idx="490">
                  <c:v>43609</c:v>
                </c:pt>
                <c:pt idx="491">
                  <c:v>43616</c:v>
                </c:pt>
                <c:pt idx="492">
                  <c:v>43623</c:v>
                </c:pt>
                <c:pt idx="493">
                  <c:v>43630</c:v>
                </c:pt>
                <c:pt idx="494">
                  <c:v>43637</c:v>
                </c:pt>
                <c:pt idx="495">
                  <c:v>43644</c:v>
                </c:pt>
                <c:pt idx="496">
                  <c:v>43651</c:v>
                </c:pt>
                <c:pt idx="497">
                  <c:v>43658</c:v>
                </c:pt>
                <c:pt idx="498">
                  <c:v>43665</c:v>
                </c:pt>
                <c:pt idx="499">
                  <c:v>43672</c:v>
                </c:pt>
                <c:pt idx="500">
                  <c:v>43679</c:v>
                </c:pt>
                <c:pt idx="501">
                  <c:v>43686</c:v>
                </c:pt>
                <c:pt idx="502">
                  <c:v>43693</c:v>
                </c:pt>
                <c:pt idx="503">
                  <c:v>43700</c:v>
                </c:pt>
                <c:pt idx="504">
                  <c:v>43707</c:v>
                </c:pt>
                <c:pt idx="505">
                  <c:v>43714</c:v>
                </c:pt>
                <c:pt idx="506">
                  <c:v>43721</c:v>
                </c:pt>
                <c:pt idx="507">
                  <c:v>43728</c:v>
                </c:pt>
                <c:pt idx="508">
                  <c:v>43735</c:v>
                </c:pt>
                <c:pt idx="509">
                  <c:v>43742</c:v>
                </c:pt>
                <c:pt idx="510">
                  <c:v>43749</c:v>
                </c:pt>
                <c:pt idx="511">
                  <c:v>43756</c:v>
                </c:pt>
                <c:pt idx="512">
                  <c:v>43763</c:v>
                </c:pt>
                <c:pt idx="513">
                  <c:v>43770</c:v>
                </c:pt>
                <c:pt idx="514">
                  <c:v>43777</c:v>
                </c:pt>
                <c:pt idx="515">
                  <c:v>43784</c:v>
                </c:pt>
                <c:pt idx="516">
                  <c:v>43791</c:v>
                </c:pt>
                <c:pt idx="517">
                  <c:v>43798</c:v>
                </c:pt>
                <c:pt idx="518">
                  <c:v>43805</c:v>
                </c:pt>
                <c:pt idx="519">
                  <c:v>43812</c:v>
                </c:pt>
                <c:pt idx="520">
                  <c:v>43819</c:v>
                </c:pt>
                <c:pt idx="521">
                  <c:v>43826</c:v>
                </c:pt>
                <c:pt idx="522">
                  <c:v>43833</c:v>
                </c:pt>
                <c:pt idx="523">
                  <c:v>43840</c:v>
                </c:pt>
                <c:pt idx="524">
                  <c:v>43847</c:v>
                </c:pt>
                <c:pt idx="525">
                  <c:v>43854</c:v>
                </c:pt>
                <c:pt idx="526">
                  <c:v>43861</c:v>
                </c:pt>
                <c:pt idx="527">
                  <c:v>43868</c:v>
                </c:pt>
                <c:pt idx="528">
                  <c:v>43875</c:v>
                </c:pt>
                <c:pt idx="529">
                  <c:v>43882</c:v>
                </c:pt>
                <c:pt idx="530">
                  <c:v>43889</c:v>
                </c:pt>
                <c:pt idx="531">
                  <c:v>43896</c:v>
                </c:pt>
                <c:pt idx="532">
                  <c:v>43903</c:v>
                </c:pt>
                <c:pt idx="533">
                  <c:v>43910</c:v>
                </c:pt>
                <c:pt idx="534">
                  <c:v>43917</c:v>
                </c:pt>
                <c:pt idx="535">
                  <c:v>43924</c:v>
                </c:pt>
                <c:pt idx="536">
                  <c:v>43931</c:v>
                </c:pt>
                <c:pt idx="537">
                  <c:v>43938</c:v>
                </c:pt>
                <c:pt idx="538">
                  <c:v>43945</c:v>
                </c:pt>
                <c:pt idx="539">
                  <c:v>43952</c:v>
                </c:pt>
                <c:pt idx="540">
                  <c:v>43959</c:v>
                </c:pt>
                <c:pt idx="541">
                  <c:v>43966</c:v>
                </c:pt>
                <c:pt idx="542">
                  <c:v>43973</c:v>
                </c:pt>
                <c:pt idx="543">
                  <c:v>43980</c:v>
                </c:pt>
                <c:pt idx="544">
                  <c:v>43987</c:v>
                </c:pt>
                <c:pt idx="545">
                  <c:v>43994</c:v>
                </c:pt>
                <c:pt idx="546">
                  <c:v>44001</c:v>
                </c:pt>
                <c:pt idx="547">
                  <c:v>44008</c:v>
                </c:pt>
                <c:pt idx="548">
                  <c:v>44015</c:v>
                </c:pt>
                <c:pt idx="549">
                  <c:v>44022</c:v>
                </c:pt>
                <c:pt idx="550">
                  <c:v>44029</c:v>
                </c:pt>
                <c:pt idx="551">
                  <c:v>44036</c:v>
                </c:pt>
                <c:pt idx="552">
                  <c:v>44043</c:v>
                </c:pt>
                <c:pt idx="553">
                  <c:v>44050</c:v>
                </c:pt>
                <c:pt idx="554">
                  <c:v>44057</c:v>
                </c:pt>
                <c:pt idx="555">
                  <c:v>44064</c:v>
                </c:pt>
                <c:pt idx="556">
                  <c:v>44071</c:v>
                </c:pt>
                <c:pt idx="557">
                  <c:v>44078</c:v>
                </c:pt>
                <c:pt idx="558">
                  <c:v>44085</c:v>
                </c:pt>
                <c:pt idx="559">
                  <c:v>44092</c:v>
                </c:pt>
                <c:pt idx="560">
                  <c:v>44099</c:v>
                </c:pt>
                <c:pt idx="561">
                  <c:v>44106</c:v>
                </c:pt>
                <c:pt idx="562">
                  <c:v>44113</c:v>
                </c:pt>
                <c:pt idx="563">
                  <c:v>44120</c:v>
                </c:pt>
                <c:pt idx="564">
                  <c:v>44127</c:v>
                </c:pt>
                <c:pt idx="565">
                  <c:v>44134</c:v>
                </c:pt>
                <c:pt idx="566">
                  <c:v>44141</c:v>
                </c:pt>
                <c:pt idx="567">
                  <c:v>44148</c:v>
                </c:pt>
                <c:pt idx="568">
                  <c:v>44155</c:v>
                </c:pt>
                <c:pt idx="569">
                  <c:v>44162</c:v>
                </c:pt>
                <c:pt idx="570">
                  <c:v>44169</c:v>
                </c:pt>
                <c:pt idx="571">
                  <c:v>44176</c:v>
                </c:pt>
                <c:pt idx="572">
                  <c:v>44183</c:v>
                </c:pt>
                <c:pt idx="573">
                  <c:v>44190</c:v>
                </c:pt>
                <c:pt idx="574">
                  <c:v>44197</c:v>
                </c:pt>
                <c:pt idx="575">
                  <c:v>44204</c:v>
                </c:pt>
                <c:pt idx="576">
                  <c:v>44211</c:v>
                </c:pt>
                <c:pt idx="577">
                  <c:v>44218</c:v>
                </c:pt>
                <c:pt idx="578">
                  <c:v>44225</c:v>
                </c:pt>
                <c:pt idx="579">
                  <c:v>44232</c:v>
                </c:pt>
                <c:pt idx="580">
                  <c:v>44239</c:v>
                </c:pt>
                <c:pt idx="581">
                  <c:v>44246</c:v>
                </c:pt>
                <c:pt idx="582">
                  <c:v>44253</c:v>
                </c:pt>
                <c:pt idx="583">
                  <c:v>44260</c:v>
                </c:pt>
                <c:pt idx="584">
                  <c:v>44267</c:v>
                </c:pt>
                <c:pt idx="585">
                  <c:v>44274</c:v>
                </c:pt>
                <c:pt idx="586">
                  <c:v>44281</c:v>
                </c:pt>
                <c:pt idx="587">
                  <c:v>44288</c:v>
                </c:pt>
                <c:pt idx="588">
                  <c:v>44295</c:v>
                </c:pt>
                <c:pt idx="589">
                  <c:v>44302</c:v>
                </c:pt>
                <c:pt idx="590">
                  <c:v>44309</c:v>
                </c:pt>
                <c:pt idx="591">
                  <c:v>44316</c:v>
                </c:pt>
                <c:pt idx="592">
                  <c:v>44323</c:v>
                </c:pt>
                <c:pt idx="593">
                  <c:v>44330</c:v>
                </c:pt>
                <c:pt idx="594">
                  <c:v>44337</c:v>
                </c:pt>
                <c:pt idx="595">
                  <c:v>44344</c:v>
                </c:pt>
                <c:pt idx="596">
                  <c:v>44351</c:v>
                </c:pt>
                <c:pt idx="597">
                  <c:v>44358</c:v>
                </c:pt>
                <c:pt idx="598">
                  <c:v>44365</c:v>
                </c:pt>
                <c:pt idx="599">
                  <c:v>44372</c:v>
                </c:pt>
                <c:pt idx="600">
                  <c:v>44379</c:v>
                </c:pt>
                <c:pt idx="601">
                  <c:v>44386</c:v>
                </c:pt>
                <c:pt idx="602">
                  <c:v>44393</c:v>
                </c:pt>
                <c:pt idx="603">
                  <c:v>44400</c:v>
                </c:pt>
                <c:pt idx="604">
                  <c:v>44407</c:v>
                </c:pt>
                <c:pt idx="605">
                  <c:v>44414</c:v>
                </c:pt>
                <c:pt idx="606">
                  <c:v>44421</c:v>
                </c:pt>
                <c:pt idx="607">
                  <c:v>44428</c:v>
                </c:pt>
                <c:pt idx="608">
                  <c:v>44435</c:v>
                </c:pt>
                <c:pt idx="609">
                  <c:v>44442</c:v>
                </c:pt>
                <c:pt idx="610">
                  <c:v>44449</c:v>
                </c:pt>
                <c:pt idx="611">
                  <c:v>44456</c:v>
                </c:pt>
                <c:pt idx="612">
                  <c:v>44463</c:v>
                </c:pt>
                <c:pt idx="613">
                  <c:v>44470</c:v>
                </c:pt>
                <c:pt idx="614">
                  <c:v>44477</c:v>
                </c:pt>
                <c:pt idx="615">
                  <c:v>44484</c:v>
                </c:pt>
                <c:pt idx="616">
                  <c:v>44491</c:v>
                </c:pt>
                <c:pt idx="617">
                  <c:v>44498</c:v>
                </c:pt>
                <c:pt idx="618">
                  <c:v>44505</c:v>
                </c:pt>
                <c:pt idx="619">
                  <c:v>44512</c:v>
                </c:pt>
                <c:pt idx="620">
                  <c:v>44519</c:v>
                </c:pt>
                <c:pt idx="621">
                  <c:v>44526</c:v>
                </c:pt>
                <c:pt idx="622">
                  <c:v>44533</c:v>
                </c:pt>
                <c:pt idx="623">
                  <c:v>44540</c:v>
                </c:pt>
                <c:pt idx="624">
                  <c:v>44547</c:v>
                </c:pt>
                <c:pt idx="625">
                  <c:v>44554</c:v>
                </c:pt>
                <c:pt idx="626">
                  <c:v>44561</c:v>
                </c:pt>
                <c:pt idx="627">
                  <c:v>44568</c:v>
                </c:pt>
                <c:pt idx="628">
                  <c:v>44575</c:v>
                </c:pt>
                <c:pt idx="629">
                  <c:v>44582</c:v>
                </c:pt>
                <c:pt idx="630">
                  <c:v>44589</c:v>
                </c:pt>
                <c:pt idx="631">
                  <c:v>44596</c:v>
                </c:pt>
                <c:pt idx="632">
                  <c:v>44603</c:v>
                </c:pt>
                <c:pt idx="633">
                  <c:v>44610</c:v>
                </c:pt>
                <c:pt idx="634">
                  <c:v>44617</c:v>
                </c:pt>
                <c:pt idx="635">
                  <c:v>44624</c:v>
                </c:pt>
                <c:pt idx="636">
                  <c:v>44631</c:v>
                </c:pt>
                <c:pt idx="637">
                  <c:v>44638</c:v>
                </c:pt>
                <c:pt idx="638">
                  <c:v>44645</c:v>
                </c:pt>
                <c:pt idx="639">
                  <c:v>44652</c:v>
                </c:pt>
              </c:numCache>
            </c:numRef>
          </c:cat>
          <c:val>
            <c:numRef>
              <c:f>'Graf 6'!$J$4:$J$643</c:f>
              <c:numCache>
                <c:formatCode>General</c:formatCode>
                <c:ptCount val="640"/>
                <c:pt idx="0">
                  <c:v>1</c:v>
                </c:pt>
                <c:pt idx="1">
                  <c:v>1.0178383519507852</c:v>
                </c:pt>
                <c:pt idx="2">
                  <c:v>0.99166599212131024</c:v>
                </c:pt>
                <c:pt idx="3">
                  <c:v>0.95677513355998067</c:v>
                </c:pt>
                <c:pt idx="4">
                  <c:v>0.936548891047434</c:v>
                </c:pt>
                <c:pt idx="5">
                  <c:v>0.88758027089741509</c:v>
                </c:pt>
                <c:pt idx="6">
                  <c:v>0.90202228697857645</c:v>
                </c:pt>
                <c:pt idx="7">
                  <c:v>0.94212738114510819</c:v>
                </c:pt>
                <c:pt idx="8">
                  <c:v>0.92023838432896221</c:v>
                </c:pt>
                <c:pt idx="9">
                  <c:v>0.97048189520263339</c:v>
                </c:pt>
                <c:pt idx="10">
                  <c:v>0.9775376396308888</c:v>
                </c:pt>
                <c:pt idx="11">
                  <c:v>0.97739935783282061</c:v>
                </c:pt>
                <c:pt idx="12">
                  <c:v>0.99189871026927856</c:v>
                </c:pt>
                <c:pt idx="13">
                  <c:v>1.0045666720630295</c:v>
                </c:pt>
                <c:pt idx="14">
                  <c:v>1.0096392531433813</c:v>
                </c:pt>
                <c:pt idx="15">
                  <c:v>0.99483635529653014</c:v>
                </c:pt>
                <c:pt idx="16">
                  <c:v>0.9841987750256328</c:v>
                </c:pt>
                <c:pt idx="17">
                  <c:v>0.95004991635637581</c:v>
                </c:pt>
                <c:pt idx="18">
                  <c:v>0.84324240461928657</c:v>
                </c:pt>
                <c:pt idx="19">
                  <c:v>0.88834925260374509</c:v>
                </c:pt>
                <c:pt idx="20">
                  <c:v>0.86820058280718793</c:v>
                </c:pt>
                <c:pt idx="21">
                  <c:v>0.88165101721439743</c:v>
                </c:pt>
                <c:pt idx="22">
                  <c:v>0.86125613836274351</c:v>
                </c:pt>
                <c:pt idx="23">
                  <c:v>0.88982987966110838</c:v>
                </c:pt>
                <c:pt idx="24">
                  <c:v>0.9231220657276995</c:v>
                </c:pt>
                <c:pt idx="25">
                  <c:v>0.88677418919648154</c:v>
                </c:pt>
                <c:pt idx="26">
                  <c:v>0.85072311262209277</c:v>
                </c:pt>
                <c:pt idx="27">
                  <c:v>0.90429550482974463</c:v>
                </c:pt>
                <c:pt idx="28">
                  <c:v>0.89229197021207707</c:v>
                </c:pt>
                <c:pt idx="29">
                  <c:v>0.91708825751443535</c:v>
                </c:pt>
                <c:pt idx="30">
                  <c:v>0.92484890184015967</c:v>
                </c:pt>
                <c:pt idx="31">
                  <c:v>0.9373954454697534</c:v>
                </c:pt>
                <c:pt idx="32">
                  <c:v>0.91358062166100051</c:v>
                </c:pt>
                <c:pt idx="33">
                  <c:v>0.89174221574658674</c:v>
                </c:pt>
                <c:pt idx="34">
                  <c:v>0.88714518914251794</c:v>
                </c:pt>
                <c:pt idx="35">
                  <c:v>0.92622834709405855</c:v>
                </c:pt>
                <c:pt idx="36">
                  <c:v>0.93775295450866114</c:v>
                </c:pt>
                <c:pt idx="37">
                  <c:v>0.92998556472937233</c:v>
                </c:pt>
                <c:pt idx="38">
                  <c:v>0.94191827208461498</c:v>
                </c:pt>
                <c:pt idx="39">
                  <c:v>0.92173587502023635</c:v>
                </c:pt>
                <c:pt idx="40">
                  <c:v>0.93944943608008191</c:v>
                </c:pt>
                <c:pt idx="41">
                  <c:v>0.95841090604932277</c:v>
                </c:pt>
                <c:pt idx="42">
                  <c:v>0.96923398629323831</c:v>
                </c:pt>
                <c:pt idx="43">
                  <c:v>0.9595373967945604</c:v>
                </c:pt>
                <c:pt idx="44">
                  <c:v>0.96997598618531111</c:v>
                </c:pt>
                <c:pt idx="45">
                  <c:v>0.95192852517403259</c:v>
                </c:pt>
                <c:pt idx="46">
                  <c:v>0.95979372403000374</c:v>
                </c:pt>
                <c:pt idx="47">
                  <c:v>0.92310182936700669</c:v>
                </c:pt>
                <c:pt idx="48">
                  <c:v>0.93842412713830869</c:v>
                </c:pt>
                <c:pt idx="49">
                  <c:v>0.95769588797150729</c:v>
                </c:pt>
                <c:pt idx="50">
                  <c:v>0.95170592520641084</c:v>
                </c:pt>
                <c:pt idx="51">
                  <c:v>0.96525416869030278</c:v>
                </c:pt>
                <c:pt idx="52">
                  <c:v>0.9419418811720901</c:v>
                </c:pt>
                <c:pt idx="53">
                  <c:v>0.94714599859694559</c:v>
                </c:pt>
                <c:pt idx="54">
                  <c:v>0.98497112945874488</c:v>
                </c:pt>
                <c:pt idx="55">
                  <c:v>1.0018887269980032</c:v>
                </c:pt>
                <c:pt idx="56">
                  <c:v>0.99634733689493282</c:v>
                </c:pt>
                <c:pt idx="57">
                  <c:v>1.0128939344881549</c:v>
                </c:pt>
                <c:pt idx="58">
                  <c:v>1.0200373698127461</c:v>
                </c:pt>
                <c:pt idx="59">
                  <c:v>1.0347525767632615</c:v>
                </c:pt>
                <c:pt idx="60">
                  <c:v>1.0067656899249906</c:v>
                </c:pt>
                <c:pt idx="61">
                  <c:v>0.99467783713776903</c:v>
                </c:pt>
                <c:pt idx="62">
                  <c:v>0.97264044034320873</c:v>
                </c:pt>
                <c:pt idx="63">
                  <c:v>0.94187105390966497</c:v>
                </c:pt>
                <c:pt idx="64">
                  <c:v>0.98191206626733574</c:v>
                </c:pt>
                <c:pt idx="65">
                  <c:v>0.9993119637364416</c:v>
                </c:pt>
                <c:pt idx="66">
                  <c:v>1.006644271760833</c:v>
                </c:pt>
                <c:pt idx="67">
                  <c:v>0.9845158113431548</c:v>
                </c:pt>
                <c:pt idx="68">
                  <c:v>0.99033376504236148</c:v>
                </c:pt>
                <c:pt idx="69">
                  <c:v>1.015612352274567</c:v>
                </c:pt>
                <c:pt idx="70">
                  <c:v>0.99593249150072849</c:v>
                </c:pt>
                <c:pt idx="71">
                  <c:v>0.97626949436080079</c:v>
                </c:pt>
                <c:pt idx="72">
                  <c:v>0.96256947817171223</c:v>
                </c:pt>
                <c:pt idx="73">
                  <c:v>0.95090658895904168</c:v>
                </c:pt>
                <c:pt idx="74">
                  <c:v>0.94069059953591283</c:v>
                </c:pt>
                <c:pt idx="75">
                  <c:v>0.92161108412929682</c:v>
                </c:pt>
                <c:pt idx="76">
                  <c:v>0.93428579137661216</c:v>
                </c:pt>
                <c:pt idx="77">
                  <c:v>0.91599212131023688</c:v>
                </c:pt>
                <c:pt idx="78">
                  <c:v>0.96988492256219305</c:v>
                </c:pt>
                <c:pt idx="79">
                  <c:v>0.94102112676056338</c:v>
                </c:pt>
                <c:pt idx="80">
                  <c:v>0.90233257784253418</c:v>
                </c:pt>
                <c:pt idx="81">
                  <c:v>0.93512222761858499</c:v>
                </c:pt>
                <c:pt idx="82">
                  <c:v>0.90064284172467757</c:v>
                </c:pt>
                <c:pt idx="83">
                  <c:v>0.80107320166207974</c:v>
                </c:pt>
                <c:pt idx="84">
                  <c:v>0.77819936862554639</c:v>
                </c:pt>
                <c:pt idx="85">
                  <c:v>0.72819532135340781</c:v>
                </c:pt>
                <c:pt idx="86">
                  <c:v>0.73877556526900867</c:v>
                </c:pt>
                <c:pt idx="87">
                  <c:v>0.74898818196535533</c:v>
                </c:pt>
                <c:pt idx="88">
                  <c:v>0.6993922346338568</c:v>
                </c:pt>
                <c:pt idx="89">
                  <c:v>0.72826614861583294</c:v>
                </c:pt>
                <c:pt idx="90">
                  <c:v>0.68332456424369969</c:v>
                </c:pt>
                <c:pt idx="91">
                  <c:v>0.73513976579785223</c:v>
                </c:pt>
                <c:pt idx="92">
                  <c:v>0.76533578867843077</c:v>
                </c:pt>
                <c:pt idx="93">
                  <c:v>0.79443904808159305</c:v>
                </c:pt>
                <c:pt idx="94">
                  <c:v>0.78837825805407158</c:v>
                </c:pt>
                <c:pt idx="95">
                  <c:v>0.83048675192919974</c:v>
                </c:pt>
                <c:pt idx="96">
                  <c:v>0.77285022394905822</c:v>
                </c:pt>
                <c:pt idx="97">
                  <c:v>0.78409489504074248</c:v>
                </c:pt>
                <c:pt idx="98">
                  <c:v>0.75437105390966486</c:v>
                </c:pt>
                <c:pt idx="99">
                  <c:v>0.71207031460795434</c:v>
                </c:pt>
                <c:pt idx="100">
                  <c:v>0.79006124871836381</c:v>
                </c:pt>
                <c:pt idx="101">
                  <c:v>0.7900916032594032</c:v>
                </c:pt>
                <c:pt idx="102">
                  <c:v>0.7429172737574874</c:v>
                </c:pt>
                <c:pt idx="103">
                  <c:v>0.77247922400302194</c:v>
                </c:pt>
                <c:pt idx="104">
                  <c:v>0.78130902271868763</c:v>
                </c:pt>
                <c:pt idx="105">
                  <c:v>0.77527184177864117</c:v>
                </c:pt>
                <c:pt idx="106">
                  <c:v>0.78854689439317904</c:v>
                </c:pt>
                <c:pt idx="107">
                  <c:v>0.81854729912039281</c:v>
                </c:pt>
                <c:pt idx="108">
                  <c:v>0.82180535319194858</c:v>
                </c:pt>
                <c:pt idx="109">
                  <c:v>0.84829137661216347</c:v>
                </c:pt>
                <c:pt idx="110">
                  <c:v>0.83669256920835366</c:v>
                </c:pt>
                <c:pt idx="111">
                  <c:v>0.85003170363175218</c:v>
                </c:pt>
                <c:pt idx="112">
                  <c:v>0.85117168528411846</c:v>
                </c:pt>
                <c:pt idx="113">
                  <c:v>0.85875020236360688</c:v>
                </c:pt>
                <c:pt idx="114">
                  <c:v>0.84856119475473524</c:v>
                </c:pt>
                <c:pt idx="115">
                  <c:v>0.87970832658787979</c:v>
                </c:pt>
                <c:pt idx="116">
                  <c:v>0.85175853974421234</c:v>
                </c:pt>
                <c:pt idx="117">
                  <c:v>0.8355188602881658</c:v>
                </c:pt>
                <c:pt idx="118">
                  <c:v>0.80693837353623654</c:v>
                </c:pt>
                <c:pt idx="119">
                  <c:v>0.77286371485618699</c:v>
                </c:pt>
                <c:pt idx="120">
                  <c:v>0.77952822297771296</c:v>
                </c:pt>
                <c:pt idx="121">
                  <c:v>0.79057390318925047</c:v>
                </c:pt>
                <c:pt idx="122">
                  <c:v>0.75830365333765049</c:v>
                </c:pt>
                <c:pt idx="123">
                  <c:v>0.76039474394258266</c:v>
                </c:pt>
                <c:pt idx="124">
                  <c:v>0.72334534024067776</c:v>
                </c:pt>
                <c:pt idx="125">
                  <c:v>0.72913968485240943</c:v>
                </c:pt>
                <c:pt idx="126">
                  <c:v>0.69770249851600019</c:v>
                </c:pt>
                <c:pt idx="127">
                  <c:v>0.72307889482488807</c:v>
                </c:pt>
                <c:pt idx="128">
                  <c:v>0.73566928390264963</c:v>
                </c:pt>
                <c:pt idx="129">
                  <c:v>0.7375512654470886</c:v>
                </c:pt>
                <c:pt idx="130">
                  <c:v>0.76382817980681017</c:v>
                </c:pt>
                <c:pt idx="131">
                  <c:v>0.75397644487615356</c:v>
                </c:pt>
                <c:pt idx="132">
                  <c:v>0.76192933462846046</c:v>
                </c:pt>
                <c:pt idx="133">
                  <c:v>0.75459028115050453</c:v>
                </c:pt>
                <c:pt idx="134">
                  <c:v>0.77614200528843558</c:v>
                </c:pt>
                <c:pt idx="135">
                  <c:v>0.80020641087906752</c:v>
                </c:pt>
                <c:pt idx="136">
                  <c:v>0.81728589930386908</c:v>
                </c:pt>
                <c:pt idx="137">
                  <c:v>0.83357954238843024</c:v>
                </c:pt>
                <c:pt idx="138">
                  <c:v>0.82099927149101504</c:v>
                </c:pt>
                <c:pt idx="139">
                  <c:v>0.82318479844584747</c:v>
                </c:pt>
                <c:pt idx="140">
                  <c:v>0.85620042091630233</c:v>
                </c:pt>
                <c:pt idx="141">
                  <c:v>0.87507419998920721</c:v>
                </c:pt>
                <c:pt idx="142">
                  <c:v>0.86917867357401113</c:v>
                </c:pt>
                <c:pt idx="143">
                  <c:v>0.82775484323565918</c:v>
                </c:pt>
                <c:pt idx="144">
                  <c:v>0.85370797582429447</c:v>
                </c:pt>
                <c:pt idx="145">
                  <c:v>0.83275659705358596</c:v>
                </c:pt>
                <c:pt idx="146">
                  <c:v>0.85742809346500448</c:v>
                </c:pt>
                <c:pt idx="147">
                  <c:v>0.84186633209216988</c:v>
                </c:pt>
                <c:pt idx="148">
                  <c:v>0.85908410231503973</c:v>
                </c:pt>
                <c:pt idx="149">
                  <c:v>0.83637553289083166</c:v>
                </c:pt>
                <c:pt idx="150">
                  <c:v>0.81866871728455026</c:v>
                </c:pt>
                <c:pt idx="151">
                  <c:v>0.86241635637580272</c:v>
                </c:pt>
                <c:pt idx="152">
                  <c:v>0.86856146457287786</c:v>
                </c:pt>
                <c:pt idx="153">
                  <c:v>0.87737102692785063</c:v>
                </c:pt>
                <c:pt idx="154">
                  <c:v>0.88720927095137869</c:v>
                </c:pt>
                <c:pt idx="155">
                  <c:v>0.89414022448869468</c:v>
                </c:pt>
                <c:pt idx="156">
                  <c:v>0.8859647347687658</c:v>
                </c:pt>
                <c:pt idx="157">
                  <c:v>0.91378973072149372</c:v>
                </c:pt>
                <c:pt idx="158">
                  <c:v>0.91663631212562735</c:v>
                </c:pt>
                <c:pt idx="159">
                  <c:v>0.91387067616426532</c:v>
                </c:pt>
                <c:pt idx="160">
                  <c:v>0.92553693810371807</c:v>
                </c:pt>
                <c:pt idx="161">
                  <c:v>0.91403593977659059</c:v>
                </c:pt>
                <c:pt idx="162">
                  <c:v>0.88712832550860721</c:v>
                </c:pt>
                <c:pt idx="163">
                  <c:v>0.88205574442825541</c:v>
                </c:pt>
                <c:pt idx="164">
                  <c:v>0.88704400733905353</c:v>
                </c:pt>
                <c:pt idx="165">
                  <c:v>0.8825582807187955</c:v>
                </c:pt>
                <c:pt idx="166">
                  <c:v>0.92034293885920893</c:v>
                </c:pt>
                <c:pt idx="167">
                  <c:v>0.91931088446387133</c:v>
                </c:pt>
                <c:pt idx="168">
                  <c:v>0.90445402298850575</c:v>
                </c:pt>
                <c:pt idx="169">
                  <c:v>0.88501025308941772</c:v>
                </c:pt>
                <c:pt idx="170">
                  <c:v>0.87194430953537316</c:v>
                </c:pt>
                <c:pt idx="171">
                  <c:v>0.88819747989854825</c:v>
                </c:pt>
                <c:pt idx="172">
                  <c:v>0.86853111003183847</c:v>
                </c:pt>
                <c:pt idx="173">
                  <c:v>0.9050476229021639</c:v>
                </c:pt>
                <c:pt idx="174">
                  <c:v>0.93211375532890828</c:v>
                </c:pt>
                <c:pt idx="175">
                  <c:v>0.93938535427122116</c:v>
                </c:pt>
                <c:pt idx="176">
                  <c:v>0.95043103448275856</c:v>
                </c:pt>
                <c:pt idx="177">
                  <c:v>0.9323194916626194</c:v>
                </c:pt>
                <c:pt idx="178">
                  <c:v>0.93412390049106897</c:v>
                </c:pt>
                <c:pt idx="179">
                  <c:v>0.91875775727159892</c:v>
                </c:pt>
                <c:pt idx="180">
                  <c:v>0.89961416005612227</c:v>
                </c:pt>
                <c:pt idx="181">
                  <c:v>0.85986994765528035</c:v>
                </c:pt>
                <c:pt idx="182">
                  <c:v>0.87778249959527277</c:v>
                </c:pt>
                <c:pt idx="183">
                  <c:v>0.87556324537261887</c:v>
                </c:pt>
                <c:pt idx="184">
                  <c:v>0.90216056877664452</c:v>
                </c:pt>
                <c:pt idx="185">
                  <c:v>0.91608993038691922</c:v>
                </c:pt>
                <c:pt idx="186">
                  <c:v>0.92478819275808111</c:v>
                </c:pt>
                <c:pt idx="187">
                  <c:v>0.94807349846203659</c:v>
                </c:pt>
                <c:pt idx="188">
                  <c:v>0.95300442501753813</c:v>
                </c:pt>
                <c:pt idx="189">
                  <c:v>0.96266728724839457</c:v>
                </c:pt>
                <c:pt idx="190">
                  <c:v>0.95314945226917058</c:v>
                </c:pt>
                <c:pt idx="191">
                  <c:v>0.91784374831363658</c:v>
                </c:pt>
                <c:pt idx="192">
                  <c:v>0.94551697156116776</c:v>
                </c:pt>
                <c:pt idx="193">
                  <c:v>0.96699786843667368</c:v>
                </c:pt>
                <c:pt idx="194">
                  <c:v>0.98726121094382391</c:v>
                </c:pt>
                <c:pt idx="195">
                  <c:v>0.98461362041983702</c:v>
                </c:pt>
                <c:pt idx="196">
                  <c:v>0.98763895634342447</c:v>
                </c:pt>
                <c:pt idx="197">
                  <c:v>1.0031433813609627</c:v>
                </c:pt>
                <c:pt idx="198">
                  <c:v>1.0230525875559873</c:v>
                </c:pt>
                <c:pt idx="199">
                  <c:v>1.0234539420430631</c:v>
                </c:pt>
                <c:pt idx="200">
                  <c:v>1.0294034320867735</c:v>
                </c:pt>
                <c:pt idx="201">
                  <c:v>1.023592223841131</c:v>
                </c:pt>
                <c:pt idx="202">
                  <c:v>1.0302095137877072</c:v>
                </c:pt>
                <c:pt idx="203">
                  <c:v>1.0306985591711186</c:v>
                </c:pt>
                <c:pt idx="204">
                  <c:v>1.0410393394851869</c:v>
                </c:pt>
                <c:pt idx="205">
                  <c:v>1.0050523447196589</c:v>
                </c:pt>
                <c:pt idx="206">
                  <c:v>0.98548378392963143</c:v>
                </c:pt>
                <c:pt idx="207">
                  <c:v>1.028462441314554</c:v>
                </c:pt>
                <c:pt idx="208">
                  <c:v>1.049380092817441</c:v>
                </c:pt>
                <c:pt idx="209">
                  <c:v>1.0369212400841832</c:v>
                </c:pt>
                <c:pt idx="210">
                  <c:v>1.0469449840807297</c:v>
                </c:pt>
                <c:pt idx="211">
                  <c:v>1.063791754357563</c:v>
                </c:pt>
                <c:pt idx="212">
                  <c:v>1.0213291241703091</c:v>
                </c:pt>
                <c:pt idx="213">
                  <c:v>1.0165263612325293</c:v>
                </c:pt>
                <c:pt idx="214">
                  <c:v>1.0247996600291402</c:v>
                </c:pt>
                <c:pt idx="215">
                  <c:v>1.0519737197129135</c:v>
                </c:pt>
                <c:pt idx="216">
                  <c:v>1.0562267281852031</c:v>
                </c:pt>
                <c:pt idx="217">
                  <c:v>1.0621492364146565</c:v>
                </c:pt>
                <c:pt idx="218">
                  <c:v>1.0439634936053099</c:v>
                </c:pt>
                <c:pt idx="219">
                  <c:v>1.0133829798715666</c:v>
                </c:pt>
                <c:pt idx="220">
                  <c:v>1.0443614753656034</c:v>
                </c:pt>
                <c:pt idx="221">
                  <c:v>1.0699739625492417</c:v>
                </c:pt>
                <c:pt idx="222">
                  <c:v>1.0895020506178834</c:v>
                </c:pt>
                <c:pt idx="223">
                  <c:v>1.0511237925638119</c:v>
                </c:pt>
                <c:pt idx="224">
                  <c:v>1.0643684906373103</c:v>
                </c:pt>
                <c:pt idx="225">
                  <c:v>1.0615320274135234</c:v>
                </c:pt>
                <c:pt idx="226">
                  <c:v>1.0718154713722949</c:v>
                </c:pt>
                <c:pt idx="227">
                  <c:v>1.0739065619772274</c:v>
                </c:pt>
                <c:pt idx="228">
                  <c:v>1.070071771625924</c:v>
                </c:pt>
                <c:pt idx="229">
                  <c:v>1.0803788246721711</c:v>
                </c:pt>
                <c:pt idx="230">
                  <c:v>1.0943149317360099</c:v>
                </c:pt>
                <c:pt idx="231">
                  <c:v>1.1110706383897253</c:v>
                </c:pt>
                <c:pt idx="232">
                  <c:v>1.1072122389509471</c:v>
                </c:pt>
                <c:pt idx="233">
                  <c:v>1.1137958016297016</c:v>
                </c:pt>
                <c:pt idx="234">
                  <c:v>1.0886656143759106</c:v>
                </c:pt>
                <c:pt idx="235">
                  <c:v>1.1030401759214288</c:v>
                </c:pt>
                <c:pt idx="236">
                  <c:v>1.064786708758297</c:v>
                </c:pt>
                <c:pt idx="237">
                  <c:v>1.0672015811343154</c:v>
                </c:pt>
                <c:pt idx="238">
                  <c:v>1.0708373806054718</c:v>
                </c:pt>
                <c:pt idx="239">
                  <c:v>1.0362939129027036</c:v>
                </c:pt>
                <c:pt idx="240">
                  <c:v>1.0141216070368571</c:v>
                </c:pt>
                <c:pt idx="241">
                  <c:v>1.0231234148184123</c:v>
                </c:pt>
                <c:pt idx="242">
                  <c:v>1.0450393934488156</c:v>
                </c:pt>
                <c:pt idx="243">
                  <c:v>1.0700414170848849</c:v>
                </c:pt>
                <c:pt idx="244">
                  <c:v>1.1046523393232961</c:v>
                </c:pt>
                <c:pt idx="245">
                  <c:v>1.0911007231126222</c:v>
                </c:pt>
                <c:pt idx="246">
                  <c:v>1.1039777939668662</c:v>
                </c:pt>
                <c:pt idx="247">
                  <c:v>1.0858763693270734</c:v>
                </c:pt>
                <c:pt idx="248">
                  <c:v>1.0568000917381684</c:v>
                </c:pt>
                <c:pt idx="249">
                  <c:v>1.0089512168798229</c:v>
                </c:pt>
                <c:pt idx="250">
                  <c:v>0.99908261831525547</c:v>
                </c:pt>
                <c:pt idx="251">
                  <c:v>1.0220610058820354</c:v>
                </c:pt>
                <c:pt idx="252">
                  <c:v>1.0500377745399601</c:v>
                </c:pt>
                <c:pt idx="253">
                  <c:v>1.0337137769143598</c:v>
                </c:pt>
                <c:pt idx="254">
                  <c:v>1.0320510226107602</c:v>
                </c:pt>
                <c:pt idx="255">
                  <c:v>1.077323134207544</c:v>
                </c:pt>
                <c:pt idx="256">
                  <c:v>1.0964498677891101</c:v>
                </c:pt>
                <c:pt idx="257">
                  <c:v>1.1053707301278939</c:v>
                </c:pt>
                <c:pt idx="258">
                  <c:v>1.0345232313420756</c:v>
                </c:pt>
                <c:pt idx="259">
                  <c:v>1.0594679186228482</c:v>
                </c:pt>
                <c:pt idx="260">
                  <c:v>1.0740988074038098</c:v>
                </c:pt>
                <c:pt idx="261">
                  <c:v>1.0588473368949327</c:v>
                </c:pt>
                <c:pt idx="262">
                  <c:v>1.0262870325400679</c:v>
                </c:pt>
                <c:pt idx="263">
                  <c:v>1.0800280610868274</c:v>
                </c:pt>
                <c:pt idx="264">
                  <c:v>1.1408416976957532</c:v>
                </c:pt>
                <c:pt idx="265">
                  <c:v>1.1303491446764879</c:v>
                </c:pt>
                <c:pt idx="266">
                  <c:v>1.1461065242026873</c:v>
                </c:pt>
                <c:pt idx="267">
                  <c:v>1.1627779126868492</c:v>
                </c:pt>
                <c:pt idx="268">
                  <c:v>1.1772604014893961</c:v>
                </c:pt>
                <c:pt idx="269">
                  <c:v>1.2138443688953644</c:v>
                </c:pt>
                <c:pt idx="270">
                  <c:v>1.2201243861637256</c:v>
                </c:pt>
                <c:pt idx="271">
                  <c:v>1.2331397388160379</c:v>
                </c:pt>
                <c:pt idx="272">
                  <c:v>1.2567016081161297</c:v>
                </c:pt>
                <c:pt idx="273">
                  <c:v>1.2408363013329016</c:v>
                </c:pt>
                <c:pt idx="274">
                  <c:v>1.2530590631914089</c:v>
                </c:pt>
                <c:pt idx="275">
                  <c:v>1.2872888673034375</c:v>
                </c:pt>
                <c:pt idx="276">
                  <c:v>1.2391566833953915</c:v>
                </c:pt>
                <c:pt idx="277">
                  <c:v>1.2526172359829475</c:v>
                </c:pt>
                <c:pt idx="278">
                  <c:v>1.2194397226269496</c:v>
                </c:pt>
                <c:pt idx="279">
                  <c:v>1.2308698936916518</c:v>
                </c:pt>
                <c:pt idx="280">
                  <c:v>1.2050988883492526</c:v>
                </c:pt>
                <c:pt idx="281">
                  <c:v>1.2408734013275051</c:v>
                </c:pt>
                <c:pt idx="282">
                  <c:v>1.2043265339161406</c:v>
                </c:pt>
                <c:pt idx="283">
                  <c:v>1.1838304732610221</c:v>
                </c:pt>
                <c:pt idx="284">
                  <c:v>1.1813886190707463</c:v>
                </c:pt>
                <c:pt idx="285">
                  <c:v>1.1655469213749934</c:v>
                </c:pt>
                <c:pt idx="286">
                  <c:v>1.2213891587070314</c:v>
                </c:pt>
                <c:pt idx="287">
                  <c:v>1.1608116129728563</c:v>
                </c:pt>
                <c:pt idx="288">
                  <c:v>1.1901711996114619</c:v>
                </c:pt>
                <c:pt idx="289">
                  <c:v>1.2379054017592144</c:v>
                </c:pt>
                <c:pt idx="290">
                  <c:v>1.2141816415735793</c:v>
                </c:pt>
                <c:pt idx="291">
                  <c:v>1.2144143597215478</c:v>
                </c:pt>
                <c:pt idx="292">
                  <c:v>1.2269305488101021</c:v>
                </c:pt>
                <c:pt idx="293">
                  <c:v>1.1774290378285037</c:v>
                </c:pt>
                <c:pt idx="294">
                  <c:v>1.0952120770600615</c:v>
                </c:pt>
                <c:pt idx="295">
                  <c:v>1.1084770114942528</c:v>
                </c:pt>
                <c:pt idx="296">
                  <c:v>1.0726114348928821</c:v>
                </c:pt>
                <c:pt idx="297">
                  <c:v>1.0752050617883546</c:v>
                </c:pt>
                <c:pt idx="298">
                  <c:v>1.0648710269278507</c:v>
                </c:pt>
                <c:pt idx="299">
                  <c:v>1.0499838109114457</c:v>
                </c:pt>
                <c:pt idx="300">
                  <c:v>1.0415587394096379</c:v>
                </c:pt>
                <c:pt idx="301">
                  <c:v>1.0962407587286169</c:v>
                </c:pt>
                <c:pt idx="302">
                  <c:v>1.1011716852841185</c:v>
                </c:pt>
                <c:pt idx="303">
                  <c:v>1.1554321137553289</c:v>
                </c:pt>
                <c:pt idx="304">
                  <c:v>1.15287558685446</c:v>
                </c:pt>
                <c:pt idx="305">
                  <c:v>1.16973247531164</c:v>
                </c:pt>
                <c:pt idx="306">
                  <c:v>1.1334554260428471</c:v>
                </c:pt>
                <c:pt idx="307">
                  <c:v>1.1644170579029733</c:v>
                </c:pt>
                <c:pt idx="308">
                  <c:v>1.1767410015649451</c:v>
                </c:pt>
                <c:pt idx="309">
                  <c:v>1.1233709729642221</c:v>
                </c:pt>
                <c:pt idx="310">
                  <c:v>1.0803552155846958</c:v>
                </c:pt>
                <c:pt idx="311">
                  <c:v>1.0997517673088337</c:v>
                </c:pt>
                <c:pt idx="312">
                  <c:v>1.1077619934164373</c:v>
                </c:pt>
                <c:pt idx="313">
                  <c:v>1.1020452215206951</c:v>
                </c:pt>
                <c:pt idx="314">
                  <c:v>1.0231065511845017</c:v>
                </c:pt>
                <c:pt idx="315">
                  <c:v>0.99579083697587822</c:v>
                </c:pt>
                <c:pt idx="316">
                  <c:v>1.019646133506017</c:v>
                </c:pt>
                <c:pt idx="317">
                  <c:v>1.0270256597053586</c:v>
                </c:pt>
                <c:pt idx="318">
                  <c:v>0.9711395769251524</c:v>
                </c:pt>
                <c:pt idx="319">
                  <c:v>0.92957746478873238</c:v>
                </c:pt>
                <c:pt idx="320">
                  <c:v>0.96832672278884035</c:v>
                </c:pt>
                <c:pt idx="321">
                  <c:v>0.98792563811990708</c:v>
                </c:pt>
                <c:pt idx="322">
                  <c:v>1.0244151691759753</c:v>
                </c:pt>
                <c:pt idx="323">
                  <c:v>1.0367087582969079</c:v>
                </c:pt>
                <c:pt idx="324">
                  <c:v>1.0319768226215531</c:v>
                </c:pt>
                <c:pt idx="325">
                  <c:v>1.0073424262047379</c:v>
                </c:pt>
                <c:pt idx="326">
                  <c:v>0.99606065511845021</c:v>
                </c:pt>
                <c:pt idx="327">
                  <c:v>0.98213129350817552</c:v>
                </c:pt>
                <c:pt idx="328">
                  <c:v>1.0301454319788463</c:v>
                </c:pt>
                <c:pt idx="329">
                  <c:v>1.0594139549943338</c:v>
                </c:pt>
                <c:pt idx="330">
                  <c:v>1.0213324968970914</c:v>
                </c:pt>
                <c:pt idx="331">
                  <c:v>0.99051589228859749</c:v>
                </c:pt>
                <c:pt idx="332">
                  <c:v>0.99719051859047003</c:v>
                </c:pt>
                <c:pt idx="333">
                  <c:v>0.99905563650099827</c:v>
                </c:pt>
                <c:pt idx="334">
                  <c:v>1.0382871944309535</c:v>
                </c:pt>
                <c:pt idx="335">
                  <c:v>1.0109917165830231</c:v>
                </c:pt>
                <c:pt idx="336">
                  <c:v>0.98183786627812852</c:v>
                </c:pt>
                <c:pt idx="337">
                  <c:v>0.96094719658949868</c:v>
                </c:pt>
                <c:pt idx="338">
                  <c:v>0.93629930926555505</c:v>
                </c:pt>
                <c:pt idx="339">
                  <c:v>0.97237736765420102</c:v>
                </c:pt>
                <c:pt idx="340">
                  <c:v>0.95718323350062062</c:v>
                </c:pt>
                <c:pt idx="341">
                  <c:v>0.99787180940046416</c:v>
                </c:pt>
                <c:pt idx="342">
                  <c:v>1.0024519723706222</c:v>
                </c:pt>
                <c:pt idx="343">
                  <c:v>1.0087016350979441</c:v>
                </c:pt>
                <c:pt idx="344">
                  <c:v>1.0029511359343801</c:v>
                </c:pt>
                <c:pt idx="345">
                  <c:v>1.0269750688036263</c:v>
                </c:pt>
                <c:pt idx="346">
                  <c:v>1.001092763477416</c:v>
                </c:pt>
                <c:pt idx="347">
                  <c:v>1.0153121795909557</c:v>
                </c:pt>
                <c:pt idx="348">
                  <c:v>1.0387121580055041</c:v>
                </c:pt>
                <c:pt idx="349">
                  <c:v>1.0297609411256812</c:v>
                </c:pt>
                <c:pt idx="350">
                  <c:v>0.98997962873023582</c:v>
                </c:pt>
                <c:pt idx="351">
                  <c:v>1.0227153148777723</c:v>
                </c:pt>
                <c:pt idx="352">
                  <c:v>1.0125735254438508</c:v>
                </c:pt>
                <c:pt idx="353">
                  <c:v>1.0120102800712321</c:v>
                </c:pt>
                <c:pt idx="354">
                  <c:v>1.0203139334088824</c:v>
                </c:pt>
                <c:pt idx="355">
                  <c:v>1.0380072581080353</c:v>
                </c:pt>
                <c:pt idx="356">
                  <c:v>1.0385435216663967</c:v>
                </c:pt>
                <c:pt idx="357">
                  <c:v>0.99648224596621882</c:v>
                </c:pt>
                <c:pt idx="358">
                  <c:v>1.0219429604446604</c:v>
                </c:pt>
                <c:pt idx="359">
                  <c:v>1.0188434245318654</c:v>
                </c:pt>
                <c:pt idx="360">
                  <c:v>1.0281352868166855</c:v>
                </c:pt>
                <c:pt idx="361">
                  <c:v>1.0169209702660407</c:v>
                </c:pt>
                <c:pt idx="362">
                  <c:v>1.0784428794992176</c:v>
                </c:pt>
                <c:pt idx="363">
                  <c:v>1.0992526037450758</c:v>
                </c:pt>
                <c:pt idx="364">
                  <c:v>1.1042206302951809</c:v>
                </c:pt>
                <c:pt idx="365">
                  <c:v>1.1098024931196373</c:v>
                </c:pt>
                <c:pt idx="366">
                  <c:v>1.1201399007069235</c:v>
                </c:pt>
                <c:pt idx="367">
                  <c:v>1.1212090550968647</c:v>
                </c:pt>
                <c:pt idx="368">
                  <c:v>1.1128109654093141</c:v>
                </c:pt>
                <c:pt idx="369">
                  <c:v>1.1141229561275701</c:v>
                </c:pt>
                <c:pt idx="370">
                  <c:v>1.1039305757919162</c:v>
                </c:pt>
                <c:pt idx="371">
                  <c:v>1.1031615940855863</c:v>
                </c:pt>
                <c:pt idx="372">
                  <c:v>1.1159712104041875</c:v>
                </c:pt>
                <c:pt idx="373">
                  <c:v>1.1143792833630133</c:v>
                </c:pt>
                <c:pt idx="374">
                  <c:v>1.1478704603097512</c:v>
                </c:pt>
                <c:pt idx="375">
                  <c:v>1.1522145324051589</c:v>
                </c:pt>
                <c:pt idx="376">
                  <c:v>1.1630544762829853</c:v>
                </c:pt>
                <c:pt idx="377">
                  <c:v>1.1616176946737899</c:v>
                </c:pt>
                <c:pt idx="378">
                  <c:v>1.1807680373428309</c:v>
                </c:pt>
                <c:pt idx="379">
                  <c:v>1.1790378285035887</c:v>
                </c:pt>
                <c:pt idx="380">
                  <c:v>1.163003885381253</c:v>
                </c:pt>
                <c:pt idx="381">
                  <c:v>1.1603090766823161</c:v>
                </c:pt>
                <c:pt idx="382">
                  <c:v>1.200552452646916</c:v>
                </c:pt>
                <c:pt idx="383">
                  <c:v>1.2340099023258324</c:v>
                </c:pt>
                <c:pt idx="384">
                  <c:v>1.2268361124602019</c:v>
                </c:pt>
                <c:pt idx="385">
                  <c:v>1.2098004694835682</c:v>
                </c:pt>
                <c:pt idx="386">
                  <c:v>1.2071056607846311</c:v>
                </c:pt>
                <c:pt idx="387">
                  <c:v>1.2114227510657818</c:v>
                </c:pt>
                <c:pt idx="388">
                  <c:v>1.2094834331660462</c:v>
                </c:pt>
                <c:pt idx="389">
                  <c:v>1.1952538988721602</c:v>
                </c:pt>
                <c:pt idx="390">
                  <c:v>1.1951864443365172</c:v>
                </c:pt>
                <c:pt idx="391">
                  <c:v>1.1608520856942421</c:v>
                </c:pt>
                <c:pt idx="392">
                  <c:v>1.1682585937078409</c:v>
                </c:pt>
                <c:pt idx="393">
                  <c:v>1.1892032270249853</c:v>
                </c:pt>
                <c:pt idx="394">
                  <c:v>1.1641674761210943</c:v>
                </c:pt>
                <c:pt idx="395">
                  <c:v>1.1695705844260968</c:v>
                </c:pt>
                <c:pt idx="396">
                  <c:v>1.1829535642976634</c:v>
                </c:pt>
                <c:pt idx="397">
                  <c:v>1.1488654147104851</c:v>
                </c:pt>
                <c:pt idx="398">
                  <c:v>1.1622517673088339</c:v>
                </c:pt>
                <c:pt idx="399">
                  <c:v>1.1597289676757865</c:v>
                </c:pt>
                <c:pt idx="400">
                  <c:v>1.1615266310506718</c:v>
                </c:pt>
                <c:pt idx="401">
                  <c:v>1.1628116399546706</c:v>
                </c:pt>
                <c:pt idx="402">
                  <c:v>1.1856989638983326</c:v>
                </c:pt>
                <c:pt idx="403">
                  <c:v>1.1944242080837515</c:v>
                </c:pt>
                <c:pt idx="404">
                  <c:v>1.2124446872807728</c:v>
                </c:pt>
                <c:pt idx="405">
                  <c:v>1.2153013868652529</c:v>
                </c:pt>
                <c:pt idx="406">
                  <c:v>1.2157162322594572</c:v>
                </c:pt>
                <c:pt idx="407">
                  <c:v>1.2158983595056931</c:v>
                </c:pt>
                <c:pt idx="408">
                  <c:v>1.2317973935567428</c:v>
                </c:pt>
                <c:pt idx="409">
                  <c:v>1.2445226917057903</c:v>
                </c:pt>
                <c:pt idx="410">
                  <c:v>1.2120770600615185</c:v>
                </c:pt>
                <c:pt idx="411">
                  <c:v>1.1964613350601694</c:v>
                </c:pt>
                <c:pt idx="412">
                  <c:v>1.207851033403486</c:v>
                </c:pt>
                <c:pt idx="413">
                  <c:v>1.1897462360369111</c:v>
                </c:pt>
                <c:pt idx="414">
                  <c:v>1.2112979601748421</c:v>
                </c:pt>
                <c:pt idx="415">
                  <c:v>1.200869488964438</c:v>
                </c:pt>
                <c:pt idx="416">
                  <c:v>1.1984613620419837</c:v>
                </c:pt>
                <c:pt idx="417">
                  <c:v>1.1817899735578221</c:v>
                </c:pt>
                <c:pt idx="418">
                  <c:v>1.2167550321083589</c:v>
                </c:pt>
                <c:pt idx="419">
                  <c:v>1.2184346500458691</c:v>
                </c:pt>
                <c:pt idx="420">
                  <c:v>1.2307316118935838</c:v>
                </c:pt>
                <c:pt idx="421">
                  <c:v>1.2301717392477469</c:v>
                </c:pt>
                <c:pt idx="422">
                  <c:v>1.1883060817009337</c:v>
                </c:pt>
                <c:pt idx="423">
                  <c:v>1.1217655550159191</c:v>
                </c:pt>
                <c:pt idx="424">
                  <c:v>1.1557660137067618</c:v>
                </c:pt>
                <c:pt idx="425">
                  <c:v>1.1607104311693919</c:v>
                </c:pt>
                <c:pt idx="426">
                  <c:v>1.1213473368949327</c:v>
                </c:pt>
                <c:pt idx="427">
                  <c:v>1.1536546867411364</c:v>
                </c:pt>
                <c:pt idx="428">
                  <c:v>1.1593411040958395</c:v>
                </c:pt>
                <c:pt idx="429">
                  <c:v>1.1123489018401598</c:v>
                </c:pt>
                <c:pt idx="430">
                  <c:v>1.1337421078193297</c:v>
                </c:pt>
                <c:pt idx="431">
                  <c:v>1.1494590146241432</c:v>
                </c:pt>
                <c:pt idx="432">
                  <c:v>1.1629161944849171</c:v>
                </c:pt>
                <c:pt idx="433">
                  <c:v>1.1784981922184448</c:v>
                </c:pt>
                <c:pt idx="434">
                  <c:v>1.1867883546489666</c:v>
                </c:pt>
                <c:pt idx="435">
                  <c:v>1.1975169985429821</c:v>
                </c:pt>
                <c:pt idx="436">
                  <c:v>1.2025524796287301</c:v>
                </c:pt>
                <c:pt idx="437">
                  <c:v>1.205331606497221</c:v>
                </c:pt>
                <c:pt idx="438">
                  <c:v>1.1856348820894718</c:v>
                </c:pt>
                <c:pt idx="439">
                  <c:v>1.1647846851222277</c:v>
                </c:pt>
                <c:pt idx="440">
                  <c:v>1.1626801036101668</c:v>
                </c:pt>
                <c:pt idx="441">
                  <c:v>1.1821474825967297</c:v>
                </c:pt>
                <c:pt idx="442">
                  <c:v>1.1607576493443419</c:v>
                </c:pt>
                <c:pt idx="443">
                  <c:v>1.1452431061464572</c:v>
                </c:pt>
                <c:pt idx="444">
                  <c:v>1.1630814580972424</c:v>
                </c:pt>
                <c:pt idx="445">
                  <c:v>1.1651219578004424</c:v>
                </c:pt>
                <c:pt idx="446">
                  <c:v>1.1669735848038423</c:v>
                </c:pt>
                <c:pt idx="447">
                  <c:v>1.1896214451459715</c:v>
                </c:pt>
                <c:pt idx="448">
                  <c:v>1.1745183746155092</c:v>
                </c:pt>
                <c:pt idx="449">
                  <c:v>1.1555906319140901</c:v>
                </c:pt>
                <c:pt idx="450">
                  <c:v>1.1376005072581081</c:v>
                </c:pt>
                <c:pt idx="451">
                  <c:v>1.1559818682208192</c:v>
                </c:pt>
                <c:pt idx="452">
                  <c:v>1.144332469915277</c:v>
                </c:pt>
                <c:pt idx="453">
                  <c:v>1.1107603475257677</c:v>
                </c:pt>
                <c:pt idx="454">
                  <c:v>1.1280523177378448</c:v>
                </c:pt>
                <c:pt idx="455">
                  <c:v>1.1571184771464034</c:v>
                </c:pt>
                <c:pt idx="456">
                  <c:v>1.1464572877880308</c:v>
                </c:pt>
                <c:pt idx="457">
                  <c:v>1.1283491176946738</c:v>
                </c:pt>
                <c:pt idx="458">
                  <c:v>1.0773872160164049</c:v>
                </c:pt>
                <c:pt idx="459">
                  <c:v>1.0829218606659112</c:v>
                </c:pt>
                <c:pt idx="460">
                  <c:v>1.057312746209055</c:v>
                </c:pt>
                <c:pt idx="461">
                  <c:v>1.0841326695807025</c:v>
                </c:pt>
                <c:pt idx="462">
                  <c:v>1.0892187415681829</c:v>
                </c:pt>
                <c:pt idx="463">
                  <c:v>1.0727766985052074</c:v>
                </c:pt>
                <c:pt idx="464">
                  <c:v>1.0580952188225137</c:v>
                </c:pt>
                <c:pt idx="465">
                  <c:v>1.0702100534239922</c:v>
                </c:pt>
                <c:pt idx="466">
                  <c:v>1.0315586045005667</c:v>
                </c:pt>
                <c:pt idx="467">
                  <c:v>1.0430494846473477</c:v>
                </c:pt>
                <c:pt idx="468">
                  <c:v>1.0120237709783606</c:v>
                </c:pt>
                <c:pt idx="469">
                  <c:v>1.0072749716690952</c:v>
                </c:pt>
                <c:pt idx="470">
                  <c:v>1.0259328962279424</c:v>
                </c:pt>
                <c:pt idx="471">
                  <c:v>1.0354406130268199</c:v>
                </c:pt>
                <c:pt idx="472">
                  <c:v>1.0573228643894015</c:v>
                </c:pt>
                <c:pt idx="473">
                  <c:v>1.0668744266364469</c:v>
                </c:pt>
                <c:pt idx="474">
                  <c:v>1.0695321353407803</c:v>
                </c:pt>
                <c:pt idx="475">
                  <c:v>1.057558955264152</c:v>
                </c:pt>
                <c:pt idx="476">
                  <c:v>1.0931850682639901</c:v>
                </c:pt>
                <c:pt idx="477">
                  <c:v>1.1030671577356861</c:v>
                </c:pt>
                <c:pt idx="478">
                  <c:v>1.1170808375155146</c:v>
                </c:pt>
                <c:pt idx="479">
                  <c:v>1.1074685661863903</c:v>
                </c:pt>
                <c:pt idx="480">
                  <c:v>1.1420322702498515</c:v>
                </c:pt>
                <c:pt idx="481">
                  <c:v>1.1149324105552858</c:v>
                </c:pt>
                <c:pt idx="482">
                  <c:v>1.1304402082996061</c:v>
                </c:pt>
                <c:pt idx="483">
                  <c:v>1.1627374399654633</c:v>
                </c:pt>
                <c:pt idx="484">
                  <c:v>1.1628588581296206</c:v>
                </c:pt>
                <c:pt idx="485">
                  <c:v>1.1801946737898656</c:v>
                </c:pt>
                <c:pt idx="486">
                  <c:v>1.1805926555501591</c:v>
                </c:pt>
                <c:pt idx="487">
                  <c:v>1.181290809994064</c:v>
                </c:pt>
                <c:pt idx="488">
                  <c:v>1.1335903351141332</c:v>
                </c:pt>
                <c:pt idx="489">
                  <c:v>1.1553747774000322</c:v>
                </c:pt>
                <c:pt idx="490">
                  <c:v>1.1300995628946089</c:v>
                </c:pt>
                <c:pt idx="491">
                  <c:v>1.1063994117964491</c:v>
                </c:pt>
                <c:pt idx="492">
                  <c:v>1.139435270627597</c:v>
                </c:pt>
                <c:pt idx="493">
                  <c:v>1.139708461496951</c:v>
                </c:pt>
                <c:pt idx="494">
                  <c:v>1.1692973935567428</c:v>
                </c:pt>
                <c:pt idx="495">
                  <c:v>1.1715807295882574</c:v>
                </c:pt>
                <c:pt idx="496">
                  <c:v>1.1898912632885434</c:v>
                </c:pt>
                <c:pt idx="497">
                  <c:v>1.1796550375047219</c:v>
                </c:pt>
                <c:pt idx="498">
                  <c:v>1.1737696292698721</c:v>
                </c:pt>
                <c:pt idx="499">
                  <c:v>1.1887074361880092</c:v>
                </c:pt>
                <c:pt idx="500">
                  <c:v>1.1386730343748312</c:v>
                </c:pt>
                <c:pt idx="501">
                  <c:v>1.1243794182720845</c:v>
                </c:pt>
                <c:pt idx="502">
                  <c:v>1.1228077275916033</c:v>
                </c:pt>
                <c:pt idx="503">
                  <c:v>1.1245514273379742</c:v>
                </c:pt>
                <c:pt idx="504">
                  <c:v>1.155752522799633</c:v>
                </c:pt>
                <c:pt idx="505">
                  <c:v>1.1788320921698776</c:v>
                </c:pt>
                <c:pt idx="506">
                  <c:v>1.1973551076574389</c:v>
                </c:pt>
                <c:pt idx="507">
                  <c:v>1.2045322702498515</c:v>
                </c:pt>
                <c:pt idx="508">
                  <c:v>1.19592844422859</c:v>
                </c:pt>
                <c:pt idx="509">
                  <c:v>1.1624811127300199</c:v>
                </c:pt>
                <c:pt idx="510">
                  <c:v>1.2040364794128757</c:v>
                </c:pt>
                <c:pt idx="511">
                  <c:v>1.2072371971291349</c:v>
                </c:pt>
                <c:pt idx="512">
                  <c:v>1.2225055312719226</c:v>
                </c:pt>
                <c:pt idx="513">
                  <c:v>1.2221884949544006</c:v>
                </c:pt>
                <c:pt idx="514">
                  <c:v>1.2477908639576925</c:v>
                </c:pt>
                <c:pt idx="515">
                  <c:v>1.2518246451891426</c:v>
                </c:pt>
                <c:pt idx="516">
                  <c:v>1.2436322918353031</c:v>
                </c:pt>
                <c:pt idx="517">
                  <c:v>1.2491163455830769</c:v>
                </c:pt>
                <c:pt idx="518">
                  <c:v>1.2453254006799417</c:v>
                </c:pt>
                <c:pt idx="519">
                  <c:v>1.2583879715072042</c:v>
                </c:pt>
                <c:pt idx="520">
                  <c:v>1.2737305056391992</c:v>
                </c:pt>
                <c:pt idx="521">
                  <c:v>1.2756563326318062</c:v>
                </c:pt>
                <c:pt idx="522">
                  <c:v>1.2726546057956936</c:v>
                </c:pt>
                <c:pt idx="523">
                  <c:v>1.2781015595488641</c:v>
                </c:pt>
                <c:pt idx="524">
                  <c:v>1.2844220495386109</c:v>
                </c:pt>
                <c:pt idx="525">
                  <c:v>1.2746074146025579</c:v>
                </c:pt>
                <c:pt idx="526">
                  <c:v>1.2279794668393502</c:v>
                </c:pt>
                <c:pt idx="527">
                  <c:v>1.2811268954724515</c:v>
                </c:pt>
                <c:pt idx="528">
                  <c:v>1.2954542388430197</c:v>
                </c:pt>
                <c:pt idx="529">
                  <c:v>1.2817643408342778</c:v>
                </c:pt>
                <c:pt idx="530">
                  <c:v>1.1229460093896713</c:v>
                </c:pt>
                <c:pt idx="531">
                  <c:v>1.0900889050779774</c:v>
                </c:pt>
                <c:pt idx="532">
                  <c:v>0.87219389131725211</c:v>
                </c:pt>
                <c:pt idx="533">
                  <c:v>0.8595394204306297</c:v>
                </c:pt>
                <c:pt idx="534">
                  <c:v>0.92029909341104099</c:v>
                </c:pt>
                <c:pt idx="535">
                  <c:v>0.89815376935945168</c:v>
                </c:pt>
                <c:pt idx="536">
                  <c:v>0.97565903081323191</c:v>
                </c:pt>
                <c:pt idx="537">
                  <c:v>0.97414467648804715</c:v>
                </c:pt>
                <c:pt idx="538">
                  <c:v>0.94742256219308185</c:v>
                </c:pt>
                <c:pt idx="539">
                  <c:v>0.98751079272570286</c:v>
                </c:pt>
                <c:pt idx="540">
                  <c:v>0.98082604824348396</c:v>
                </c:pt>
                <c:pt idx="541">
                  <c:v>0.93448140952997671</c:v>
                </c:pt>
                <c:pt idx="542">
                  <c:v>0.97993564837299652</c:v>
                </c:pt>
                <c:pt idx="543">
                  <c:v>1.0287491230910366</c:v>
                </c:pt>
                <c:pt idx="544">
                  <c:v>1.1414285521558469</c:v>
                </c:pt>
                <c:pt idx="545">
                  <c:v>1.0636703361934055</c:v>
                </c:pt>
                <c:pt idx="546">
                  <c:v>1.1025781123522744</c:v>
                </c:pt>
                <c:pt idx="547">
                  <c:v>1.0806789973557822</c:v>
                </c:pt>
                <c:pt idx="548">
                  <c:v>1.1111043656575468</c:v>
                </c:pt>
                <c:pt idx="549">
                  <c:v>1.111724947385462</c:v>
                </c:pt>
                <c:pt idx="550">
                  <c:v>1.1351249258000107</c:v>
                </c:pt>
                <c:pt idx="551">
                  <c:v>1.1166727375748744</c:v>
                </c:pt>
                <c:pt idx="552">
                  <c:v>1.070611407911068</c:v>
                </c:pt>
                <c:pt idx="553">
                  <c:v>1.0970299767956397</c:v>
                </c:pt>
                <c:pt idx="554">
                  <c:v>1.1147030651340997</c:v>
                </c:pt>
                <c:pt idx="555">
                  <c:v>1.0994246128109655</c:v>
                </c:pt>
                <c:pt idx="556">
                  <c:v>1.1182410555285738</c:v>
                </c:pt>
                <c:pt idx="557">
                  <c:v>1.099707921860666</c:v>
                </c:pt>
                <c:pt idx="558">
                  <c:v>1.1183321191516917</c:v>
                </c:pt>
                <c:pt idx="559">
                  <c:v>1.1074989207274297</c:v>
                </c:pt>
                <c:pt idx="560">
                  <c:v>1.0580446279207814</c:v>
                </c:pt>
                <c:pt idx="561">
                  <c:v>1.0762135070962171</c:v>
                </c:pt>
                <c:pt idx="562">
                  <c:v>1.1039339485186983</c:v>
                </c:pt>
                <c:pt idx="563">
                  <c:v>1.0946083589660569</c:v>
                </c:pt>
                <c:pt idx="564">
                  <c:v>1.0788880794344613</c:v>
                </c:pt>
                <c:pt idx="565">
                  <c:v>0.99772340942204951</c:v>
                </c:pt>
                <c:pt idx="566">
                  <c:v>1.0806385246343964</c:v>
                </c:pt>
                <c:pt idx="567">
                  <c:v>1.1575434407209542</c:v>
                </c:pt>
                <c:pt idx="568">
                  <c:v>1.1695267389779289</c:v>
                </c:pt>
                <c:pt idx="569">
                  <c:v>1.1898271814796826</c:v>
                </c:pt>
                <c:pt idx="570">
                  <c:v>1.1936990718255895</c:v>
                </c:pt>
                <c:pt idx="571">
                  <c:v>1.1756785926285684</c:v>
                </c:pt>
                <c:pt idx="572">
                  <c:v>1.1958812260536398</c:v>
                </c:pt>
                <c:pt idx="573">
                  <c:v>1.1950515352652313</c:v>
                </c:pt>
                <c:pt idx="574">
                  <c:v>1.1982084075333226</c:v>
                </c:pt>
                <c:pt idx="575">
                  <c:v>1.2293757757271599</c:v>
                </c:pt>
                <c:pt idx="576">
                  <c:v>1.2140298688683828</c:v>
                </c:pt>
                <c:pt idx="577">
                  <c:v>1.2149944687280771</c:v>
                </c:pt>
                <c:pt idx="578">
                  <c:v>1.1741945928444228</c:v>
                </c:pt>
                <c:pt idx="579">
                  <c:v>1.2329913388376235</c:v>
                </c:pt>
                <c:pt idx="580">
                  <c:v>1.2464282823377044</c:v>
                </c:pt>
                <c:pt idx="581">
                  <c:v>1.2524485996438401</c:v>
                </c:pt>
                <c:pt idx="582">
                  <c:v>1.2264718579677298</c:v>
                </c:pt>
                <c:pt idx="583">
                  <c:v>1.2376355836166424</c:v>
                </c:pt>
                <c:pt idx="584">
                  <c:v>1.2928875937618045</c:v>
                </c:pt>
                <c:pt idx="585">
                  <c:v>1.294122011764071</c:v>
                </c:pt>
                <c:pt idx="586">
                  <c:v>1.3041255193999244</c:v>
                </c:pt>
                <c:pt idx="587">
                  <c:v>1.3308644973288004</c:v>
                </c:pt>
                <c:pt idx="588">
                  <c:v>1.3419540229885059</c:v>
                </c:pt>
                <c:pt idx="589">
                  <c:v>1.3602173385138416</c:v>
                </c:pt>
                <c:pt idx="590">
                  <c:v>1.3535899303869192</c:v>
                </c:pt>
                <c:pt idx="591">
                  <c:v>1.3405712050078247</c:v>
                </c:pt>
                <c:pt idx="592">
                  <c:v>1.3606423020883924</c:v>
                </c:pt>
                <c:pt idx="593">
                  <c:v>1.3549727483676002</c:v>
                </c:pt>
                <c:pt idx="594">
                  <c:v>1.3577856025039123</c:v>
                </c:pt>
                <c:pt idx="595">
                  <c:v>1.3728886730343748</c:v>
                </c:pt>
                <c:pt idx="596">
                  <c:v>1.379236144838379</c:v>
                </c:pt>
                <c:pt idx="597">
                  <c:v>1.3918231611893583</c:v>
                </c:pt>
                <c:pt idx="598">
                  <c:v>1.3772091360423073</c:v>
                </c:pt>
                <c:pt idx="599">
                  <c:v>1.3897860342129404</c:v>
                </c:pt>
                <c:pt idx="600">
                  <c:v>1.3775261723598295</c:v>
                </c:pt>
                <c:pt idx="601">
                  <c:v>1.372055609519184</c:v>
                </c:pt>
                <c:pt idx="602">
                  <c:v>1.3611549565592791</c:v>
                </c:pt>
                <c:pt idx="603">
                  <c:v>1.3858871620527766</c:v>
                </c:pt>
                <c:pt idx="604">
                  <c:v>1.3792091630241219</c:v>
                </c:pt>
                <c:pt idx="605">
                  <c:v>1.4079582861151583</c:v>
                </c:pt>
                <c:pt idx="606">
                  <c:v>1.4265622470454913</c:v>
                </c:pt>
                <c:pt idx="607">
                  <c:v>1.398838432896228</c:v>
                </c:pt>
                <c:pt idx="608">
                  <c:v>1.4135030489450109</c:v>
                </c:pt>
                <c:pt idx="609">
                  <c:v>1.4172130484053747</c:v>
                </c:pt>
                <c:pt idx="610">
                  <c:v>1.4065451135934381</c:v>
                </c:pt>
                <c:pt idx="611">
                  <c:v>1.3932194700771681</c:v>
                </c:pt>
                <c:pt idx="612">
                  <c:v>1.4025518050833738</c:v>
                </c:pt>
                <c:pt idx="613">
                  <c:v>1.3609964384005182</c:v>
                </c:pt>
                <c:pt idx="614">
                  <c:v>1.3738094274459014</c:v>
                </c:pt>
                <c:pt idx="615">
                  <c:v>1.4107812584318169</c:v>
                </c:pt>
                <c:pt idx="616">
                  <c:v>1.4127711672332848</c:v>
                </c:pt>
                <c:pt idx="617">
                  <c:v>1.4335977551130539</c:v>
                </c:pt>
                <c:pt idx="618">
                  <c:v>1.4715341859586639</c:v>
                </c:pt>
                <c:pt idx="619">
                  <c:v>1.4739929037828503</c:v>
                </c:pt>
                <c:pt idx="620">
                  <c:v>1.4693183044627922</c:v>
                </c:pt>
                <c:pt idx="621">
                  <c:v>1.3793035993740219</c:v>
                </c:pt>
                <c:pt idx="622">
                  <c:v>1.3761231180184557</c:v>
                </c:pt>
                <c:pt idx="623">
                  <c:v>1.4162619394528086</c:v>
                </c:pt>
                <c:pt idx="624">
                  <c:v>1.4035096594895042</c:v>
                </c:pt>
                <c:pt idx="625">
                  <c:v>1.4350986185311101</c:v>
                </c:pt>
                <c:pt idx="626">
                  <c:v>1.4497362527656359</c:v>
                </c:pt>
                <c:pt idx="627">
                  <c:v>1.4522388160379904</c:v>
                </c:pt>
                <c:pt idx="628">
                  <c:v>1.4408929631428415</c:v>
                </c:pt>
                <c:pt idx="629">
                  <c:v>1.4265150288705413</c:v>
                </c:pt>
                <c:pt idx="630">
                  <c:v>1.3952667152339322</c:v>
                </c:pt>
                <c:pt idx="631">
                  <c:v>1.3782917813393771</c:v>
                </c:pt>
                <c:pt idx="632">
                  <c:v>1.4014455506988288</c:v>
                </c:pt>
                <c:pt idx="633">
                  <c:v>1.3741433273973342</c:v>
                </c:pt>
                <c:pt idx="634">
                  <c:v>1.3392052506610546</c:v>
                </c:pt>
                <c:pt idx="635">
                  <c:v>1.1993450164589068</c:v>
                </c:pt>
                <c:pt idx="636">
                  <c:v>1.243450164589067</c:v>
                </c:pt>
                <c:pt idx="637">
                  <c:v>1.3161863903728888</c:v>
                </c:pt>
                <c:pt idx="638">
                  <c:v>1.3044796557120502</c:v>
                </c:pt>
                <c:pt idx="639">
                  <c:v>1.3216636986670982</c:v>
                </c:pt>
              </c:numCache>
            </c:numRef>
          </c:val>
          <c:smooth val="0"/>
          <c:extLst xmlns:c16r2="http://schemas.microsoft.com/office/drawing/2015/06/chart">
            <c:ext xmlns:c16="http://schemas.microsoft.com/office/drawing/2014/chart" uri="{C3380CC4-5D6E-409C-BE32-E72D297353CC}">
              <c16:uniqueId val="{00000001-E880-4D3D-8035-5D6CA951EFCC}"/>
            </c:ext>
          </c:extLst>
        </c:ser>
        <c:ser>
          <c:idx val="0"/>
          <c:order val="2"/>
          <c:tx>
            <c:strRef>
              <c:f>'Graf 6'!$K$3</c:f>
              <c:strCache>
                <c:ptCount val="1"/>
                <c:pt idx="0">
                  <c:v>DAX</c:v>
                </c:pt>
              </c:strCache>
            </c:strRef>
          </c:tx>
          <c:spPr>
            <a:ln w="19050">
              <a:solidFill>
                <a:sysClr val="window" lastClr="FFFFFF">
                  <a:lumMod val="50000"/>
                </a:sysClr>
              </a:solidFill>
              <a:prstDash val="solid"/>
            </a:ln>
          </c:spPr>
          <c:marker>
            <c:symbol val="none"/>
          </c:marker>
          <c:dPt>
            <c:idx val="2"/>
            <c:bubble3D val="0"/>
            <c:extLst xmlns:c16r2="http://schemas.microsoft.com/office/drawing/2015/06/chart">
              <c:ext xmlns:c16="http://schemas.microsoft.com/office/drawing/2014/chart" uri="{C3380CC4-5D6E-409C-BE32-E72D297353CC}">
                <c16:uniqueId val="{00000002-E880-4D3D-8035-5D6CA951EFCC}"/>
              </c:ext>
            </c:extLst>
          </c:dPt>
          <c:cat>
            <c:numRef>
              <c:f>'Graf 6'!$H$4:$H$643</c:f>
              <c:numCache>
                <c:formatCode>m/d/yyyy</c:formatCode>
                <c:ptCount val="640"/>
                <c:pt idx="0">
                  <c:v>40179</c:v>
                </c:pt>
                <c:pt idx="1">
                  <c:v>40186</c:v>
                </c:pt>
                <c:pt idx="2">
                  <c:v>40193</c:v>
                </c:pt>
                <c:pt idx="3">
                  <c:v>40200</c:v>
                </c:pt>
                <c:pt idx="4">
                  <c:v>40207</c:v>
                </c:pt>
                <c:pt idx="5">
                  <c:v>40214</c:v>
                </c:pt>
                <c:pt idx="6">
                  <c:v>40221</c:v>
                </c:pt>
                <c:pt idx="7">
                  <c:v>40228</c:v>
                </c:pt>
                <c:pt idx="8">
                  <c:v>40235</c:v>
                </c:pt>
                <c:pt idx="9">
                  <c:v>40242</c:v>
                </c:pt>
                <c:pt idx="10">
                  <c:v>40249</c:v>
                </c:pt>
                <c:pt idx="11">
                  <c:v>40256</c:v>
                </c:pt>
                <c:pt idx="12">
                  <c:v>40263</c:v>
                </c:pt>
                <c:pt idx="13">
                  <c:v>40270</c:v>
                </c:pt>
                <c:pt idx="14">
                  <c:v>40277</c:v>
                </c:pt>
                <c:pt idx="15">
                  <c:v>40284</c:v>
                </c:pt>
                <c:pt idx="16">
                  <c:v>40291</c:v>
                </c:pt>
                <c:pt idx="17">
                  <c:v>40298</c:v>
                </c:pt>
                <c:pt idx="18">
                  <c:v>40305</c:v>
                </c:pt>
                <c:pt idx="19">
                  <c:v>40312</c:v>
                </c:pt>
                <c:pt idx="20">
                  <c:v>40319</c:v>
                </c:pt>
                <c:pt idx="21">
                  <c:v>40326</c:v>
                </c:pt>
                <c:pt idx="22">
                  <c:v>40333</c:v>
                </c:pt>
                <c:pt idx="23">
                  <c:v>40340</c:v>
                </c:pt>
                <c:pt idx="24">
                  <c:v>40347</c:v>
                </c:pt>
                <c:pt idx="25">
                  <c:v>40354</c:v>
                </c:pt>
                <c:pt idx="26">
                  <c:v>40361</c:v>
                </c:pt>
                <c:pt idx="27">
                  <c:v>40368</c:v>
                </c:pt>
                <c:pt idx="28">
                  <c:v>40375</c:v>
                </c:pt>
                <c:pt idx="29">
                  <c:v>40382</c:v>
                </c:pt>
                <c:pt idx="30">
                  <c:v>40389</c:v>
                </c:pt>
                <c:pt idx="31">
                  <c:v>40396</c:v>
                </c:pt>
                <c:pt idx="32">
                  <c:v>40403</c:v>
                </c:pt>
                <c:pt idx="33">
                  <c:v>40410</c:v>
                </c:pt>
                <c:pt idx="34">
                  <c:v>40417</c:v>
                </c:pt>
                <c:pt idx="35">
                  <c:v>40424</c:v>
                </c:pt>
                <c:pt idx="36">
                  <c:v>40431</c:v>
                </c:pt>
                <c:pt idx="37">
                  <c:v>40438</c:v>
                </c:pt>
                <c:pt idx="38">
                  <c:v>40445</c:v>
                </c:pt>
                <c:pt idx="39">
                  <c:v>40452</c:v>
                </c:pt>
                <c:pt idx="40">
                  <c:v>40459</c:v>
                </c:pt>
                <c:pt idx="41">
                  <c:v>40466</c:v>
                </c:pt>
                <c:pt idx="42">
                  <c:v>40473</c:v>
                </c:pt>
                <c:pt idx="43">
                  <c:v>40480</c:v>
                </c:pt>
                <c:pt idx="44">
                  <c:v>40487</c:v>
                </c:pt>
                <c:pt idx="45">
                  <c:v>40494</c:v>
                </c:pt>
                <c:pt idx="46">
                  <c:v>40501</c:v>
                </c:pt>
                <c:pt idx="47">
                  <c:v>40508</c:v>
                </c:pt>
                <c:pt idx="48">
                  <c:v>40515</c:v>
                </c:pt>
                <c:pt idx="49">
                  <c:v>40522</c:v>
                </c:pt>
                <c:pt idx="50">
                  <c:v>40529</c:v>
                </c:pt>
                <c:pt idx="51">
                  <c:v>40536</c:v>
                </c:pt>
                <c:pt idx="52">
                  <c:v>40543</c:v>
                </c:pt>
                <c:pt idx="53">
                  <c:v>40550</c:v>
                </c:pt>
                <c:pt idx="54">
                  <c:v>40557</c:v>
                </c:pt>
                <c:pt idx="55">
                  <c:v>40564</c:v>
                </c:pt>
                <c:pt idx="56">
                  <c:v>40571</c:v>
                </c:pt>
                <c:pt idx="57">
                  <c:v>40578</c:v>
                </c:pt>
                <c:pt idx="58">
                  <c:v>40585</c:v>
                </c:pt>
                <c:pt idx="59">
                  <c:v>40592</c:v>
                </c:pt>
                <c:pt idx="60">
                  <c:v>40599</c:v>
                </c:pt>
                <c:pt idx="61">
                  <c:v>40606</c:v>
                </c:pt>
                <c:pt idx="62">
                  <c:v>40613</c:v>
                </c:pt>
                <c:pt idx="63">
                  <c:v>40620</c:v>
                </c:pt>
                <c:pt idx="64">
                  <c:v>40627</c:v>
                </c:pt>
                <c:pt idx="65">
                  <c:v>40634</c:v>
                </c:pt>
                <c:pt idx="66">
                  <c:v>40641</c:v>
                </c:pt>
                <c:pt idx="67">
                  <c:v>40648</c:v>
                </c:pt>
                <c:pt idx="68">
                  <c:v>40655</c:v>
                </c:pt>
                <c:pt idx="69">
                  <c:v>40662</c:v>
                </c:pt>
                <c:pt idx="70">
                  <c:v>40669</c:v>
                </c:pt>
                <c:pt idx="71">
                  <c:v>40676</c:v>
                </c:pt>
                <c:pt idx="72">
                  <c:v>40683</c:v>
                </c:pt>
                <c:pt idx="73">
                  <c:v>40690</c:v>
                </c:pt>
                <c:pt idx="74">
                  <c:v>40697</c:v>
                </c:pt>
                <c:pt idx="75">
                  <c:v>40704</c:v>
                </c:pt>
                <c:pt idx="76">
                  <c:v>40711</c:v>
                </c:pt>
                <c:pt idx="77">
                  <c:v>40718</c:v>
                </c:pt>
                <c:pt idx="78">
                  <c:v>40725</c:v>
                </c:pt>
                <c:pt idx="79">
                  <c:v>40732</c:v>
                </c:pt>
                <c:pt idx="80">
                  <c:v>40739</c:v>
                </c:pt>
                <c:pt idx="81">
                  <c:v>40746</c:v>
                </c:pt>
                <c:pt idx="82">
                  <c:v>40753</c:v>
                </c:pt>
                <c:pt idx="83">
                  <c:v>40760</c:v>
                </c:pt>
                <c:pt idx="84">
                  <c:v>40767</c:v>
                </c:pt>
                <c:pt idx="85">
                  <c:v>40774</c:v>
                </c:pt>
                <c:pt idx="86">
                  <c:v>40781</c:v>
                </c:pt>
                <c:pt idx="87">
                  <c:v>40788</c:v>
                </c:pt>
                <c:pt idx="88">
                  <c:v>40795</c:v>
                </c:pt>
                <c:pt idx="89">
                  <c:v>40802</c:v>
                </c:pt>
                <c:pt idx="90">
                  <c:v>40809</c:v>
                </c:pt>
                <c:pt idx="91">
                  <c:v>40816</c:v>
                </c:pt>
                <c:pt idx="92">
                  <c:v>40823</c:v>
                </c:pt>
                <c:pt idx="93">
                  <c:v>40830</c:v>
                </c:pt>
                <c:pt idx="94">
                  <c:v>40837</c:v>
                </c:pt>
                <c:pt idx="95">
                  <c:v>40844</c:v>
                </c:pt>
                <c:pt idx="96">
                  <c:v>40851</c:v>
                </c:pt>
                <c:pt idx="97">
                  <c:v>40858</c:v>
                </c:pt>
                <c:pt idx="98">
                  <c:v>40865</c:v>
                </c:pt>
                <c:pt idx="99">
                  <c:v>40872</c:v>
                </c:pt>
                <c:pt idx="100">
                  <c:v>40879</c:v>
                </c:pt>
                <c:pt idx="101">
                  <c:v>40886</c:v>
                </c:pt>
                <c:pt idx="102">
                  <c:v>40893</c:v>
                </c:pt>
                <c:pt idx="103">
                  <c:v>40900</c:v>
                </c:pt>
                <c:pt idx="104">
                  <c:v>40907</c:v>
                </c:pt>
                <c:pt idx="105">
                  <c:v>40914</c:v>
                </c:pt>
                <c:pt idx="106">
                  <c:v>40921</c:v>
                </c:pt>
                <c:pt idx="107">
                  <c:v>40928</c:v>
                </c:pt>
                <c:pt idx="108">
                  <c:v>40935</c:v>
                </c:pt>
                <c:pt idx="109">
                  <c:v>40942</c:v>
                </c:pt>
                <c:pt idx="110">
                  <c:v>40949</c:v>
                </c:pt>
                <c:pt idx="111">
                  <c:v>40956</c:v>
                </c:pt>
                <c:pt idx="112">
                  <c:v>40963</c:v>
                </c:pt>
                <c:pt idx="113">
                  <c:v>40970</c:v>
                </c:pt>
                <c:pt idx="114">
                  <c:v>40977</c:v>
                </c:pt>
                <c:pt idx="115">
                  <c:v>40984</c:v>
                </c:pt>
                <c:pt idx="116">
                  <c:v>40991</c:v>
                </c:pt>
                <c:pt idx="117">
                  <c:v>40998</c:v>
                </c:pt>
                <c:pt idx="118">
                  <c:v>41005</c:v>
                </c:pt>
                <c:pt idx="119">
                  <c:v>41012</c:v>
                </c:pt>
                <c:pt idx="120">
                  <c:v>41019</c:v>
                </c:pt>
                <c:pt idx="121">
                  <c:v>41026</c:v>
                </c:pt>
                <c:pt idx="122">
                  <c:v>41033</c:v>
                </c:pt>
                <c:pt idx="123">
                  <c:v>41040</c:v>
                </c:pt>
                <c:pt idx="124">
                  <c:v>41047</c:v>
                </c:pt>
                <c:pt idx="125">
                  <c:v>41054</c:v>
                </c:pt>
                <c:pt idx="126">
                  <c:v>41061</c:v>
                </c:pt>
                <c:pt idx="127">
                  <c:v>41068</c:v>
                </c:pt>
                <c:pt idx="128">
                  <c:v>41075</c:v>
                </c:pt>
                <c:pt idx="129">
                  <c:v>41082</c:v>
                </c:pt>
                <c:pt idx="130">
                  <c:v>41089</c:v>
                </c:pt>
                <c:pt idx="131">
                  <c:v>41096</c:v>
                </c:pt>
                <c:pt idx="132">
                  <c:v>41103</c:v>
                </c:pt>
                <c:pt idx="133">
                  <c:v>41110</c:v>
                </c:pt>
                <c:pt idx="134">
                  <c:v>41117</c:v>
                </c:pt>
                <c:pt idx="135">
                  <c:v>41124</c:v>
                </c:pt>
                <c:pt idx="136">
                  <c:v>41131</c:v>
                </c:pt>
                <c:pt idx="137">
                  <c:v>41138</c:v>
                </c:pt>
                <c:pt idx="138">
                  <c:v>41145</c:v>
                </c:pt>
                <c:pt idx="139">
                  <c:v>41152</c:v>
                </c:pt>
                <c:pt idx="140">
                  <c:v>41159</c:v>
                </c:pt>
                <c:pt idx="141">
                  <c:v>41166</c:v>
                </c:pt>
                <c:pt idx="142">
                  <c:v>41173</c:v>
                </c:pt>
                <c:pt idx="143">
                  <c:v>41180</c:v>
                </c:pt>
                <c:pt idx="144">
                  <c:v>41187</c:v>
                </c:pt>
                <c:pt idx="145">
                  <c:v>41194</c:v>
                </c:pt>
                <c:pt idx="146">
                  <c:v>41201</c:v>
                </c:pt>
                <c:pt idx="147">
                  <c:v>41208</c:v>
                </c:pt>
                <c:pt idx="148">
                  <c:v>41215</c:v>
                </c:pt>
                <c:pt idx="149">
                  <c:v>41222</c:v>
                </c:pt>
                <c:pt idx="150">
                  <c:v>41229</c:v>
                </c:pt>
                <c:pt idx="151">
                  <c:v>41236</c:v>
                </c:pt>
                <c:pt idx="152">
                  <c:v>41243</c:v>
                </c:pt>
                <c:pt idx="153">
                  <c:v>41250</c:v>
                </c:pt>
                <c:pt idx="154">
                  <c:v>41257</c:v>
                </c:pt>
                <c:pt idx="155">
                  <c:v>41264</c:v>
                </c:pt>
                <c:pt idx="156">
                  <c:v>41271</c:v>
                </c:pt>
                <c:pt idx="157">
                  <c:v>41278</c:v>
                </c:pt>
                <c:pt idx="158">
                  <c:v>41285</c:v>
                </c:pt>
                <c:pt idx="159">
                  <c:v>41292</c:v>
                </c:pt>
                <c:pt idx="160">
                  <c:v>41299</c:v>
                </c:pt>
                <c:pt idx="161">
                  <c:v>41306</c:v>
                </c:pt>
                <c:pt idx="162">
                  <c:v>41313</c:v>
                </c:pt>
                <c:pt idx="163">
                  <c:v>41320</c:v>
                </c:pt>
                <c:pt idx="164">
                  <c:v>41327</c:v>
                </c:pt>
                <c:pt idx="165">
                  <c:v>41334</c:v>
                </c:pt>
                <c:pt idx="166">
                  <c:v>41341</c:v>
                </c:pt>
                <c:pt idx="167">
                  <c:v>41348</c:v>
                </c:pt>
                <c:pt idx="168">
                  <c:v>41355</c:v>
                </c:pt>
                <c:pt idx="169">
                  <c:v>41362</c:v>
                </c:pt>
                <c:pt idx="170">
                  <c:v>41369</c:v>
                </c:pt>
                <c:pt idx="171">
                  <c:v>41376</c:v>
                </c:pt>
                <c:pt idx="172">
                  <c:v>41383</c:v>
                </c:pt>
                <c:pt idx="173">
                  <c:v>41390</c:v>
                </c:pt>
                <c:pt idx="174">
                  <c:v>41397</c:v>
                </c:pt>
                <c:pt idx="175">
                  <c:v>41404</c:v>
                </c:pt>
                <c:pt idx="176">
                  <c:v>41411</c:v>
                </c:pt>
                <c:pt idx="177">
                  <c:v>41418</c:v>
                </c:pt>
                <c:pt idx="178">
                  <c:v>41425</c:v>
                </c:pt>
                <c:pt idx="179">
                  <c:v>41432</c:v>
                </c:pt>
                <c:pt idx="180">
                  <c:v>41439</c:v>
                </c:pt>
                <c:pt idx="181">
                  <c:v>41446</c:v>
                </c:pt>
                <c:pt idx="182">
                  <c:v>41453</c:v>
                </c:pt>
                <c:pt idx="183">
                  <c:v>41460</c:v>
                </c:pt>
                <c:pt idx="184">
                  <c:v>41467</c:v>
                </c:pt>
                <c:pt idx="185">
                  <c:v>41474</c:v>
                </c:pt>
                <c:pt idx="186">
                  <c:v>41481</c:v>
                </c:pt>
                <c:pt idx="187">
                  <c:v>41488</c:v>
                </c:pt>
                <c:pt idx="188">
                  <c:v>41495</c:v>
                </c:pt>
                <c:pt idx="189">
                  <c:v>41502</c:v>
                </c:pt>
                <c:pt idx="190">
                  <c:v>41509</c:v>
                </c:pt>
                <c:pt idx="191">
                  <c:v>41516</c:v>
                </c:pt>
                <c:pt idx="192">
                  <c:v>41523</c:v>
                </c:pt>
                <c:pt idx="193">
                  <c:v>41530</c:v>
                </c:pt>
                <c:pt idx="194">
                  <c:v>41537</c:v>
                </c:pt>
                <c:pt idx="195">
                  <c:v>41544</c:v>
                </c:pt>
                <c:pt idx="196">
                  <c:v>41551</c:v>
                </c:pt>
                <c:pt idx="197">
                  <c:v>41558</c:v>
                </c:pt>
                <c:pt idx="198">
                  <c:v>41565</c:v>
                </c:pt>
                <c:pt idx="199">
                  <c:v>41572</c:v>
                </c:pt>
                <c:pt idx="200">
                  <c:v>41579</c:v>
                </c:pt>
                <c:pt idx="201">
                  <c:v>41586</c:v>
                </c:pt>
                <c:pt idx="202">
                  <c:v>41593</c:v>
                </c:pt>
                <c:pt idx="203">
                  <c:v>41600</c:v>
                </c:pt>
                <c:pt idx="204">
                  <c:v>41607</c:v>
                </c:pt>
                <c:pt idx="205">
                  <c:v>41614</c:v>
                </c:pt>
                <c:pt idx="206">
                  <c:v>41621</c:v>
                </c:pt>
                <c:pt idx="207">
                  <c:v>41628</c:v>
                </c:pt>
                <c:pt idx="208">
                  <c:v>41635</c:v>
                </c:pt>
                <c:pt idx="209">
                  <c:v>41642</c:v>
                </c:pt>
                <c:pt idx="210">
                  <c:v>41649</c:v>
                </c:pt>
                <c:pt idx="211">
                  <c:v>41656</c:v>
                </c:pt>
                <c:pt idx="212">
                  <c:v>41663</c:v>
                </c:pt>
                <c:pt idx="213">
                  <c:v>41670</c:v>
                </c:pt>
                <c:pt idx="214">
                  <c:v>41677</c:v>
                </c:pt>
                <c:pt idx="215">
                  <c:v>41684</c:v>
                </c:pt>
                <c:pt idx="216">
                  <c:v>41691</c:v>
                </c:pt>
                <c:pt idx="217">
                  <c:v>41698</c:v>
                </c:pt>
                <c:pt idx="218">
                  <c:v>41705</c:v>
                </c:pt>
                <c:pt idx="219">
                  <c:v>41712</c:v>
                </c:pt>
                <c:pt idx="220">
                  <c:v>41719</c:v>
                </c:pt>
                <c:pt idx="221">
                  <c:v>41726</c:v>
                </c:pt>
                <c:pt idx="222">
                  <c:v>41733</c:v>
                </c:pt>
                <c:pt idx="223">
                  <c:v>41740</c:v>
                </c:pt>
                <c:pt idx="224">
                  <c:v>41747</c:v>
                </c:pt>
                <c:pt idx="225">
                  <c:v>41754</c:v>
                </c:pt>
                <c:pt idx="226">
                  <c:v>41761</c:v>
                </c:pt>
                <c:pt idx="227">
                  <c:v>41768</c:v>
                </c:pt>
                <c:pt idx="228">
                  <c:v>41775</c:v>
                </c:pt>
                <c:pt idx="229">
                  <c:v>41782</c:v>
                </c:pt>
                <c:pt idx="230">
                  <c:v>41789</c:v>
                </c:pt>
                <c:pt idx="231">
                  <c:v>41796</c:v>
                </c:pt>
                <c:pt idx="232">
                  <c:v>41803</c:v>
                </c:pt>
                <c:pt idx="233">
                  <c:v>41810</c:v>
                </c:pt>
                <c:pt idx="234">
                  <c:v>41817</c:v>
                </c:pt>
                <c:pt idx="235">
                  <c:v>41824</c:v>
                </c:pt>
                <c:pt idx="236">
                  <c:v>41831</c:v>
                </c:pt>
                <c:pt idx="237">
                  <c:v>41838</c:v>
                </c:pt>
                <c:pt idx="238">
                  <c:v>41845</c:v>
                </c:pt>
                <c:pt idx="239">
                  <c:v>41852</c:v>
                </c:pt>
                <c:pt idx="240">
                  <c:v>41859</c:v>
                </c:pt>
                <c:pt idx="241">
                  <c:v>41866</c:v>
                </c:pt>
                <c:pt idx="242">
                  <c:v>41873</c:v>
                </c:pt>
                <c:pt idx="243">
                  <c:v>41880</c:v>
                </c:pt>
                <c:pt idx="244">
                  <c:v>41887</c:v>
                </c:pt>
                <c:pt idx="245">
                  <c:v>41894</c:v>
                </c:pt>
                <c:pt idx="246">
                  <c:v>41901</c:v>
                </c:pt>
                <c:pt idx="247">
                  <c:v>41908</c:v>
                </c:pt>
                <c:pt idx="248">
                  <c:v>41915</c:v>
                </c:pt>
                <c:pt idx="249">
                  <c:v>41922</c:v>
                </c:pt>
                <c:pt idx="250">
                  <c:v>41929</c:v>
                </c:pt>
                <c:pt idx="251">
                  <c:v>41936</c:v>
                </c:pt>
                <c:pt idx="252">
                  <c:v>41943</c:v>
                </c:pt>
                <c:pt idx="253">
                  <c:v>41950</c:v>
                </c:pt>
                <c:pt idx="254">
                  <c:v>41957</c:v>
                </c:pt>
                <c:pt idx="255">
                  <c:v>41964</c:v>
                </c:pt>
                <c:pt idx="256">
                  <c:v>41971</c:v>
                </c:pt>
                <c:pt idx="257">
                  <c:v>41978</c:v>
                </c:pt>
                <c:pt idx="258">
                  <c:v>41985</c:v>
                </c:pt>
                <c:pt idx="259">
                  <c:v>41992</c:v>
                </c:pt>
                <c:pt idx="260">
                  <c:v>41999</c:v>
                </c:pt>
                <c:pt idx="261">
                  <c:v>42006</c:v>
                </c:pt>
                <c:pt idx="262">
                  <c:v>42013</c:v>
                </c:pt>
                <c:pt idx="263">
                  <c:v>42020</c:v>
                </c:pt>
                <c:pt idx="264">
                  <c:v>42027</c:v>
                </c:pt>
                <c:pt idx="265">
                  <c:v>42034</c:v>
                </c:pt>
                <c:pt idx="266">
                  <c:v>42041</c:v>
                </c:pt>
                <c:pt idx="267">
                  <c:v>42048</c:v>
                </c:pt>
                <c:pt idx="268">
                  <c:v>42055</c:v>
                </c:pt>
                <c:pt idx="269">
                  <c:v>42062</c:v>
                </c:pt>
                <c:pt idx="270">
                  <c:v>42069</c:v>
                </c:pt>
                <c:pt idx="271">
                  <c:v>42076</c:v>
                </c:pt>
                <c:pt idx="272">
                  <c:v>42083</c:v>
                </c:pt>
                <c:pt idx="273">
                  <c:v>42090</c:v>
                </c:pt>
                <c:pt idx="274">
                  <c:v>42097</c:v>
                </c:pt>
                <c:pt idx="275">
                  <c:v>42104</c:v>
                </c:pt>
                <c:pt idx="276">
                  <c:v>42111</c:v>
                </c:pt>
                <c:pt idx="277">
                  <c:v>42118</c:v>
                </c:pt>
                <c:pt idx="278">
                  <c:v>42125</c:v>
                </c:pt>
                <c:pt idx="279">
                  <c:v>42132</c:v>
                </c:pt>
                <c:pt idx="280">
                  <c:v>42139</c:v>
                </c:pt>
                <c:pt idx="281">
                  <c:v>42146</c:v>
                </c:pt>
                <c:pt idx="282">
                  <c:v>42153</c:v>
                </c:pt>
                <c:pt idx="283">
                  <c:v>42160</c:v>
                </c:pt>
                <c:pt idx="284">
                  <c:v>42167</c:v>
                </c:pt>
                <c:pt idx="285">
                  <c:v>42174</c:v>
                </c:pt>
                <c:pt idx="286">
                  <c:v>42181</c:v>
                </c:pt>
                <c:pt idx="287">
                  <c:v>42188</c:v>
                </c:pt>
                <c:pt idx="288">
                  <c:v>42195</c:v>
                </c:pt>
                <c:pt idx="289">
                  <c:v>42202</c:v>
                </c:pt>
                <c:pt idx="290">
                  <c:v>42209</c:v>
                </c:pt>
                <c:pt idx="291">
                  <c:v>42216</c:v>
                </c:pt>
                <c:pt idx="292">
                  <c:v>42223</c:v>
                </c:pt>
                <c:pt idx="293">
                  <c:v>42230</c:v>
                </c:pt>
                <c:pt idx="294">
                  <c:v>42237</c:v>
                </c:pt>
                <c:pt idx="295">
                  <c:v>42244</c:v>
                </c:pt>
                <c:pt idx="296">
                  <c:v>42251</c:v>
                </c:pt>
                <c:pt idx="297">
                  <c:v>42258</c:v>
                </c:pt>
                <c:pt idx="298">
                  <c:v>42265</c:v>
                </c:pt>
                <c:pt idx="299">
                  <c:v>42272</c:v>
                </c:pt>
                <c:pt idx="300">
                  <c:v>42279</c:v>
                </c:pt>
                <c:pt idx="301">
                  <c:v>42286</c:v>
                </c:pt>
                <c:pt idx="302">
                  <c:v>42293</c:v>
                </c:pt>
                <c:pt idx="303">
                  <c:v>42300</c:v>
                </c:pt>
                <c:pt idx="304">
                  <c:v>42307</c:v>
                </c:pt>
                <c:pt idx="305">
                  <c:v>42314</c:v>
                </c:pt>
                <c:pt idx="306">
                  <c:v>42321</c:v>
                </c:pt>
                <c:pt idx="307">
                  <c:v>42328</c:v>
                </c:pt>
                <c:pt idx="308">
                  <c:v>42335</c:v>
                </c:pt>
                <c:pt idx="309">
                  <c:v>42342</c:v>
                </c:pt>
                <c:pt idx="310">
                  <c:v>42349</c:v>
                </c:pt>
                <c:pt idx="311">
                  <c:v>42356</c:v>
                </c:pt>
                <c:pt idx="312">
                  <c:v>42363</c:v>
                </c:pt>
                <c:pt idx="313">
                  <c:v>42370</c:v>
                </c:pt>
                <c:pt idx="314">
                  <c:v>42377</c:v>
                </c:pt>
                <c:pt idx="315">
                  <c:v>42384</c:v>
                </c:pt>
                <c:pt idx="316">
                  <c:v>42391</c:v>
                </c:pt>
                <c:pt idx="317">
                  <c:v>42398</c:v>
                </c:pt>
                <c:pt idx="318">
                  <c:v>42405</c:v>
                </c:pt>
                <c:pt idx="319">
                  <c:v>42412</c:v>
                </c:pt>
                <c:pt idx="320">
                  <c:v>42419</c:v>
                </c:pt>
                <c:pt idx="321">
                  <c:v>42426</c:v>
                </c:pt>
                <c:pt idx="322">
                  <c:v>42433</c:v>
                </c:pt>
                <c:pt idx="323">
                  <c:v>42440</c:v>
                </c:pt>
                <c:pt idx="324">
                  <c:v>42447</c:v>
                </c:pt>
                <c:pt idx="325">
                  <c:v>42454</c:v>
                </c:pt>
                <c:pt idx="326">
                  <c:v>42461</c:v>
                </c:pt>
                <c:pt idx="327">
                  <c:v>42468</c:v>
                </c:pt>
                <c:pt idx="328">
                  <c:v>42475</c:v>
                </c:pt>
                <c:pt idx="329">
                  <c:v>42482</c:v>
                </c:pt>
                <c:pt idx="330">
                  <c:v>42489</c:v>
                </c:pt>
                <c:pt idx="331">
                  <c:v>42496</c:v>
                </c:pt>
                <c:pt idx="332">
                  <c:v>42503</c:v>
                </c:pt>
                <c:pt idx="333">
                  <c:v>42510</c:v>
                </c:pt>
                <c:pt idx="334">
                  <c:v>42517</c:v>
                </c:pt>
                <c:pt idx="335">
                  <c:v>42524</c:v>
                </c:pt>
                <c:pt idx="336">
                  <c:v>42531</c:v>
                </c:pt>
                <c:pt idx="337">
                  <c:v>42538</c:v>
                </c:pt>
                <c:pt idx="338">
                  <c:v>42545</c:v>
                </c:pt>
                <c:pt idx="339">
                  <c:v>42552</c:v>
                </c:pt>
                <c:pt idx="340">
                  <c:v>42559</c:v>
                </c:pt>
                <c:pt idx="341">
                  <c:v>42566</c:v>
                </c:pt>
                <c:pt idx="342">
                  <c:v>42573</c:v>
                </c:pt>
                <c:pt idx="343">
                  <c:v>42580</c:v>
                </c:pt>
                <c:pt idx="344">
                  <c:v>42587</c:v>
                </c:pt>
                <c:pt idx="345">
                  <c:v>42594</c:v>
                </c:pt>
                <c:pt idx="346">
                  <c:v>42601</c:v>
                </c:pt>
                <c:pt idx="347">
                  <c:v>42608</c:v>
                </c:pt>
                <c:pt idx="348">
                  <c:v>42615</c:v>
                </c:pt>
                <c:pt idx="349">
                  <c:v>42622</c:v>
                </c:pt>
                <c:pt idx="350">
                  <c:v>42629</c:v>
                </c:pt>
                <c:pt idx="351">
                  <c:v>42636</c:v>
                </c:pt>
                <c:pt idx="352">
                  <c:v>42643</c:v>
                </c:pt>
                <c:pt idx="353">
                  <c:v>42650</c:v>
                </c:pt>
                <c:pt idx="354">
                  <c:v>42657</c:v>
                </c:pt>
                <c:pt idx="355">
                  <c:v>42664</c:v>
                </c:pt>
                <c:pt idx="356">
                  <c:v>42671</c:v>
                </c:pt>
                <c:pt idx="357">
                  <c:v>42678</c:v>
                </c:pt>
                <c:pt idx="358">
                  <c:v>42685</c:v>
                </c:pt>
                <c:pt idx="359">
                  <c:v>42692</c:v>
                </c:pt>
                <c:pt idx="360">
                  <c:v>42699</c:v>
                </c:pt>
                <c:pt idx="361">
                  <c:v>42706</c:v>
                </c:pt>
                <c:pt idx="362">
                  <c:v>42713</c:v>
                </c:pt>
                <c:pt idx="363">
                  <c:v>42720</c:v>
                </c:pt>
                <c:pt idx="364">
                  <c:v>42727</c:v>
                </c:pt>
                <c:pt idx="365">
                  <c:v>42734</c:v>
                </c:pt>
                <c:pt idx="366">
                  <c:v>42741</c:v>
                </c:pt>
                <c:pt idx="367">
                  <c:v>42748</c:v>
                </c:pt>
                <c:pt idx="368">
                  <c:v>42755</c:v>
                </c:pt>
                <c:pt idx="369">
                  <c:v>42762</c:v>
                </c:pt>
                <c:pt idx="370">
                  <c:v>42769</c:v>
                </c:pt>
                <c:pt idx="371">
                  <c:v>42776</c:v>
                </c:pt>
                <c:pt idx="372">
                  <c:v>42783</c:v>
                </c:pt>
                <c:pt idx="373">
                  <c:v>42790</c:v>
                </c:pt>
                <c:pt idx="374">
                  <c:v>42797</c:v>
                </c:pt>
                <c:pt idx="375">
                  <c:v>42804</c:v>
                </c:pt>
                <c:pt idx="376">
                  <c:v>42811</c:v>
                </c:pt>
                <c:pt idx="377">
                  <c:v>42818</c:v>
                </c:pt>
                <c:pt idx="378">
                  <c:v>42825</c:v>
                </c:pt>
                <c:pt idx="379">
                  <c:v>42832</c:v>
                </c:pt>
                <c:pt idx="380">
                  <c:v>42839</c:v>
                </c:pt>
                <c:pt idx="381">
                  <c:v>42846</c:v>
                </c:pt>
                <c:pt idx="382">
                  <c:v>42853</c:v>
                </c:pt>
                <c:pt idx="383">
                  <c:v>42860</c:v>
                </c:pt>
                <c:pt idx="384">
                  <c:v>42867</c:v>
                </c:pt>
                <c:pt idx="385">
                  <c:v>42874</c:v>
                </c:pt>
                <c:pt idx="386">
                  <c:v>42881</c:v>
                </c:pt>
                <c:pt idx="387">
                  <c:v>42888</c:v>
                </c:pt>
                <c:pt idx="388">
                  <c:v>42895</c:v>
                </c:pt>
                <c:pt idx="389">
                  <c:v>42902</c:v>
                </c:pt>
                <c:pt idx="390">
                  <c:v>42909</c:v>
                </c:pt>
                <c:pt idx="391">
                  <c:v>42916</c:v>
                </c:pt>
                <c:pt idx="392">
                  <c:v>42923</c:v>
                </c:pt>
                <c:pt idx="393">
                  <c:v>42930</c:v>
                </c:pt>
                <c:pt idx="394">
                  <c:v>42937</c:v>
                </c:pt>
                <c:pt idx="395">
                  <c:v>42944</c:v>
                </c:pt>
                <c:pt idx="396">
                  <c:v>42951</c:v>
                </c:pt>
                <c:pt idx="397">
                  <c:v>42958</c:v>
                </c:pt>
                <c:pt idx="398">
                  <c:v>42965</c:v>
                </c:pt>
                <c:pt idx="399">
                  <c:v>42972</c:v>
                </c:pt>
                <c:pt idx="400">
                  <c:v>42979</c:v>
                </c:pt>
                <c:pt idx="401">
                  <c:v>42986</c:v>
                </c:pt>
                <c:pt idx="402">
                  <c:v>42993</c:v>
                </c:pt>
                <c:pt idx="403">
                  <c:v>43000</c:v>
                </c:pt>
                <c:pt idx="404">
                  <c:v>43007</c:v>
                </c:pt>
                <c:pt idx="405">
                  <c:v>43014</c:v>
                </c:pt>
                <c:pt idx="406">
                  <c:v>43021</c:v>
                </c:pt>
                <c:pt idx="407">
                  <c:v>43028</c:v>
                </c:pt>
                <c:pt idx="408">
                  <c:v>43035</c:v>
                </c:pt>
                <c:pt idx="409">
                  <c:v>43042</c:v>
                </c:pt>
                <c:pt idx="410">
                  <c:v>43049</c:v>
                </c:pt>
                <c:pt idx="411">
                  <c:v>43056</c:v>
                </c:pt>
                <c:pt idx="412">
                  <c:v>43063</c:v>
                </c:pt>
                <c:pt idx="413">
                  <c:v>43070</c:v>
                </c:pt>
                <c:pt idx="414">
                  <c:v>43077</c:v>
                </c:pt>
                <c:pt idx="415">
                  <c:v>43084</c:v>
                </c:pt>
                <c:pt idx="416">
                  <c:v>43091</c:v>
                </c:pt>
                <c:pt idx="417">
                  <c:v>43098</c:v>
                </c:pt>
                <c:pt idx="418">
                  <c:v>43105</c:v>
                </c:pt>
                <c:pt idx="419">
                  <c:v>43112</c:v>
                </c:pt>
                <c:pt idx="420">
                  <c:v>43119</c:v>
                </c:pt>
                <c:pt idx="421">
                  <c:v>43126</c:v>
                </c:pt>
                <c:pt idx="422">
                  <c:v>43133</c:v>
                </c:pt>
                <c:pt idx="423">
                  <c:v>43140</c:v>
                </c:pt>
                <c:pt idx="424">
                  <c:v>43147</c:v>
                </c:pt>
                <c:pt idx="425">
                  <c:v>43154</c:v>
                </c:pt>
                <c:pt idx="426">
                  <c:v>43161</c:v>
                </c:pt>
                <c:pt idx="427">
                  <c:v>43168</c:v>
                </c:pt>
                <c:pt idx="428">
                  <c:v>43175</c:v>
                </c:pt>
                <c:pt idx="429">
                  <c:v>43182</c:v>
                </c:pt>
                <c:pt idx="430">
                  <c:v>43189</c:v>
                </c:pt>
                <c:pt idx="431">
                  <c:v>43196</c:v>
                </c:pt>
                <c:pt idx="432">
                  <c:v>43203</c:v>
                </c:pt>
                <c:pt idx="433">
                  <c:v>43210</c:v>
                </c:pt>
                <c:pt idx="434">
                  <c:v>43217</c:v>
                </c:pt>
                <c:pt idx="435">
                  <c:v>43224</c:v>
                </c:pt>
                <c:pt idx="436">
                  <c:v>43231</c:v>
                </c:pt>
                <c:pt idx="437">
                  <c:v>43238</c:v>
                </c:pt>
                <c:pt idx="438">
                  <c:v>43245</c:v>
                </c:pt>
                <c:pt idx="439">
                  <c:v>43252</c:v>
                </c:pt>
                <c:pt idx="440">
                  <c:v>43259</c:v>
                </c:pt>
                <c:pt idx="441">
                  <c:v>43266</c:v>
                </c:pt>
                <c:pt idx="442">
                  <c:v>43273</c:v>
                </c:pt>
                <c:pt idx="443">
                  <c:v>43280</c:v>
                </c:pt>
                <c:pt idx="444">
                  <c:v>43287</c:v>
                </c:pt>
                <c:pt idx="445">
                  <c:v>43294</c:v>
                </c:pt>
                <c:pt idx="446">
                  <c:v>43301</c:v>
                </c:pt>
                <c:pt idx="447">
                  <c:v>43308</c:v>
                </c:pt>
                <c:pt idx="448">
                  <c:v>43315</c:v>
                </c:pt>
                <c:pt idx="449">
                  <c:v>43322</c:v>
                </c:pt>
                <c:pt idx="450">
                  <c:v>43329</c:v>
                </c:pt>
                <c:pt idx="451">
                  <c:v>43336</c:v>
                </c:pt>
                <c:pt idx="452">
                  <c:v>43343</c:v>
                </c:pt>
                <c:pt idx="453">
                  <c:v>43350</c:v>
                </c:pt>
                <c:pt idx="454">
                  <c:v>43357</c:v>
                </c:pt>
                <c:pt idx="455">
                  <c:v>43364</c:v>
                </c:pt>
                <c:pt idx="456">
                  <c:v>43371</c:v>
                </c:pt>
                <c:pt idx="457">
                  <c:v>43378</c:v>
                </c:pt>
                <c:pt idx="458">
                  <c:v>43385</c:v>
                </c:pt>
                <c:pt idx="459">
                  <c:v>43392</c:v>
                </c:pt>
                <c:pt idx="460">
                  <c:v>43399</c:v>
                </c:pt>
                <c:pt idx="461">
                  <c:v>43406</c:v>
                </c:pt>
                <c:pt idx="462">
                  <c:v>43413</c:v>
                </c:pt>
                <c:pt idx="463">
                  <c:v>43420</c:v>
                </c:pt>
                <c:pt idx="464">
                  <c:v>43427</c:v>
                </c:pt>
                <c:pt idx="465">
                  <c:v>43434</c:v>
                </c:pt>
                <c:pt idx="466">
                  <c:v>43441</c:v>
                </c:pt>
                <c:pt idx="467">
                  <c:v>43448</c:v>
                </c:pt>
                <c:pt idx="468">
                  <c:v>43455</c:v>
                </c:pt>
                <c:pt idx="469">
                  <c:v>43462</c:v>
                </c:pt>
                <c:pt idx="470">
                  <c:v>43469</c:v>
                </c:pt>
                <c:pt idx="471">
                  <c:v>43476</c:v>
                </c:pt>
                <c:pt idx="472">
                  <c:v>43483</c:v>
                </c:pt>
                <c:pt idx="473">
                  <c:v>43490</c:v>
                </c:pt>
                <c:pt idx="474">
                  <c:v>43497</c:v>
                </c:pt>
                <c:pt idx="475">
                  <c:v>43504</c:v>
                </c:pt>
                <c:pt idx="476">
                  <c:v>43511</c:v>
                </c:pt>
                <c:pt idx="477">
                  <c:v>43518</c:v>
                </c:pt>
                <c:pt idx="478">
                  <c:v>43525</c:v>
                </c:pt>
                <c:pt idx="479">
                  <c:v>43532</c:v>
                </c:pt>
                <c:pt idx="480">
                  <c:v>43539</c:v>
                </c:pt>
                <c:pt idx="481">
                  <c:v>43546</c:v>
                </c:pt>
                <c:pt idx="482">
                  <c:v>43553</c:v>
                </c:pt>
                <c:pt idx="483">
                  <c:v>43560</c:v>
                </c:pt>
                <c:pt idx="484">
                  <c:v>43567</c:v>
                </c:pt>
                <c:pt idx="485">
                  <c:v>43574</c:v>
                </c:pt>
                <c:pt idx="486">
                  <c:v>43581</c:v>
                </c:pt>
                <c:pt idx="487">
                  <c:v>43588</c:v>
                </c:pt>
                <c:pt idx="488">
                  <c:v>43595</c:v>
                </c:pt>
                <c:pt idx="489">
                  <c:v>43602</c:v>
                </c:pt>
                <c:pt idx="490">
                  <c:v>43609</c:v>
                </c:pt>
                <c:pt idx="491">
                  <c:v>43616</c:v>
                </c:pt>
                <c:pt idx="492">
                  <c:v>43623</c:v>
                </c:pt>
                <c:pt idx="493">
                  <c:v>43630</c:v>
                </c:pt>
                <c:pt idx="494">
                  <c:v>43637</c:v>
                </c:pt>
                <c:pt idx="495">
                  <c:v>43644</c:v>
                </c:pt>
                <c:pt idx="496">
                  <c:v>43651</c:v>
                </c:pt>
                <c:pt idx="497">
                  <c:v>43658</c:v>
                </c:pt>
                <c:pt idx="498">
                  <c:v>43665</c:v>
                </c:pt>
                <c:pt idx="499">
                  <c:v>43672</c:v>
                </c:pt>
                <c:pt idx="500">
                  <c:v>43679</c:v>
                </c:pt>
                <c:pt idx="501">
                  <c:v>43686</c:v>
                </c:pt>
                <c:pt idx="502">
                  <c:v>43693</c:v>
                </c:pt>
                <c:pt idx="503">
                  <c:v>43700</c:v>
                </c:pt>
                <c:pt idx="504">
                  <c:v>43707</c:v>
                </c:pt>
                <c:pt idx="505">
                  <c:v>43714</c:v>
                </c:pt>
                <c:pt idx="506">
                  <c:v>43721</c:v>
                </c:pt>
                <c:pt idx="507">
                  <c:v>43728</c:v>
                </c:pt>
                <c:pt idx="508">
                  <c:v>43735</c:v>
                </c:pt>
                <c:pt idx="509">
                  <c:v>43742</c:v>
                </c:pt>
                <c:pt idx="510">
                  <c:v>43749</c:v>
                </c:pt>
                <c:pt idx="511">
                  <c:v>43756</c:v>
                </c:pt>
                <c:pt idx="512">
                  <c:v>43763</c:v>
                </c:pt>
                <c:pt idx="513">
                  <c:v>43770</c:v>
                </c:pt>
                <c:pt idx="514">
                  <c:v>43777</c:v>
                </c:pt>
                <c:pt idx="515">
                  <c:v>43784</c:v>
                </c:pt>
                <c:pt idx="516">
                  <c:v>43791</c:v>
                </c:pt>
                <c:pt idx="517">
                  <c:v>43798</c:v>
                </c:pt>
                <c:pt idx="518">
                  <c:v>43805</c:v>
                </c:pt>
                <c:pt idx="519">
                  <c:v>43812</c:v>
                </c:pt>
                <c:pt idx="520">
                  <c:v>43819</c:v>
                </c:pt>
                <c:pt idx="521">
                  <c:v>43826</c:v>
                </c:pt>
                <c:pt idx="522">
                  <c:v>43833</c:v>
                </c:pt>
                <c:pt idx="523">
                  <c:v>43840</c:v>
                </c:pt>
                <c:pt idx="524">
                  <c:v>43847</c:v>
                </c:pt>
                <c:pt idx="525">
                  <c:v>43854</c:v>
                </c:pt>
                <c:pt idx="526">
                  <c:v>43861</c:v>
                </c:pt>
                <c:pt idx="527">
                  <c:v>43868</c:v>
                </c:pt>
                <c:pt idx="528">
                  <c:v>43875</c:v>
                </c:pt>
                <c:pt idx="529">
                  <c:v>43882</c:v>
                </c:pt>
                <c:pt idx="530">
                  <c:v>43889</c:v>
                </c:pt>
                <c:pt idx="531">
                  <c:v>43896</c:v>
                </c:pt>
                <c:pt idx="532">
                  <c:v>43903</c:v>
                </c:pt>
                <c:pt idx="533">
                  <c:v>43910</c:v>
                </c:pt>
                <c:pt idx="534">
                  <c:v>43917</c:v>
                </c:pt>
                <c:pt idx="535">
                  <c:v>43924</c:v>
                </c:pt>
                <c:pt idx="536">
                  <c:v>43931</c:v>
                </c:pt>
                <c:pt idx="537">
                  <c:v>43938</c:v>
                </c:pt>
                <c:pt idx="538">
                  <c:v>43945</c:v>
                </c:pt>
                <c:pt idx="539">
                  <c:v>43952</c:v>
                </c:pt>
                <c:pt idx="540">
                  <c:v>43959</c:v>
                </c:pt>
                <c:pt idx="541">
                  <c:v>43966</c:v>
                </c:pt>
                <c:pt idx="542">
                  <c:v>43973</c:v>
                </c:pt>
                <c:pt idx="543">
                  <c:v>43980</c:v>
                </c:pt>
                <c:pt idx="544">
                  <c:v>43987</c:v>
                </c:pt>
                <c:pt idx="545">
                  <c:v>43994</c:v>
                </c:pt>
                <c:pt idx="546">
                  <c:v>44001</c:v>
                </c:pt>
                <c:pt idx="547">
                  <c:v>44008</c:v>
                </c:pt>
                <c:pt idx="548">
                  <c:v>44015</c:v>
                </c:pt>
                <c:pt idx="549">
                  <c:v>44022</c:v>
                </c:pt>
                <c:pt idx="550">
                  <c:v>44029</c:v>
                </c:pt>
                <c:pt idx="551">
                  <c:v>44036</c:v>
                </c:pt>
                <c:pt idx="552">
                  <c:v>44043</c:v>
                </c:pt>
                <c:pt idx="553">
                  <c:v>44050</c:v>
                </c:pt>
                <c:pt idx="554">
                  <c:v>44057</c:v>
                </c:pt>
                <c:pt idx="555">
                  <c:v>44064</c:v>
                </c:pt>
                <c:pt idx="556">
                  <c:v>44071</c:v>
                </c:pt>
                <c:pt idx="557">
                  <c:v>44078</c:v>
                </c:pt>
                <c:pt idx="558">
                  <c:v>44085</c:v>
                </c:pt>
                <c:pt idx="559">
                  <c:v>44092</c:v>
                </c:pt>
                <c:pt idx="560">
                  <c:v>44099</c:v>
                </c:pt>
                <c:pt idx="561">
                  <c:v>44106</c:v>
                </c:pt>
                <c:pt idx="562">
                  <c:v>44113</c:v>
                </c:pt>
                <c:pt idx="563">
                  <c:v>44120</c:v>
                </c:pt>
                <c:pt idx="564">
                  <c:v>44127</c:v>
                </c:pt>
                <c:pt idx="565">
                  <c:v>44134</c:v>
                </c:pt>
                <c:pt idx="566">
                  <c:v>44141</c:v>
                </c:pt>
                <c:pt idx="567">
                  <c:v>44148</c:v>
                </c:pt>
                <c:pt idx="568">
                  <c:v>44155</c:v>
                </c:pt>
                <c:pt idx="569">
                  <c:v>44162</c:v>
                </c:pt>
                <c:pt idx="570">
                  <c:v>44169</c:v>
                </c:pt>
                <c:pt idx="571">
                  <c:v>44176</c:v>
                </c:pt>
                <c:pt idx="572">
                  <c:v>44183</c:v>
                </c:pt>
                <c:pt idx="573">
                  <c:v>44190</c:v>
                </c:pt>
                <c:pt idx="574">
                  <c:v>44197</c:v>
                </c:pt>
                <c:pt idx="575">
                  <c:v>44204</c:v>
                </c:pt>
                <c:pt idx="576">
                  <c:v>44211</c:v>
                </c:pt>
                <c:pt idx="577">
                  <c:v>44218</c:v>
                </c:pt>
                <c:pt idx="578">
                  <c:v>44225</c:v>
                </c:pt>
                <c:pt idx="579">
                  <c:v>44232</c:v>
                </c:pt>
                <c:pt idx="580">
                  <c:v>44239</c:v>
                </c:pt>
                <c:pt idx="581">
                  <c:v>44246</c:v>
                </c:pt>
                <c:pt idx="582">
                  <c:v>44253</c:v>
                </c:pt>
                <c:pt idx="583">
                  <c:v>44260</c:v>
                </c:pt>
                <c:pt idx="584">
                  <c:v>44267</c:v>
                </c:pt>
                <c:pt idx="585">
                  <c:v>44274</c:v>
                </c:pt>
                <c:pt idx="586">
                  <c:v>44281</c:v>
                </c:pt>
                <c:pt idx="587">
                  <c:v>44288</c:v>
                </c:pt>
                <c:pt idx="588">
                  <c:v>44295</c:v>
                </c:pt>
                <c:pt idx="589">
                  <c:v>44302</c:v>
                </c:pt>
                <c:pt idx="590">
                  <c:v>44309</c:v>
                </c:pt>
                <c:pt idx="591">
                  <c:v>44316</c:v>
                </c:pt>
                <c:pt idx="592">
                  <c:v>44323</c:v>
                </c:pt>
                <c:pt idx="593">
                  <c:v>44330</c:v>
                </c:pt>
                <c:pt idx="594">
                  <c:v>44337</c:v>
                </c:pt>
                <c:pt idx="595">
                  <c:v>44344</c:v>
                </c:pt>
                <c:pt idx="596">
                  <c:v>44351</c:v>
                </c:pt>
                <c:pt idx="597">
                  <c:v>44358</c:v>
                </c:pt>
                <c:pt idx="598">
                  <c:v>44365</c:v>
                </c:pt>
                <c:pt idx="599">
                  <c:v>44372</c:v>
                </c:pt>
                <c:pt idx="600">
                  <c:v>44379</c:v>
                </c:pt>
                <c:pt idx="601">
                  <c:v>44386</c:v>
                </c:pt>
                <c:pt idx="602">
                  <c:v>44393</c:v>
                </c:pt>
                <c:pt idx="603">
                  <c:v>44400</c:v>
                </c:pt>
                <c:pt idx="604">
                  <c:v>44407</c:v>
                </c:pt>
                <c:pt idx="605">
                  <c:v>44414</c:v>
                </c:pt>
                <c:pt idx="606">
                  <c:v>44421</c:v>
                </c:pt>
                <c:pt idx="607">
                  <c:v>44428</c:v>
                </c:pt>
                <c:pt idx="608">
                  <c:v>44435</c:v>
                </c:pt>
                <c:pt idx="609">
                  <c:v>44442</c:v>
                </c:pt>
                <c:pt idx="610">
                  <c:v>44449</c:v>
                </c:pt>
                <c:pt idx="611">
                  <c:v>44456</c:v>
                </c:pt>
                <c:pt idx="612">
                  <c:v>44463</c:v>
                </c:pt>
                <c:pt idx="613">
                  <c:v>44470</c:v>
                </c:pt>
                <c:pt idx="614">
                  <c:v>44477</c:v>
                </c:pt>
                <c:pt idx="615">
                  <c:v>44484</c:v>
                </c:pt>
                <c:pt idx="616">
                  <c:v>44491</c:v>
                </c:pt>
                <c:pt idx="617">
                  <c:v>44498</c:v>
                </c:pt>
                <c:pt idx="618">
                  <c:v>44505</c:v>
                </c:pt>
                <c:pt idx="619">
                  <c:v>44512</c:v>
                </c:pt>
                <c:pt idx="620">
                  <c:v>44519</c:v>
                </c:pt>
                <c:pt idx="621">
                  <c:v>44526</c:v>
                </c:pt>
                <c:pt idx="622">
                  <c:v>44533</c:v>
                </c:pt>
                <c:pt idx="623">
                  <c:v>44540</c:v>
                </c:pt>
                <c:pt idx="624">
                  <c:v>44547</c:v>
                </c:pt>
                <c:pt idx="625">
                  <c:v>44554</c:v>
                </c:pt>
                <c:pt idx="626">
                  <c:v>44561</c:v>
                </c:pt>
                <c:pt idx="627">
                  <c:v>44568</c:v>
                </c:pt>
                <c:pt idx="628">
                  <c:v>44575</c:v>
                </c:pt>
                <c:pt idx="629">
                  <c:v>44582</c:v>
                </c:pt>
                <c:pt idx="630">
                  <c:v>44589</c:v>
                </c:pt>
                <c:pt idx="631">
                  <c:v>44596</c:v>
                </c:pt>
                <c:pt idx="632">
                  <c:v>44603</c:v>
                </c:pt>
                <c:pt idx="633">
                  <c:v>44610</c:v>
                </c:pt>
                <c:pt idx="634">
                  <c:v>44617</c:v>
                </c:pt>
                <c:pt idx="635">
                  <c:v>44624</c:v>
                </c:pt>
                <c:pt idx="636">
                  <c:v>44631</c:v>
                </c:pt>
                <c:pt idx="637">
                  <c:v>44638</c:v>
                </c:pt>
                <c:pt idx="638">
                  <c:v>44645</c:v>
                </c:pt>
                <c:pt idx="639">
                  <c:v>44652</c:v>
                </c:pt>
              </c:numCache>
            </c:numRef>
          </c:cat>
          <c:val>
            <c:numRef>
              <c:f>'Graf 6'!$K$4:$K$643</c:f>
              <c:numCache>
                <c:formatCode>General</c:formatCode>
                <c:ptCount val="640"/>
                <c:pt idx="0">
                  <c:v>1</c:v>
                </c:pt>
                <c:pt idx="1">
                  <c:v>1.0134588236873954</c:v>
                </c:pt>
                <c:pt idx="2">
                  <c:v>0.98632631856354169</c:v>
                </c:pt>
                <c:pt idx="3">
                  <c:v>0.95600284015087034</c:v>
                </c:pt>
                <c:pt idx="4">
                  <c:v>0.94147812059898306</c:v>
                </c:pt>
                <c:pt idx="5">
                  <c:v>0.9121953594083354</c:v>
                </c:pt>
                <c:pt idx="6">
                  <c:v>0.92328235497521582</c:v>
                </c:pt>
                <c:pt idx="7">
                  <c:v>0.96048967423872378</c:v>
                </c:pt>
                <c:pt idx="8">
                  <c:v>0.93974415142099865</c:v>
                </c:pt>
                <c:pt idx="9">
                  <c:v>0.98655964065041457</c:v>
                </c:pt>
                <c:pt idx="10">
                  <c:v>0.99793199416526912</c:v>
                </c:pt>
                <c:pt idx="11">
                  <c:v>1.0041964404113854</c:v>
                </c:pt>
                <c:pt idx="12">
                  <c:v>1.02729700558798</c:v>
                </c:pt>
                <c:pt idx="13">
                  <c:v>1.0466862388647453</c:v>
                </c:pt>
                <c:pt idx="14">
                  <c:v>1.049059745561425</c:v>
                </c:pt>
                <c:pt idx="15">
                  <c:v>1.0375111415492921</c:v>
                </c:pt>
                <c:pt idx="16">
                  <c:v>1.0507097859311816</c:v>
                </c:pt>
                <c:pt idx="17">
                  <c:v>1.0299239772855073</c:v>
                </c:pt>
                <c:pt idx="18">
                  <c:v>0.95932138522819399</c:v>
                </c:pt>
                <c:pt idx="19">
                  <c:v>1.0166649041616937</c:v>
                </c:pt>
                <c:pt idx="20">
                  <c:v>0.97848401072274449</c:v>
                </c:pt>
                <c:pt idx="21">
                  <c:v>0.99811160181487657</c:v>
                </c:pt>
                <c:pt idx="22">
                  <c:v>0.996886241214752</c:v>
                </c:pt>
                <c:pt idx="23">
                  <c:v>1.0151743285275696</c:v>
                </c:pt>
                <c:pt idx="24">
                  <c:v>1.0435674443510037</c:v>
                </c:pt>
                <c:pt idx="25">
                  <c:v>1.0189964464542596</c:v>
                </c:pt>
                <c:pt idx="26">
                  <c:v>0.97930651304337601</c:v>
                </c:pt>
                <c:pt idx="27">
                  <c:v>1.0180967296300585</c:v>
                </c:pt>
                <c:pt idx="28">
                  <c:v>1.0139053249471668</c:v>
                </c:pt>
                <c:pt idx="29">
                  <c:v>1.0350671346537013</c:v>
                </c:pt>
                <c:pt idx="30">
                  <c:v>1.0319835902394152</c:v>
                </c:pt>
                <c:pt idx="31">
                  <c:v>1.0507265716928273</c:v>
                </c:pt>
                <c:pt idx="32">
                  <c:v>1.0256788581653498</c:v>
                </c:pt>
                <c:pt idx="33">
                  <c:v>1.0080118440334169</c:v>
                </c:pt>
                <c:pt idx="34">
                  <c:v>0.99894921132098902</c:v>
                </c:pt>
                <c:pt idx="35">
                  <c:v>1.0297426910597354</c:v>
                </c:pt>
                <c:pt idx="36">
                  <c:v>1.0431964790186372</c:v>
                </c:pt>
                <c:pt idx="37">
                  <c:v>1.0423555123601955</c:v>
                </c:pt>
                <c:pt idx="38">
                  <c:v>1.0572176257211583</c:v>
                </c:pt>
                <c:pt idx="39">
                  <c:v>1.0426207273941952</c:v>
                </c:pt>
                <c:pt idx="40">
                  <c:v>1.0561047297240589</c:v>
                </c:pt>
                <c:pt idx="41">
                  <c:v>1.0897820033135093</c:v>
                </c:pt>
                <c:pt idx="42">
                  <c:v>1.1088405570858575</c:v>
                </c:pt>
                <c:pt idx="43">
                  <c:v>1.1080902335403018</c:v>
                </c:pt>
                <c:pt idx="44">
                  <c:v>1.1337439130631832</c:v>
                </c:pt>
                <c:pt idx="45">
                  <c:v>1.1304555823568216</c:v>
                </c:pt>
                <c:pt idx="46">
                  <c:v>1.1487419910934749</c:v>
                </c:pt>
                <c:pt idx="47">
                  <c:v>1.1496534579508277</c:v>
                </c:pt>
                <c:pt idx="48">
                  <c:v>1.1662277189996357</c:v>
                </c:pt>
                <c:pt idx="49">
                  <c:v>1.1760389966814548</c:v>
                </c:pt>
                <c:pt idx="50">
                  <c:v>1.1720574140191322</c:v>
                </c:pt>
                <c:pt idx="51">
                  <c:v>1.1846870210812379</c:v>
                </c:pt>
                <c:pt idx="52">
                  <c:v>1.1605994531198855</c:v>
                </c:pt>
                <c:pt idx="53">
                  <c:v>1.1662478619136103</c:v>
                </c:pt>
                <c:pt idx="54">
                  <c:v>1.1877101367536</c:v>
                </c:pt>
                <c:pt idx="55">
                  <c:v>1.1854809876070722</c:v>
                </c:pt>
                <c:pt idx="56">
                  <c:v>1.1922590781595419</c:v>
                </c:pt>
                <c:pt idx="57">
                  <c:v>1.2112958104417508</c:v>
                </c:pt>
                <c:pt idx="58">
                  <c:v>1.237312062416176</c:v>
                </c:pt>
                <c:pt idx="59">
                  <c:v>1.2466466244672618</c:v>
                </c:pt>
                <c:pt idx="60">
                  <c:v>1.2060855100269747</c:v>
                </c:pt>
                <c:pt idx="61">
                  <c:v>1.2050330427717992</c:v>
                </c:pt>
                <c:pt idx="62">
                  <c:v>1.171896270707335</c:v>
                </c:pt>
                <c:pt idx="63">
                  <c:v>1.1186702991054867</c:v>
                </c:pt>
                <c:pt idx="64">
                  <c:v>1.1659994326412562</c:v>
                </c:pt>
                <c:pt idx="65">
                  <c:v>1.2051857932027736</c:v>
                </c:pt>
                <c:pt idx="66">
                  <c:v>1.2114317751110797</c:v>
                </c:pt>
                <c:pt idx="67">
                  <c:v>1.2049306496257615</c:v>
                </c:pt>
                <c:pt idx="68">
                  <c:v>1.2246035622743363</c:v>
                </c:pt>
                <c:pt idx="69">
                  <c:v>1.2613593445495792</c:v>
                </c:pt>
                <c:pt idx="70">
                  <c:v>1.2576312268881045</c:v>
                </c:pt>
                <c:pt idx="71">
                  <c:v>1.2427019704805595</c:v>
                </c:pt>
                <c:pt idx="72">
                  <c:v>1.2197910844105595</c:v>
                </c:pt>
                <c:pt idx="73">
                  <c:v>1.2024429997498922</c:v>
                </c:pt>
                <c:pt idx="74">
                  <c:v>1.1933048311100591</c:v>
                </c:pt>
                <c:pt idx="75">
                  <c:v>1.1867365625781585</c:v>
                </c:pt>
                <c:pt idx="76">
                  <c:v>1.2025403571674362</c:v>
                </c:pt>
                <c:pt idx="77">
                  <c:v>1.1953778726732835</c:v>
                </c:pt>
                <c:pt idx="78">
                  <c:v>1.2454095138339853</c:v>
                </c:pt>
                <c:pt idx="79">
                  <c:v>1.2426046130630153</c:v>
                </c:pt>
                <c:pt idx="80">
                  <c:v>1.2119521337220915</c:v>
                </c:pt>
                <c:pt idx="81">
                  <c:v>1.2297903626228088</c:v>
                </c:pt>
                <c:pt idx="82">
                  <c:v>1.2016540689525517</c:v>
                </c:pt>
                <c:pt idx="83">
                  <c:v>1.0467869534346186</c:v>
                </c:pt>
                <c:pt idx="84">
                  <c:v>1.0067663405193179</c:v>
                </c:pt>
                <c:pt idx="85">
                  <c:v>0.91985973817568978</c:v>
                </c:pt>
                <c:pt idx="86">
                  <c:v>0.9295081939695472</c:v>
                </c:pt>
                <c:pt idx="87">
                  <c:v>0.92965087294353432</c:v>
                </c:pt>
                <c:pt idx="88">
                  <c:v>0.87116927937046684</c:v>
                </c:pt>
                <c:pt idx="89">
                  <c:v>0.93555610389043597</c:v>
                </c:pt>
                <c:pt idx="90">
                  <c:v>0.87228217536756625</c:v>
                </c:pt>
                <c:pt idx="91">
                  <c:v>0.92355596289003816</c:v>
                </c:pt>
                <c:pt idx="92">
                  <c:v>0.952709473716015</c:v>
                </c:pt>
                <c:pt idx="93">
                  <c:v>1.0016399689127693</c:v>
                </c:pt>
                <c:pt idx="94">
                  <c:v>1.0022711135506417</c:v>
                </c:pt>
                <c:pt idx="95">
                  <c:v>1.065256326973208</c:v>
                </c:pt>
                <c:pt idx="96">
                  <c:v>1.0014653969916558</c:v>
                </c:pt>
                <c:pt idx="97">
                  <c:v>1.0167186185989596</c:v>
                </c:pt>
                <c:pt idx="98">
                  <c:v>0.97361446126937279</c:v>
                </c:pt>
                <c:pt idx="99">
                  <c:v>0.92202006569947104</c:v>
                </c:pt>
                <c:pt idx="100">
                  <c:v>1.0206884512281302</c:v>
                </c:pt>
                <c:pt idx="101">
                  <c:v>1.0049148710098146</c:v>
                </c:pt>
                <c:pt idx="102">
                  <c:v>0.9570872003531723</c:v>
                </c:pt>
                <c:pt idx="103">
                  <c:v>0.98682317710824974</c:v>
                </c:pt>
                <c:pt idx="104">
                  <c:v>0.99008297201981388</c:v>
                </c:pt>
                <c:pt idx="105">
                  <c:v>1.016868011877605</c:v>
                </c:pt>
                <c:pt idx="106">
                  <c:v>1.0311627664949483</c:v>
                </c:pt>
                <c:pt idx="107">
                  <c:v>1.0750256402509135</c:v>
                </c:pt>
                <c:pt idx="108">
                  <c:v>1.0930854412053519</c:v>
                </c:pt>
                <c:pt idx="109">
                  <c:v>1.1358370975403822</c:v>
                </c:pt>
                <c:pt idx="110">
                  <c:v>1.1234643126314534</c:v>
                </c:pt>
                <c:pt idx="111">
                  <c:v>1.1494939932151951</c:v>
                </c:pt>
                <c:pt idx="112">
                  <c:v>1.152246858125064</c:v>
                </c:pt>
                <c:pt idx="113">
                  <c:v>1.1618046708060354</c:v>
                </c:pt>
                <c:pt idx="114">
                  <c:v>1.1548956513127304</c:v>
                </c:pt>
                <c:pt idx="115">
                  <c:v>1.201494604216919</c:v>
                </c:pt>
                <c:pt idx="116">
                  <c:v>1.1742680988278502</c:v>
                </c:pt>
                <c:pt idx="117">
                  <c:v>1.1660783257209903</c:v>
                </c:pt>
                <c:pt idx="118">
                  <c:v>1.1372789944657344</c:v>
                </c:pt>
                <c:pt idx="119">
                  <c:v>1.1051577609808254</c:v>
                </c:pt>
                <c:pt idx="120">
                  <c:v>1.1330590539880452</c:v>
                </c:pt>
                <c:pt idx="121">
                  <c:v>1.1416533639505624</c:v>
                </c:pt>
                <c:pt idx="122">
                  <c:v>1.1013927146437306</c:v>
                </c:pt>
                <c:pt idx="123">
                  <c:v>1.1044913662434976</c:v>
                </c:pt>
                <c:pt idx="124">
                  <c:v>1.0526720414675454</c:v>
                </c:pt>
                <c:pt idx="125">
                  <c:v>1.0642072168703618</c:v>
                </c:pt>
                <c:pt idx="126">
                  <c:v>1.0155872582640499</c:v>
                </c:pt>
                <c:pt idx="127">
                  <c:v>1.0291048321172047</c:v>
                </c:pt>
                <c:pt idx="128">
                  <c:v>1.0456539145235444</c:v>
                </c:pt>
                <c:pt idx="129">
                  <c:v>1.0513342162643959</c:v>
                </c:pt>
                <c:pt idx="130">
                  <c:v>1.0770214673105685</c:v>
                </c:pt>
                <c:pt idx="131">
                  <c:v>1.0759857858170385</c:v>
                </c:pt>
                <c:pt idx="132">
                  <c:v>1.1006591768598204</c:v>
                </c:pt>
                <c:pt idx="133">
                  <c:v>1.1128993542517496</c:v>
                </c:pt>
                <c:pt idx="134">
                  <c:v>1.1228667395168721</c:v>
                </c:pt>
                <c:pt idx="135">
                  <c:v>1.1524533229933041</c:v>
                </c:pt>
                <c:pt idx="136">
                  <c:v>1.1656972889316366</c:v>
                </c:pt>
                <c:pt idx="137">
                  <c:v>1.1818653345486225</c:v>
                </c:pt>
                <c:pt idx="138">
                  <c:v>1.1701471943438697</c:v>
                </c:pt>
                <c:pt idx="139">
                  <c:v>1.1701001942112621</c:v>
                </c:pt>
                <c:pt idx="140">
                  <c:v>1.2110087739176121</c:v>
                </c:pt>
                <c:pt idx="141">
                  <c:v>1.2441824746576964</c:v>
                </c:pt>
                <c:pt idx="142">
                  <c:v>1.2508111719315207</c:v>
                </c:pt>
                <c:pt idx="143">
                  <c:v>1.2112857389847635</c:v>
                </c:pt>
                <c:pt idx="144">
                  <c:v>1.2417888250470419</c:v>
                </c:pt>
                <c:pt idx="145">
                  <c:v>1.214028532437645</c:v>
                </c:pt>
                <c:pt idx="146">
                  <c:v>1.2388966383155153</c:v>
                </c:pt>
                <c:pt idx="147">
                  <c:v>1.2139211035631137</c:v>
                </c:pt>
                <c:pt idx="148">
                  <c:v>1.2360783089352287</c:v>
                </c:pt>
                <c:pt idx="149">
                  <c:v>1.2024480354783857</c:v>
                </c:pt>
                <c:pt idx="150">
                  <c:v>1.1666993989018755</c:v>
                </c:pt>
                <c:pt idx="151">
                  <c:v>1.2268931401627883</c:v>
                </c:pt>
                <c:pt idx="152">
                  <c:v>1.243069578660597</c:v>
                </c:pt>
                <c:pt idx="153">
                  <c:v>1.2619199889885404</c:v>
                </c:pt>
                <c:pt idx="154">
                  <c:v>1.2751253476750881</c:v>
                </c:pt>
                <c:pt idx="155">
                  <c:v>1.2817993665053553</c:v>
                </c:pt>
                <c:pt idx="156">
                  <c:v>1.2777976409290583</c:v>
                </c:pt>
                <c:pt idx="157">
                  <c:v>1.3053229328754177</c:v>
                </c:pt>
                <c:pt idx="158">
                  <c:v>1.29511047549027</c:v>
                </c:pt>
                <c:pt idx="159">
                  <c:v>1.292877969191413</c:v>
                </c:pt>
                <c:pt idx="160">
                  <c:v>1.3190201143781799</c:v>
                </c:pt>
                <c:pt idx="161">
                  <c:v>1.3148941741657056</c:v>
                </c:pt>
                <c:pt idx="162">
                  <c:v>1.2844699811831612</c:v>
                </c:pt>
                <c:pt idx="163">
                  <c:v>1.2746284891303801</c:v>
                </c:pt>
                <c:pt idx="164">
                  <c:v>1.2861099500959305</c:v>
                </c:pt>
                <c:pt idx="165">
                  <c:v>1.2938733648569936</c:v>
                </c:pt>
                <c:pt idx="166">
                  <c:v>1.3405898180927009</c:v>
                </c:pt>
                <c:pt idx="167">
                  <c:v>1.3500536305084574</c:v>
                </c:pt>
                <c:pt idx="168">
                  <c:v>1.32798035394457</c:v>
                </c:pt>
                <c:pt idx="169">
                  <c:v>1.3085021561310834</c:v>
                </c:pt>
                <c:pt idx="170">
                  <c:v>1.2855795200279314</c:v>
                </c:pt>
                <c:pt idx="171">
                  <c:v>1.3000186321954266</c:v>
                </c:pt>
                <c:pt idx="172">
                  <c:v>1.2522111044527588</c:v>
                </c:pt>
                <c:pt idx="173">
                  <c:v>1.3117669867711412</c:v>
                </c:pt>
                <c:pt idx="174">
                  <c:v>1.3633882395596759</c:v>
                </c:pt>
                <c:pt idx="175">
                  <c:v>1.3896243850116576</c:v>
                </c:pt>
                <c:pt idx="176">
                  <c:v>1.4096682629925992</c:v>
                </c:pt>
                <c:pt idx="177">
                  <c:v>1.3941112190995109</c:v>
                </c:pt>
                <c:pt idx="178">
                  <c:v>1.4014163825676507</c:v>
                </c:pt>
                <c:pt idx="179">
                  <c:v>1.3856109094022087</c:v>
                </c:pt>
                <c:pt idx="180">
                  <c:v>1.3643399922449782</c:v>
                </c:pt>
                <c:pt idx="181">
                  <c:v>1.3074832603991988</c:v>
                </c:pt>
                <c:pt idx="182">
                  <c:v>1.336015698044291</c:v>
                </c:pt>
                <c:pt idx="183">
                  <c:v>1.3102965540509917</c:v>
                </c:pt>
                <c:pt idx="184">
                  <c:v>1.3785759966965621</c:v>
                </c:pt>
                <c:pt idx="185">
                  <c:v>1.3985174815314656</c:v>
                </c:pt>
                <c:pt idx="186">
                  <c:v>1.3839709404894391</c:v>
                </c:pt>
                <c:pt idx="187">
                  <c:v>1.4111689100837106</c:v>
                </c:pt>
                <c:pt idx="188">
                  <c:v>1.3996488418663751</c:v>
                </c:pt>
                <c:pt idx="189">
                  <c:v>1.4086510458368793</c:v>
                </c:pt>
                <c:pt idx="190">
                  <c:v>1.4128558791290875</c:v>
                </c:pt>
                <c:pt idx="191">
                  <c:v>1.3601754447807191</c:v>
                </c:pt>
                <c:pt idx="192">
                  <c:v>1.3891342407716079</c:v>
                </c:pt>
                <c:pt idx="193">
                  <c:v>1.4283709586180617</c:v>
                </c:pt>
                <c:pt idx="194">
                  <c:v>1.4562873588107623</c:v>
                </c:pt>
                <c:pt idx="195">
                  <c:v>1.4539004235047663</c:v>
                </c:pt>
                <c:pt idx="196">
                  <c:v>1.4474311909665742</c:v>
                </c:pt>
                <c:pt idx="197">
                  <c:v>1.4645291677787233</c:v>
                </c:pt>
                <c:pt idx="198">
                  <c:v>1.4880745556389248</c:v>
                </c:pt>
                <c:pt idx="199">
                  <c:v>1.5083248984881064</c:v>
                </c:pt>
                <c:pt idx="200">
                  <c:v>1.5120328732356065</c:v>
                </c:pt>
                <c:pt idx="201">
                  <c:v>1.5238584423148909</c:v>
                </c:pt>
                <c:pt idx="202">
                  <c:v>1.5390344494186252</c:v>
                </c:pt>
                <c:pt idx="203">
                  <c:v>1.5474860804071555</c:v>
                </c:pt>
                <c:pt idx="204">
                  <c:v>1.5787512400481414</c:v>
                </c:pt>
                <c:pt idx="205">
                  <c:v>1.5396588797518391</c:v>
                </c:pt>
                <c:pt idx="206">
                  <c:v>1.5118029083010625</c:v>
                </c:pt>
                <c:pt idx="207">
                  <c:v>1.5778918090518899</c:v>
                </c:pt>
                <c:pt idx="208">
                  <c:v>1.6096521486614193</c:v>
                </c:pt>
                <c:pt idx="209">
                  <c:v>1.5837617898993357</c:v>
                </c:pt>
                <c:pt idx="210">
                  <c:v>1.5901554865101226</c:v>
                </c:pt>
                <c:pt idx="211">
                  <c:v>1.6354300428204778</c:v>
                </c:pt>
                <c:pt idx="212">
                  <c:v>1.5765220909016135</c:v>
                </c:pt>
                <c:pt idx="213">
                  <c:v>1.5621635503900171</c:v>
                </c:pt>
                <c:pt idx="214">
                  <c:v>1.5613981196589803</c:v>
                </c:pt>
                <c:pt idx="215">
                  <c:v>1.6219074332388295</c:v>
                </c:pt>
                <c:pt idx="216">
                  <c:v>1.6209926092291476</c:v>
                </c:pt>
                <c:pt idx="217">
                  <c:v>1.6268894472952262</c:v>
                </c:pt>
                <c:pt idx="218">
                  <c:v>1.5695946070704985</c:v>
                </c:pt>
                <c:pt idx="219">
                  <c:v>1.5201873962430108</c:v>
                </c:pt>
                <c:pt idx="220">
                  <c:v>1.5682836390859818</c:v>
                </c:pt>
                <c:pt idx="221">
                  <c:v>1.6092828619052175</c:v>
                </c:pt>
                <c:pt idx="222">
                  <c:v>1.6275088418999468</c:v>
                </c:pt>
                <c:pt idx="223">
                  <c:v>1.5636423759909894</c:v>
                </c:pt>
                <c:pt idx="224">
                  <c:v>1.5794914921367098</c:v>
                </c:pt>
                <c:pt idx="225">
                  <c:v>1.5781217739864335</c:v>
                </c:pt>
                <c:pt idx="226">
                  <c:v>1.6040507400003021</c:v>
                </c:pt>
                <c:pt idx="227">
                  <c:v>1.6083193591867635</c:v>
                </c:pt>
                <c:pt idx="228">
                  <c:v>1.6163177746108641</c:v>
                </c:pt>
                <c:pt idx="229">
                  <c:v>1.6396348761126862</c:v>
                </c:pt>
                <c:pt idx="230">
                  <c:v>1.6690536019726627</c:v>
                </c:pt>
                <c:pt idx="231">
                  <c:v>1.6764259084873847</c:v>
                </c:pt>
                <c:pt idx="232">
                  <c:v>1.6639507304324181</c:v>
                </c:pt>
                <c:pt idx="233">
                  <c:v>1.6764343013682073</c:v>
                </c:pt>
                <c:pt idx="234">
                  <c:v>1.6475510413047236</c:v>
                </c:pt>
                <c:pt idx="235">
                  <c:v>1.6801003117115936</c:v>
                </c:pt>
                <c:pt idx="236">
                  <c:v>1.6225687922476637</c:v>
                </c:pt>
                <c:pt idx="237">
                  <c:v>1.6315793890989907</c:v>
                </c:pt>
                <c:pt idx="238">
                  <c:v>1.6188205316722144</c:v>
                </c:pt>
                <c:pt idx="239">
                  <c:v>1.5459820761637149</c:v>
                </c:pt>
                <c:pt idx="240">
                  <c:v>1.5122829810841252</c:v>
                </c:pt>
                <c:pt idx="241">
                  <c:v>1.5262621633825324</c:v>
                </c:pt>
                <c:pt idx="242">
                  <c:v>1.5676508158719447</c:v>
                </c:pt>
                <c:pt idx="243">
                  <c:v>1.5896401636276045</c:v>
                </c:pt>
                <c:pt idx="244">
                  <c:v>1.636111544743287</c:v>
                </c:pt>
                <c:pt idx="245">
                  <c:v>1.6200156779013768</c:v>
                </c:pt>
                <c:pt idx="246">
                  <c:v>1.6448804266269179</c:v>
                </c:pt>
                <c:pt idx="247">
                  <c:v>1.5930611018509657</c:v>
                </c:pt>
                <c:pt idx="248">
                  <c:v>1.5435649264867568</c:v>
                </c:pt>
                <c:pt idx="249">
                  <c:v>1.4752686980795409</c:v>
                </c:pt>
                <c:pt idx="250">
                  <c:v>1.485585227186891</c:v>
                </c:pt>
                <c:pt idx="251">
                  <c:v>1.5086706851780045</c:v>
                </c:pt>
                <c:pt idx="252">
                  <c:v>1.5655861671895432</c:v>
                </c:pt>
                <c:pt idx="253">
                  <c:v>1.5597044363089452</c:v>
                </c:pt>
                <c:pt idx="254">
                  <c:v>1.5531764536049941</c:v>
                </c:pt>
                <c:pt idx="255">
                  <c:v>1.633682645033177</c:v>
                </c:pt>
                <c:pt idx="256">
                  <c:v>1.6753616911990572</c:v>
                </c:pt>
                <c:pt idx="257">
                  <c:v>1.6931999200997747</c:v>
                </c:pt>
                <c:pt idx="258">
                  <c:v>1.6105485083332911</c:v>
                </c:pt>
                <c:pt idx="259">
                  <c:v>1.6428157779445161</c:v>
                </c:pt>
                <c:pt idx="260">
                  <c:v>1.665501734808466</c:v>
                </c:pt>
                <c:pt idx="261">
                  <c:v>1.6390843031307123</c:v>
                </c:pt>
                <c:pt idx="262">
                  <c:v>1.6195742123700991</c:v>
                </c:pt>
                <c:pt idx="263">
                  <c:v>1.7067376368669041</c:v>
                </c:pt>
                <c:pt idx="264">
                  <c:v>1.7876131150512888</c:v>
                </c:pt>
                <c:pt idx="265">
                  <c:v>1.7951230648115042</c:v>
                </c:pt>
                <c:pt idx="266">
                  <c:v>1.8206491725458795</c:v>
                </c:pt>
                <c:pt idx="267">
                  <c:v>1.840290192247328</c:v>
                </c:pt>
                <c:pt idx="268">
                  <c:v>1.8549340907068985</c:v>
                </c:pt>
                <c:pt idx="269">
                  <c:v>1.9138554712350795</c:v>
                </c:pt>
                <c:pt idx="270">
                  <c:v>1.9389182919480379</c:v>
                </c:pt>
                <c:pt idx="271">
                  <c:v>1.9977758865819657</c:v>
                </c:pt>
                <c:pt idx="272">
                  <c:v>2.0208999518248643</c:v>
                </c:pt>
                <c:pt idx="273">
                  <c:v>1.9921895851063294</c:v>
                </c:pt>
                <c:pt idx="274">
                  <c:v>2.0088175605924028</c:v>
                </c:pt>
                <c:pt idx="275">
                  <c:v>2.0771926820793527</c:v>
                </c:pt>
                <c:pt idx="276">
                  <c:v>1.9620373214624427</c:v>
                </c:pt>
                <c:pt idx="277">
                  <c:v>1.982541129312472</c:v>
                </c:pt>
                <c:pt idx="278">
                  <c:v>1.9227049247746089</c:v>
                </c:pt>
                <c:pt idx="279">
                  <c:v>1.9655673671364999</c:v>
                </c:pt>
                <c:pt idx="280">
                  <c:v>1.9214711712936619</c:v>
                </c:pt>
                <c:pt idx="281">
                  <c:v>1.9832394169969265</c:v>
                </c:pt>
                <c:pt idx="282">
                  <c:v>1.9158966198511773</c:v>
                </c:pt>
                <c:pt idx="283">
                  <c:v>1.8795269100937819</c:v>
                </c:pt>
                <c:pt idx="284">
                  <c:v>1.8794161240669214</c:v>
                </c:pt>
                <c:pt idx="285">
                  <c:v>1.8531648714294586</c:v>
                </c:pt>
                <c:pt idx="286">
                  <c:v>1.9290919070807377</c:v>
                </c:pt>
                <c:pt idx="287">
                  <c:v>1.8562349872344281</c:v>
                </c:pt>
                <c:pt idx="288">
                  <c:v>1.8994146804914198</c:v>
                </c:pt>
                <c:pt idx="289">
                  <c:v>1.9594724570830038</c:v>
                </c:pt>
                <c:pt idx="290">
                  <c:v>1.9047559098470315</c:v>
                </c:pt>
                <c:pt idx="291">
                  <c:v>1.8983001059181559</c:v>
                </c:pt>
                <c:pt idx="292">
                  <c:v>1.928823334894409</c:v>
                </c:pt>
                <c:pt idx="293">
                  <c:v>1.8439394168290688</c:v>
                </c:pt>
                <c:pt idx="294">
                  <c:v>1.6994777949552071</c:v>
                </c:pt>
                <c:pt idx="295">
                  <c:v>1.7286866987946146</c:v>
                </c:pt>
                <c:pt idx="296">
                  <c:v>1.6849614682841427</c:v>
                </c:pt>
                <c:pt idx="297">
                  <c:v>1.6993166516434097</c:v>
                </c:pt>
                <c:pt idx="298">
                  <c:v>1.6645029819905561</c:v>
                </c:pt>
                <c:pt idx="299">
                  <c:v>1.6262935527568096</c:v>
                </c:pt>
                <c:pt idx="300">
                  <c:v>1.6035555600317586</c:v>
                </c:pt>
                <c:pt idx="301">
                  <c:v>1.6947912103037719</c:v>
                </c:pt>
                <c:pt idx="302">
                  <c:v>1.6961055354406178</c:v>
                </c:pt>
                <c:pt idx="303">
                  <c:v>1.8119457551326663</c:v>
                </c:pt>
                <c:pt idx="304">
                  <c:v>1.8212786386075872</c:v>
                </c:pt>
                <c:pt idx="305">
                  <c:v>1.8444245253406251</c:v>
                </c:pt>
                <c:pt idx="306">
                  <c:v>1.7974865000511964</c:v>
                </c:pt>
                <c:pt idx="307">
                  <c:v>1.8665481591894491</c:v>
                </c:pt>
                <c:pt idx="308">
                  <c:v>1.89574363441954</c:v>
                </c:pt>
                <c:pt idx="309">
                  <c:v>1.8048218778902982</c:v>
                </c:pt>
                <c:pt idx="310">
                  <c:v>1.7356578256060078</c:v>
                </c:pt>
                <c:pt idx="311">
                  <c:v>1.7806654883061992</c:v>
                </c:pt>
                <c:pt idx="312">
                  <c:v>1.8007160805917986</c:v>
                </c:pt>
                <c:pt idx="313">
                  <c:v>1.8032960521567185</c:v>
                </c:pt>
                <c:pt idx="314">
                  <c:v>1.6532867360590053</c:v>
                </c:pt>
                <c:pt idx="315">
                  <c:v>1.6022462706234064</c:v>
                </c:pt>
                <c:pt idx="316">
                  <c:v>1.6391094817731806</c:v>
                </c:pt>
                <c:pt idx="317">
                  <c:v>1.6446873903679942</c:v>
                </c:pt>
                <c:pt idx="318">
                  <c:v>1.5587644336567947</c:v>
                </c:pt>
                <c:pt idx="319">
                  <c:v>1.5052648541401241</c:v>
                </c:pt>
                <c:pt idx="320">
                  <c:v>1.5758556961642853</c:v>
                </c:pt>
                <c:pt idx="321">
                  <c:v>1.5968798626253264</c:v>
                </c:pt>
                <c:pt idx="322">
                  <c:v>1.6490617598528223</c:v>
                </c:pt>
                <c:pt idx="323">
                  <c:v>1.6502300488633519</c:v>
                </c:pt>
                <c:pt idx="324">
                  <c:v>1.6703175698245718</c:v>
                </c:pt>
                <c:pt idx="325">
                  <c:v>1.6536241298680807</c:v>
                </c:pt>
                <c:pt idx="326">
                  <c:v>1.6441049244388937</c:v>
                </c:pt>
                <c:pt idx="327">
                  <c:v>1.6151696285143089</c:v>
                </c:pt>
                <c:pt idx="328">
                  <c:v>1.6872325818347844</c:v>
                </c:pt>
                <c:pt idx="329">
                  <c:v>1.7412693057241124</c:v>
                </c:pt>
                <c:pt idx="330">
                  <c:v>1.6851175758674459</c:v>
                </c:pt>
                <c:pt idx="331">
                  <c:v>1.6567462815341516</c:v>
                </c:pt>
                <c:pt idx="332">
                  <c:v>1.6706700708191282</c:v>
                </c:pt>
                <c:pt idx="333">
                  <c:v>1.6644794819242525</c:v>
                </c:pt>
                <c:pt idx="334">
                  <c:v>1.726635478721529</c:v>
                </c:pt>
                <c:pt idx="335">
                  <c:v>1.695909142029365</c:v>
                </c:pt>
                <c:pt idx="336">
                  <c:v>1.6508158719447816</c:v>
                </c:pt>
                <c:pt idx="337">
                  <c:v>1.6166971328240534</c:v>
                </c:pt>
                <c:pt idx="338">
                  <c:v>1.6042420976830611</c:v>
                </c:pt>
                <c:pt idx="339">
                  <c:v>1.6409962013821398</c:v>
                </c:pt>
                <c:pt idx="340">
                  <c:v>1.6164117748760791</c:v>
                </c:pt>
                <c:pt idx="341">
                  <c:v>1.6898058390950459</c:v>
                </c:pt>
                <c:pt idx="342">
                  <c:v>1.7033284486766942</c:v>
                </c:pt>
                <c:pt idx="343">
                  <c:v>1.7352281101078819</c:v>
                </c:pt>
                <c:pt idx="344">
                  <c:v>1.7402151598927724</c:v>
                </c:pt>
                <c:pt idx="345">
                  <c:v>1.7983308238619673</c:v>
                </c:pt>
                <c:pt idx="346">
                  <c:v>1.7699511366478498</c:v>
                </c:pt>
                <c:pt idx="347">
                  <c:v>1.7772378357781795</c:v>
                </c:pt>
                <c:pt idx="348">
                  <c:v>1.7933605598387223</c:v>
                </c:pt>
                <c:pt idx="349">
                  <c:v>1.7748324361343735</c:v>
                </c:pt>
                <c:pt idx="350">
                  <c:v>1.7249334024906713</c:v>
                </c:pt>
                <c:pt idx="351">
                  <c:v>1.7838178543432317</c:v>
                </c:pt>
                <c:pt idx="352">
                  <c:v>1.7643547637152261</c:v>
                </c:pt>
                <c:pt idx="353">
                  <c:v>1.7609707541674851</c:v>
                </c:pt>
                <c:pt idx="354">
                  <c:v>1.7759973679925738</c:v>
                </c:pt>
                <c:pt idx="355">
                  <c:v>1.7978776082975376</c:v>
                </c:pt>
                <c:pt idx="356">
                  <c:v>1.795436958554276</c:v>
                </c:pt>
                <c:pt idx="357">
                  <c:v>1.7220731087062708</c:v>
                </c:pt>
                <c:pt idx="358">
                  <c:v>1.7906966594655749</c:v>
                </c:pt>
                <c:pt idx="359">
                  <c:v>1.7901276221457909</c:v>
                </c:pt>
                <c:pt idx="360">
                  <c:v>1.7959539600129586</c:v>
                </c:pt>
                <c:pt idx="361">
                  <c:v>1.7647458719615674</c:v>
                </c:pt>
                <c:pt idx="362">
                  <c:v>1.880614627448413</c:v>
                </c:pt>
                <c:pt idx="363">
                  <c:v>1.9142499366337498</c:v>
                </c:pt>
                <c:pt idx="364">
                  <c:v>1.9219579583813826</c:v>
                </c:pt>
                <c:pt idx="365">
                  <c:v>1.9271833659816395</c:v>
                </c:pt>
                <c:pt idx="366">
                  <c:v>1.9469821718425562</c:v>
                </c:pt>
                <c:pt idx="367">
                  <c:v>1.9520464361310161</c:v>
                </c:pt>
                <c:pt idx="368">
                  <c:v>1.9522059008666486</c:v>
                </c:pt>
                <c:pt idx="369">
                  <c:v>1.9831152023607495</c:v>
                </c:pt>
                <c:pt idx="370">
                  <c:v>1.9557913395541364</c:v>
                </c:pt>
                <c:pt idx="371">
                  <c:v>1.9583897754568662</c:v>
                </c:pt>
                <c:pt idx="372">
                  <c:v>1.9735053538186769</c:v>
                </c:pt>
                <c:pt idx="373">
                  <c:v>1.981396340368246</c:v>
                </c:pt>
                <c:pt idx="374">
                  <c:v>2.0188839818512343</c:v>
                </c:pt>
                <c:pt idx="375">
                  <c:v>2.0081108800271257</c:v>
                </c:pt>
                <c:pt idx="376">
                  <c:v>2.030278156856228</c:v>
                </c:pt>
                <c:pt idx="377">
                  <c:v>2.0250796064746042</c:v>
                </c:pt>
                <c:pt idx="378">
                  <c:v>2.066809009925421</c:v>
                </c:pt>
                <c:pt idx="379">
                  <c:v>2.0520694326244704</c:v>
                </c:pt>
                <c:pt idx="380">
                  <c:v>2.0325878776586546</c:v>
                </c:pt>
                <c:pt idx="381">
                  <c:v>2.0224442418962538</c:v>
                </c:pt>
                <c:pt idx="382">
                  <c:v>2.0878147120486519</c:v>
                </c:pt>
                <c:pt idx="383">
                  <c:v>2.1346268441257386</c:v>
                </c:pt>
                <c:pt idx="384">
                  <c:v>2.1436105837584325</c:v>
                </c:pt>
                <c:pt idx="385">
                  <c:v>2.1215003785189253</c:v>
                </c:pt>
                <c:pt idx="386">
                  <c:v>2.1153718969421376</c:v>
                </c:pt>
                <c:pt idx="387">
                  <c:v>2.1524281443508357</c:v>
                </c:pt>
                <c:pt idx="388">
                  <c:v>2.1512162123600276</c:v>
                </c:pt>
                <c:pt idx="389">
                  <c:v>2.1406428610995007</c:v>
                </c:pt>
                <c:pt idx="390">
                  <c:v>2.1373998519495823</c:v>
                </c:pt>
                <c:pt idx="391">
                  <c:v>2.0688652657269997</c:v>
                </c:pt>
                <c:pt idx="392">
                  <c:v>2.079534295828906</c:v>
                </c:pt>
                <c:pt idx="393">
                  <c:v>2.1203304109322305</c:v>
                </c:pt>
                <c:pt idx="394">
                  <c:v>2.0545872968713015</c:v>
                </c:pt>
                <c:pt idx="395">
                  <c:v>2.0416018316623106</c:v>
                </c:pt>
                <c:pt idx="396">
                  <c:v>2.0642659670361212</c:v>
                </c:pt>
                <c:pt idx="397">
                  <c:v>2.0166514755523774</c:v>
                </c:pt>
                <c:pt idx="398">
                  <c:v>2.0420197971272849</c:v>
                </c:pt>
                <c:pt idx="399">
                  <c:v>2.0424814055725373</c:v>
                </c:pt>
                <c:pt idx="400">
                  <c:v>2.0382346078762148</c:v>
                </c:pt>
                <c:pt idx="401">
                  <c:v>2.065316755715132</c:v>
                </c:pt>
                <c:pt idx="402">
                  <c:v>2.1013776074582493</c:v>
                </c:pt>
                <c:pt idx="403">
                  <c:v>2.113721856572381</c:v>
                </c:pt>
                <c:pt idx="404">
                  <c:v>2.1534218614402518</c:v>
                </c:pt>
                <c:pt idx="405">
                  <c:v>2.1747532073394065</c:v>
                </c:pt>
                <c:pt idx="406">
                  <c:v>2.1807843314986495</c:v>
                </c:pt>
                <c:pt idx="407">
                  <c:v>2.1806852955049409</c:v>
                </c:pt>
                <c:pt idx="408">
                  <c:v>2.2186647598041436</c:v>
                </c:pt>
                <c:pt idx="409">
                  <c:v>2.2625293121362735</c:v>
                </c:pt>
                <c:pt idx="410">
                  <c:v>2.2035458242900039</c:v>
                </c:pt>
                <c:pt idx="411">
                  <c:v>2.1810965466652563</c:v>
                </c:pt>
                <c:pt idx="412">
                  <c:v>2.1921936136891245</c:v>
                </c:pt>
                <c:pt idx="413">
                  <c:v>2.1588990554651919</c:v>
                </c:pt>
                <c:pt idx="414">
                  <c:v>2.2079487295696301</c:v>
                </c:pt>
                <c:pt idx="415">
                  <c:v>2.1995323486805551</c:v>
                </c:pt>
                <c:pt idx="416">
                  <c:v>2.1943673698222219</c:v>
                </c:pt>
                <c:pt idx="417">
                  <c:v>2.1683242606291637</c:v>
                </c:pt>
                <c:pt idx="418">
                  <c:v>2.2358030224442418</c:v>
                </c:pt>
                <c:pt idx="419">
                  <c:v>2.2232791656805033</c:v>
                </c:pt>
                <c:pt idx="420">
                  <c:v>2.2550747553894883</c:v>
                </c:pt>
                <c:pt idx="421">
                  <c:v>2.2392491393100715</c:v>
                </c:pt>
                <c:pt idx="422">
                  <c:v>2.1460864836011502</c:v>
                </c:pt>
                <c:pt idx="423">
                  <c:v>2.0323327340816424</c:v>
                </c:pt>
                <c:pt idx="424">
                  <c:v>2.0901563257982048</c:v>
                </c:pt>
                <c:pt idx="425">
                  <c:v>2.0954992337299809</c:v>
                </c:pt>
                <c:pt idx="426">
                  <c:v>1.999806963741076</c:v>
                </c:pt>
                <c:pt idx="427">
                  <c:v>2.0724842759377786</c:v>
                </c:pt>
                <c:pt idx="428">
                  <c:v>2.0796853676837159</c:v>
                </c:pt>
                <c:pt idx="429">
                  <c:v>1.9952076650501975</c:v>
                </c:pt>
                <c:pt idx="430">
                  <c:v>2.0305282647047465</c:v>
                </c:pt>
                <c:pt idx="431">
                  <c:v>2.0547904045872127</c:v>
                </c:pt>
                <c:pt idx="432">
                  <c:v>2.0885516069848911</c:v>
                </c:pt>
                <c:pt idx="433">
                  <c:v>2.1050184391591675</c:v>
                </c:pt>
                <c:pt idx="434">
                  <c:v>2.1117948511354729</c:v>
                </c:pt>
                <c:pt idx="435">
                  <c:v>2.1518674999118748</c:v>
                </c:pt>
                <c:pt idx="436">
                  <c:v>2.1823571573648368</c:v>
                </c:pt>
                <c:pt idx="437">
                  <c:v>2.1951949078713469</c:v>
                </c:pt>
                <c:pt idx="438">
                  <c:v>2.1717435202763609</c:v>
                </c:pt>
                <c:pt idx="439">
                  <c:v>2.1358656333351798</c:v>
                </c:pt>
                <c:pt idx="440">
                  <c:v>2.1429626533589148</c:v>
                </c:pt>
                <c:pt idx="441">
                  <c:v>2.1839199117740367</c:v>
                </c:pt>
                <c:pt idx="442">
                  <c:v>2.1116018148765487</c:v>
                </c:pt>
                <c:pt idx="443">
                  <c:v>2.0656558281003718</c:v>
                </c:pt>
                <c:pt idx="444">
                  <c:v>2.0975773110216989</c:v>
                </c:pt>
                <c:pt idx="445">
                  <c:v>2.1050570464109524</c:v>
                </c:pt>
                <c:pt idx="446">
                  <c:v>2.1085300204954147</c:v>
                </c:pt>
                <c:pt idx="447">
                  <c:v>2.1587160906632556</c:v>
                </c:pt>
                <c:pt idx="448">
                  <c:v>2.1176514033736025</c:v>
                </c:pt>
                <c:pt idx="449">
                  <c:v>2.0855217770078709</c:v>
                </c:pt>
                <c:pt idx="450">
                  <c:v>2.0496338186097023</c:v>
                </c:pt>
                <c:pt idx="451">
                  <c:v>2.0805145843090056</c:v>
                </c:pt>
                <c:pt idx="452">
                  <c:v>2.0754016413117733</c:v>
                </c:pt>
                <c:pt idx="453">
                  <c:v>2.0075149854887089</c:v>
                </c:pt>
                <c:pt idx="454">
                  <c:v>2.0351611349189165</c:v>
                </c:pt>
                <c:pt idx="455">
                  <c:v>2.0866178872433245</c:v>
                </c:pt>
                <c:pt idx="456">
                  <c:v>2.0557069071730592</c:v>
                </c:pt>
                <c:pt idx="457">
                  <c:v>2.0330746647463753</c:v>
                </c:pt>
                <c:pt idx="458">
                  <c:v>1.9343592790851087</c:v>
                </c:pt>
                <c:pt idx="459">
                  <c:v>1.9393983647311004</c:v>
                </c:pt>
                <c:pt idx="460">
                  <c:v>1.8801093760228824</c:v>
                </c:pt>
                <c:pt idx="461">
                  <c:v>1.9335502053737936</c:v>
                </c:pt>
                <c:pt idx="462">
                  <c:v>1.9352573173331453</c:v>
                </c:pt>
                <c:pt idx="463">
                  <c:v>1.9036732282208939</c:v>
                </c:pt>
                <c:pt idx="464">
                  <c:v>1.8787782651243909</c:v>
                </c:pt>
                <c:pt idx="465">
                  <c:v>1.889613474266588</c:v>
                </c:pt>
                <c:pt idx="466">
                  <c:v>1.8108630735065288</c:v>
                </c:pt>
                <c:pt idx="467">
                  <c:v>1.8239022531527858</c:v>
                </c:pt>
                <c:pt idx="468">
                  <c:v>1.7849676790159514</c:v>
                </c:pt>
                <c:pt idx="469">
                  <c:v>1.7724018578480987</c:v>
                </c:pt>
                <c:pt idx="470">
                  <c:v>1.8074387781308383</c:v>
                </c:pt>
                <c:pt idx="471">
                  <c:v>1.8275430848537035</c:v>
                </c:pt>
                <c:pt idx="472">
                  <c:v>1.8809352354958431</c:v>
                </c:pt>
                <c:pt idx="473">
                  <c:v>1.8937343787505687</c:v>
                </c:pt>
                <c:pt idx="474">
                  <c:v>1.8767589379984322</c:v>
                </c:pt>
                <c:pt idx="475">
                  <c:v>1.8307860940036225</c:v>
                </c:pt>
                <c:pt idx="476">
                  <c:v>1.8967574944229304</c:v>
                </c:pt>
                <c:pt idx="477">
                  <c:v>1.9232622120612413</c:v>
                </c:pt>
                <c:pt idx="478">
                  <c:v>1.9474303516784921</c:v>
                </c:pt>
                <c:pt idx="479">
                  <c:v>1.9232857121275448</c:v>
                </c:pt>
                <c:pt idx="480">
                  <c:v>1.9615320700369119</c:v>
                </c:pt>
                <c:pt idx="481">
                  <c:v>1.9075624891941658</c:v>
                </c:pt>
                <c:pt idx="482">
                  <c:v>1.9347336015698045</c:v>
                </c:pt>
                <c:pt idx="483">
                  <c:v>2.0159280092254543</c:v>
                </c:pt>
                <c:pt idx="484">
                  <c:v>2.0142796474318625</c:v>
                </c:pt>
                <c:pt idx="485">
                  <c:v>2.0516212527885345</c:v>
                </c:pt>
                <c:pt idx="486">
                  <c:v>2.0671967610194328</c:v>
                </c:pt>
                <c:pt idx="487">
                  <c:v>2.0835746286569878</c:v>
                </c:pt>
                <c:pt idx="488">
                  <c:v>2.0243343186575418</c:v>
                </c:pt>
                <c:pt idx="489">
                  <c:v>2.0543992963408719</c:v>
                </c:pt>
                <c:pt idx="490">
                  <c:v>2.0161445455506821</c:v>
                </c:pt>
                <c:pt idx="491">
                  <c:v>1.9684394109540522</c:v>
                </c:pt>
                <c:pt idx="492">
                  <c:v>2.0219087760997607</c:v>
                </c:pt>
                <c:pt idx="493">
                  <c:v>2.0304728716913165</c:v>
                </c:pt>
                <c:pt idx="494">
                  <c:v>2.0713495584505397</c:v>
                </c:pt>
                <c:pt idx="495">
                  <c:v>2.0812330149074345</c:v>
                </c:pt>
                <c:pt idx="496">
                  <c:v>2.109723488148413</c:v>
                </c:pt>
                <c:pt idx="497">
                  <c:v>2.0685631220173799</c:v>
                </c:pt>
                <c:pt idx="498">
                  <c:v>2.0579461277765745</c:v>
                </c:pt>
                <c:pt idx="499">
                  <c:v>2.0847748106146442</c:v>
                </c:pt>
                <c:pt idx="500">
                  <c:v>1.9928794799099612</c:v>
                </c:pt>
                <c:pt idx="501">
                  <c:v>1.9628933953063652</c:v>
                </c:pt>
                <c:pt idx="502">
                  <c:v>1.9408939760937181</c:v>
                </c:pt>
                <c:pt idx="503">
                  <c:v>1.9490803920482489</c:v>
                </c:pt>
                <c:pt idx="504">
                  <c:v>2.0040990829938412</c:v>
                </c:pt>
                <c:pt idx="505">
                  <c:v>2.0464747382680115</c:v>
                </c:pt>
                <c:pt idx="506">
                  <c:v>2.0929377265028712</c:v>
                </c:pt>
                <c:pt idx="507">
                  <c:v>2.0928504405423145</c:v>
                </c:pt>
                <c:pt idx="508">
                  <c:v>2.0782350778775411</c:v>
                </c:pt>
                <c:pt idx="509">
                  <c:v>2.0164416535318082</c:v>
                </c:pt>
                <c:pt idx="510">
                  <c:v>2.1001757469244287</c:v>
                </c:pt>
                <c:pt idx="511">
                  <c:v>2.1206459832511668</c:v>
                </c:pt>
                <c:pt idx="512">
                  <c:v>2.1644417139605499</c:v>
                </c:pt>
                <c:pt idx="513">
                  <c:v>2.1756109597594935</c:v>
                </c:pt>
                <c:pt idx="514">
                  <c:v>2.2205145507374824</c:v>
                </c:pt>
                <c:pt idx="515">
                  <c:v>2.2227285926985294</c:v>
                </c:pt>
                <c:pt idx="516">
                  <c:v>2.2096575201051456</c:v>
                </c:pt>
                <c:pt idx="517">
                  <c:v>2.2218271972981634</c:v>
                </c:pt>
                <c:pt idx="518">
                  <c:v>2.2101107356695757</c:v>
                </c:pt>
                <c:pt idx="519">
                  <c:v>2.2296057192447076</c:v>
                </c:pt>
                <c:pt idx="520">
                  <c:v>2.2356788078080649</c:v>
                </c:pt>
                <c:pt idx="521">
                  <c:v>2.2387354950037182</c:v>
                </c:pt>
                <c:pt idx="522">
                  <c:v>2.2189333319904723</c:v>
                </c:pt>
                <c:pt idx="523">
                  <c:v>2.2632762785294998</c:v>
                </c:pt>
                <c:pt idx="524">
                  <c:v>2.270463941666121</c:v>
                </c:pt>
                <c:pt idx="525">
                  <c:v>2.2789491441779424</c:v>
                </c:pt>
                <c:pt idx="526">
                  <c:v>2.1791225410957407</c:v>
                </c:pt>
                <c:pt idx="527">
                  <c:v>2.2683959358313901</c:v>
                </c:pt>
                <c:pt idx="528">
                  <c:v>2.3070703306627185</c:v>
                </c:pt>
                <c:pt idx="529">
                  <c:v>2.2793939668615493</c:v>
                </c:pt>
                <c:pt idx="530">
                  <c:v>1.9958858098206778</c:v>
                </c:pt>
                <c:pt idx="531">
                  <c:v>1.9373907876382936</c:v>
                </c:pt>
                <c:pt idx="532">
                  <c:v>1.549674943725734</c:v>
                </c:pt>
                <c:pt idx="533">
                  <c:v>1.4987922644496032</c:v>
                </c:pt>
                <c:pt idx="534">
                  <c:v>1.6168918476591416</c:v>
                </c:pt>
                <c:pt idx="535">
                  <c:v>1.5989730471025259</c:v>
                </c:pt>
                <c:pt idx="536">
                  <c:v>1.7733720748712112</c:v>
                </c:pt>
                <c:pt idx="537">
                  <c:v>1.7836181037796499</c:v>
                </c:pt>
                <c:pt idx="538">
                  <c:v>1.7349914308686798</c:v>
                </c:pt>
                <c:pt idx="539">
                  <c:v>1.8232090011968247</c:v>
                </c:pt>
                <c:pt idx="540">
                  <c:v>1.8304000214857747</c:v>
                </c:pt>
                <c:pt idx="541">
                  <c:v>1.7566584920007453</c:v>
                </c:pt>
                <c:pt idx="542">
                  <c:v>1.8588334231371582</c:v>
                </c:pt>
                <c:pt idx="543">
                  <c:v>1.9449410232264583</c:v>
                </c:pt>
                <c:pt idx="544">
                  <c:v>2.156580941781943</c:v>
                </c:pt>
                <c:pt idx="545">
                  <c:v>2.0057776591583956</c:v>
                </c:pt>
                <c:pt idx="546">
                  <c:v>2.0698119826838082</c:v>
                </c:pt>
                <c:pt idx="547">
                  <c:v>2.0292961897999637</c:v>
                </c:pt>
                <c:pt idx="548">
                  <c:v>2.1029504333244367</c:v>
                </c:pt>
                <c:pt idx="549">
                  <c:v>2.1206644475889771</c:v>
                </c:pt>
                <c:pt idx="550">
                  <c:v>2.1686549401335813</c:v>
                </c:pt>
                <c:pt idx="551">
                  <c:v>2.1549661515116414</c:v>
                </c:pt>
                <c:pt idx="552">
                  <c:v>2.066891260157484</c:v>
                </c:pt>
                <c:pt idx="553">
                  <c:v>2.1275751456584464</c:v>
                </c:pt>
                <c:pt idx="554">
                  <c:v>2.1655881814809406</c:v>
                </c:pt>
                <c:pt idx="555">
                  <c:v>2.1426689025301178</c:v>
                </c:pt>
                <c:pt idx="556">
                  <c:v>2.1877218867867518</c:v>
                </c:pt>
                <c:pt idx="557">
                  <c:v>2.1557382965473364</c:v>
                </c:pt>
                <c:pt idx="558">
                  <c:v>2.2161972528422491</c:v>
                </c:pt>
                <c:pt idx="559">
                  <c:v>2.2016624618333744</c:v>
                </c:pt>
                <c:pt idx="560">
                  <c:v>2.0930501911058963</c:v>
                </c:pt>
                <c:pt idx="561">
                  <c:v>2.1299520095074556</c:v>
                </c:pt>
                <c:pt idx="562">
                  <c:v>2.190748359611443</c:v>
                </c:pt>
                <c:pt idx="563">
                  <c:v>2.1668722922468242</c:v>
                </c:pt>
                <c:pt idx="564">
                  <c:v>2.1226854532911004</c:v>
                </c:pt>
                <c:pt idx="565">
                  <c:v>1.9398431874147071</c:v>
                </c:pt>
                <c:pt idx="566">
                  <c:v>2.094866410515944</c:v>
                </c:pt>
                <c:pt idx="567">
                  <c:v>2.1950270502548914</c:v>
                </c:pt>
                <c:pt idx="568">
                  <c:v>2.2051874717789381</c:v>
                </c:pt>
                <c:pt idx="569">
                  <c:v>2.2384954586121868</c:v>
                </c:pt>
                <c:pt idx="570">
                  <c:v>2.2323317269359437</c:v>
                </c:pt>
                <c:pt idx="571">
                  <c:v>2.2013351394812863</c:v>
                </c:pt>
                <c:pt idx="572">
                  <c:v>2.2879849196717377</c:v>
                </c:pt>
                <c:pt idx="573">
                  <c:v>2.2807200420315468</c:v>
                </c:pt>
                <c:pt idx="574">
                  <c:v>2.3028017114762576</c:v>
                </c:pt>
                <c:pt idx="575">
                  <c:v>2.3583206181188867</c:v>
                </c:pt>
                <c:pt idx="576">
                  <c:v>2.3143754941308581</c:v>
                </c:pt>
                <c:pt idx="577">
                  <c:v>2.3288515349739733</c:v>
                </c:pt>
                <c:pt idx="578">
                  <c:v>2.2548095403554891</c:v>
                </c:pt>
                <c:pt idx="579">
                  <c:v>2.3595275143812011</c:v>
                </c:pt>
                <c:pt idx="580">
                  <c:v>2.3583810468608104</c:v>
                </c:pt>
                <c:pt idx="581">
                  <c:v>2.3488702343124466</c:v>
                </c:pt>
                <c:pt idx="582">
                  <c:v>2.3141337791631629</c:v>
                </c:pt>
                <c:pt idx="583">
                  <c:v>2.3366938428147708</c:v>
                </c:pt>
                <c:pt idx="584">
                  <c:v>2.4343366183068871</c:v>
                </c:pt>
                <c:pt idx="585">
                  <c:v>2.4542462101946643</c:v>
                </c:pt>
                <c:pt idx="586">
                  <c:v>2.4757219136439708</c:v>
                </c:pt>
                <c:pt idx="587">
                  <c:v>2.5358535475867949</c:v>
                </c:pt>
                <c:pt idx="588">
                  <c:v>2.5571697863004683</c:v>
                </c:pt>
                <c:pt idx="589">
                  <c:v>2.5950367859966459</c:v>
                </c:pt>
                <c:pt idx="590">
                  <c:v>2.5648005935445317</c:v>
                </c:pt>
                <c:pt idx="591">
                  <c:v>2.5406777754837235</c:v>
                </c:pt>
                <c:pt idx="592">
                  <c:v>2.5849485432476755</c:v>
                </c:pt>
                <c:pt idx="593">
                  <c:v>2.5878004441512528</c:v>
                </c:pt>
                <c:pt idx="594">
                  <c:v>2.5913036326066776</c:v>
                </c:pt>
                <c:pt idx="595">
                  <c:v>2.605146850235756</c:v>
                </c:pt>
                <c:pt idx="596">
                  <c:v>2.6341727892732267</c:v>
                </c:pt>
                <c:pt idx="597">
                  <c:v>2.6342348965913152</c:v>
                </c:pt>
                <c:pt idx="598">
                  <c:v>2.5930711733079534</c:v>
                </c:pt>
                <c:pt idx="599">
                  <c:v>2.6199166419076678</c:v>
                </c:pt>
                <c:pt idx="600">
                  <c:v>2.6269868047127702</c:v>
                </c:pt>
                <c:pt idx="601">
                  <c:v>2.6333385369194433</c:v>
                </c:pt>
                <c:pt idx="602">
                  <c:v>2.6085593955782946</c:v>
                </c:pt>
                <c:pt idx="603">
                  <c:v>2.6302096709487146</c:v>
                </c:pt>
                <c:pt idx="604">
                  <c:v>2.6092442546534325</c:v>
                </c:pt>
                <c:pt idx="605">
                  <c:v>2.645679428881246</c:v>
                </c:pt>
                <c:pt idx="606">
                  <c:v>2.6819349954594514</c:v>
                </c:pt>
                <c:pt idx="607">
                  <c:v>2.6534999152319036</c:v>
                </c:pt>
                <c:pt idx="608">
                  <c:v>2.66083697164717</c:v>
                </c:pt>
                <c:pt idx="609">
                  <c:v>2.6489946168062404</c:v>
                </c:pt>
                <c:pt idx="610">
                  <c:v>2.6202254999219461</c:v>
                </c:pt>
                <c:pt idx="611">
                  <c:v>2.6001430146892197</c:v>
                </c:pt>
                <c:pt idx="612">
                  <c:v>2.6071225343814364</c:v>
                </c:pt>
                <c:pt idx="613">
                  <c:v>2.5441238923495533</c:v>
                </c:pt>
                <c:pt idx="614">
                  <c:v>2.5524647373112228</c:v>
                </c:pt>
                <c:pt idx="615">
                  <c:v>2.616457096432522</c:v>
                </c:pt>
                <c:pt idx="616">
                  <c:v>2.6090075754142306</c:v>
                </c:pt>
                <c:pt idx="617">
                  <c:v>2.6334795373172661</c:v>
                </c:pt>
                <c:pt idx="618">
                  <c:v>2.694846603317202</c:v>
                </c:pt>
                <c:pt idx="619">
                  <c:v>2.7015122292666467</c:v>
                </c:pt>
                <c:pt idx="620">
                  <c:v>2.7125740461910586</c:v>
                </c:pt>
                <c:pt idx="621">
                  <c:v>2.5610103685649683</c:v>
                </c:pt>
                <c:pt idx="622">
                  <c:v>2.5463966844763597</c:v>
                </c:pt>
                <c:pt idx="623">
                  <c:v>2.622491577744094</c:v>
                </c:pt>
                <c:pt idx="624">
                  <c:v>2.6071124629244489</c:v>
                </c:pt>
                <c:pt idx="625">
                  <c:v>2.6448166407326648</c:v>
                </c:pt>
                <c:pt idx="626">
                  <c:v>2.6663947373280088</c:v>
                </c:pt>
                <c:pt idx="627">
                  <c:v>2.6769496242507254</c:v>
                </c:pt>
                <c:pt idx="628">
                  <c:v>2.6661228079893511</c:v>
                </c:pt>
                <c:pt idx="629">
                  <c:v>2.6192301042563653</c:v>
                </c:pt>
                <c:pt idx="630">
                  <c:v>2.5714024335997232</c:v>
                </c:pt>
                <c:pt idx="631">
                  <c:v>2.5345761511255689</c:v>
                </c:pt>
                <c:pt idx="632">
                  <c:v>2.5892238767387949</c:v>
                </c:pt>
                <c:pt idx="633">
                  <c:v>2.5249998741067876</c:v>
                </c:pt>
                <c:pt idx="634">
                  <c:v>2.4452205061578565</c:v>
                </c:pt>
                <c:pt idx="635">
                  <c:v>2.1980182729801272</c:v>
                </c:pt>
                <c:pt idx="636">
                  <c:v>2.2875820613922446</c:v>
                </c:pt>
                <c:pt idx="637">
                  <c:v>2.4193469331574184</c:v>
                </c:pt>
                <c:pt idx="638">
                  <c:v>2.4013307751832587</c:v>
                </c:pt>
                <c:pt idx="639">
                  <c:v>2.4249516989708648</c:v>
                </c:pt>
              </c:numCache>
            </c:numRef>
          </c:val>
          <c:smooth val="0"/>
          <c:extLst xmlns:c16r2="http://schemas.microsoft.com/office/drawing/2015/06/chart">
            <c:ext xmlns:c16="http://schemas.microsoft.com/office/drawing/2014/chart" uri="{C3380CC4-5D6E-409C-BE32-E72D297353CC}">
              <c16:uniqueId val="{00000003-E880-4D3D-8035-5D6CA951EFCC}"/>
            </c:ext>
          </c:extLst>
        </c:ser>
        <c:ser>
          <c:idx val="1"/>
          <c:order val="3"/>
          <c:tx>
            <c:strRef>
              <c:f>'Graf 6'!$L$3</c:f>
              <c:strCache>
                <c:ptCount val="1"/>
                <c:pt idx="0">
                  <c:v>Shanghai Composite</c:v>
                </c:pt>
              </c:strCache>
            </c:strRef>
          </c:tx>
          <c:spPr>
            <a:ln w="19050">
              <a:solidFill>
                <a:srgbClr val="D3BEDE"/>
              </a:solidFill>
            </a:ln>
          </c:spPr>
          <c:marker>
            <c:symbol val="none"/>
          </c:marker>
          <c:cat>
            <c:numRef>
              <c:f>'Graf 6'!$H$4:$H$643</c:f>
              <c:numCache>
                <c:formatCode>m/d/yyyy</c:formatCode>
                <c:ptCount val="640"/>
                <c:pt idx="0">
                  <c:v>40179</c:v>
                </c:pt>
                <c:pt idx="1">
                  <c:v>40186</c:v>
                </c:pt>
                <c:pt idx="2">
                  <c:v>40193</c:v>
                </c:pt>
                <c:pt idx="3">
                  <c:v>40200</c:v>
                </c:pt>
                <c:pt idx="4">
                  <c:v>40207</c:v>
                </c:pt>
                <c:pt idx="5">
                  <c:v>40214</c:v>
                </c:pt>
                <c:pt idx="6">
                  <c:v>40221</c:v>
                </c:pt>
                <c:pt idx="7">
                  <c:v>40228</c:v>
                </c:pt>
                <c:pt idx="8">
                  <c:v>40235</c:v>
                </c:pt>
                <c:pt idx="9">
                  <c:v>40242</c:v>
                </c:pt>
                <c:pt idx="10">
                  <c:v>40249</c:v>
                </c:pt>
                <c:pt idx="11">
                  <c:v>40256</c:v>
                </c:pt>
                <c:pt idx="12">
                  <c:v>40263</c:v>
                </c:pt>
                <c:pt idx="13">
                  <c:v>40270</c:v>
                </c:pt>
                <c:pt idx="14">
                  <c:v>40277</c:v>
                </c:pt>
                <c:pt idx="15">
                  <c:v>40284</c:v>
                </c:pt>
                <c:pt idx="16">
                  <c:v>40291</c:v>
                </c:pt>
                <c:pt idx="17">
                  <c:v>40298</c:v>
                </c:pt>
                <c:pt idx="18">
                  <c:v>40305</c:v>
                </c:pt>
                <c:pt idx="19">
                  <c:v>40312</c:v>
                </c:pt>
                <c:pt idx="20">
                  <c:v>40319</c:v>
                </c:pt>
                <c:pt idx="21">
                  <c:v>40326</c:v>
                </c:pt>
                <c:pt idx="22">
                  <c:v>40333</c:v>
                </c:pt>
                <c:pt idx="23">
                  <c:v>40340</c:v>
                </c:pt>
                <c:pt idx="24">
                  <c:v>40347</c:v>
                </c:pt>
                <c:pt idx="25">
                  <c:v>40354</c:v>
                </c:pt>
                <c:pt idx="26">
                  <c:v>40361</c:v>
                </c:pt>
                <c:pt idx="27">
                  <c:v>40368</c:v>
                </c:pt>
                <c:pt idx="28">
                  <c:v>40375</c:v>
                </c:pt>
                <c:pt idx="29">
                  <c:v>40382</c:v>
                </c:pt>
                <c:pt idx="30">
                  <c:v>40389</c:v>
                </c:pt>
                <c:pt idx="31">
                  <c:v>40396</c:v>
                </c:pt>
                <c:pt idx="32">
                  <c:v>40403</c:v>
                </c:pt>
                <c:pt idx="33">
                  <c:v>40410</c:v>
                </c:pt>
                <c:pt idx="34">
                  <c:v>40417</c:v>
                </c:pt>
                <c:pt idx="35">
                  <c:v>40424</c:v>
                </c:pt>
                <c:pt idx="36">
                  <c:v>40431</c:v>
                </c:pt>
                <c:pt idx="37">
                  <c:v>40438</c:v>
                </c:pt>
                <c:pt idx="38">
                  <c:v>40445</c:v>
                </c:pt>
                <c:pt idx="39">
                  <c:v>40452</c:v>
                </c:pt>
                <c:pt idx="40">
                  <c:v>40459</c:v>
                </c:pt>
                <c:pt idx="41">
                  <c:v>40466</c:v>
                </c:pt>
                <c:pt idx="42">
                  <c:v>40473</c:v>
                </c:pt>
                <c:pt idx="43">
                  <c:v>40480</c:v>
                </c:pt>
                <c:pt idx="44">
                  <c:v>40487</c:v>
                </c:pt>
                <c:pt idx="45">
                  <c:v>40494</c:v>
                </c:pt>
                <c:pt idx="46">
                  <c:v>40501</c:v>
                </c:pt>
                <c:pt idx="47">
                  <c:v>40508</c:v>
                </c:pt>
                <c:pt idx="48">
                  <c:v>40515</c:v>
                </c:pt>
                <c:pt idx="49">
                  <c:v>40522</c:v>
                </c:pt>
                <c:pt idx="50">
                  <c:v>40529</c:v>
                </c:pt>
                <c:pt idx="51">
                  <c:v>40536</c:v>
                </c:pt>
                <c:pt idx="52">
                  <c:v>40543</c:v>
                </c:pt>
                <c:pt idx="53">
                  <c:v>40550</c:v>
                </c:pt>
                <c:pt idx="54">
                  <c:v>40557</c:v>
                </c:pt>
                <c:pt idx="55">
                  <c:v>40564</c:v>
                </c:pt>
                <c:pt idx="56">
                  <c:v>40571</c:v>
                </c:pt>
                <c:pt idx="57">
                  <c:v>40578</c:v>
                </c:pt>
                <c:pt idx="58">
                  <c:v>40585</c:v>
                </c:pt>
                <c:pt idx="59">
                  <c:v>40592</c:v>
                </c:pt>
                <c:pt idx="60">
                  <c:v>40599</c:v>
                </c:pt>
                <c:pt idx="61">
                  <c:v>40606</c:v>
                </c:pt>
                <c:pt idx="62">
                  <c:v>40613</c:v>
                </c:pt>
                <c:pt idx="63">
                  <c:v>40620</c:v>
                </c:pt>
                <c:pt idx="64">
                  <c:v>40627</c:v>
                </c:pt>
                <c:pt idx="65">
                  <c:v>40634</c:v>
                </c:pt>
                <c:pt idx="66">
                  <c:v>40641</c:v>
                </c:pt>
                <c:pt idx="67">
                  <c:v>40648</c:v>
                </c:pt>
                <c:pt idx="68">
                  <c:v>40655</c:v>
                </c:pt>
                <c:pt idx="69">
                  <c:v>40662</c:v>
                </c:pt>
                <c:pt idx="70">
                  <c:v>40669</c:v>
                </c:pt>
                <c:pt idx="71">
                  <c:v>40676</c:v>
                </c:pt>
                <c:pt idx="72">
                  <c:v>40683</c:v>
                </c:pt>
                <c:pt idx="73">
                  <c:v>40690</c:v>
                </c:pt>
                <c:pt idx="74">
                  <c:v>40697</c:v>
                </c:pt>
                <c:pt idx="75">
                  <c:v>40704</c:v>
                </c:pt>
                <c:pt idx="76">
                  <c:v>40711</c:v>
                </c:pt>
                <c:pt idx="77">
                  <c:v>40718</c:v>
                </c:pt>
                <c:pt idx="78">
                  <c:v>40725</c:v>
                </c:pt>
                <c:pt idx="79">
                  <c:v>40732</c:v>
                </c:pt>
                <c:pt idx="80">
                  <c:v>40739</c:v>
                </c:pt>
                <c:pt idx="81">
                  <c:v>40746</c:v>
                </c:pt>
                <c:pt idx="82">
                  <c:v>40753</c:v>
                </c:pt>
                <c:pt idx="83">
                  <c:v>40760</c:v>
                </c:pt>
                <c:pt idx="84">
                  <c:v>40767</c:v>
                </c:pt>
                <c:pt idx="85">
                  <c:v>40774</c:v>
                </c:pt>
                <c:pt idx="86">
                  <c:v>40781</c:v>
                </c:pt>
                <c:pt idx="87">
                  <c:v>40788</c:v>
                </c:pt>
                <c:pt idx="88">
                  <c:v>40795</c:v>
                </c:pt>
                <c:pt idx="89">
                  <c:v>40802</c:v>
                </c:pt>
                <c:pt idx="90">
                  <c:v>40809</c:v>
                </c:pt>
                <c:pt idx="91">
                  <c:v>40816</c:v>
                </c:pt>
                <c:pt idx="92">
                  <c:v>40823</c:v>
                </c:pt>
                <c:pt idx="93">
                  <c:v>40830</c:v>
                </c:pt>
                <c:pt idx="94">
                  <c:v>40837</c:v>
                </c:pt>
                <c:pt idx="95">
                  <c:v>40844</c:v>
                </c:pt>
                <c:pt idx="96">
                  <c:v>40851</c:v>
                </c:pt>
                <c:pt idx="97">
                  <c:v>40858</c:v>
                </c:pt>
                <c:pt idx="98">
                  <c:v>40865</c:v>
                </c:pt>
                <c:pt idx="99">
                  <c:v>40872</c:v>
                </c:pt>
                <c:pt idx="100">
                  <c:v>40879</c:v>
                </c:pt>
                <c:pt idx="101">
                  <c:v>40886</c:v>
                </c:pt>
                <c:pt idx="102">
                  <c:v>40893</c:v>
                </c:pt>
                <c:pt idx="103">
                  <c:v>40900</c:v>
                </c:pt>
                <c:pt idx="104">
                  <c:v>40907</c:v>
                </c:pt>
                <c:pt idx="105">
                  <c:v>40914</c:v>
                </c:pt>
                <c:pt idx="106">
                  <c:v>40921</c:v>
                </c:pt>
                <c:pt idx="107">
                  <c:v>40928</c:v>
                </c:pt>
                <c:pt idx="108">
                  <c:v>40935</c:v>
                </c:pt>
                <c:pt idx="109">
                  <c:v>40942</c:v>
                </c:pt>
                <c:pt idx="110">
                  <c:v>40949</c:v>
                </c:pt>
                <c:pt idx="111">
                  <c:v>40956</c:v>
                </c:pt>
                <c:pt idx="112">
                  <c:v>40963</c:v>
                </c:pt>
                <c:pt idx="113">
                  <c:v>40970</c:v>
                </c:pt>
                <c:pt idx="114">
                  <c:v>40977</c:v>
                </c:pt>
                <c:pt idx="115">
                  <c:v>40984</c:v>
                </c:pt>
                <c:pt idx="116">
                  <c:v>40991</c:v>
                </c:pt>
                <c:pt idx="117">
                  <c:v>40998</c:v>
                </c:pt>
                <c:pt idx="118">
                  <c:v>41005</c:v>
                </c:pt>
                <c:pt idx="119">
                  <c:v>41012</c:v>
                </c:pt>
                <c:pt idx="120">
                  <c:v>41019</c:v>
                </c:pt>
                <c:pt idx="121">
                  <c:v>41026</c:v>
                </c:pt>
                <c:pt idx="122">
                  <c:v>41033</c:v>
                </c:pt>
                <c:pt idx="123">
                  <c:v>41040</c:v>
                </c:pt>
                <c:pt idx="124">
                  <c:v>41047</c:v>
                </c:pt>
                <c:pt idx="125">
                  <c:v>41054</c:v>
                </c:pt>
                <c:pt idx="126">
                  <c:v>41061</c:v>
                </c:pt>
                <c:pt idx="127">
                  <c:v>41068</c:v>
                </c:pt>
                <c:pt idx="128">
                  <c:v>41075</c:v>
                </c:pt>
                <c:pt idx="129">
                  <c:v>41082</c:v>
                </c:pt>
                <c:pt idx="130">
                  <c:v>41089</c:v>
                </c:pt>
                <c:pt idx="131">
                  <c:v>41096</c:v>
                </c:pt>
                <c:pt idx="132">
                  <c:v>41103</c:v>
                </c:pt>
                <c:pt idx="133">
                  <c:v>41110</c:v>
                </c:pt>
                <c:pt idx="134">
                  <c:v>41117</c:v>
                </c:pt>
                <c:pt idx="135">
                  <c:v>41124</c:v>
                </c:pt>
                <c:pt idx="136">
                  <c:v>41131</c:v>
                </c:pt>
                <c:pt idx="137">
                  <c:v>41138</c:v>
                </c:pt>
                <c:pt idx="138">
                  <c:v>41145</c:v>
                </c:pt>
                <c:pt idx="139">
                  <c:v>41152</c:v>
                </c:pt>
                <c:pt idx="140">
                  <c:v>41159</c:v>
                </c:pt>
                <c:pt idx="141">
                  <c:v>41166</c:v>
                </c:pt>
                <c:pt idx="142">
                  <c:v>41173</c:v>
                </c:pt>
                <c:pt idx="143">
                  <c:v>41180</c:v>
                </c:pt>
                <c:pt idx="144">
                  <c:v>41187</c:v>
                </c:pt>
                <c:pt idx="145">
                  <c:v>41194</c:v>
                </c:pt>
                <c:pt idx="146">
                  <c:v>41201</c:v>
                </c:pt>
                <c:pt idx="147">
                  <c:v>41208</c:v>
                </c:pt>
                <c:pt idx="148">
                  <c:v>41215</c:v>
                </c:pt>
                <c:pt idx="149">
                  <c:v>41222</c:v>
                </c:pt>
                <c:pt idx="150">
                  <c:v>41229</c:v>
                </c:pt>
                <c:pt idx="151">
                  <c:v>41236</c:v>
                </c:pt>
                <c:pt idx="152">
                  <c:v>41243</c:v>
                </c:pt>
                <c:pt idx="153">
                  <c:v>41250</c:v>
                </c:pt>
                <c:pt idx="154">
                  <c:v>41257</c:v>
                </c:pt>
                <c:pt idx="155">
                  <c:v>41264</c:v>
                </c:pt>
                <c:pt idx="156">
                  <c:v>41271</c:v>
                </c:pt>
                <c:pt idx="157">
                  <c:v>41278</c:v>
                </c:pt>
                <c:pt idx="158">
                  <c:v>41285</c:v>
                </c:pt>
                <c:pt idx="159">
                  <c:v>41292</c:v>
                </c:pt>
                <c:pt idx="160">
                  <c:v>41299</c:v>
                </c:pt>
                <c:pt idx="161">
                  <c:v>41306</c:v>
                </c:pt>
                <c:pt idx="162">
                  <c:v>41313</c:v>
                </c:pt>
                <c:pt idx="163">
                  <c:v>41320</c:v>
                </c:pt>
                <c:pt idx="164">
                  <c:v>41327</c:v>
                </c:pt>
                <c:pt idx="165">
                  <c:v>41334</c:v>
                </c:pt>
                <c:pt idx="166">
                  <c:v>41341</c:v>
                </c:pt>
                <c:pt idx="167">
                  <c:v>41348</c:v>
                </c:pt>
                <c:pt idx="168">
                  <c:v>41355</c:v>
                </c:pt>
                <c:pt idx="169">
                  <c:v>41362</c:v>
                </c:pt>
                <c:pt idx="170">
                  <c:v>41369</c:v>
                </c:pt>
                <c:pt idx="171">
                  <c:v>41376</c:v>
                </c:pt>
                <c:pt idx="172">
                  <c:v>41383</c:v>
                </c:pt>
                <c:pt idx="173">
                  <c:v>41390</c:v>
                </c:pt>
                <c:pt idx="174">
                  <c:v>41397</c:v>
                </c:pt>
                <c:pt idx="175">
                  <c:v>41404</c:v>
                </c:pt>
                <c:pt idx="176">
                  <c:v>41411</c:v>
                </c:pt>
                <c:pt idx="177">
                  <c:v>41418</c:v>
                </c:pt>
                <c:pt idx="178">
                  <c:v>41425</c:v>
                </c:pt>
                <c:pt idx="179">
                  <c:v>41432</c:v>
                </c:pt>
                <c:pt idx="180">
                  <c:v>41439</c:v>
                </c:pt>
                <c:pt idx="181">
                  <c:v>41446</c:v>
                </c:pt>
                <c:pt idx="182">
                  <c:v>41453</c:v>
                </c:pt>
                <c:pt idx="183">
                  <c:v>41460</c:v>
                </c:pt>
                <c:pt idx="184">
                  <c:v>41467</c:v>
                </c:pt>
                <c:pt idx="185">
                  <c:v>41474</c:v>
                </c:pt>
                <c:pt idx="186">
                  <c:v>41481</c:v>
                </c:pt>
                <c:pt idx="187">
                  <c:v>41488</c:v>
                </c:pt>
                <c:pt idx="188">
                  <c:v>41495</c:v>
                </c:pt>
                <c:pt idx="189">
                  <c:v>41502</c:v>
                </c:pt>
                <c:pt idx="190">
                  <c:v>41509</c:v>
                </c:pt>
                <c:pt idx="191">
                  <c:v>41516</c:v>
                </c:pt>
                <c:pt idx="192">
                  <c:v>41523</c:v>
                </c:pt>
                <c:pt idx="193">
                  <c:v>41530</c:v>
                </c:pt>
                <c:pt idx="194">
                  <c:v>41537</c:v>
                </c:pt>
                <c:pt idx="195">
                  <c:v>41544</c:v>
                </c:pt>
                <c:pt idx="196">
                  <c:v>41551</c:v>
                </c:pt>
                <c:pt idx="197">
                  <c:v>41558</c:v>
                </c:pt>
                <c:pt idx="198">
                  <c:v>41565</c:v>
                </c:pt>
                <c:pt idx="199">
                  <c:v>41572</c:v>
                </c:pt>
                <c:pt idx="200">
                  <c:v>41579</c:v>
                </c:pt>
                <c:pt idx="201">
                  <c:v>41586</c:v>
                </c:pt>
                <c:pt idx="202">
                  <c:v>41593</c:v>
                </c:pt>
                <c:pt idx="203">
                  <c:v>41600</c:v>
                </c:pt>
                <c:pt idx="204">
                  <c:v>41607</c:v>
                </c:pt>
                <c:pt idx="205">
                  <c:v>41614</c:v>
                </c:pt>
                <c:pt idx="206">
                  <c:v>41621</c:v>
                </c:pt>
                <c:pt idx="207">
                  <c:v>41628</c:v>
                </c:pt>
                <c:pt idx="208">
                  <c:v>41635</c:v>
                </c:pt>
                <c:pt idx="209">
                  <c:v>41642</c:v>
                </c:pt>
                <c:pt idx="210">
                  <c:v>41649</c:v>
                </c:pt>
                <c:pt idx="211">
                  <c:v>41656</c:v>
                </c:pt>
                <c:pt idx="212">
                  <c:v>41663</c:v>
                </c:pt>
                <c:pt idx="213">
                  <c:v>41670</c:v>
                </c:pt>
                <c:pt idx="214">
                  <c:v>41677</c:v>
                </c:pt>
                <c:pt idx="215">
                  <c:v>41684</c:v>
                </c:pt>
                <c:pt idx="216">
                  <c:v>41691</c:v>
                </c:pt>
                <c:pt idx="217">
                  <c:v>41698</c:v>
                </c:pt>
                <c:pt idx="218">
                  <c:v>41705</c:v>
                </c:pt>
                <c:pt idx="219">
                  <c:v>41712</c:v>
                </c:pt>
                <c:pt idx="220">
                  <c:v>41719</c:v>
                </c:pt>
                <c:pt idx="221">
                  <c:v>41726</c:v>
                </c:pt>
                <c:pt idx="222">
                  <c:v>41733</c:v>
                </c:pt>
                <c:pt idx="223">
                  <c:v>41740</c:v>
                </c:pt>
                <c:pt idx="224">
                  <c:v>41747</c:v>
                </c:pt>
                <c:pt idx="225">
                  <c:v>41754</c:v>
                </c:pt>
                <c:pt idx="226">
                  <c:v>41761</c:v>
                </c:pt>
                <c:pt idx="227">
                  <c:v>41768</c:v>
                </c:pt>
                <c:pt idx="228">
                  <c:v>41775</c:v>
                </c:pt>
                <c:pt idx="229">
                  <c:v>41782</c:v>
                </c:pt>
                <c:pt idx="230">
                  <c:v>41789</c:v>
                </c:pt>
                <c:pt idx="231">
                  <c:v>41796</c:v>
                </c:pt>
                <c:pt idx="232">
                  <c:v>41803</c:v>
                </c:pt>
                <c:pt idx="233">
                  <c:v>41810</c:v>
                </c:pt>
                <c:pt idx="234">
                  <c:v>41817</c:v>
                </c:pt>
                <c:pt idx="235">
                  <c:v>41824</c:v>
                </c:pt>
                <c:pt idx="236">
                  <c:v>41831</c:v>
                </c:pt>
                <c:pt idx="237">
                  <c:v>41838</c:v>
                </c:pt>
                <c:pt idx="238">
                  <c:v>41845</c:v>
                </c:pt>
                <c:pt idx="239">
                  <c:v>41852</c:v>
                </c:pt>
                <c:pt idx="240">
                  <c:v>41859</c:v>
                </c:pt>
                <c:pt idx="241">
                  <c:v>41866</c:v>
                </c:pt>
                <c:pt idx="242">
                  <c:v>41873</c:v>
                </c:pt>
                <c:pt idx="243">
                  <c:v>41880</c:v>
                </c:pt>
                <c:pt idx="244">
                  <c:v>41887</c:v>
                </c:pt>
                <c:pt idx="245">
                  <c:v>41894</c:v>
                </c:pt>
                <c:pt idx="246">
                  <c:v>41901</c:v>
                </c:pt>
                <c:pt idx="247">
                  <c:v>41908</c:v>
                </c:pt>
                <c:pt idx="248">
                  <c:v>41915</c:v>
                </c:pt>
                <c:pt idx="249">
                  <c:v>41922</c:v>
                </c:pt>
                <c:pt idx="250">
                  <c:v>41929</c:v>
                </c:pt>
                <c:pt idx="251">
                  <c:v>41936</c:v>
                </c:pt>
                <c:pt idx="252">
                  <c:v>41943</c:v>
                </c:pt>
                <c:pt idx="253">
                  <c:v>41950</c:v>
                </c:pt>
                <c:pt idx="254">
                  <c:v>41957</c:v>
                </c:pt>
                <c:pt idx="255">
                  <c:v>41964</c:v>
                </c:pt>
                <c:pt idx="256">
                  <c:v>41971</c:v>
                </c:pt>
                <c:pt idx="257">
                  <c:v>41978</c:v>
                </c:pt>
                <c:pt idx="258">
                  <c:v>41985</c:v>
                </c:pt>
                <c:pt idx="259">
                  <c:v>41992</c:v>
                </c:pt>
                <c:pt idx="260">
                  <c:v>41999</c:v>
                </c:pt>
                <c:pt idx="261">
                  <c:v>42006</c:v>
                </c:pt>
                <c:pt idx="262">
                  <c:v>42013</c:v>
                </c:pt>
                <c:pt idx="263">
                  <c:v>42020</c:v>
                </c:pt>
                <c:pt idx="264">
                  <c:v>42027</c:v>
                </c:pt>
                <c:pt idx="265">
                  <c:v>42034</c:v>
                </c:pt>
                <c:pt idx="266">
                  <c:v>42041</c:v>
                </c:pt>
                <c:pt idx="267">
                  <c:v>42048</c:v>
                </c:pt>
                <c:pt idx="268">
                  <c:v>42055</c:v>
                </c:pt>
                <c:pt idx="269">
                  <c:v>42062</c:v>
                </c:pt>
                <c:pt idx="270">
                  <c:v>42069</c:v>
                </c:pt>
                <c:pt idx="271">
                  <c:v>42076</c:v>
                </c:pt>
                <c:pt idx="272">
                  <c:v>42083</c:v>
                </c:pt>
                <c:pt idx="273">
                  <c:v>42090</c:v>
                </c:pt>
                <c:pt idx="274">
                  <c:v>42097</c:v>
                </c:pt>
                <c:pt idx="275">
                  <c:v>42104</c:v>
                </c:pt>
                <c:pt idx="276">
                  <c:v>42111</c:v>
                </c:pt>
                <c:pt idx="277">
                  <c:v>42118</c:v>
                </c:pt>
                <c:pt idx="278">
                  <c:v>42125</c:v>
                </c:pt>
                <c:pt idx="279">
                  <c:v>42132</c:v>
                </c:pt>
                <c:pt idx="280">
                  <c:v>42139</c:v>
                </c:pt>
                <c:pt idx="281">
                  <c:v>42146</c:v>
                </c:pt>
                <c:pt idx="282">
                  <c:v>42153</c:v>
                </c:pt>
                <c:pt idx="283">
                  <c:v>42160</c:v>
                </c:pt>
                <c:pt idx="284">
                  <c:v>42167</c:v>
                </c:pt>
                <c:pt idx="285">
                  <c:v>42174</c:v>
                </c:pt>
                <c:pt idx="286">
                  <c:v>42181</c:v>
                </c:pt>
                <c:pt idx="287">
                  <c:v>42188</c:v>
                </c:pt>
                <c:pt idx="288">
                  <c:v>42195</c:v>
                </c:pt>
                <c:pt idx="289">
                  <c:v>42202</c:v>
                </c:pt>
                <c:pt idx="290">
                  <c:v>42209</c:v>
                </c:pt>
                <c:pt idx="291">
                  <c:v>42216</c:v>
                </c:pt>
                <c:pt idx="292">
                  <c:v>42223</c:v>
                </c:pt>
                <c:pt idx="293">
                  <c:v>42230</c:v>
                </c:pt>
                <c:pt idx="294">
                  <c:v>42237</c:v>
                </c:pt>
                <c:pt idx="295">
                  <c:v>42244</c:v>
                </c:pt>
                <c:pt idx="296">
                  <c:v>42251</c:v>
                </c:pt>
                <c:pt idx="297">
                  <c:v>42258</c:v>
                </c:pt>
                <c:pt idx="298">
                  <c:v>42265</c:v>
                </c:pt>
                <c:pt idx="299">
                  <c:v>42272</c:v>
                </c:pt>
                <c:pt idx="300">
                  <c:v>42279</c:v>
                </c:pt>
                <c:pt idx="301">
                  <c:v>42286</c:v>
                </c:pt>
                <c:pt idx="302">
                  <c:v>42293</c:v>
                </c:pt>
                <c:pt idx="303">
                  <c:v>42300</c:v>
                </c:pt>
                <c:pt idx="304">
                  <c:v>42307</c:v>
                </c:pt>
                <c:pt idx="305">
                  <c:v>42314</c:v>
                </c:pt>
                <c:pt idx="306">
                  <c:v>42321</c:v>
                </c:pt>
                <c:pt idx="307">
                  <c:v>42328</c:v>
                </c:pt>
                <c:pt idx="308">
                  <c:v>42335</c:v>
                </c:pt>
                <c:pt idx="309">
                  <c:v>42342</c:v>
                </c:pt>
                <c:pt idx="310">
                  <c:v>42349</c:v>
                </c:pt>
                <c:pt idx="311">
                  <c:v>42356</c:v>
                </c:pt>
                <c:pt idx="312">
                  <c:v>42363</c:v>
                </c:pt>
                <c:pt idx="313">
                  <c:v>42370</c:v>
                </c:pt>
                <c:pt idx="314">
                  <c:v>42377</c:v>
                </c:pt>
                <c:pt idx="315">
                  <c:v>42384</c:v>
                </c:pt>
                <c:pt idx="316">
                  <c:v>42391</c:v>
                </c:pt>
                <c:pt idx="317">
                  <c:v>42398</c:v>
                </c:pt>
                <c:pt idx="318">
                  <c:v>42405</c:v>
                </c:pt>
                <c:pt idx="319">
                  <c:v>42412</c:v>
                </c:pt>
                <c:pt idx="320">
                  <c:v>42419</c:v>
                </c:pt>
                <c:pt idx="321">
                  <c:v>42426</c:v>
                </c:pt>
                <c:pt idx="322">
                  <c:v>42433</c:v>
                </c:pt>
                <c:pt idx="323">
                  <c:v>42440</c:v>
                </c:pt>
                <c:pt idx="324">
                  <c:v>42447</c:v>
                </c:pt>
                <c:pt idx="325">
                  <c:v>42454</c:v>
                </c:pt>
                <c:pt idx="326">
                  <c:v>42461</c:v>
                </c:pt>
                <c:pt idx="327">
                  <c:v>42468</c:v>
                </c:pt>
                <c:pt idx="328">
                  <c:v>42475</c:v>
                </c:pt>
                <c:pt idx="329">
                  <c:v>42482</c:v>
                </c:pt>
                <c:pt idx="330">
                  <c:v>42489</c:v>
                </c:pt>
                <c:pt idx="331">
                  <c:v>42496</c:v>
                </c:pt>
                <c:pt idx="332">
                  <c:v>42503</c:v>
                </c:pt>
                <c:pt idx="333">
                  <c:v>42510</c:v>
                </c:pt>
                <c:pt idx="334">
                  <c:v>42517</c:v>
                </c:pt>
                <c:pt idx="335">
                  <c:v>42524</c:v>
                </c:pt>
                <c:pt idx="336">
                  <c:v>42531</c:v>
                </c:pt>
                <c:pt idx="337">
                  <c:v>42538</c:v>
                </c:pt>
                <c:pt idx="338">
                  <c:v>42545</c:v>
                </c:pt>
                <c:pt idx="339">
                  <c:v>42552</c:v>
                </c:pt>
                <c:pt idx="340">
                  <c:v>42559</c:v>
                </c:pt>
                <c:pt idx="341">
                  <c:v>42566</c:v>
                </c:pt>
                <c:pt idx="342">
                  <c:v>42573</c:v>
                </c:pt>
                <c:pt idx="343">
                  <c:v>42580</c:v>
                </c:pt>
                <c:pt idx="344">
                  <c:v>42587</c:v>
                </c:pt>
                <c:pt idx="345">
                  <c:v>42594</c:v>
                </c:pt>
                <c:pt idx="346">
                  <c:v>42601</c:v>
                </c:pt>
                <c:pt idx="347">
                  <c:v>42608</c:v>
                </c:pt>
                <c:pt idx="348">
                  <c:v>42615</c:v>
                </c:pt>
                <c:pt idx="349">
                  <c:v>42622</c:v>
                </c:pt>
                <c:pt idx="350">
                  <c:v>42629</c:v>
                </c:pt>
                <c:pt idx="351">
                  <c:v>42636</c:v>
                </c:pt>
                <c:pt idx="352">
                  <c:v>42643</c:v>
                </c:pt>
                <c:pt idx="353">
                  <c:v>42650</c:v>
                </c:pt>
                <c:pt idx="354">
                  <c:v>42657</c:v>
                </c:pt>
                <c:pt idx="355">
                  <c:v>42664</c:v>
                </c:pt>
                <c:pt idx="356">
                  <c:v>42671</c:v>
                </c:pt>
                <c:pt idx="357">
                  <c:v>42678</c:v>
                </c:pt>
                <c:pt idx="358">
                  <c:v>42685</c:v>
                </c:pt>
                <c:pt idx="359">
                  <c:v>42692</c:v>
                </c:pt>
                <c:pt idx="360">
                  <c:v>42699</c:v>
                </c:pt>
                <c:pt idx="361">
                  <c:v>42706</c:v>
                </c:pt>
                <c:pt idx="362">
                  <c:v>42713</c:v>
                </c:pt>
                <c:pt idx="363">
                  <c:v>42720</c:v>
                </c:pt>
                <c:pt idx="364">
                  <c:v>42727</c:v>
                </c:pt>
                <c:pt idx="365">
                  <c:v>42734</c:v>
                </c:pt>
                <c:pt idx="366">
                  <c:v>42741</c:v>
                </c:pt>
                <c:pt idx="367">
                  <c:v>42748</c:v>
                </c:pt>
                <c:pt idx="368">
                  <c:v>42755</c:v>
                </c:pt>
                <c:pt idx="369">
                  <c:v>42762</c:v>
                </c:pt>
                <c:pt idx="370">
                  <c:v>42769</c:v>
                </c:pt>
                <c:pt idx="371">
                  <c:v>42776</c:v>
                </c:pt>
                <c:pt idx="372">
                  <c:v>42783</c:v>
                </c:pt>
                <c:pt idx="373">
                  <c:v>42790</c:v>
                </c:pt>
                <c:pt idx="374">
                  <c:v>42797</c:v>
                </c:pt>
                <c:pt idx="375">
                  <c:v>42804</c:v>
                </c:pt>
                <c:pt idx="376">
                  <c:v>42811</c:v>
                </c:pt>
                <c:pt idx="377">
                  <c:v>42818</c:v>
                </c:pt>
                <c:pt idx="378">
                  <c:v>42825</c:v>
                </c:pt>
                <c:pt idx="379">
                  <c:v>42832</c:v>
                </c:pt>
                <c:pt idx="380">
                  <c:v>42839</c:v>
                </c:pt>
                <c:pt idx="381">
                  <c:v>42846</c:v>
                </c:pt>
                <c:pt idx="382">
                  <c:v>42853</c:v>
                </c:pt>
                <c:pt idx="383">
                  <c:v>42860</c:v>
                </c:pt>
                <c:pt idx="384">
                  <c:v>42867</c:v>
                </c:pt>
                <c:pt idx="385">
                  <c:v>42874</c:v>
                </c:pt>
                <c:pt idx="386">
                  <c:v>42881</c:v>
                </c:pt>
                <c:pt idx="387">
                  <c:v>42888</c:v>
                </c:pt>
                <c:pt idx="388">
                  <c:v>42895</c:v>
                </c:pt>
                <c:pt idx="389">
                  <c:v>42902</c:v>
                </c:pt>
                <c:pt idx="390">
                  <c:v>42909</c:v>
                </c:pt>
                <c:pt idx="391">
                  <c:v>42916</c:v>
                </c:pt>
                <c:pt idx="392">
                  <c:v>42923</c:v>
                </c:pt>
                <c:pt idx="393">
                  <c:v>42930</c:v>
                </c:pt>
                <c:pt idx="394">
                  <c:v>42937</c:v>
                </c:pt>
                <c:pt idx="395">
                  <c:v>42944</c:v>
                </c:pt>
                <c:pt idx="396">
                  <c:v>42951</c:v>
                </c:pt>
                <c:pt idx="397">
                  <c:v>42958</c:v>
                </c:pt>
                <c:pt idx="398">
                  <c:v>42965</c:v>
                </c:pt>
                <c:pt idx="399">
                  <c:v>42972</c:v>
                </c:pt>
                <c:pt idx="400">
                  <c:v>42979</c:v>
                </c:pt>
                <c:pt idx="401">
                  <c:v>42986</c:v>
                </c:pt>
                <c:pt idx="402">
                  <c:v>42993</c:v>
                </c:pt>
                <c:pt idx="403">
                  <c:v>43000</c:v>
                </c:pt>
                <c:pt idx="404">
                  <c:v>43007</c:v>
                </c:pt>
                <c:pt idx="405">
                  <c:v>43014</c:v>
                </c:pt>
                <c:pt idx="406">
                  <c:v>43021</c:v>
                </c:pt>
                <c:pt idx="407">
                  <c:v>43028</c:v>
                </c:pt>
                <c:pt idx="408">
                  <c:v>43035</c:v>
                </c:pt>
                <c:pt idx="409">
                  <c:v>43042</c:v>
                </c:pt>
                <c:pt idx="410">
                  <c:v>43049</c:v>
                </c:pt>
                <c:pt idx="411">
                  <c:v>43056</c:v>
                </c:pt>
                <c:pt idx="412">
                  <c:v>43063</c:v>
                </c:pt>
                <c:pt idx="413">
                  <c:v>43070</c:v>
                </c:pt>
                <c:pt idx="414">
                  <c:v>43077</c:v>
                </c:pt>
                <c:pt idx="415">
                  <c:v>43084</c:v>
                </c:pt>
                <c:pt idx="416">
                  <c:v>43091</c:v>
                </c:pt>
                <c:pt idx="417">
                  <c:v>43098</c:v>
                </c:pt>
                <c:pt idx="418">
                  <c:v>43105</c:v>
                </c:pt>
                <c:pt idx="419">
                  <c:v>43112</c:v>
                </c:pt>
                <c:pt idx="420">
                  <c:v>43119</c:v>
                </c:pt>
                <c:pt idx="421">
                  <c:v>43126</c:v>
                </c:pt>
                <c:pt idx="422">
                  <c:v>43133</c:v>
                </c:pt>
                <c:pt idx="423">
                  <c:v>43140</c:v>
                </c:pt>
                <c:pt idx="424">
                  <c:v>43147</c:v>
                </c:pt>
                <c:pt idx="425">
                  <c:v>43154</c:v>
                </c:pt>
                <c:pt idx="426">
                  <c:v>43161</c:v>
                </c:pt>
                <c:pt idx="427">
                  <c:v>43168</c:v>
                </c:pt>
                <c:pt idx="428">
                  <c:v>43175</c:v>
                </c:pt>
                <c:pt idx="429">
                  <c:v>43182</c:v>
                </c:pt>
                <c:pt idx="430">
                  <c:v>43189</c:v>
                </c:pt>
                <c:pt idx="431">
                  <c:v>43196</c:v>
                </c:pt>
                <c:pt idx="432">
                  <c:v>43203</c:v>
                </c:pt>
                <c:pt idx="433">
                  <c:v>43210</c:v>
                </c:pt>
                <c:pt idx="434">
                  <c:v>43217</c:v>
                </c:pt>
                <c:pt idx="435">
                  <c:v>43224</c:v>
                </c:pt>
                <c:pt idx="436">
                  <c:v>43231</c:v>
                </c:pt>
                <c:pt idx="437">
                  <c:v>43238</c:v>
                </c:pt>
                <c:pt idx="438">
                  <c:v>43245</c:v>
                </c:pt>
                <c:pt idx="439">
                  <c:v>43252</c:v>
                </c:pt>
                <c:pt idx="440">
                  <c:v>43259</c:v>
                </c:pt>
                <c:pt idx="441">
                  <c:v>43266</c:v>
                </c:pt>
                <c:pt idx="442">
                  <c:v>43273</c:v>
                </c:pt>
                <c:pt idx="443">
                  <c:v>43280</c:v>
                </c:pt>
                <c:pt idx="444">
                  <c:v>43287</c:v>
                </c:pt>
                <c:pt idx="445">
                  <c:v>43294</c:v>
                </c:pt>
                <c:pt idx="446">
                  <c:v>43301</c:v>
                </c:pt>
                <c:pt idx="447">
                  <c:v>43308</c:v>
                </c:pt>
                <c:pt idx="448">
                  <c:v>43315</c:v>
                </c:pt>
                <c:pt idx="449">
                  <c:v>43322</c:v>
                </c:pt>
                <c:pt idx="450">
                  <c:v>43329</c:v>
                </c:pt>
                <c:pt idx="451">
                  <c:v>43336</c:v>
                </c:pt>
                <c:pt idx="452">
                  <c:v>43343</c:v>
                </c:pt>
                <c:pt idx="453">
                  <c:v>43350</c:v>
                </c:pt>
                <c:pt idx="454">
                  <c:v>43357</c:v>
                </c:pt>
                <c:pt idx="455">
                  <c:v>43364</c:v>
                </c:pt>
                <c:pt idx="456">
                  <c:v>43371</c:v>
                </c:pt>
                <c:pt idx="457">
                  <c:v>43378</c:v>
                </c:pt>
                <c:pt idx="458">
                  <c:v>43385</c:v>
                </c:pt>
                <c:pt idx="459">
                  <c:v>43392</c:v>
                </c:pt>
                <c:pt idx="460">
                  <c:v>43399</c:v>
                </c:pt>
                <c:pt idx="461">
                  <c:v>43406</c:v>
                </c:pt>
                <c:pt idx="462">
                  <c:v>43413</c:v>
                </c:pt>
                <c:pt idx="463">
                  <c:v>43420</c:v>
                </c:pt>
                <c:pt idx="464">
                  <c:v>43427</c:v>
                </c:pt>
                <c:pt idx="465">
                  <c:v>43434</c:v>
                </c:pt>
                <c:pt idx="466">
                  <c:v>43441</c:v>
                </c:pt>
                <c:pt idx="467">
                  <c:v>43448</c:v>
                </c:pt>
                <c:pt idx="468">
                  <c:v>43455</c:v>
                </c:pt>
                <c:pt idx="469">
                  <c:v>43462</c:v>
                </c:pt>
                <c:pt idx="470">
                  <c:v>43469</c:v>
                </c:pt>
                <c:pt idx="471">
                  <c:v>43476</c:v>
                </c:pt>
                <c:pt idx="472">
                  <c:v>43483</c:v>
                </c:pt>
                <c:pt idx="473">
                  <c:v>43490</c:v>
                </c:pt>
                <c:pt idx="474">
                  <c:v>43497</c:v>
                </c:pt>
                <c:pt idx="475">
                  <c:v>43504</c:v>
                </c:pt>
                <c:pt idx="476">
                  <c:v>43511</c:v>
                </c:pt>
                <c:pt idx="477">
                  <c:v>43518</c:v>
                </c:pt>
                <c:pt idx="478">
                  <c:v>43525</c:v>
                </c:pt>
                <c:pt idx="479">
                  <c:v>43532</c:v>
                </c:pt>
                <c:pt idx="480">
                  <c:v>43539</c:v>
                </c:pt>
                <c:pt idx="481">
                  <c:v>43546</c:v>
                </c:pt>
                <c:pt idx="482">
                  <c:v>43553</c:v>
                </c:pt>
                <c:pt idx="483">
                  <c:v>43560</c:v>
                </c:pt>
                <c:pt idx="484">
                  <c:v>43567</c:v>
                </c:pt>
                <c:pt idx="485">
                  <c:v>43574</c:v>
                </c:pt>
                <c:pt idx="486">
                  <c:v>43581</c:v>
                </c:pt>
                <c:pt idx="487">
                  <c:v>43588</c:v>
                </c:pt>
                <c:pt idx="488">
                  <c:v>43595</c:v>
                </c:pt>
                <c:pt idx="489">
                  <c:v>43602</c:v>
                </c:pt>
                <c:pt idx="490">
                  <c:v>43609</c:v>
                </c:pt>
                <c:pt idx="491">
                  <c:v>43616</c:v>
                </c:pt>
                <c:pt idx="492">
                  <c:v>43623</c:v>
                </c:pt>
                <c:pt idx="493">
                  <c:v>43630</c:v>
                </c:pt>
                <c:pt idx="494">
                  <c:v>43637</c:v>
                </c:pt>
                <c:pt idx="495">
                  <c:v>43644</c:v>
                </c:pt>
                <c:pt idx="496">
                  <c:v>43651</c:v>
                </c:pt>
                <c:pt idx="497">
                  <c:v>43658</c:v>
                </c:pt>
                <c:pt idx="498">
                  <c:v>43665</c:v>
                </c:pt>
                <c:pt idx="499">
                  <c:v>43672</c:v>
                </c:pt>
                <c:pt idx="500">
                  <c:v>43679</c:v>
                </c:pt>
                <c:pt idx="501">
                  <c:v>43686</c:v>
                </c:pt>
                <c:pt idx="502">
                  <c:v>43693</c:v>
                </c:pt>
                <c:pt idx="503">
                  <c:v>43700</c:v>
                </c:pt>
                <c:pt idx="504">
                  <c:v>43707</c:v>
                </c:pt>
                <c:pt idx="505">
                  <c:v>43714</c:v>
                </c:pt>
                <c:pt idx="506">
                  <c:v>43721</c:v>
                </c:pt>
                <c:pt idx="507">
                  <c:v>43728</c:v>
                </c:pt>
                <c:pt idx="508">
                  <c:v>43735</c:v>
                </c:pt>
                <c:pt idx="509">
                  <c:v>43742</c:v>
                </c:pt>
                <c:pt idx="510">
                  <c:v>43749</c:v>
                </c:pt>
                <c:pt idx="511">
                  <c:v>43756</c:v>
                </c:pt>
                <c:pt idx="512">
                  <c:v>43763</c:v>
                </c:pt>
                <c:pt idx="513">
                  <c:v>43770</c:v>
                </c:pt>
                <c:pt idx="514">
                  <c:v>43777</c:v>
                </c:pt>
                <c:pt idx="515">
                  <c:v>43784</c:v>
                </c:pt>
                <c:pt idx="516">
                  <c:v>43791</c:v>
                </c:pt>
                <c:pt idx="517">
                  <c:v>43798</c:v>
                </c:pt>
                <c:pt idx="518">
                  <c:v>43805</c:v>
                </c:pt>
                <c:pt idx="519">
                  <c:v>43812</c:v>
                </c:pt>
                <c:pt idx="520">
                  <c:v>43819</c:v>
                </c:pt>
                <c:pt idx="521">
                  <c:v>43826</c:v>
                </c:pt>
                <c:pt idx="522">
                  <c:v>43833</c:v>
                </c:pt>
                <c:pt idx="523">
                  <c:v>43840</c:v>
                </c:pt>
                <c:pt idx="524">
                  <c:v>43847</c:v>
                </c:pt>
                <c:pt idx="525">
                  <c:v>43854</c:v>
                </c:pt>
                <c:pt idx="526">
                  <c:v>43861</c:v>
                </c:pt>
                <c:pt idx="527">
                  <c:v>43868</c:v>
                </c:pt>
                <c:pt idx="528">
                  <c:v>43875</c:v>
                </c:pt>
                <c:pt idx="529">
                  <c:v>43882</c:v>
                </c:pt>
                <c:pt idx="530">
                  <c:v>43889</c:v>
                </c:pt>
                <c:pt idx="531">
                  <c:v>43896</c:v>
                </c:pt>
                <c:pt idx="532">
                  <c:v>43903</c:v>
                </c:pt>
                <c:pt idx="533">
                  <c:v>43910</c:v>
                </c:pt>
                <c:pt idx="534">
                  <c:v>43917</c:v>
                </c:pt>
                <c:pt idx="535">
                  <c:v>43924</c:v>
                </c:pt>
                <c:pt idx="536">
                  <c:v>43931</c:v>
                </c:pt>
                <c:pt idx="537">
                  <c:v>43938</c:v>
                </c:pt>
                <c:pt idx="538">
                  <c:v>43945</c:v>
                </c:pt>
                <c:pt idx="539">
                  <c:v>43952</c:v>
                </c:pt>
                <c:pt idx="540">
                  <c:v>43959</c:v>
                </c:pt>
                <c:pt idx="541">
                  <c:v>43966</c:v>
                </c:pt>
                <c:pt idx="542">
                  <c:v>43973</c:v>
                </c:pt>
                <c:pt idx="543">
                  <c:v>43980</c:v>
                </c:pt>
                <c:pt idx="544">
                  <c:v>43987</c:v>
                </c:pt>
                <c:pt idx="545">
                  <c:v>43994</c:v>
                </c:pt>
                <c:pt idx="546">
                  <c:v>44001</c:v>
                </c:pt>
                <c:pt idx="547">
                  <c:v>44008</c:v>
                </c:pt>
                <c:pt idx="548">
                  <c:v>44015</c:v>
                </c:pt>
                <c:pt idx="549">
                  <c:v>44022</c:v>
                </c:pt>
                <c:pt idx="550">
                  <c:v>44029</c:v>
                </c:pt>
                <c:pt idx="551">
                  <c:v>44036</c:v>
                </c:pt>
                <c:pt idx="552">
                  <c:v>44043</c:v>
                </c:pt>
                <c:pt idx="553">
                  <c:v>44050</c:v>
                </c:pt>
                <c:pt idx="554">
                  <c:v>44057</c:v>
                </c:pt>
                <c:pt idx="555">
                  <c:v>44064</c:v>
                </c:pt>
                <c:pt idx="556">
                  <c:v>44071</c:v>
                </c:pt>
                <c:pt idx="557">
                  <c:v>44078</c:v>
                </c:pt>
                <c:pt idx="558">
                  <c:v>44085</c:v>
                </c:pt>
                <c:pt idx="559">
                  <c:v>44092</c:v>
                </c:pt>
                <c:pt idx="560">
                  <c:v>44099</c:v>
                </c:pt>
                <c:pt idx="561">
                  <c:v>44106</c:v>
                </c:pt>
                <c:pt idx="562">
                  <c:v>44113</c:v>
                </c:pt>
                <c:pt idx="563">
                  <c:v>44120</c:v>
                </c:pt>
                <c:pt idx="564">
                  <c:v>44127</c:v>
                </c:pt>
                <c:pt idx="565">
                  <c:v>44134</c:v>
                </c:pt>
                <c:pt idx="566">
                  <c:v>44141</c:v>
                </c:pt>
                <c:pt idx="567">
                  <c:v>44148</c:v>
                </c:pt>
                <c:pt idx="568">
                  <c:v>44155</c:v>
                </c:pt>
                <c:pt idx="569">
                  <c:v>44162</c:v>
                </c:pt>
                <c:pt idx="570">
                  <c:v>44169</c:v>
                </c:pt>
                <c:pt idx="571">
                  <c:v>44176</c:v>
                </c:pt>
                <c:pt idx="572">
                  <c:v>44183</c:v>
                </c:pt>
                <c:pt idx="573">
                  <c:v>44190</c:v>
                </c:pt>
                <c:pt idx="574">
                  <c:v>44197</c:v>
                </c:pt>
                <c:pt idx="575">
                  <c:v>44204</c:v>
                </c:pt>
                <c:pt idx="576">
                  <c:v>44211</c:v>
                </c:pt>
                <c:pt idx="577">
                  <c:v>44218</c:v>
                </c:pt>
                <c:pt idx="578">
                  <c:v>44225</c:v>
                </c:pt>
                <c:pt idx="579">
                  <c:v>44232</c:v>
                </c:pt>
                <c:pt idx="580">
                  <c:v>44239</c:v>
                </c:pt>
                <c:pt idx="581">
                  <c:v>44246</c:v>
                </c:pt>
                <c:pt idx="582">
                  <c:v>44253</c:v>
                </c:pt>
                <c:pt idx="583">
                  <c:v>44260</c:v>
                </c:pt>
                <c:pt idx="584">
                  <c:v>44267</c:v>
                </c:pt>
                <c:pt idx="585">
                  <c:v>44274</c:v>
                </c:pt>
                <c:pt idx="586">
                  <c:v>44281</c:v>
                </c:pt>
                <c:pt idx="587">
                  <c:v>44288</c:v>
                </c:pt>
                <c:pt idx="588">
                  <c:v>44295</c:v>
                </c:pt>
                <c:pt idx="589">
                  <c:v>44302</c:v>
                </c:pt>
                <c:pt idx="590">
                  <c:v>44309</c:v>
                </c:pt>
                <c:pt idx="591">
                  <c:v>44316</c:v>
                </c:pt>
                <c:pt idx="592">
                  <c:v>44323</c:v>
                </c:pt>
                <c:pt idx="593">
                  <c:v>44330</c:v>
                </c:pt>
                <c:pt idx="594">
                  <c:v>44337</c:v>
                </c:pt>
                <c:pt idx="595">
                  <c:v>44344</c:v>
                </c:pt>
                <c:pt idx="596">
                  <c:v>44351</c:v>
                </c:pt>
                <c:pt idx="597">
                  <c:v>44358</c:v>
                </c:pt>
                <c:pt idx="598">
                  <c:v>44365</c:v>
                </c:pt>
                <c:pt idx="599">
                  <c:v>44372</c:v>
                </c:pt>
                <c:pt idx="600">
                  <c:v>44379</c:v>
                </c:pt>
                <c:pt idx="601">
                  <c:v>44386</c:v>
                </c:pt>
                <c:pt idx="602">
                  <c:v>44393</c:v>
                </c:pt>
                <c:pt idx="603">
                  <c:v>44400</c:v>
                </c:pt>
                <c:pt idx="604">
                  <c:v>44407</c:v>
                </c:pt>
                <c:pt idx="605">
                  <c:v>44414</c:v>
                </c:pt>
                <c:pt idx="606">
                  <c:v>44421</c:v>
                </c:pt>
                <c:pt idx="607">
                  <c:v>44428</c:v>
                </c:pt>
                <c:pt idx="608">
                  <c:v>44435</c:v>
                </c:pt>
                <c:pt idx="609">
                  <c:v>44442</c:v>
                </c:pt>
                <c:pt idx="610">
                  <c:v>44449</c:v>
                </c:pt>
                <c:pt idx="611">
                  <c:v>44456</c:v>
                </c:pt>
                <c:pt idx="612">
                  <c:v>44463</c:v>
                </c:pt>
                <c:pt idx="613">
                  <c:v>44470</c:v>
                </c:pt>
                <c:pt idx="614">
                  <c:v>44477</c:v>
                </c:pt>
                <c:pt idx="615">
                  <c:v>44484</c:v>
                </c:pt>
                <c:pt idx="616">
                  <c:v>44491</c:v>
                </c:pt>
                <c:pt idx="617">
                  <c:v>44498</c:v>
                </c:pt>
                <c:pt idx="618">
                  <c:v>44505</c:v>
                </c:pt>
                <c:pt idx="619">
                  <c:v>44512</c:v>
                </c:pt>
                <c:pt idx="620">
                  <c:v>44519</c:v>
                </c:pt>
                <c:pt idx="621">
                  <c:v>44526</c:v>
                </c:pt>
                <c:pt idx="622">
                  <c:v>44533</c:v>
                </c:pt>
                <c:pt idx="623">
                  <c:v>44540</c:v>
                </c:pt>
                <c:pt idx="624">
                  <c:v>44547</c:v>
                </c:pt>
                <c:pt idx="625">
                  <c:v>44554</c:v>
                </c:pt>
                <c:pt idx="626">
                  <c:v>44561</c:v>
                </c:pt>
                <c:pt idx="627">
                  <c:v>44568</c:v>
                </c:pt>
                <c:pt idx="628">
                  <c:v>44575</c:v>
                </c:pt>
                <c:pt idx="629">
                  <c:v>44582</c:v>
                </c:pt>
                <c:pt idx="630">
                  <c:v>44589</c:v>
                </c:pt>
                <c:pt idx="631">
                  <c:v>44596</c:v>
                </c:pt>
                <c:pt idx="632">
                  <c:v>44603</c:v>
                </c:pt>
                <c:pt idx="633">
                  <c:v>44610</c:v>
                </c:pt>
                <c:pt idx="634">
                  <c:v>44617</c:v>
                </c:pt>
                <c:pt idx="635">
                  <c:v>44624</c:v>
                </c:pt>
                <c:pt idx="636">
                  <c:v>44631</c:v>
                </c:pt>
                <c:pt idx="637">
                  <c:v>44638</c:v>
                </c:pt>
                <c:pt idx="638">
                  <c:v>44645</c:v>
                </c:pt>
                <c:pt idx="639">
                  <c:v>44652</c:v>
                </c:pt>
              </c:numCache>
            </c:numRef>
          </c:cat>
          <c:val>
            <c:numRef>
              <c:f>'Graf 6'!$L$4:$L$643</c:f>
              <c:numCache>
                <c:formatCode>General</c:formatCode>
                <c:ptCount val="640"/>
                <c:pt idx="0">
                  <c:v>1</c:v>
                </c:pt>
                <c:pt idx="1">
                  <c:v>0.97524029343888063</c:v>
                </c:pt>
                <c:pt idx="2">
                  <c:v>0.98383132360269121</c:v>
                </c:pt>
                <c:pt idx="3">
                  <c:v>0.95467052206207914</c:v>
                </c:pt>
                <c:pt idx="4">
                  <c:v>0.9121651538125175</c:v>
                </c:pt>
                <c:pt idx="5">
                  <c:v>0.89694150904188075</c:v>
                </c:pt>
                <c:pt idx="6">
                  <c:v>0.92096581805043964</c:v>
                </c:pt>
                <c:pt idx="7">
                  <c:v>0.92096581805043964</c:v>
                </c:pt>
                <c:pt idx="8">
                  <c:v>0.93128274388117194</c:v>
                </c:pt>
                <c:pt idx="9">
                  <c:v>0.92491194300882562</c:v>
                </c:pt>
                <c:pt idx="10">
                  <c:v>0.91952523222237437</c:v>
                </c:pt>
                <c:pt idx="11">
                  <c:v>0.93610615845101475</c:v>
                </c:pt>
                <c:pt idx="12">
                  <c:v>0.93365462984633851</c:v>
                </c:pt>
                <c:pt idx="13">
                  <c:v>0.96363230244429665</c:v>
                </c:pt>
                <c:pt idx="14">
                  <c:v>0.95978443392239388</c:v>
                </c:pt>
                <c:pt idx="15">
                  <c:v>0.95519353924261374</c:v>
                </c:pt>
                <c:pt idx="16">
                  <c:v>0.91040904886854046</c:v>
                </c:pt>
                <c:pt idx="17">
                  <c:v>0.87595033350736717</c:v>
                </c:pt>
                <c:pt idx="18">
                  <c:v>0.82034420877478798</c:v>
                </c:pt>
                <c:pt idx="19">
                  <c:v>0.82286073309676511</c:v>
                </c:pt>
                <c:pt idx="20">
                  <c:v>0.78834678663309665</c:v>
                </c:pt>
                <c:pt idx="21">
                  <c:v>0.81039193027820899</c:v>
                </c:pt>
                <c:pt idx="22">
                  <c:v>0.77921412549177793</c:v>
                </c:pt>
                <c:pt idx="23">
                  <c:v>0.784202623080681</c:v>
                </c:pt>
                <c:pt idx="24">
                  <c:v>0.76689514848164819</c:v>
                </c:pt>
                <c:pt idx="25">
                  <c:v>0.7789773335827378</c:v>
                </c:pt>
                <c:pt idx="26">
                  <c:v>0.72712844954089517</c:v>
                </c:pt>
                <c:pt idx="27">
                  <c:v>0.75398785342946995</c:v>
                </c:pt>
                <c:pt idx="28">
                  <c:v>0.73975226561949314</c:v>
                </c:pt>
                <c:pt idx="29">
                  <c:v>0.78483945905254549</c:v>
                </c:pt>
                <c:pt idx="30">
                  <c:v>0.80481847123359729</c:v>
                </c:pt>
                <c:pt idx="31">
                  <c:v>0.81119293383649571</c:v>
                </c:pt>
                <c:pt idx="32">
                  <c:v>0.79541941919460835</c:v>
                </c:pt>
                <c:pt idx="33">
                  <c:v>0.80628468917552776</c:v>
                </c:pt>
                <c:pt idx="34">
                  <c:v>0.79665281210226357</c:v>
                </c:pt>
                <c:pt idx="35">
                  <c:v>0.81027811148687912</c:v>
                </c:pt>
                <c:pt idx="36">
                  <c:v>0.81266281350897829</c:v>
                </c:pt>
                <c:pt idx="37">
                  <c:v>0.79297490890682387</c:v>
                </c:pt>
                <c:pt idx="38">
                  <c:v>0.79079648437249694</c:v>
                </c:pt>
                <c:pt idx="39">
                  <c:v>0.81035866955902691</c:v>
                </c:pt>
                <c:pt idx="40">
                  <c:v>0.83571188161381016</c:v>
                </c:pt>
                <c:pt idx="41">
                  <c:v>0.90663227894819221</c:v>
                </c:pt>
                <c:pt idx="42">
                  <c:v>0.90781715392603124</c:v>
                </c:pt>
                <c:pt idx="43">
                  <c:v>0.90897426078051613</c:v>
                </c:pt>
                <c:pt idx="44">
                  <c:v>0.95494789815140579</c:v>
                </c:pt>
                <c:pt idx="45">
                  <c:v>0.91098821258420826</c:v>
                </c:pt>
                <c:pt idx="46">
                  <c:v>0.8814291978460479</c:v>
                </c:pt>
                <c:pt idx="47">
                  <c:v>0.87628202526655108</c:v>
                </c:pt>
                <c:pt idx="48">
                  <c:v>0.86735106444981425</c:v>
                </c:pt>
                <c:pt idx="49">
                  <c:v>0.8669269139941882</c:v>
                </c:pt>
                <c:pt idx="50">
                  <c:v>0.88300831914667033</c:v>
                </c:pt>
                <c:pt idx="51">
                  <c:v>0.86513175059098801</c:v>
                </c:pt>
                <c:pt idx="52">
                  <c:v>0.85686844531159656</c:v>
                </c:pt>
                <c:pt idx="53">
                  <c:v>0.86624369610199625</c:v>
                </c:pt>
                <c:pt idx="54">
                  <c:v>0.85176246720081139</c:v>
                </c:pt>
                <c:pt idx="55">
                  <c:v>0.82855624982644915</c:v>
                </c:pt>
                <c:pt idx="56">
                  <c:v>0.83998573145661504</c:v>
                </c:pt>
                <c:pt idx="57">
                  <c:v>0.85408644552458712</c:v>
                </c:pt>
                <c:pt idx="58">
                  <c:v>0.86274277654991138</c:v>
                </c:pt>
                <c:pt idx="59">
                  <c:v>0.88485474677760079</c:v>
                </c:pt>
                <c:pt idx="60">
                  <c:v>0.87837745057502903</c:v>
                </c:pt>
                <c:pt idx="61">
                  <c:v>0.89782764783550528</c:v>
                </c:pt>
                <c:pt idx="62">
                  <c:v>0.89523087058559303</c:v>
                </c:pt>
                <c:pt idx="63">
                  <c:v>0.8870194398223572</c:v>
                </c:pt>
                <c:pt idx="64">
                  <c:v>0.90866270853936915</c:v>
                </c:pt>
                <c:pt idx="65">
                  <c:v>0.9054879881506398</c:v>
                </c:pt>
                <c:pt idx="66">
                  <c:v>0.9245933724507871</c:v>
                </c:pt>
                <c:pt idx="67">
                  <c:v>0.93085035453180343</c:v>
                </c:pt>
                <c:pt idx="68">
                  <c:v>0.91864183972666391</c:v>
                </c:pt>
                <c:pt idx="69">
                  <c:v>0.88843073180600518</c:v>
                </c:pt>
                <c:pt idx="70">
                  <c:v>0.87389854382130272</c:v>
                </c:pt>
                <c:pt idx="71">
                  <c:v>0.87607849407669303</c:v>
                </c:pt>
                <c:pt idx="72">
                  <c:v>0.87224222103487214</c:v>
                </c:pt>
                <c:pt idx="73">
                  <c:v>0.82692464372124586</c:v>
                </c:pt>
                <c:pt idx="74">
                  <c:v>0.83243951507702296</c:v>
                </c:pt>
                <c:pt idx="75">
                  <c:v>0.82545873092352806</c:v>
                </c:pt>
                <c:pt idx="76">
                  <c:v>0.80644061786820764</c:v>
                </c:pt>
                <c:pt idx="77">
                  <c:v>0.83799039344989634</c:v>
                </c:pt>
                <c:pt idx="78">
                  <c:v>0.84200334499085938</c:v>
                </c:pt>
                <c:pt idx="79">
                  <c:v>0.85372423934413522</c:v>
                </c:pt>
                <c:pt idx="80">
                  <c:v>0.86055824913133061</c:v>
                </c:pt>
                <c:pt idx="81">
                  <c:v>0.84549053305337363</c:v>
                </c:pt>
                <c:pt idx="82">
                  <c:v>0.82441696858143632</c:v>
                </c:pt>
                <c:pt idx="83">
                  <c:v>0.80143777850130848</c:v>
                </c:pt>
                <c:pt idx="84">
                  <c:v>0.7912917334296774</c:v>
                </c:pt>
                <c:pt idx="85">
                  <c:v>0.77334467656086603</c:v>
                </c:pt>
                <c:pt idx="86">
                  <c:v>0.79709405063379979</c:v>
                </c:pt>
                <c:pt idx="87">
                  <c:v>0.77149001003619322</c:v>
                </c:pt>
                <c:pt idx="88">
                  <c:v>0.7621748726556915</c:v>
                </c:pt>
                <c:pt idx="89">
                  <c:v>0.75747260033828279</c:v>
                </c:pt>
                <c:pt idx="90">
                  <c:v>0.74246438738179854</c:v>
                </c:pt>
                <c:pt idx="91">
                  <c:v>0.71990232944040511</c:v>
                </c:pt>
                <c:pt idx="92">
                  <c:v>0.71990232944040511</c:v>
                </c:pt>
                <c:pt idx="93">
                  <c:v>0.74192001010637632</c:v>
                </c:pt>
                <c:pt idx="94">
                  <c:v>0.70710305543951602</c:v>
                </c:pt>
                <c:pt idx="95">
                  <c:v>0.75474674708640666</c:v>
                </c:pt>
                <c:pt idx="96">
                  <c:v>0.77149428205517057</c:v>
                </c:pt>
                <c:pt idx="97">
                  <c:v>0.7570884237745179</c:v>
                </c:pt>
                <c:pt idx="98">
                  <c:v>0.73739990888393803</c:v>
                </c:pt>
                <c:pt idx="99">
                  <c:v>0.72631157848354921</c:v>
                </c:pt>
                <c:pt idx="100">
                  <c:v>0.72034295768351608</c:v>
                </c:pt>
                <c:pt idx="101">
                  <c:v>0.70649124129309127</c:v>
                </c:pt>
                <c:pt idx="102">
                  <c:v>0.6788970501403816</c:v>
                </c:pt>
                <c:pt idx="103">
                  <c:v>0.67277707781085883</c:v>
                </c:pt>
                <c:pt idx="104">
                  <c:v>0.67113936882140179</c:v>
                </c:pt>
                <c:pt idx="105">
                  <c:v>0.66014746399222002</c:v>
                </c:pt>
                <c:pt idx="106">
                  <c:v>0.68492059689869722</c:v>
                </c:pt>
                <c:pt idx="107">
                  <c:v>0.70766543622348632</c:v>
                </c:pt>
                <c:pt idx="108">
                  <c:v>0.70766543622348632</c:v>
                </c:pt>
                <c:pt idx="109">
                  <c:v>0.71110959895201276</c:v>
                </c:pt>
                <c:pt idx="110">
                  <c:v>0.71769339048481007</c:v>
                </c:pt>
                <c:pt idx="111">
                  <c:v>0.71928014039074939</c:v>
                </c:pt>
                <c:pt idx="112">
                  <c:v>0.74443806014941682</c:v>
                </c:pt>
                <c:pt idx="113">
                  <c:v>0.75086622813374715</c:v>
                </c:pt>
                <c:pt idx="114">
                  <c:v>0.74438771135432458</c:v>
                </c:pt>
                <c:pt idx="115">
                  <c:v>0.7337912734247769</c:v>
                </c:pt>
                <c:pt idx="116">
                  <c:v>0.71694822831744398</c:v>
                </c:pt>
                <c:pt idx="117">
                  <c:v>0.69047696786739898</c:v>
                </c:pt>
                <c:pt idx="118">
                  <c:v>0.70383129919115417</c:v>
                </c:pt>
                <c:pt idx="119">
                  <c:v>0.71988432593185703</c:v>
                </c:pt>
                <c:pt idx="120">
                  <c:v>0.73444031516514852</c:v>
                </c:pt>
                <c:pt idx="121">
                  <c:v>0.7312219591540059</c:v>
                </c:pt>
                <c:pt idx="122">
                  <c:v>0.74821788151189195</c:v>
                </c:pt>
                <c:pt idx="123">
                  <c:v>0.73081520191850269</c:v>
                </c:pt>
                <c:pt idx="124">
                  <c:v>0.71541670951399983</c:v>
                </c:pt>
                <c:pt idx="125">
                  <c:v>0.71207019293353124</c:v>
                </c:pt>
                <c:pt idx="126">
                  <c:v>0.72424025956787308</c:v>
                </c:pt>
                <c:pt idx="127">
                  <c:v>0.6961703485875943</c:v>
                </c:pt>
                <c:pt idx="128">
                  <c:v>0.70392192702232037</c:v>
                </c:pt>
                <c:pt idx="129">
                  <c:v>0.68989353213275351</c:v>
                </c:pt>
                <c:pt idx="130">
                  <c:v>0.67907739037007586</c:v>
                </c:pt>
                <c:pt idx="131">
                  <c:v>0.67851226328819136</c:v>
                </c:pt>
                <c:pt idx="132">
                  <c:v>0.66701320877753423</c:v>
                </c:pt>
                <c:pt idx="133">
                  <c:v>0.66174733509930461</c:v>
                </c:pt>
                <c:pt idx="134">
                  <c:v>0.64958031990708964</c:v>
                </c:pt>
                <c:pt idx="135">
                  <c:v>0.65081035622840522</c:v>
                </c:pt>
                <c:pt idx="136">
                  <c:v>0.66180104048073629</c:v>
                </c:pt>
                <c:pt idx="137">
                  <c:v>0.64534674910035861</c:v>
                </c:pt>
                <c:pt idx="138">
                  <c:v>0.63839342792600484</c:v>
                </c:pt>
                <c:pt idx="139">
                  <c:v>0.62478948863627692</c:v>
                </c:pt>
                <c:pt idx="140">
                  <c:v>0.64927426026177104</c:v>
                </c:pt>
                <c:pt idx="141">
                  <c:v>0.64807962066912639</c:v>
                </c:pt>
                <c:pt idx="142">
                  <c:v>0.61843272439771402</c:v>
                </c:pt>
                <c:pt idx="143">
                  <c:v>0.63658239702374531</c:v>
                </c:pt>
                <c:pt idx="144">
                  <c:v>0.63658239702374531</c:v>
                </c:pt>
                <c:pt idx="145">
                  <c:v>0.642307817886272</c:v>
                </c:pt>
                <c:pt idx="146">
                  <c:v>0.64943903813661852</c:v>
                </c:pt>
                <c:pt idx="147">
                  <c:v>0.63049171853863983</c:v>
                </c:pt>
                <c:pt idx="148">
                  <c:v>0.64600433487868525</c:v>
                </c:pt>
                <c:pt idx="149">
                  <c:v>0.63136382069848118</c:v>
                </c:pt>
                <c:pt idx="150">
                  <c:v>0.6147816738929901</c:v>
                </c:pt>
                <c:pt idx="151">
                  <c:v>0.61864449448131431</c:v>
                </c:pt>
                <c:pt idx="152">
                  <c:v>0.60422124298053881</c:v>
                </c:pt>
                <c:pt idx="153">
                  <c:v>0.62914206568595354</c:v>
                </c:pt>
                <c:pt idx="154">
                  <c:v>0.65625077239628837</c:v>
                </c:pt>
                <c:pt idx="155">
                  <c:v>0.65707008460733585</c:v>
                </c:pt>
                <c:pt idx="156">
                  <c:v>0.68146392325745109</c:v>
                </c:pt>
                <c:pt idx="157">
                  <c:v>0.69481093112010206</c:v>
                </c:pt>
                <c:pt idx="158">
                  <c:v>0.68443755361002379</c:v>
                </c:pt>
                <c:pt idx="159">
                  <c:v>0.70704050087591652</c:v>
                </c:pt>
                <c:pt idx="160">
                  <c:v>0.69917815509198722</c:v>
                </c:pt>
                <c:pt idx="161">
                  <c:v>0.73814995335870703</c:v>
                </c:pt>
                <c:pt idx="162">
                  <c:v>0.74223339321279935</c:v>
                </c:pt>
                <c:pt idx="163">
                  <c:v>0.74223339321279935</c:v>
                </c:pt>
                <c:pt idx="164">
                  <c:v>0.70615375179386652</c:v>
                </c:pt>
                <c:pt idx="165">
                  <c:v>0.71998960068523177</c:v>
                </c:pt>
                <c:pt idx="166">
                  <c:v>0.70751072810765725</c:v>
                </c:pt>
                <c:pt idx="167">
                  <c:v>0.69524087931576894</c:v>
                </c:pt>
                <c:pt idx="168">
                  <c:v>0.71046055721164092</c:v>
                </c:pt>
                <c:pt idx="169">
                  <c:v>0.6824919541099721</c:v>
                </c:pt>
                <c:pt idx="170">
                  <c:v>0.67903589075715132</c:v>
                </c:pt>
                <c:pt idx="171">
                  <c:v>0.67338614565936938</c:v>
                </c:pt>
                <c:pt idx="172">
                  <c:v>0.68493982098409623</c:v>
                </c:pt>
                <c:pt idx="173">
                  <c:v>0.66457724252770467</c:v>
                </c:pt>
                <c:pt idx="174">
                  <c:v>0.67299464563450007</c:v>
                </c:pt>
                <c:pt idx="175">
                  <c:v>0.68560747652144138</c:v>
                </c:pt>
                <c:pt idx="176">
                  <c:v>0.69660456880223875</c:v>
                </c:pt>
                <c:pt idx="177">
                  <c:v>0.6983326004786492</c:v>
                </c:pt>
                <c:pt idx="178">
                  <c:v>0.70201324997200298</c:v>
                </c:pt>
                <c:pt idx="179">
                  <c:v>0.67464272952718818</c:v>
                </c:pt>
                <c:pt idx="180">
                  <c:v>0.65973429872825051</c:v>
                </c:pt>
                <c:pt idx="181">
                  <c:v>0.63259294158715873</c:v>
                </c:pt>
                <c:pt idx="182">
                  <c:v>0.60394325660278669</c:v>
                </c:pt>
                <c:pt idx="183">
                  <c:v>0.61248515854835572</c:v>
                </c:pt>
                <c:pt idx="184">
                  <c:v>0.62233734974317534</c:v>
                </c:pt>
                <c:pt idx="185">
                  <c:v>0.60804500510963977</c:v>
                </c:pt>
                <c:pt idx="186">
                  <c:v>0.61359924006885269</c:v>
                </c:pt>
                <c:pt idx="187">
                  <c:v>0.61926515780990665</c:v>
                </c:pt>
                <c:pt idx="188">
                  <c:v>0.6262276333106408</c:v>
                </c:pt>
                <c:pt idx="189">
                  <c:v>0.6311761570076827</c:v>
                </c:pt>
                <c:pt idx="190">
                  <c:v>0.62782140153347177</c:v>
                </c:pt>
                <c:pt idx="191">
                  <c:v>0.64030912329321399</c:v>
                </c:pt>
                <c:pt idx="192">
                  <c:v>0.65300647912706777</c:v>
                </c:pt>
                <c:pt idx="193">
                  <c:v>0.68236898099226173</c:v>
                </c:pt>
                <c:pt idx="194">
                  <c:v>0.66883064770826017</c:v>
                </c:pt>
                <c:pt idx="195">
                  <c:v>0.65911973828391168</c:v>
                </c:pt>
                <c:pt idx="196">
                  <c:v>0.66358643926913075</c:v>
                </c:pt>
                <c:pt idx="197">
                  <c:v>0.67990585690750382</c:v>
                </c:pt>
                <c:pt idx="198">
                  <c:v>0.6694195760387337</c:v>
                </c:pt>
                <c:pt idx="199">
                  <c:v>0.65085887415822152</c:v>
                </c:pt>
                <c:pt idx="200">
                  <c:v>0.65592640409820879</c:v>
                </c:pt>
                <c:pt idx="201">
                  <c:v>0.64267246522042543</c:v>
                </c:pt>
                <c:pt idx="202">
                  <c:v>0.65173524833704033</c:v>
                </c:pt>
                <c:pt idx="203">
                  <c:v>0.67021203555906539</c:v>
                </c:pt>
                <c:pt idx="204">
                  <c:v>0.67757394483419831</c:v>
                </c:pt>
                <c:pt idx="205">
                  <c:v>0.68264055934154766</c:v>
                </c:pt>
                <c:pt idx="206">
                  <c:v>0.67011957686262313</c:v>
                </c:pt>
                <c:pt idx="207">
                  <c:v>0.6361628237313095</c:v>
                </c:pt>
                <c:pt idx="208">
                  <c:v>0.64118458203939477</c:v>
                </c:pt>
                <c:pt idx="209">
                  <c:v>0.63565658948247239</c:v>
                </c:pt>
                <c:pt idx="210">
                  <c:v>0.61434623310149494</c:v>
                </c:pt>
                <c:pt idx="211">
                  <c:v>0.61179858406982435</c:v>
                </c:pt>
                <c:pt idx="212">
                  <c:v>0.62688582937739279</c:v>
                </c:pt>
                <c:pt idx="213">
                  <c:v>0.6203835113493813</c:v>
                </c:pt>
                <c:pt idx="214">
                  <c:v>0.62386642739291798</c:v>
                </c:pt>
                <c:pt idx="215">
                  <c:v>0.64563877211189391</c:v>
                </c:pt>
                <c:pt idx="216">
                  <c:v>0.64498118633356727</c:v>
                </c:pt>
                <c:pt idx="217">
                  <c:v>0.62746865482361291</c:v>
                </c:pt>
                <c:pt idx="218">
                  <c:v>0.627958716429178</c:v>
                </c:pt>
                <c:pt idx="219">
                  <c:v>0.61161244610008914</c:v>
                </c:pt>
                <c:pt idx="220">
                  <c:v>0.6248190876249069</c:v>
                </c:pt>
                <c:pt idx="221">
                  <c:v>0.62301660076060239</c:v>
                </c:pt>
                <c:pt idx="222">
                  <c:v>0.62824036453748222</c:v>
                </c:pt>
                <c:pt idx="223">
                  <c:v>0.65012256117302314</c:v>
                </c:pt>
                <c:pt idx="224">
                  <c:v>0.64011566186237445</c:v>
                </c:pt>
                <c:pt idx="225">
                  <c:v>0.62143198686415191</c:v>
                </c:pt>
                <c:pt idx="226">
                  <c:v>0.61833141651910395</c:v>
                </c:pt>
                <c:pt idx="227">
                  <c:v>0.61368620616946667</c:v>
                </c:pt>
                <c:pt idx="228">
                  <c:v>0.61837596757415536</c:v>
                </c:pt>
                <c:pt idx="229">
                  <c:v>0.62083695564942465</c:v>
                </c:pt>
                <c:pt idx="230">
                  <c:v>0.62225404537311357</c:v>
                </c:pt>
                <c:pt idx="231">
                  <c:v>0.61942932539632889</c:v>
                </c:pt>
                <c:pt idx="232">
                  <c:v>0.63186669836097886</c:v>
                </c:pt>
                <c:pt idx="233">
                  <c:v>0.6184278420903111</c:v>
                </c:pt>
                <c:pt idx="234">
                  <c:v>0.62142924056623783</c:v>
                </c:pt>
                <c:pt idx="235">
                  <c:v>0.62840636298918051</c:v>
                </c:pt>
                <c:pt idx="236">
                  <c:v>0.62461830273296304</c:v>
                </c:pt>
                <c:pt idx="237">
                  <c:v>0.62831237857167488</c:v>
                </c:pt>
                <c:pt idx="238">
                  <c:v>0.64892395470561359</c:v>
                </c:pt>
                <c:pt idx="239">
                  <c:v>0.66683256340362729</c:v>
                </c:pt>
                <c:pt idx="240">
                  <c:v>0.6696160889117001</c:v>
                </c:pt>
                <c:pt idx="241">
                  <c:v>0.67947468813498602</c:v>
                </c:pt>
                <c:pt idx="242">
                  <c:v>0.68377081350531665</c:v>
                </c:pt>
                <c:pt idx="243">
                  <c:v>0.67656574835550143</c:v>
                </c:pt>
                <c:pt idx="244">
                  <c:v>0.70989726099503248</c:v>
                </c:pt>
                <c:pt idx="245">
                  <c:v>0.71158104676060419</c:v>
                </c:pt>
                <c:pt idx="246">
                  <c:v>0.71081849137311537</c:v>
                </c:pt>
                <c:pt idx="247">
                  <c:v>0.71639256070615243</c:v>
                </c:pt>
                <c:pt idx="248">
                  <c:v>0.72132125002937009</c:v>
                </c:pt>
                <c:pt idx="249">
                  <c:v>0.72457713877867247</c:v>
                </c:pt>
                <c:pt idx="250">
                  <c:v>0.71439874842049733</c:v>
                </c:pt>
                <c:pt idx="251">
                  <c:v>0.70252741797036988</c:v>
                </c:pt>
                <c:pt idx="252">
                  <c:v>0.73850331035699124</c:v>
                </c:pt>
                <c:pt idx="253">
                  <c:v>0.73789088592214114</c:v>
                </c:pt>
                <c:pt idx="254">
                  <c:v>0.75639879785385966</c:v>
                </c:pt>
                <c:pt idx="255">
                  <c:v>0.75882988179628641</c:v>
                </c:pt>
                <c:pt idx="256">
                  <c:v>0.81865157382704856</c:v>
                </c:pt>
                <c:pt idx="257">
                  <c:v>0.89640598094862622</c:v>
                </c:pt>
                <c:pt idx="258">
                  <c:v>0.89656648680449613</c:v>
                </c:pt>
                <c:pt idx="259">
                  <c:v>0.94857007896216783</c:v>
                </c:pt>
                <c:pt idx="260">
                  <c:v>0.96352428139300772</c:v>
                </c:pt>
                <c:pt idx="261">
                  <c:v>0.98704327158536753</c:v>
                </c:pt>
                <c:pt idx="262">
                  <c:v>1.0025244580715067</c:v>
                </c:pt>
                <c:pt idx="263">
                  <c:v>1.0303179083950971</c:v>
                </c:pt>
                <c:pt idx="264">
                  <c:v>1.0227713868712922</c:v>
                </c:pt>
                <c:pt idx="265">
                  <c:v>0.97962369005403793</c:v>
                </c:pt>
                <c:pt idx="266">
                  <c:v>0.93859521979385063</c:v>
                </c:pt>
                <c:pt idx="267">
                  <c:v>0.97762926747995738</c:v>
                </c:pt>
                <c:pt idx="268">
                  <c:v>0.99077457501802635</c:v>
                </c:pt>
                <c:pt idx="269">
                  <c:v>1.0101198026693405</c:v>
                </c:pt>
                <c:pt idx="270">
                  <c:v>0.98902976040991852</c:v>
                </c:pt>
                <c:pt idx="271">
                  <c:v>1.0292242715368496</c:v>
                </c:pt>
                <c:pt idx="272">
                  <c:v>1.1038036531254853</c:v>
                </c:pt>
                <c:pt idx="273">
                  <c:v>1.1263165828486372</c:v>
                </c:pt>
                <c:pt idx="274">
                  <c:v>1.1790555725588692</c:v>
                </c:pt>
                <c:pt idx="275">
                  <c:v>1.2310460435153956</c:v>
                </c:pt>
                <c:pt idx="276">
                  <c:v>1.3082432573046183</c:v>
                </c:pt>
                <c:pt idx="277">
                  <c:v>1.3407078552359237</c:v>
                </c:pt>
                <c:pt idx="278">
                  <c:v>1.3553453179740009</c:v>
                </c:pt>
                <c:pt idx="279">
                  <c:v>1.2834112315650938</c:v>
                </c:pt>
                <c:pt idx="280">
                  <c:v>1.3147721228791331</c:v>
                </c:pt>
                <c:pt idx="281">
                  <c:v>1.4212384644044698</c:v>
                </c:pt>
                <c:pt idx="282">
                  <c:v>1.4072469919646373</c:v>
                </c:pt>
                <c:pt idx="283">
                  <c:v>1.5327683689950289</c:v>
                </c:pt>
                <c:pt idx="284">
                  <c:v>1.5764818031825931</c:v>
                </c:pt>
                <c:pt idx="285">
                  <c:v>1.3665468568772943</c:v>
                </c:pt>
                <c:pt idx="286">
                  <c:v>1.2794309304548874</c:v>
                </c:pt>
                <c:pt idx="287">
                  <c:v>1.1250407748954194</c:v>
                </c:pt>
                <c:pt idx="288">
                  <c:v>1.1832891433656003</c:v>
                </c:pt>
                <c:pt idx="289">
                  <c:v>1.2075630603401319</c:v>
                </c:pt>
                <c:pt idx="290">
                  <c:v>1.242214016555294</c:v>
                </c:pt>
                <c:pt idx="291">
                  <c:v>1.1179644806033555</c:v>
                </c:pt>
                <c:pt idx="292">
                  <c:v>1.1425224868398929</c:v>
                </c:pt>
                <c:pt idx="293">
                  <c:v>1.2099990265899616</c:v>
                </c:pt>
                <c:pt idx="294">
                  <c:v>1.0703677811652177</c:v>
                </c:pt>
                <c:pt idx="295">
                  <c:v>0.98633259071403445</c:v>
                </c:pt>
                <c:pt idx="296">
                  <c:v>0.96430667115432078</c:v>
                </c:pt>
                <c:pt idx="297">
                  <c:v>0.97653288432379581</c:v>
                </c:pt>
                <c:pt idx="298">
                  <c:v>0.94531144391495137</c:v>
                </c:pt>
                <c:pt idx="299">
                  <c:v>0.9436117906503203</c:v>
                </c:pt>
                <c:pt idx="300">
                  <c:v>0.93153875987561108</c:v>
                </c:pt>
                <c:pt idx="301">
                  <c:v>0.9713204108827852</c:v>
                </c:pt>
                <c:pt idx="302">
                  <c:v>1.0348514359628931</c:v>
                </c:pt>
                <c:pt idx="303">
                  <c:v>1.0412844862546264</c:v>
                </c:pt>
                <c:pt idx="304">
                  <c:v>1.0321689131892178</c:v>
                </c:pt>
                <c:pt idx="305">
                  <c:v>1.0954774881382816</c:v>
                </c:pt>
                <c:pt idx="306">
                  <c:v>1.0926722973911085</c:v>
                </c:pt>
                <c:pt idx="307">
                  <c:v>1.1078260641370414</c:v>
                </c:pt>
                <c:pt idx="308">
                  <c:v>1.0485679734671003</c:v>
                </c:pt>
                <c:pt idx="309">
                  <c:v>1.0756309085455331</c:v>
                </c:pt>
                <c:pt idx="310">
                  <c:v>1.0480428202770771</c:v>
                </c:pt>
                <c:pt idx="311">
                  <c:v>1.0921001519923323</c:v>
                </c:pt>
                <c:pt idx="312">
                  <c:v>1.1070369612030493</c:v>
                </c:pt>
                <c:pt idx="313">
                  <c:v>1.0799609049234713</c:v>
                </c:pt>
                <c:pt idx="314">
                  <c:v>0.97231518101612402</c:v>
                </c:pt>
                <c:pt idx="315">
                  <c:v>0.8852142066601385</c:v>
                </c:pt>
                <c:pt idx="316">
                  <c:v>0.88997232036846774</c:v>
                </c:pt>
                <c:pt idx="317">
                  <c:v>0.83536279663450341</c:v>
                </c:pt>
                <c:pt idx="318">
                  <c:v>0.84326359058923039</c:v>
                </c:pt>
                <c:pt idx="319">
                  <c:v>0.84326359058923039</c:v>
                </c:pt>
                <c:pt idx="320">
                  <c:v>0.87271885629507939</c:v>
                </c:pt>
                <c:pt idx="321">
                  <c:v>0.84439811677197696</c:v>
                </c:pt>
                <c:pt idx="322">
                  <c:v>0.87702932344340589</c:v>
                </c:pt>
                <c:pt idx="323">
                  <c:v>0.85754922205008699</c:v>
                </c:pt>
                <c:pt idx="324">
                  <c:v>0.90174692010317536</c:v>
                </c:pt>
                <c:pt idx="325">
                  <c:v>0.90915704216391191</c:v>
                </c:pt>
                <c:pt idx="326">
                  <c:v>0.91834066238874823</c:v>
                </c:pt>
                <c:pt idx="327">
                  <c:v>0.91084265879475967</c:v>
                </c:pt>
                <c:pt idx="328">
                  <c:v>0.9392692833596622</c:v>
                </c:pt>
                <c:pt idx="329">
                  <c:v>0.90299495993303902</c:v>
                </c:pt>
                <c:pt idx="330">
                  <c:v>0.89661256358061103</c:v>
                </c:pt>
                <c:pt idx="331">
                  <c:v>0.88896076730343143</c:v>
                </c:pt>
                <c:pt idx="332">
                  <c:v>0.86267594996733421</c:v>
                </c:pt>
                <c:pt idx="333">
                  <c:v>0.86217978547751561</c:v>
                </c:pt>
                <c:pt idx="334">
                  <c:v>0.86082586060585153</c:v>
                </c:pt>
                <c:pt idx="335">
                  <c:v>0.89672180520875056</c:v>
                </c:pt>
                <c:pt idx="336">
                  <c:v>0.89320562844603169</c:v>
                </c:pt>
                <c:pt idx="337">
                  <c:v>0.88037309372596029</c:v>
                </c:pt>
                <c:pt idx="338">
                  <c:v>0.87096885423535586</c:v>
                </c:pt>
                <c:pt idx="339">
                  <c:v>0.89482808022485472</c:v>
                </c:pt>
                <c:pt idx="340">
                  <c:v>0.91179959104572617</c:v>
                </c:pt>
                <c:pt idx="341">
                  <c:v>0.93200074821360945</c:v>
                </c:pt>
                <c:pt idx="342">
                  <c:v>0.91934336627161672</c:v>
                </c:pt>
                <c:pt idx="343">
                  <c:v>0.90912805346370718</c:v>
                </c:pt>
                <c:pt idx="344">
                  <c:v>0.90832155730959219</c:v>
                </c:pt>
                <c:pt idx="345">
                  <c:v>0.93089368501000413</c:v>
                </c:pt>
                <c:pt idx="346">
                  <c:v>0.94841933772110365</c:v>
                </c:pt>
                <c:pt idx="347">
                  <c:v>0.93688702249126454</c:v>
                </c:pt>
                <c:pt idx="348">
                  <c:v>0.93598471105436776</c:v>
                </c:pt>
                <c:pt idx="349">
                  <c:v>0.93949478493283312</c:v>
                </c:pt>
                <c:pt idx="350">
                  <c:v>0.91630199390382894</c:v>
                </c:pt>
                <c:pt idx="351">
                  <c:v>0.92577580627492462</c:v>
                </c:pt>
                <c:pt idx="352">
                  <c:v>0.91686773127413879</c:v>
                </c:pt>
                <c:pt idx="353">
                  <c:v>0.91686773127413879</c:v>
                </c:pt>
                <c:pt idx="354">
                  <c:v>0.93490358510884042</c:v>
                </c:pt>
                <c:pt idx="355">
                  <c:v>0.94318275788729122</c:v>
                </c:pt>
                <c:pt idx="356">
                  <c:v>0.94725033024232419</c:v>
                </c:pt>
                <c:pt idx="357">
                  <c:v>0.95367239534240078</c:v>
                </c:pt>
                <c:pt idx="358">
                  <c:v>0.97525402492845126</c:v>
                </c:pt>
                <c:pt idx="359">
                  <c:v>0.9742815303226382</c:v>
                </c:pt>
                <c:pt idx="360">
                  <c:v>0.9953615028230417</c:v>
                </c:pt>
                <c:pt idx="361">
                  <c:v>0.98983991829458551</c:v>
                </c:pt>
                <c:pt idx="362">
                  <c:v>0.98649584286781855</c:v>
                </c:pt>
                <c:pt idx="363">
                  <c:v>0.95295957846157886</c:v>
                </c:pt>
                <c:pt idx="364">
                  <c:v>0.94904549364552426</c:v>
                </c:pt>
                <c:pt idx="365">
                  <c:v>0.94705686881148465</c:v>
                </c:pt>
                <c:pt idx="366">
                  <c:v>0.96252279808698982</c:v>
                </c:pt>
                <c:pt idx="367">
                  <c:v>0.94984192004062085</c:v>
                </c:pt>
                <c:pt idx="368">
                  <c:v>0.95300779124718238</c:v>
                </c:pt>
                <c:pt idx="369">
                  <c:v>0.96400122179742764</c:v>
                </c:pt>
                <c:pt idx="370">
                  <c:v>0.9582047023333462</c:v>
                </c:pt>
                <c:pt idx="371">
                  <c:v>0.97545419953196977</c:v>
                </c:pt>
                <c:pt idx="372">
                  <c:v>0.97709465481934077</c:v>
                </c:pt>
                <c:pt idx="373">
                  <c:v>0.99276625129419283</c:v>
                </c:pt>
                <c:pt idx="374">
                  <c:v>0.9820492814006363</c:v>
                </c:pt>
                <c:pt idx="375">
                  <c:v>0.98035512073183351</c:v>
                </c:pt>
                <c:pt idx="376">
                  <c:v>0.98788821591028031</c:v>
                </c:pt>
                <c:pt idx="377">
                  <c:v>0.99765222042763524</c:v>
                </c:pt>
                <c:pt idx="378">
                  <c:v>0.9833314973823204</c:v>
                </c:pt>
                <c:pt idx="379">
                  <c:v>1.0028918517035743</c:v>
                </c:pt>
                <c:pt idx="380">
                  <c:v>0.99051855902358732</c:v>
                </c:pt>
                <c:pt idx="381">
                  <c:v>0.96826866361176611</c:v>
                </c:pt>
                <c:pt idx="382">
                  <c:v>0.96262563168666326</c:v>
                </c:pt>
                <c:pt idx="383">
                  <c:v>0.94687408742808887</c:v>
                </c:pt>
                <c:pt idx="384">
                  <c:v>0.9409161466754995</c:v>
                </c:pt>
                <c:pt idx="385">
                  <c:v>0.94308816318136024</c:v>
                </c:pt>
                <c:pt idx="386">
                  <c:v>0.94901650494531975</c:v>
                </c:pt>
                <c:pt idx="387">
                  <c:v>0.94763755824821583</c:v>
                </c:pt>
                <c:pt idx="388">
                  <c:v>0.96376748133051415</c:v>
                </c:pt>
                <c:pt idx="389">
                  <c:v>0.95301603014092473</c:v>
                </c:pt>
                <c:pt idx="390">
                  <c:v>0.96360667033043146</c:v>
                </c:pt>
                <c:pt idx="391">
                  <c:v>0.97415062345539816</c:v>
                </c:pt>
                <c:pt idx="392">
                  <c:v>0.98194095520513469</c:v>
                </c:pt>
                <c:pt idx="393">
                  <c:v>0.98330189839369031</c:v>
                </c:pt>
                <c:pt idx="394">
                  <c:v>0.98805146806406441</c:v>
                </c:pt>
                <c:pt idx="395">
                  <c:v>0.99270735846114544</c:v>
                </c:pt>
                <c:pt idx="396">
                  <c:v>0.99540513844545497</c:v>
                </c:pt>
                <c:pt idx="397">
                  <c:v>0.97906802244274649</c:v>
                </c:pt>
                <c:pt idx="398">
                  <c:v>0.99743221145029248</c:v>
                </c:pt>
                <c:pt idx="399">
                  <c:v>1.0165946577182108</c:v>
                </c:pt>
                <c:pt idx="400">
                  <c:v>1.0274568762570035</c:v>
                </c:pt>
                <c:pt idx="401">
                  <c:v>1.0268844257140146</c:v>
                </c:pt>
                <c:pt idx="402">
                  <c:v>1.0233374293858148</c:v>
                </c:pt>
                <c:pt idx="403">
                  <c:v>1.0230048221939929</c:v>
                </c:pt>
                <c:pt idx="404">
                  <c:v>1.0219105750473203</c:v>
                </c:pt>
                <c:pt idx="405">
                  <c:v>1.0219105750473203</c:v>
                </c:pt>
                <c:pt idx="406">
                  <c:v>1.0345984714105809</c:v>
                </c:pt>
                <c:pt idx="407">
                  <c:v>1.0309748838849986</c:v>
                </c:pt>
                <c:pt idx="408">
                  <c:v>1.0426207127619549</c:v>
                </c:pt>
                <c:pt idx="409">
                  <c:v>1.0288681682406513</c:v>
                </c:pt>
                <c:pt idx="410">
                  <c:v>1.0474602999750695</c:v>
                </c:pt>
                <c:pt idx="411">
                  <c:v>1.0322744930868053</c:v>
                </c:pt>
                <c:pt idx="412">
                  <c:v>1.0233990685167762</c:v>
                </c:pt>
                <c:pt idx="413">
                  <c:v>1.0123516274408868</c:v>
                </c:pt>
                <c:pt idx="414">
                  <c:v>1.0039220185655842</c:v>
                </c:pt>
                <c:pt idx="415">
                  <c:v>0.99664280337208766</c:v>
                </c:pt>
                <c:pt idx="416">
                  <c:v>1.006079693293449</c:v>
                </c:pt>
                <c:pt idx="417">
                  <c:v>1.0091643961394374</c:v>
                </c:pt>
                <c:pt idx="418">
                  <c:v>1.0349728833595402</c:v>
                </c:pt>
                <c:pt idx="419">
                  <c:v>1.0463215017733456</c:v>
                </c:pt>
                <c:pt idx="420">
                  <c:v>1.0643015142171266</c:v>
                </c:pt>
                <c:pt idx="421">
                  <c:v>1.0857424723211313</c:v>
                </c:pt>
                <c:pt idx="422">
                  <c:v>1.0564339809815817</c:v>
                </c:pt>
                <c:pt idx="423">
                  <c:v>0.95505591920269484</c:v>
                </c:pt>
                <c:pt idx="424">
                  <c:v>0.97620485429516413</c:v>
                </c:pt>
                <c:pt idx="425">
                  <c:v>1.0036266389677093</c:v>
                </c:pt>
                <c:pt idx="426">
                  <c:v>0.99310038420707814</c:v>
                </c:pt>
                <c:pt idx="427">
                  <c:v>1.0091625652741614</c:v>
                </c:pt>
                <c:pt idx="428">
                  <c:v>0.99778556844857658</c:v>
                </c:pt>
                <c:pt idx="429">
                  <c:v>0.96204677311520803</c:v>
                </c:pt>
                <c:pt idx="430">
                  <c:v>0.96697027498681021</c:v>
                </c:pt>
                <c:pt idx="431">
                  <c:v>0.95544040091067228</c:v>
                </c:pt>
                <c:pt idx="432">
                  <c:v>0.96396643535718196</c:v>
                </c:pt>
                <c:pt idx="433">
                  <c:v>0.93726326530549964</c:v>
                </c:pt>
                <c:pt idx="434">
                  <c:v>0.94052525693905564</c:v>
                </c:pt>
                <c:pt idx="435">
                  <c:v>0.94321083115485782</c:v>
                </c:pt>
                <c:pt idx="436">
                  <c:v>0.96525139763678003</c:v>
                </c:pt>
                <c:pt idx="437">
                  <c:v>0.97441792978570629</c:v>
                </c:pt>
                <c:pt idx="438">
                  <c:v>0.9585504307263133</c:v>
                </c:pt>
                <c:pt idx="439">
                  <c:v>0.93836025875008655</c:v>
                </c:pt>
                <c:pt idx="440">
                  <c:v>0.93592246163498105</c:v>
                </c:pt>
                <c:pt idx="441">
                  <c:v>0.92211560144382032</c:v>
                </c:pt>
                <c:pt idx="442">
                  <c:v>0.88179354003598875</c:v>
                </c:pt>
                <c:pt idx="443">
                  <c:v>0.86887312378266535</c:v>
                </c:pt>
                <c:pt idx="444">
                  <c:v>0.83830103025840519</c:v>
                </c:pt>
                <c:pt idx="445">
                  <c:v>0.86391941263400795</c:v>
                </c:pt>
                <c:pt idx="446">
                  <c:v>0.86333567175514991</c:v>
                </c:pt>
                <c:pt idx="447">
                  <c:v>0.87686057869379352</c:v>
                </c:pt>
                <c:pt idx="448">
                  <c:v>0.83623032163115452</c:v>
                </c:pt>
                <c:pt idx="449">
                  <c:v>0.85297266914830283</c:v>
                </c:pt>
                <c:pt idx="450">
                  <c:v>0.81441952874138079</c:v>
                </c:pt>
                <c:pt idx="451">
                  <c:v>0.83287007356111531</c:v>
                </c:pt>
                <c:pt idx="452">
                  <c:v>0.83159426560789762</c:v>
                </c:pt>
                <c:pt idx="453">
                  <c:v>0.82459151107108974</c:v>
                </c:pt>
                <c:pt idx="454">
                  <c:v>0.81828784192553317</c:v>
                </c:pt>
                <c:pt idx="455">
                  <c:v>0.85363635781088321</c:v>
                </c:pt>
                <c:pt idx="456">
                  <c:v>0.86091862444650646</c:v>
                </c:pt>
                <c:pt idx="457">
                  <c:v>0.86091862444650646</c:v>
                </c:pt>
                <c:pt idx="458">
                  <c:v>0.79548441491190947</c:v>
                </c:pt>
                <c:pt idx="459">
                  <c:v>0.77825963439451307</c:v>
                </c:pt>
                <c:pt idx="460">
                  <c:v>0.7930231216924275</c:v>
                </c:pt>
                <c:pt idx="461">
                  <c:v>0.81671116177861236</c:v>
                </c:pt>
                <c:pt idx="462">
                  <c:v>0.79303075029774439</c:v>
                </c:pt>
                <c:pt idx="463">
                  <c:v>0.81751491163481316</c:v>
                </c:pt>
                <c:pt idx="464">
                  <c:v>0.78711430915807967</c:v>
                </c:pt>
                <c:pt idx="465">
                  <c:v>0.78977058952946455</c:v>
                </c:pt>
                <c:pt idx="466">
                  <c:v>0.79517164209391178</c:v>
                </c:pt>
                <c:pt idx="467">
                  <c:v>0.79146505534248013</c:v>
                </c:pt>
                <c:pt idx="468">
                  <c:v>0.76781912515764505</c:v>
                </c:pt>
                <c:pt idx="469">
                  <c:v>0.76099793142738226</c:v>
                </c:pt>
                <c:pt idx="470">
                  <c:v>0.76739741585572041</c:v>
                </c:pt>
                <c:pt idx="471">
                  <c:v>0.77928674981439605</c:v>
                </c:pt>
                <c:pt idx="472">
                  <c:v>0.79215620698420175</c:v>
                </c:pt>
                <c:pt idx="473">
                  <c:v>0.7939007164480969</c:v>
                </c:pt>
                <c:pt idx="474">
                  <c:v>0.79893834225524152</c:v>
                </c:pt>
                <c:pt idx="475">
                  <c:v>0.79893834225524152</c:v>
                </c:pt>
                <c:pt idx="476">
                  <c:v>0.81851425893134233</c:v>
                </c:pt>
                <c:pt idx="477">
                  <c:v>0.85569333494856337</c:v>
                </c:pt>
                <c:pt idx="478">
                  <c:v>0.91360329848688138</c:v>
                </c:pt>
                <c:pt idx="479">
                  <c:v>0.90623589661592008</c:v>
                </c:pt>
                <c:pt idx="480">
                  <c:v>0.92206982981191832</c:v>
                </c:pt>
                <c:pt idx="481">
                  <c:v>0.9472131026483771</c:v>
                </c:pt>
                <c:pt idx="482">
                  <c:v>0.9431269164963707</c:v>
                </c:pt>
                <c:pt idx="483">
                  <c:v>0.99067235170677836</c:v>
                </c:pt>
                <c:pt idx="484">
                  <c:v>0.97299046515878629</c:v>
                </c:pt>
                <c:pt idx="485">
                  <c:v>0.99806477540317939</c:v>
                </c:pt>
                <c:pt idx="486">
                  <c:v>0.94179679287329576</c:v>
                </c:pt>
                <c:pt idx="487">
                  <c:v>0.93933733051908996</c:v>
                </c:pt>
                <c:pt idx="488">
                  <c:v>0.8968832264972586</c:v>
                </c:pt>
                <c:pt idx="489">
                  <c:v>0.87951594363254038</c:v>
                </c:pt>
                <c:pt idx="490">
                  <c:v>0.87057491305678514</c:v>
                </c:pt>
                <c:pt idx="491">
                  <c:v>0.8845203087205028</c:v>
                </c:pt>
                <c:pt idx="492">
                  <c:v>0.86288619432987113</c:v>
                </c:pt>
                <c:pt idx="493">
                  <c:v>0.87941768719605728</c:v>
                </c:pt>
                <c:pt idx="494">
                  <c:v>0.91603682358300942</c:v>
                </c:pt>
                <c:pt idx="495">
                  <c:v>0.9089873819816614</c:v>
                </c:pt>
                <c:pt idx="496">
                  <c:v>0.91880722788993696</c:v>
                </c:pt>
                <c:pt idx="497">
                  <c:v>0.89423915189438097</c:v>
                </c:pt>
                <c:pt idx="498">
                  <c:v>0.89230301186492245</c:v>
                </c:pt>
                <c:pt idx="499">
                  <c:v>0.89850964515084653</c:v>
                </c:pt>
                <c:pt idx="500">
                  <c:v>0.87510416860560392</c:v>
                </c:pt>
                <c:pt idx="501">
                  <c:v>0.84669981956822704</c:v>
                </c:pt>
                <c:pt idx="502">
                  <c:v>0.86167355122867839</c:v>
                </c:pt>
                <c:pt idx="503">
                  <c:v>0.88413247042618581</c:v>
                </c:pt>
                <c:pt idx="504">
                  <c:v>0.88071851697471482</c:v>
                </c:pt>
                <c:pt idx="505">
                  <c:v>0.91531088550104223</c:v>
                </c:pt>
                <c:pt idx="506">
                  <c:v>0.92496381752498136</c:v>
                </c:pt>
                <c:pt idx="507">
                  <c:v>0.91739990278105388</c:v>
                </c:pt>
                <c:pt idx="508">
                  <c:v>0.8947337906631363</c:v>
                </c:pt>
                <c:pt idx="509">
                  <c:v>0.88650161009343809</c:v>
                </c:pt>
                <c:pt idx="510">
                  <c:v>0.90739391890304311</c:v>
                </c:pt>
                <c:pt idx="511">
                  <c:v>0.8965567221896904</c:v>
                </c:pt>
                <c:pt idx="512">
                  <c:v>0.90168070380902365</c:v>
                </c:pt>
                <c:pt idx="513">
                  <c:v>0.90267730480763864</c:v>
                </c:pt>
                <c:pt idx="514">
                  <c:v>0.90450389806474485</c:v>
                </c:pt>
                <c:pt idx="515">
                  <c:v>0.88227658332466208</c:v>
                </c:pt>
                <c:pt idx="516">
                  <c:v>0.88042893511688092</c:v>
                </c:pt>
                <c:pt idx="517">
                  <c:v>0.87636838107873971</c:v>
                </c:pt>
                <c:pt idx="518">
                  <c:v>0.88858421934498355</c:v>
                </c:pt>
                <c:pt idx="519">
                  <c:v>0.90556946165542562</c:v>
                </c:pt>
                <c:pt idx="520">
                  <c:v>0.91693944016411877</c:v>
                </c:pt>
                <c:pt idx="521">
                  <c:v>0.91696903915274874</c:v>
                </c:pt>
                <c:pt idx="522">
                  <c:v>0.94099945104556137</c:v>
                </c:pt>
                <c:pt idx="523">
                  <c:v>0.94359470257441025</c:v>
                </c:pt>
                <c:pt idx="524">
                  <c:v>0.93846980552243897</c:v>
                </c:pt>
                <c:pt idx="525">
                  <c:v>0.9082702930818618</c:v>
                </c:pt>
                <c:pt idx="526">
                  <c:v>0.9082702930818618</c:v>
                </c:pt>
                <c:pt idx="527">
                  <c:v>0.87758377047784664</c:v>
                </c:pt>
                <c:pt idx="528">
                  <c:v>0.89010810954311048</c:v>
                </c:pt>
                <c:pt idx="529">
                  <c:v>0.92753740381472982</c:v>
                </c:pt>
                <c:pt idx="530">
                  <c:v>0.87890809636088063</c:v>
                </c:pt>
                <c:pt idx="531">
                  <c:v>0.9259634699657231</c:v>
                </c:pt>
                <c:pt idx="532">
                  <c:v>0.88108163858780475</c:v>
                </c:pt>
                <c:pt idx="533">
                  <c:v>0.83780944293177673</c:v>
                </c:pt>
                <c:pt idx="534">
                  <c:v>0.84592170182589144</c:v>
                </c:pt>
                <c:pt idx="535">
                  <c:v>0.84341463697450736</c:v>
                </c:pt>
                <c:pt idx="536">
                  <c:v>0.85337576465325382</c:v>
                </c:pt>
                <c:pt idx="537">
                  <c:v>0.8661500168287033</c:v>
                </c:pt>
                <c:pt idx="538">
                  <c:v>0.85700637049572814</c:v>
                </c:pt>
                <c:pt idx="539">
                  <c:v>0.87273747009205282</c:v>
                </c:pt>
                <c:pt idx="540">
                  <c:v>0.88349746531959739</c:v>
                </c:pt>
                <c:pt idx="541">
                  <c:v>0.87529366316167845</c:v>
                </c:pt>
                <c:pt idx="542">
                  <c:v>0.8586041055933239</c:v>
                </c:pt>
                <c:pt idx="543">
                  <c:v>0.87037840018381885</c:v>
                </c:pt>
                <c:pt idx="544">
                  <c:v>0.89431635338018922</c:v>
                </c:pt>
                <c:pt idx="545">
                  <c:v>0.89094206867636672</c:v>
                </c:pt>
                <c:pt idx="546">
                  <c:v>0.90555634045428035</c:v>
                </c:pt>
                <c:pt idx="547">
                  <c:v>0.90919274403679551</c:v>
                </c:pt>
                <c:pt idx="548">
                  <c:v>0.96206264061426749</c:v>
                </c:pt>
                <c:pt idx="549">
                  <c:v>1.0324011279350678</c:v>
                </c:pt>
                <c:pt idx="550">
                  <c:v>0.98077286315899315</c:v>
                </c:pt>
                <c:pt idx="551">
                  <c:v>0.97547525448264472</c:v>
                </c:pt>
                <c:pt idx="552">
                  <c:v>1.010029479982387</c:v>
                </c:pt>
                <c:pt idx="553">
                  <c:v>1.0234643693782899</c:v>
                </c:pt>
                <c:pt idx="554">
                  <c:v>1.0253147638839855</c:v>
                </c:pt>
                <c:pt idx="555">
                  <c:v>1.0315958523578035</c:v>
                </c:pt>
                <c:pt idx="556">
                  <c:v>1.0386520071318304</c:v>
                </c:pt>
                <c:pt idx="557">
                  <c:v>1.0238708214695806</c:v>
                </c:pt>
                <c:pt idx="558">
                  <c:v>0.99487571323645407</c:v>
                </c:pt>
                <c:pt idx="559">
                  <c:v>1.0185988449070973</c:v>
                </c:pt>
                <c:pt idx="560">
                  <c:v>0.98238677089986115</c:v>
                </c:pt>
                <c:pt idx="561">
                  <c:v>0.98196994390533943</c:v>
                </c:pt>
                <c:pt idx="562">
                  <c:v>0.9984550548511979</c:v>
                </c:pt>
                <c:pt idx="563">
                  <c:v>1.0180703351307345</c:v>
                </c:pt>
                <c:pt idx="564">
                  <c:v>1.0002618137344799</c:v>
                </c:pt>
                <c:pt idx="565">
                  <c:v>0.98394727840350993</c:v>
                </c:pt>
                <c:pt idx="566">
                  <c:v>1.0106861503280757</c:v>
                </c:pt>
                <c:pt idx="567">
                  <c:v>1.0100590789710171</c:v>
                </c:pt>
                <c:pt idx="568">
                  <c:v>1.0306938460651196</c:v>
                </c:pt>
                <c:pt idx="569">
                  <c:v>1.0400251560888933</c:v>
                </c:pt>
                <c:pt idx="570">
                  <c:v>1.0510939572596707</c:v>
                </c:pt>
                <c:pt idx="571">
                  <c:v>1.0213759623867036</c:v>
                </c:pt>
                <c:pt idx="572">
                  <c:v>1.0359328670526333</c:v>
                </c:pt>
                <c:pt idx="573">
                  <c:v>1.0364415424551721</c:v>
                </c:pt>
                <c:pt idx="574">
                  <c:v>1.0597869055905165</c:v>
                </c:pt>
                <c:pt idx="575">
                  <c:v>1.0893977948448326</c:v>
                </c:pt>
                <c:pt idx="576">
                  <c:v>1.0882596069315338</c:v>
                </c:pt>
                <c:pt idx="577">
                  <c:v>1.1005788890858763</c:v>
                </c:pt>
                <c:pt idx="578">
                  <c:v>1.0628383477173229</c:v>
                </c:pt>
                <c:pt idx="579">
                  <c:v>1.0668857805543188</c:v>
                </c:pt>
                <c:pt idx="580">
                  <c:v>1.1153289500384329</c:v>
                </c:pt>
                <c:pt idx="581">
                  <c:v>1.1278642742953533</c:v>
                </c:pt>
                <c:pt idx="582">
                  <c:v>1.0707754538333589</c:v>
                </c:pt>
                <c:pt idx="583">
                  <c:v>1.0686110659328152</c:v>
                </c:pt>
                <c:pt idx="584">
                  <c:v>1.0536867676348181</c:v>
                </c:pt>
                <c:pt idx="585">
                  <c:v>1.0389132105778851</c:v>
                </c:pt>
                <c:pt idx="586">
                  <c:v>1.0430827010999533</c:v>
                </c:pt>
                <c:pt idx="587">
                  <c:v>1.0632420535106992</c:v>
                </c:pt>
                <c:pt idx="588">
                  <c:v>1.0529541163801719</c:v>
                </c:pt>
                <c:pt idx="589">
                  <c:v>1.0456126517672883</c:v>
                </c:pt>
                <c:pt idx="590">
                  <c:v>1.0601216487918272</c:v>
                </c:pt>
                <c:pt idx="591">
                  <c:v>1.0517881603435191</c:v>
                </c:pt>
                <c:pt idx="592">
                  <c:v>1.0432496149842896</c:v>
                </c:pt>
                <c:pt idx="593">
                  <c:v>1.0650680364793803</c:v>
                </c:pt>
                <c:pt idx="594">
                  <c:v>1.0639026907311528</c:v>
                </c:pt>
                <c:pt idx="595">
                  <c:v>1.0987583987130238</c:v>
                </c:pt>
                <c:pt idx="596">
                  <c:v>1.0960307145958714</c:v>
                </c:pt>
                <c:pt idx="597">
                  <c:v>1.0953908271818802</c:v>
                </c:pt>
                <c:pt idx="598">
                  <c:v>1.0756629486878646</c:v>
                </c:pt>
                <c:pt idx="599">
                  <c:v>1.1008266661865731</c:v>
                </c:pt>
                <c:pt idx="600">
                  <c:v>1.0737292498121074</c:v>
                </c:pt>
                <c:pt idx="601">
                  <c:v>1.07535505817727</c:v>
                </c:pt>
                <c:pt idx="602">
                  <c:v>1.0799981325174184</c:v>
                </c:pt>
                <c:pt idx="603">
                  <c:v>1.0833827921244721</c:v>
                </c:pt>
                <c:pt idx="604">
                  <c:v>1.0366838269600405</c:v>
                </c:pt>
                <c:pt idx="605">
                  <c:v>1.0552582603301233</c:v>
                </c:pt>
                <c:pt idx="606">
                  <c:v>1.0729782899047005</c:v>
                </c:pt>
                <c:pt idx="607">
                  <c:v>1.0458311350235676</c:v>
                </c:pt>
                <c:pt idx="608">
                  <c:v>1.0747658247025835</c:v>
                </c:pt>
                <c:pt idx="609">
                  <c:v>1.0929454014614577</c:v>
                </c:pt>
                <c:pt idx="610">
                  <c:v>1.1299825854197822</c:v>
                </c:pt>
                <c:pt idx="611">
                  <c:v>1.1027808097245797</c:v>
                </c:pt>
                <c:pt idx="612">
                  <c:v>1.10250648507738</c:v>
                </c:pt>
                <c:pt idx="613">
                  <c:v>1.0888055099280194</c:v>
                </c:pt>
                <c:pt idx="614">
                  <c:v>1.0961289710323547</c:v>
                </c:pt>
                <c:pt idx="615">
                  <c:v>1.0900868104770656</c:v>
                </c:pt>
                <c:pt idx="616">
                  <c:v>1.0932108769264897</c:v>
                </c:pt>
                <c:pt idx="617">
                  <c:v>1.082449050833669</c:v>
                </c:pt>
                <c:pt idx="618">
                  <c:v>1.0654317683808956</c:v>
                </c:pt>
                <c:pt idx="619">
                  <c:v>1.0799358830980315</c:v>
                </c:pt>
                <c:pt idx="620">
                  <c:v>1.0864272159343866</c:v>
                </c:pt>
                <c:pt idx="621">
                  <c:v>1.0875611318287079</c:v>
                </c:pt>
                <c:pt idx="622">
                  <c:v>1.1007869974389246</c:v>
                </c:pt>
                <c:pt idx="623">
                  <c:v>1.1187648738732168</c:v>
                </c:pt>
                <c:pt idx="624">
                  <c:v>1.1083948529494783</c:v>
                </c:pt>
                <c:pt idx="625">
                  <c:v>1.1040279341218056</c:v>
                </c:pt>
                <c:pt idx="626">
                  <c:v>1.1106562767096544</c:v>
                </c:pt>
                <c:pt idx="627">
                  <c:v>1.0922768304914745</c:v>
                </c:pt>
                <c:pt idx="628">
                  <c:v>1.0744908897669583</c:v>
                </c:pt>
                <c:pt idx="629">
                  <c:v>1.0748912389739953</c:v>
                </c:pt>
                <c:pt idx="630">
                  <c:v>1.0257239622731902</c:v>
                </c:pt>
                <c:pt idx="631">
                  <c:v>1.0257239622731902</c:v>
                </c:pt>
                <c:pt idx="632">
                  <c:v>1.0566985410139758</c:v>
                </c:pt>
                <c:pt idx="633">
                  <c:v>1.0651842964244116</c:v>
                </c:pt>
                <c:pt idx="634">
                  <c:v>1.0531765665112161</c:v>
                </c:pt>
                <c:pt idx="635">
                  <c:v>1.0520301397041749</c:v>
                </c:pt>
                <c:pt idx="636">
                  <c:v>1.00995014248709</c:v>
                </c:pt>
                <c:pt idx="637">
                  <c:v>0.99204611095226647</c:v>
                </c:pt>
                <c:pt idx="638">
                  <c:v>0.98019644574123943</c:v>
                </c:pt>
                <c:pt idx="639">
                  <c:v>1.0017020944183326</c:v>
                </c:pt>
              </c:numCache>
            </c:numRef>
          </c:val>
          <c:smooth val="0"/>
          <c:extLst xmlns:c16r2="http://schemas.microsoft.com/office/drawing/2015/06/chart">
            <c:ext xmlns:c16="http://schemas.microsoft.com/office/drawing/2014/chart" uri="{C3380CC4-5D6E-409C-BE32-E72D297353CC}">
              <c16:uniqueId val="{00000004-E880-4D3D-8035-5D6CA951EFCC}"/>
            </c:ext>
          </c:extLst>
        </c:ser>
        <c:dLbls>
          <c:showLegendKey val="0"/>
          <c:showVal val="0"/>
          <c:showCatName val="0"/>
          <c:showSerName val="0"/>
          <c:showPercent val="0"/>
          <c:showBubbleSize val="0"/>
        </c:dLbls>
        <c:smooth val="0"/>
        <c:axId val="498501288"/>
        <c:axId val="499477536"/>
      </c:lineChart>
      <c:dateAx>
        <c:axId val="498501288"/>
        <c:scaling>
          <c:orientation val="minMax"/>
          <c:max val="44652"/>
        </c:scaling>
        <c:delete val="0"/>
        <c:axPos val="b"/>
        <c:numFmt formatCode="m/yyyy" sourceLinked="0"/>
        <c:majorTickMark val="out"/>
        <c:minorTickMark val="none"/>
        <c:tickLblPos val="low"/>
        <c:txPr>
          <a:bodyPr rot="-5400000" vert="horz"/>
          <a:lstStyle/>
          <a:p>
            <a:pPr>
              <a:defRPr>
                <a:latin typeface="NeueHaasGroteskDisp W02" panose="020B0504020202020204" pitchFamily="34" charset="-18"/>
              </a:defRPr>
            </a:pPr>
            <a:endParaRPr lang="sk-SK"/>
          </a:p>
        </c:txPr>
        <c:crossAx val="499477536"/>
        <c:crosses val="autoZero"/>
        <c:auto val="1"/>
        <c:lblOffset val="100"/>
        <c:baseTimeUnit val="days"/>
        <c:majorUnit val="6"/>
        <c:majorTimeUnit val="months"/>
      </c:dateAx>
      <c:valAx>
        <c:axId val="499477536"/>
        <c:scaling>
          <c:orientation val="minMax"/>
          <c:min val="0.5"/>
        </c:scaling>
        <c:delete val="0"/>
        <c:axPos val="l"/>
        <c:majorGridlines>
          <c:spPr>
            <a:ln>
              <a:solidFill>
                <a:schemeClr val="bg1">
                  <a:lumMod val="75000"/>
                </a:schemeClr>
              </a:solidFill>
              <a:prstDash val="sysDash"/>
            </a:ln>
          </c:spPr>
        </c:majorGridlines>
        <c:numFmt formatCode="#,##0.0" sourceLinked="0"/>
        <c:majorTickMark val="out"/>
        <c:minorTickMark val="none"/>
        <c:tickLblPos val="nextTo"/>
        <c:txPr>
          <a:bodyPr rot="0" vert="horz"/>
          <a:lstStyle/>
          <a:p>
            <a:pPr>
              <a:defRPr>
                <a:latin typeface="NeueHaasGroteskDisp W02" panose="020B0504020202020204" pitchFamily="34" charset="-18"/>
              </a:defRPr>
            </a:pPr>
            <a:endParaRPr lang="sk-SK"/>
          </a:p>
        </c:txPr>
        <c:crossAx val="498501288"/>
        <c:crosses val="autoZero"/>
        <c:crossBetween val="between"/>
      </c:valAx>
      <c:spPr>
        <a:noFill/>
      </c:spPr>
    </c:plotArea>
    <c:legend>
      <c:legendPos val="l"/>
      <c:layout>
        <c:manualLayout>
          <c:xMode val="edge"/>
          <c:yMode val="edge"/>
          <c:x val="0.1025604455311057"/>
          <c:y val="8.0293501048218016E-3"/>
          <c:w val="0.54978858411929277"/>
          <c:h val="0.3287499482879877"/>
        </c:manualLayout>
      </c:layout>
      <c:overlay val="1"/>
      <c:txPr>
        <a:bodyPr/>
        <a:lstStyle/>
        <a:p>
          <a:pPr>
            <a:defRPr>
              <a:latin typeface="NeueHaasGroteskDisp W02" panose="020B0504020202020204" pitchFamily="34" charset="-18"/>
            </a:defRPr>
          </a:pPr>
          <a:endParaRPr lang="sk-SK"/>
        </a:p>
      </c:txPr>
    </c:legend>
    <c:plotVisOnly val="1"/>
    <c:dispBlanksAs val="span"/>
    <c:showDLblsOverMax val="0"/>
  </c:chart>
  <c:spPr>
    <a:noFill/>
    <a:ln>
      <a:noFill/>
    </a:ln>
  </c:spPr>
  <c:txPr>
    <a:bodyPr/>
    <a:lstStyle/>
    <a:p>
      <a:pPr>
        <a:defRPr sz="800" b="0" i="0" u="none" strike="noStrike" baseline="0">
          <a:solidFill>
            <a:srgbClr val="000000"/>
          </a:solidFill>
          <a:latin typeface="Arial Narrow" panose="020B0606020202030204" pitchFamily="34" charset="0"/>
          <a:ea typeface="Calibri"/>
          <a:cs typeface="Calibri"/>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391C96-A105-43B0-8CC0-268BF09D149F}"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sk-SK"/>
        </a:p>
      </dgm:t>
    </dgm:pt>
    <dgm:pt modelId="{587A0F39-D462-474C-86A1-46DCD4BD1C91}">
      <dgm:prSet phldrT="[Text]" custT="1"/>
      <dgm:spPr/>
      <dgm:t>
        <a:bodyPr/>
        <a:lstStyle/>
        <a:p>
          <a:r>
            <a:rPr lang="sk-SK" sz="600" b="1">
              <a:latin typeface="Arial Narrow" panose="020B0606020202030204" pitchFamily="34" charset="0"/>
            </a:rPr>
            <a:t>03/2022 - </a:t>
          </a:r>
          <a:r>
            <a:rPr lang="sk-SK" sz="600">
              <a:latin typeface="Arial Narrow" panose="020B0606020202030204" pitchFamily="34" charset="0"/>
            </a:rPr>
            <a:t>Schválenie pravidla  výdavkových limitov v NRSR</a:t>
          </a:r>
        </a:p>
      </dgm:t>
    </dgm:pt>
    <dgm:pt modelId="{674C4339-8F9F-4208-9325-1B4303E02BF3}" type="parTrans" cxnId="{666D145C-C822-441C-A87D-B3896B2F8B6B}">
      <dgm:prSet/>
      <dgm:spPr/>
      <dgm:t>
        <a:bodyPr/>
        <a:lstStyle/>
        <a:p>
          <a:endParaRPr lang="sk-SK"/>
        </a:p>
      </dgm:t>
    </dgm:pt>
    <dgm:pt modelId="{EB078FB6-F051-4DF5-A823-F40AF8FB32DD}" type="sibTrans" cxnId="{666D145C-C822-441C-A87D-B3896B2F8B6B}">
      <dgm:prSet/>
      <dgm:spPr/>
      <dgm:t>
        <a:bodyPr/>
        <a:lstStyle/>
        <a:p>
          <a:endParaRPr lang="sk-SK"/>
        </a:p>
      </dgm:t>
    </dgm:pt>
    <dgm:pt modelId="{4BF99D27-336D-4A6E-8255-ED3B5615A5B6}">
      <dgm:prSet phldrT="[Text]" custT="1"/>
      <dgm:spPr/>
      <dgm:t>
        <a:bodyPr/>
        <a:lstStyle/>
        <a:p>
          <a:r>
            <a:rPr lang="sk-SK" sz="600" b="1">
              <a:latin typeface="Arial Narrow" panose="020B0606020202030204" pitchFamily="34" charset="0"/>
            </a:rPr>
            <a:t>04/2022 -</a:t>
          </a:r>
          <a:r>
            <a:rPr lang="sk-SK" sz="600">
              <a:latin typeface="Arial Narrow" panose="020B0606020202030204" pitchFamily="34" charset="0"/>
            </a:rPr>
            <a:t> Indikatívne výdavkové limity a ich zohľadnenie v Programe stability</a:t>
          </a:r>
        </a:p>
      </dgm:t>
    </dgm:pt>
    <dgm:pt modelId="{8A4EFD22-BABD-47C4-9CB9-94A67928FFAC}" type="parTrans" cxnId="{548B34BB-BDAC-4AF2-808E-B07F98CBA979}">
      <dgm:prSet/>
      <dgm:spPr/>
      <dgm:t>
        <a:bodyPr/>
        <a:lstStyle/>
        <a:p>
          <a:endParaRPr lang="sk-SK"/>
        </a:p>
      </dgm:t>
    </dgm:pt>
    <dgm:pt modelId="{5A3101E0-0703-4AD9-9290-E8CD0CD7D56E}" type="sibTrans" cxnId="{548B34BB-BDAC-4AF2-808E-B07F98CBA979}">
      <dgm:prSet/>
      <dgm:spPr/>
      <dgm:t>
        <a:bodyPr/>
        <a:lstStyle/>
        <a:p>
          <a:endParaRPr lang="sk-SK"/>
        </a:p>
      </dgm:t>
    </dgm:pt>
    <dgm:pt modelId="{C30FB307-2D49-4F83-B995-2E063E9D55F5}">
      <dgm:prSet phldrT="[Text]" custT="1"/>
      <dgm:spPr/>
      <dgm:t>
        <a:bodyPr/>
        <a:lstStyle/>
        <a:p>
          <a:r>
            <a:rPr lang="sk-SK" sz="600" b="1">
              <a:latin typeface="Arial Narrow" panose="020B0606020202030204" pitchFamily="34" charset="0"/>
            </a:rPr>
            <a:t>07/2022</a:t>
          </a:r>
          <a:r>
            <a:rPr lang="sk-SK" sz="600">
              <a:latin typeface="Arial Narrow" panose="020B0606020202030204" pitchFamily="34" charset="0"/>
            </a:rPr>
            <a:t> - Záväzný výpočet výdavkových limitov od RRZ na 2023 a 2024</a:t>
          </a:r>
        </a:p>
      </dgm:t>
    </dgm:pt>
    <dgm:pt modelId="{D3B67510-76A0-4EF2-90C6-2CC998F57BA2}" type="parTrans" cxnId="{2DDF1AC6-24DE-45E7-87EE-45942844D234}">
      <dgm:prSet/>
      <dgm:spPr/>
      <dgm:t>
        <a:bodyPr/>
        <a:lstStyle/>
        <a:p>
          <a:endParaRPr lang="sk-SK"/>
        </a:p>
      </dgm:t>
    </dgm:pt>
    <dgm:pt modelId="{4DC94B71-F1EA-4ED3-B6EB-E376AB4A9AA8}" type="sibTrans" cxnId="{2DDF1AC6-24DE-45E7-87EE-45942844D234}">
      <dgm:prSet/>
      <dgm:spPr/>
      <dgm:t>
        <a:bodyPr/>
        <a:lstStyle/>
        <a:p>
          <a:endParaRPr lang="sk-SK"/>
        </a:p>
      </dgm:t>
    </dgm:pt>
    <dgm:pt modelId="{8A03B8D5-141F-45E1-A0CA-05DF55E25ABB}">
      <dgm:prSet phldrT="[Text]" custT="1"/>
      <dgm:spPr/>
      <dgm:t>
        <a:bodyPr/>
        <a:lstStyle/>
        <a:p>
          <a:r>
            <a:rPr lang="sk-SK" sz="600" b="1">
              <a:latin typeface="Arial Narrow" panose="020B0606020202030204" pitchFamily="34" charset="0"/>
            </a:rPr>
            <a:t>10/2022</a:t>
          </a:r>
          <a:r>
            <a:rPr lang="sk-SK" sz="600">
              <a:latin typeface="Arial Narrow" panose="020B0606020202030204" pitchFamily="34" charset="0"/>
            </a:rPr>
            <a:t> - Vládny návrh rozpočtu zohľadňujúci záväzné výdavkové limity</a:t>
          </a:r>
        </a:p>
      </dgm:t>
    </dgm:pt>
    <dgm:pt modelId="{9FE57C36-68BC-408F-915B-B81574E51E5E}" type="parTrans" cxnId="{D0F211C6-3F3C-4139-B144-D5C488814AA3}">
      <dgm:prSet/>
      <dgm:spPr/>
      <dgm:t>
        <a:bodyPr/>
        <a:lstStyle/>
        <a:p>
          <a:endParaRPr lang="sk-SK"/>
        </a:p>
      </dgm:t>
    </dgm:pt>
    <dgm:pt modelId="{50DA60EC-049A-4787-8709-11E8DD1CED4A}" type="sibTrans" cxnId="{D0F211C6-3F3C-4139-B144-D5C488814AA3}">
      <dgm:prSet/>
      <dgm:spPr/>
      <dgm:t>
        <a:bodyPr/>
        <a:lstStyle/>
        <a:p>
          <a:endParaRPr lang="sk-SK"/>
        </a:p>
      </dgm:t>
    </dgm:pt>
    <dgm:pt modelId="{142AB2F7-1C08-4C1C-98CA-B3497F76E25F}">
      <dgm:prSet phldrT="[Text]" custT="1"/>
      <dgm:spPr/>
      <dgm:t>
        <a:bodyPr/>
        <a:lstStyle/>
        <a:p>
          <a:r>
            <a:rPr lang="sk-SK" sz="600">
              <a:latin typeface="Arial Narrow" panose="020B0606020202030204" pitchFamily="34" charset="0"/>
            </a:rPr>
            <a:t>od </a:t>
          </a:r>
          <a:r>
            <a:rPr lang="sk-SK" sz="600" b="1">
              <a:latin typeface="Arial Narrow" panose="020B0606020202030204" pitchFamily="34" charset="0"/>
            </a:rPr>
            <a:t>01/2023</a:t>
          </a:r>
          <a:r>
            <a:rPr lang="sk-SK" sz="600">
              <a:latin typeface="Arial Narrow" panose="020B0606020202030204" pitchFamily="34" charset="0"/>
            </a:rPr>
            <a:t> - Plnenie výdavkových limitov</a:t>
          </a:r>
        </a:p>
      </dgm:t>
    </dgm:pt>
    <dgm:pt modelId="{9162F5B1-C4BF-471E-8FF6-697617164230}" type="parTrans" cxnId="{4180A254-4E34-4D0D-98E7-0C4A6F9FB888}">
      <dgm:prSet/>
      <dgm:spPr/>
      <dgm:t>
        <a:bodyPr/>
        <a:lstStyle/>
        <a:p>
          <a:endParaRPr lang="sk-SK"/>
        </a:p>
      </dgm:t>
    </dgm:pt>
    <dgm:pt modelId="{C11396FC-F8B8-467E-8152-A2F872273053}" type="sibTrans" cxnId="{4180A254-4E34-4D0D-98E7-0C4A6F9FB888}">
      <dgm:prSet/>
      <dgm:spPr/>
      <dgm:t>
        <a:bodyPr/>
        <a:lstStyle/>
        <a:p>
          <a:endParaRPr lang="sk-SK"/>
        </a:p>
      </dgm:t>
    </dgm:pt>
    <dgm:pt modelId="{517145A2-5C6A-47BA-9404-8E33D38F4DAC}" type="pres">
      <dgm:prSet presAssocID="{C1391C96-A105-43B0-8CC0-268BF09D149F}" presName="Name0" presStyleCnt="0">
        <dgm:presLayoutVars>
          <dgm:dir/>
          <dgm:resizeHandles val="exact"/>
        </dgm:presLayoutVars>
      </dgm:prSet>
      <dgm:spPr/>
      <dgm:t>
        <a:bodyPr/>
        <a:lstStyle/>
        <a:p>
          <a:endParaRPr lang="sk-SK"/>
        </a:p>
      </dgm:t>
    </dgm:pt>
    <dgm:pt modelId="{38DB94C4-0EDE-4F6F-9603-7BD078861D3E}" type="pres">
      <dgm:prSet presAssocID="{C1391C96-A105-43B0-8CC0-268BF09D149F}" presName="arrow" presStyleLbl="bgShp" presStyleIdx="0" presStyleCnt="1" custScaleX="91458" custScaleY="78738"/>
      <dgm:spPr/>
    </dgm:pt>
    <dgm:pt modelId="{478ACFC9-8E8F-4418-B4CE-8D08C6008738}" type="pres">
      <dgm:prSet presAssocID="{C1391C96-A105-43B0-8CC0-268BF09D149F}" presName="points" presStyleCnt="0"/>
      <dgm:spPr/>
    </dgm:pt>
    <dgm:pt modelId="{015FAB63-7007-4C5E-AC38-BD73B835094D}" type="pres">
      <dgm:prSet presAssocID="{587A0F39-D462-474C-86A1-46DCD4BD1C91}" presName="compositeA" presStyleCnt="0"/>
      <dgm:spPr/>
    </dgm:pt>
    <dgm:pt modelId="{EC9A86E9-D93D-4CE7-86E7-31C7DE8882B6}" type="pres">
      <dgm:prSet presAssocID="{587A0F39-D462-474C-86A1-46DCD4BD1C91}" presName="textA" presStyleLbl="revTx" presStyleIdx="0" presStyleCnt="5">
        <dgm:presLayoutVars>
          <dgm:bulletEnabled val="1"/>
        </dgm:presLayoutVars>
      </dgm:prSet>
      <dgm:spPr/>
      <dgm:t>
        <a:bodyPr/>
        <a:lstStyle/>
        <a:p>
          <a:endParaRPr lang="sk-SK"/>
        </a:p>
      </dgm:t>
    </dgm:pt>
    <dgm:pt modelId="{1FFEDF98-997E-4E24-B53F-3CC00F081F06}" type="pres">
      <dgm:prSet presAssocID="{587A0F39-D462-474C-86A1-46DCD4BD1C91}" presName="circleA" presStyleLbl="node1" presStyleIdx="0" presStyleCnt="5"/>
      <dgm:spPr/>
    </dgm:pt>
    <dgm:pt modelId="{743E55F1-6DA1-407B-B3C3-87134BDECFCB}" type="pres">
      <dgm:prSet presAssocID="{587A0F39-D462-474C-86A1-46DCD4BD1C91}" presName="spaceA" presStyleCnt="0"/>
      <dgm:spPr/>
    </dgm:pt>
    <dgm:pt modelId="{0DA4190F-C014-4E57-807E-27A6B8933C5D}" type="pres">
      <dgm:prSet presAssocID="{EB078FB6-F051-4DF5-A823-F40AF8FB32DD}" presName="space" presStyleCnt="0"/>
      <dgm:spPr/>
    </dgm:pt>
    <dgm:pt modelId="{C4F221EA-7EA6-418F-9833-9525B74701AD}" type="pres">
      <dgm:prSet presAssocID="{4BF99D27-336D-4A6E-8255-ED3B5615A5B6}" presName="compositeB" presStyleCnt="0"/>
      <dgm:spPr/>
    </dgm:pt>
    <dgm:pt modelId="{A23EBA07-97DA-417B-87B7-7487263A3305}" type="pres">
      <dgm:prSet presAssocID="{4BF99D27-336D-4A6E-8255-ED3B5615A5B6}" presName="textB" presStyleLbl="revTx" presStyleIdx="1" presStyleCnt="5" custScaleX="121644">
        <dgm:presLayoutVars>
          <dgm:bulletEnabled val="1"/>
        </dgm:presLayoutVars>
      </dgm:prSet>
      <dgm:spPr/>
      <dgm:t>
        <a:bodyPr/>
        <a:lstStyle/>
        <a:p>
          <a:endParaRPr lang="sk-SK"/>
        </a:p>
      </dgm:t>
    </dgm:pt>
    <dgm:pt modelId="{8C1F85FE-3123-47EB-AFBA-EE1ADCC11126}" type="pres">
      <dgm:prSet presAssocID="{4BF99D27-336D-4A6E-8255-ED3B5615A5B6}" presName="circleB" presStyleLbl="node1" presStyleIdx="1" presStyleCnt="5"/>
      <dgm:spPr/>
    </dgm:pt>
    <dgm:pt modelId="{893BBC03-EF00-4B91-BF81-E9F161200A56}" type="pres">
      <dgm:prSet presAssocID="{4BF99D27-336D-4A6E-8255-ED3B5615A5B6}" presName="spaceB" presStyleCnt="0"/>
      <dgm:spPr/>
    </dgm:pt>
    <dgm:pt modelId="{5BF3E16A-6D11-4230-84D7-A0CDF0B0AB68}" type="pres">
      <dgm:prSet presAssocID="{5A3101E0-0703-4AD9-9290-E8CD0CD7D56E}" presName="space" presStyleCnt="0"/>
      <dgm:spPr/>
    </dgm:pt>
    <dgm:pt modelId="{C09001AE-B852-4397-97F8-EE88A5FDDAB2}" type="pres">
      <dgm:prSet presAssocID="{C30FB307-2D49-4F83-B995-2E063E9D55F5}" presName="compositeA" presStyleCnt="0"/>
      <dgm:spPr/>
    </dgm:pt>
    <dgm:pt modelId="{5CD9D644-2F49-4185-8F18-72950C70CA80}" type="pres">
      <dgm:prSet presAssocID="{C30FB307-2D49-4F83-B995-2E063E9D55F5}" presName="textA" presStyleLbl="revTx" presStyleIdx="2" presStyleCnt="5">
        <dgm:presLayoutVars>
          <dgm:bulletEnabled val="1"/>
        </dgm:presLayoutVars>
      </dgm:prSet>
      <dgm:spPr/>
      <dgm:t>
        <a:bodyPr/>
        <a:lstStyle/>
        <a:p>
          <a:endParaRPr lang="sk-SK"/>
        </a:p>
      </dgm:t>
    </dgm:pt>
    <dgm:pt modelId="{96A3E0B9-357B-4499-ABD3-81D80ABB8764}" type="pres">
      <dgm:prSet presAssocID="{C30FB307-2D49-4F83-B995-2E063E9D55F5}" presName="circleA" presStyleLbl="node1" presStyleIdx="2" presStyleCnt="5"/>
      <dgm:spPr/>
    </dgm:pt>
    <dgm:pt modelId="{EAFC7DC5-57A7-47C5-8D07-CC29E44F5DE8}" type="pres">
      <dgm:prSet presAssocID="{C30FB307-2D49-4F83-B995-2E063E9D55F5}" presName="spaceA" presStyleCnt="0"/>
      <dgm:spPr/>
    </dgm:pt>
    <dgm:pt modelId="{60590336-FF83-4B45-863D-40D13CF2AD6B}" type="pres">
      <dgm:prSet presAssocID="{4DC94B71-F1EA-4ED3-B6EB-E376AB4A9AA8}" presName="space" presStyleCnt="0"/>
      <dgm:spPr/>
    </dgm:pt>
    <dgm:pt modelId="{905EE652-1DC6-4500-9CF0-CAB9A42C0A75}" type="pres">
      <dgm:prSet presAssocID="{8A03B8D5-141F-45E1-A0CA-05DF55E25ABB}" presName="compositeB" presStyleCnt="0"/>
      <dgm:spPr/>
    </dgm:pt>
    <dgm:pt modelId="{F3A84B8F-EDC6-4FBB-8496-9DCB4F841304}" type="pres">
      <dgm:prSet presAssocID="{8A03B8D5-141F-45E1-A0CA-05DF55E25ABB}" presName="textB" presStyleLbl="revTx" presStyleIdx="3" presStyleCnt="5">
        <dgm:presLayoutVars>
          <dgm:bulletEnabled val="1"/>
        </dgm:presLayoutVars>
      </dgm:prSet>
      <dgm:spPr/>
      <dgm:t>
        <a:bodyPr/>
        <a:lstStyle/>
        <a:p>
          <a:endParaRPr lang="sk-SK"/>
        </a:p>
      </dgm:t>
    </dgm:pt>
    <dgm:pt modelId="{717177A7-C7A1-4B32-A47B-5101E5DF1509}" type="pres">
      <dgm:prSet presAssocID="{8A03B8D5-141F-45E1-A0CA-05DF55E25ABB}" presName="circleB" presStyleLbl="node1" presStyleIdx="3" presStyleCnt="5"/>
      <dgm:spPr/>
    </dgm:pt>
    <dgm:pt modelId="{201BEBB6-1D61-4948-AB86-6AB40285708A}" type="pres">
      <dgm:prSet presAssocID="{8A03B8D5-141F-45E1-A0CA-05DF55E25ABB}" presName="spaceB" presStyleCnt="0"/>
      <dgm:spPr/>
    </dgm:pt>
    <dgm:pt modelId="{E2D4F36A-8472-4EBD-A795-1E1977E12145}" type="pres">
      <dgm:prSet presAssocID="{50DA60EC-049A-4787-8709-11E8DD1CED4A}" presName="space" presStyleCnt="0"/>
      <dgm:spPr/>
    </dgm:pt>
    <dgm:pt modelId="{F6806F27-4D40-4FED-83B6-1EEAB1EC9CB1}" type="pres">
      <dgm:prSet presAssocID="{142AB2F7-1C08-4C1C-98CA-B3497F76E25F}" presName="compositeA" presStyleCnt="0"/>
      <dgm:spPr/>
    </dgm:pt>
    <dgm:pt modelId="{767CBD07-8CB1-4626-9FB0-822B897F8790}" type="pres">
      <dgm:prSet presAssocID="{142AB2F7-1C08-4C1C-98CA-B3497F76E25F}" presName="textA" presStyleLbl="revTx" presStyleIdx="4" presStyleCnt="5">
        <dgm:presLayoutVars>
          <dgm:bulletEnabled val="1"/>
        </dgm:presLayoutVars>
      </dgm:prSet>
      <dgm:spPr/>
      <dgm:t>
        <a:bodyPr/>
        <a:lstStyle/>
        <a:p>
          <a:endParaRPr lang="sk-SK"/>
        </a:p>
      </dgm:t>
    </dgm:pt>
    <dgm:pt modelId="{22078226-2DBF-4DA7-B302-FA1963530375}" type="pres">
      <dgm:prSet presAssocID="{142AB2F7-1C08-4C1C-98CA-B3497F76E25F}" presName="circleA" presStyleLbl="node1" presStyleIdx="4" presStyleCnt="5"/>
      <dgm:spPr/>
    </dgm:pt>
    <dgm:pt modelId="{76679326-55DC-4627-AAF6-16ED1133DD88}" type="pres">
      <dgm:prSet presAssocID="{142AB2F7-1C08-4C1C-98CA-B3497F76E25F}" presName="spaceA" presStyleCnt="0"/>
      <dgm:spPr/>
    </dgm:pt>
  </dgm:ptLst>
  <dgm:cxnLst>
    <dgm:cxn modelId="{459AF3D3-7BA1-47B8-82DD-A57C940C29F5}" type="presOf" srcId="{8A03B8D5-141F-45E1-A0CA-05DF55E25ABB}" destId="{F3A84B8F-EDC6-4FBB-8496-9DCB4F841304}" srcOrd="0" destOrd="0" presId="urn:microsoft.com/office/officeart/2005/8/layout/hProcess11"/>
    <dgm:cxn modelId="{C93416F5-6B07-4C4C-94D7-C05C5A251F41}" type="presOf" srcId="{C1391C96-A105-43B0-8CC0-268BF09D149F}" destId="{517145A2-5C6A-47BA-9404-8E33D38F4DAC}" srcOrd="0" destOrd="0" presId="urn:microsoft.com/office/officeart/2005/8/layout/hProcess11"/>
    <dgm:cxn modelId="{4180A254-4E34-4D0D-98E7-0C4A6F9FB888}" srcId="{C1391C96-A105-43B0-8CC0-268BF09D149F}" destId="{142AB2F7-1C08-4C1C-98CA-B3497F76E25F}" srcOrd="4" destOrd="0" parTransId="{9162F5B1-C4BF-471E-8FF6-697617164230}" sibTransId="{C11396FC-F8B8-467E-8152-A2F872273053}"/>
    <dgm:cxn modelId="{548B34BB-BDAC-4AF2-808E-B07F98CBA979}" srcId="{C1391C96-A105-43B0-8CC0-268BF09D149F}" destId="{4BF99D27-336D-4A6E-8255-ED3B5615A5B6}" srcOrd="1" destOrd="0" parTransId="{8A4EFD22-BABD-47C4-9CB9-94A67928FFAC}" sibTransId="{5A3101E0-0703-4AD9-9290-E8CD0CD7D56E}"/>
    <dgm:cxn modelId="{DC15F41A-0C0D-4622-89E9-DC6FFFADFD2D}" type="presOf" srcId="{4BF99D27-336D-4A6E-8255-ED3B5615A5B6}" destId="{A23EBA07-97DA-417B-87B7-7487263A3305}" srcOrd="0" destOrd="0" presId="urn:microsoft.com/office/officeart/2005/8/layout/hProcess11"/>
    <dgm:cxn modelId="{3D43976B-1035-415F-97F9-E9CD0F26273C}" type="presOf" srcId="{587A0F39-D462-474C-86A1-46DCD4BD1C91}" destId="{EC9A86E9-D93D-4CE7-86E7-31C7DE8882B6}" srcOrd="0" destOrd="0" presId="urn:microsoft.com/office/officeart/2005/8/layout/hProcess11"/>
    <dgm:cxn modelId="{666D145C-C822-441C-A87D-B3896B2F8B6B}" srcId="{C1391C96-A105-43B0-8CC0-268BF09D149F}" destId="{587A0F39-D462-474C-86A1-46DCD4BD1C91}" srcOrd="0" destOrd="0" parTransId="{674C4339-8F9F-4208-9325-1B4303E02BF3}" sibTransId="{EB078FB6-F051-4DF5-A823-F40AF8FB32DD}"/>
    <dgm:cxn modelId="{BFBE0242-D767-49D6-9D06-4DDA5C6E7A2A}" type="presOf" srcId="{C30FB307-2D49-4F83-B995-2E063E9D55F5}" destId="{5CD9D644-2F49-4185-8F18-72950C70CA80}" srcOrd="0" destOrd="0" presId="urn:microsoft.com/office/officeart/2005/8/layout/hProcess11"/>
    <dgm:cxn modelId="{D0F211C6-3F3C-4139-B144-D5C488814AA3}" srcId="{C1391C96-A105-43B0-8CC0-268BF09D149F}" destId="{8A03B8D5-141F-45E1-A0CA-05DF55E25ABB}" srcOrd="3" destOrd="0" parTransId="{9FE57C36-68BC-408F-915B-B81574E51E5E}" sibTransId="{50DA60EC-049A-4787-8709-11E8DD1CED4A}"/>
    <dgm:cxn modelId="{2DDF1AC6-24DE-45E7-87EE-45942844D234}" srcId="{C1391C96-A105-43B0-8CC0-268BF09D149F}" destId="{C30FB307-2D49-4F83-B995-2E063E9D55F5}" srcOrd="2" destOrd="0" parTransId="{D3B67510-76A0-4EF2-90C6-2CC998F57BA2}" sibTransId="{4DC94B71-F1EA-4ED3-B6EB-E376AB4A9AA8}"/>
    <dgm:cxn modelId="{6A0370F2-491F-4398-A730-BF5C0955D69F}" type="presOf" srcId="{142AB2F7-1C08-4C1C-98CA-B3497F76E25F}" destId="{767CBD07-8CB1-4626-9FB0-822B897F8790}" srcOrd="0" destOrd="0" presId="urn:microsoft.com/office/officeart/2005/8/layout/hProcess11"/>
    <dgm:cxn modelId="{7F9A08AB-4F7D-43E4-AA65-47C53429847F}" type="presParOf" srcId="{517145A2-5C6A-47BA-9404-8E33D38F4DAC}" destId="{38DB94C4-0EDE-4F6F-9603-7BD078861D3E}" srcOrd="0" destOrd="0" presId="urn:microsoft.com/office/officeart/2005/8/layout/hProcess11"/>
    <dgm:cxn modelId="{50EAD309-4DCD-4EC3-95EC-DD39440599D4}" type="presParOf" srcId="{517145A2-5C6A-47BA-9404-8E33D38F4DAC}" destId="{478ACFC9-8E8F-4418-B4CE-8D08C6008738}" srcOrd="1" destOrd="0" presId="urn:microsoft.com/office/officeart/2005/8/layout/hProcess11"/>
    <dgm:cxn modelId="{63C0AB17-4F2C-4C8E-B93E-BCB776B2CA43}" type="presParOf" srcId="{478ACFC9-8E8F-4418-B4CE-8D08C6008738}" destId="{015FAB63-7007-4C5E-AC38-BD73B835094D}" srcOrd="0" destOrd="0" presId="urn:microsoft.com/office/officeart/2005/8/layout/hProcess11"/>
    <dgm:cxn modelId="{234D5177-58EB-40A8-B0EC-726C4B86642F}" type="presParOf" srcId="{015FAB63-7007-4C5E-AC38-BD73B835094D}" destId="{EC9A86E9-D93D-4CE7-86E7-31C7DE8882B6}" srcOrd="0" destOrd="0" presId="urn:microsoft.com/office/officeart/2005/8/layout/hProcess11"/>
    <dgm:cxn modelId="{782C0EB6-795F-4D89-B993-EEE7BB2A9E95}" type="presParOf" srcId="{015FAB63-7007-4C5E-AC38-BD73B835094D}" destId="{1FFEDF98-997E-4E24-B53F-3CC00F081F06}" srcOrd="1" destOrd="0" presId="urn:microsoft.com/office/officeart/2005/8/layout/hProcess11"/>
    <dgm:cxn modelId="{750BD4F1-DF07-4F0D-B8D0-276C888D62A1}" type="presParOf" srcId="{015FAB63-7007-4C5E-AC38-BD73B835094D}" destId="{743E55F1-6DA1-407B-B3C3-87134BDECFCB}" srcOrd="2" destOrd="0" presId="urn:microsoft.com/office/officeart/2005/8/layout/hProcess11"/>
    <dgm:cxn modelId="{EEDECF61-6D0A-4CC3-978D-A81F7190A29F}" type="presParOf" srcId="{478ACFC9-8E8F-4418-B4CE-8D08C6008738}" destId="{0DA4190F-C014-4E57-807E-27A6B8933C5D}" srcOrd="1" destOrd="0" presId="urn:microsoft.com/office/officeart/2005/8/layout/hProcess11"/>
    <dgm:cxn modelId="{89F15B24-9BC3-4842-9BAB-55AB7D94C6F8}" type="presParOf" srcId="{478ACFC9-8E8F-4418-B4CE-8D08C6008738}" destId="{C4F221EA-7EA6-418F-9833-9525B74701AD}" srcOrd="2" destOrd="0" presId="urn:microsoft.com/office/officeart/2005/8/layout/hProcess11"/>
    <dgm:cxn modelId="{29E9D742-B601-4459-B09A-F3D2F447C815}" type="presParOf" srcId="{C4F221EA-7EA6-418F-9833-9525B74701AD}" destId="{A23EBA07-97DA-417B-87B7-7487263A3305}" srcOrd="0" destOrd="0" presId="urn:microsoft.com/office/officeart/2005/8/layout/hProcess11"/>
    <dgm:cxn modelId="{66666E15-575C-4C40-8A71-21039B9E46CE}" type="presParOf" srcId="{C4F221EA-7EA6-418F-9833-9525B74701AD}" destId="{8C1F85FE-3123-47EB-AFBA-EE1ADCC11126}" srcOrd="1" destOrd="0" presId="urn:microsoft.com/office/officeart/2005/8/layout/hProcess11"/>
    <dgm:cxn modelId="{5F81E249-9A95-4456-9173-DD075EDE287F}" type="presParOf" srcId="{C4F221EA-7EA6-418F-9833-9525B74701AD}" destId="{893BBC03-EF00-4B91-BF81-E9F161200A56}" srcOrd="2" destOrd="0" presId="urn:microsoft.com/office/officeart/2005/8/layout/hProcess11"/>
    <dgm:cxn modelId="{129031A9-76E4-4985-8A2A-D18F3D803A3C}" type="presParOf" srcId="{478ACFC9-8E8F-4418-B4CE-8D08C6008738}" destId="{5BF3E16A-6D11-4230-84D7-A0CDF0B0AB68}" srcOrd="3" destOrd="0" presId="urn:microsoft.com/office/officeart/2005/8/layout/hProcess11"/>
    <dgm:cxn modelId="{0EBC5999-8CA0-44C3-BB62-4726A998163E}" type="presParOf" srcId="{478ACFC9-8E8F-4418-B4CE-8D08C6008738}" destId="{C09001AE-B852-4397-97F8-EE88A5FDDAB2}" srcOrd="4" destOrd="0" presId="urn:microsoft.com/office/officeart/2005/8/layout/hProcess11"/>
    <dgm:cxn modelId="{1ADF4F38-96C5-4157-98A8-5C7AAE5A066B}" type="presParOf" srcId="{C09001AE-B852-4397-97F8-EE88A5FDDAB2}" destId="{5CD9D644-2F49-4185-8F18-72950C70CA80}" srcOrd="0" destOrd="0" presId="urn:microsoft.com/office/officeart/2005/8/layout/hProcess11"/>
    <dgm:cxn modelId="{2241FC19-CF1E-45C8-B4C7-DB6562EB60DA}" type="presParOf" srcId="{C09001AE-B852-4397-97F8-EE88A5FDDAB2}" destId="{96A3E0B9-357B-4499-ABD3-81D80ABB8764}" srcOrd="1" destOrd="0" presId="urn:microsoft.com/office/officeart/2005/8/layout/hProcess11"/>
    <dgm:cxn modelId="{B93DF035-96D4-40E0-B5CA-5A5D439B8106}" type="presParOf" srcId="{C09001AE-B852-4397-97F8-EE88A5FDDAB2}" destId="{EAFC7DC5-57A7-47C5-8D07-CC29E44F5DE8}" srcOrd="2" destOrd="0" presId="urn:microsoft.com/office/officeart/2005/8/layout/hProcess11"/>
    <dgm:cxn modelId="{E9A75745-C708-4A4D-BEA9-813782EDA6A3}" type="presParOf" srcId="{478ACFC9-8E8F-4418-B4CE-8D08C6008738}" destId="{60590336-FF83-4B45-863D-40D13CF2AD6B}" srcOrd="5" destOrd="0" presId="urn:microsoft.com/office/officeart/2005/8/layout/hProcess11"/>
    <dgm:cxn modelId="{65844DF1-6AB8-4F51-8154-267774B81A94}" type="presParOf" srcId="{478ACFC9-8E8F-4418-B4CE-8D08C6008738}" destId="{905EE652-1DC6-4500-9CF0-CAB9A42C0A75}" srcOrd="6" destOrd="0" presId="urn:microsoft.com/office/officeart/2005/8/layout/hProcess11"/>
    <dgm:cxn modelId="{4653A67D-B360-4CB8-ACBF-6C96C16B9E1C}" type="presParOf" srcId="{905EE652-1DC6-4500-9CF0-CAB9A42C0A75}" destId="{F3A84B8F-EDC6-4FBB-8496-9DCB4F841304}" srcOrd="0" destOrd="0" presId="urn:microsoft.com/office/officeart/2005/8/layout/hProcess11"/>
    <dgm:cxn modelId="{ABCE6A0F-5704-48A9-94F2-8B2D6DDD9C30}" type="presParOf" srcId="{905EE652-1DC6-4500-9CF0-CAB9A42C0A75}" destId="{717177A7-C7A1-4B32-A47B-5101E5DF1509}" srcOrd="1" destOrd="0" presId="urn:microsoft.com/office/officeart/2005/8/layout/hProcess11"/>
    <dgm:cxn modelId="{CDCA31F3-3714-4176-A949-61C8BEBCB775}" type="presParOf" srcId="{905EE652-1DC6-4500-9CF0-CAB9A42C0A75}" destId="{201BEBB6-1D61-4948-AB86-6AB40285708A}" srcOrd="2" destOrd="0" presId="urn:microsoft.com/office/officeart/2005/8/layout/hProcess11"/>
    <dgm:cxn modelId="{4F0A9F99-29FD-46E0-A917-A051464AB40F}" type="presParOf" srcId="{478ACFC9-8E8F-4418-B4CE-8D08C6008738}" destId="{E2D4F36A-8472-4EBD-A795-1E1977E12145}" srcOrd="7" destOrd="0" presId="urn:microsoft.com/office/officeart/2005/8/layout/hProcess11"/>
    <dgm:cxn modelId="{3F6899AF-5661-4CF5-A6F3-439744E57E66}" type="presParOf" srcId="{478ACFC9-8E8F-4418-B4CE-8D08C6008738}" destId="{F6806F27-4D40-4FED-83B6-1EEAB1EC9CB1}" srcOrd="8" destOrd="0" presId="urn:microsoft.com/office/officeart/2005/8/layout/hProcess11"/>
    <dgm:cxn modelId="{B842CBB7-6186-4B6F-A725-F6E5BB1BB160}" type="presParOf" srcId="{F6806F27-4D40-4FED-83B6-1EEAB1EC9CB1}" destId="{767CBD07-8CB1-4626-9FB0-822B897F8790}" srcOrd="0" destOrd="0" presId="urn:microsoft.com/office/officeart/2005/8/layout/hProcess11"/>
    <dgm:cxn modelId="{E78D47D4-8F0B-48CB-AC34-32CAB1988233}" type="presParOf" srcId="{F6806F27-4D40-4FED-83B6-1EEAB1EC9CB1}" destId="{22078226-2DBF-4DA7-B302-FA1963530375}" srcOrd="1" destOrd="0" presId="urn:microsoft.com/office/officeart/2005/8/layout/hProcess11"/>
    <dgm:cxn modelId="{32BDF59B-AA7B-4458-B955-E19C6073B071}" type="presParOf" srcId="{F6806F27-4D40-4FED-83B6-1EEAB1EC9CB1}" destId="{76679326-55DC-4627-AAF6-16ED1133DD88}" srcOrd="2" destOrd="0" presId="urn:microsoft.com/office/officeart/2005/8/layout/hProcess1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DB94C4-0EDE-4F6F-9603-7BD078861D3E}">
      <dsp:nvSpPr>
        <dsp:cNvPr id="0" name=""/>
        <dsp:cNvSpPr/>
      </dsp:nvSpPr>
      <dsp:spPr>
        <a:xfrm>
          <a:off x="181053" y="459365"/>
          <a:ext cx="2587278" cy="422388"/>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C9A86E9-D93D-4CE7-86E7-31C7DE8882B6}">
      <dsp:nvSpPr>
        <dsp:cNvPr id="0" name=""/>
        <dsp:cNvSpPr/>
      </dsp:nvSpPr>
      <dsp:spPr>
        <a:xfrm>
          <a:off x="60593" y="0"/>
          <a:ext cx="469922"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sk-SK" sz="600" b="1" kern="1200">
              <a:latin typeface="Arial Narrow" panose="020B0606020202030204" pitchFamily="34" charset="0"/>
            </a:rPr>
            <a:t>03/2022 - </a:t>
          </a:r>
          <a:r>
            <a:rPr lang="sk-SK" sz="600" kern="1200">
              <a:latin typeface="Arial Narrow" panose="020B0606020202030204" pitchFamily="34" charset="0"/>
            </a:rPr>
            <a:t>Schválenie pravidla  výdavkových limitov v NRSR</a:t>
          </a:r>
        </a:p>
      </dsp:txBody>
      <dsp:txXfrm>
        <a:off x="60593" y="0"/>
        <a:ext cx="469922" cy="536448"/>
      </dsp:txXfrm>
    </dsp:sp>
    <dsp:sp modelId="{1FFEDF98-997E-4E24-B53F-3CC00F081F06}">
      <dsp:nvSpPr>
        <dsp:cNvPr id="0" name=""/>
        <dsp:cNvSpPr/>
      </dsp:nvSpPr>
      <dsp:spPr>
        <a:xfrm>
          <a:off x="228498"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3EBA07-97DA-417B-87B7-7487263A3305}">
      <dsp:nvSpPr>
        <dsp:cNvPr id="0" name=""/>
        <dsp:cNvSpPr/>
      </dsp:nvSpPr>
      <dsp:spPr>
        <a:xfrm>
          <a:off x="554011" y="804671"/>
          <a:ext cx="571631"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sk-SK" sz="600" b="1" kern="1200">
              <a:latin typeface="Arial Narrow" panose="020B0606020202030204" pitchFamily="34" charset="0"/>
            </a:rPr>
            <a:t>04/2022 -</a:t>
          </a:r>
          <a:r>
            <a:rPr lang="sk-SK" sz="600" kern="1200">
              <a:latin typeface="Arial Narrow" panose="020B0606020202030204" pitchFamily="34" charset="0"/>
            </a:rPr>
            <a:t> Indikatívne výdavkové limity a ich zohľadnenie v Programe stability</a:t>
          </a:r>
        </a:p>
      </dsp:txBody>
      <dsp:txXfrm>
        <a:off x="554011" y="804671"/>
        <a:ext cx="571631" cy="536448"/>
      </dsp:txXfrm>
    </dsp:sp>
    <dsp:sp modelId="{8C1F85FE-3123-47EB-AFBA-EE1ADCC11126}">
      <dsp:nvSpPr>
        <dsp:cNvPr id="0" name=""/>
        <dsp:cNvSpPr/>
      </dsp:nvSpPr>
      <dsp:spPr>
        <a:xfrm>
          <a:off x="772771"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D9D644-2F49-4185-8F18-72950C70CA80}">
      <dsp:nvSpPr>
        <dsp:cNvPr id="0" name=""/>
        <dsp:cNvSpPr/>
      </dsp:nvSpPr>
      <dsp:spPr>
        <a:xfrm>
          <a:off x="1149139" y="0"/>
          <a:ext cx="469922"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sk-SK" sz="600" b="1" kern="1200">
              <a:latin typeface="Arial Narrow" panose="020B0606020202030204" pitchFamily="34" charset="0"/>
            </a:rPr>
            <a:t>07/2022</a:t>
          </a:r>
          <a:r>
            <a:rPr lang="sk-SK" sz="600" kern="1200">
              <a:latin typeface="Arial Narrow" panose="020B0606020202030204" pitchFamily="34" charset="0"/>
            </a:rPr>
            <a:t> - Záväzný výpočet výdavkových limitov od RRZ na 2023 a 2024</a:t>
          </a:r>
        </a:p>
      </dsp:txBody>
      <dsp:txXfrm>
        <a:off x="1149139" y="0"/>
        <a:ext cx="469922" cy="536448"/>
      </dsp:txXfrm>
    </dsp:sp>
    <dsp:sp modelId="{96A3E0B9-357B-4499-ABD3-81D80ABB8764}">
      <dsp:nvSpPr>
        <dsp:cNvPr id="0" name=""/>
        <dsp:cNvSpPr/>
      </dsp:nvSpPr>
      <dsp:spPr>
        <a:xfrm>
          <a:off x="1317044"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A84B8F-EDC6-4FBB-8496-9DCB4F841304}">
      <dsp:nvSpPr>
        <dsp:cNvPr id="0" name=""/>
        <dsp:cNvSpPr/>
      </dsp:nvSpPr>
      <dsp:spPr>
        <a:xfrm>
          <a:off x="1642557" y="804671"/>
          <a:ext cx="469922"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t" anchorCtr="0">
          <a:noAutofit/>
        </a:bodyPr>
        <a:lstStyle/>
        <a:p>
          <a:pPr lvl="0" algn="ctr" defTabSz="266700">
            <a:lnSpc>
              <a:spcPct val="90000"/>
            </a:lnSpc>
            <a:spcBef>
              <a:spcPct val="0"/>
            </a:spcBef>
            <a:spcAft>
              <a:spcPct val="35000"/>
            </a:spcAft>
          </a:pPr>
          <a:r>
            <a:rPr lang="sk-SK" sz="600" b="1" kern="1200">
              <a:latin typeface="Arial Narrow" panose="020B0606020202030204" pitchFamily="34" charset="0"/>
            </a:rPr>
            <a:t>10/2022</a:t>
          </a:r>
          <a:r>
            <a:rPr lang="sk-SK" sz="600" kern="1200">
              <a:latin typeface="Arial Narrow" panose="020B0606020202030204" pitchFamily="34" charset="0"/>
            </a:rPr>
            <a:t> - Vládny návrh rozpočtu zohľadňujúci záväzné výdavkové limity</a:t>
          </a:r>
        </a:p>
      </dsp:txBody>
      <dsp:txXfrm>
        <a:off x="1642557" y="804671"/>
        <a:ext cx="469922" cy="536448"/>
      </dsp:txXfrm>
    </dsp:sp>
    <dsp:sp modelId="{717177A7-C7A1-4B32-A47B-5101E5DF1509}">
      <dsp:nvSpPr>
        <dsp:cNvPr id="0" name=""/>
        <dsp:cNvSpPr/>
      </dsp:nvSpPr>
      <dsp:spPr>
        <a:xfrm>
          <a:off x="1810462"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7CBD07-8CB1-4626-9FB0-822B897F8790}">
      <dsp:nvSpPr>
        <dsp:cNvPr id="0" name=""/>
        <dsp:cNvSpPr/>
      </dsp:nvSpPr>
      <dsp:spPr>
        <a:xfrm>
          <a:off x="2135976" y="0"/>
          <a:ext cx="469922" cy="5364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2672" tIns="42672" rIns="42672" bIns="42672" numCol="1" spcCol="1270" anchor="b" anchorCtr="0">
          <a:noAutofit/>
        </a:bodyPr>
        <a:lstStyle/>
        <a:p>
          <a:pPr lvl="0" algn="ctr" defTabSz="266700">
            <a:lnSpc>
              <a:spcPct val="90000"/>
            </a:lnSpc>
            <a:spcBef>
              <a:spcPct val="0"/>
            </a:spcBef>
            <a:spcAft>
              <a:spcPct val="35000"/>
            </a:spcAft>
          </a:pPr>
          <a:r>
            <a:rPr lang="sk-SK" sz="600" kern="1200">
              <a:latin typeface="Arial Narrow" panose="020B0606020202030204" pitchFamily="34" charset="0"/>
            </a:rPr>
            <a:t>od </a:t>
          </a:r>
          <a:r>
            <a:rPr lang="sk-SK" sz="600" b="1" kern="1200">
              <a:latin typeface="Arial Narrow" panose="020B0606020202030204" pitchFamily="34" charset="0"/>
            </a:rPr>
            <a:t>01/2023</a:t>
          </a:r>
          <a:r>
            <a:rPr lang="sk-SK" sz="600" kern="1200">
              <a:latin typeface="Arial Narrow" panose="020B0606020202030204" pitchFamily="34" charset="0"/>
            </a:rPr>
            <a:t> - Plnenie výdavkových limitov</a:t>
          </a:r>
        </a:p>
      </dsp:txBody>
      <dsp:txXfrm>
        <a:off x="2135976" y="0"/>
        <a:ext cx="469922" cy="536448"/>
      </dsp:txXfrm>
    </dsp:sp>
    <dsp:sp modelId="{22078226-2DBF-4DA7-B302-FA1963530375}">
      <dsp:nvSpPr>
        <dsp:cNvPr id="0" name=""/>
        <dsp:cNvSpPr/>
      </dsp:nvSpPr>
      <dsp:spPr>
        <a:xfrm>
          <a:off x="2303881" y="603504"/>
          <a:ext cx="134112" cy="13411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0.03484</cdr:x>
      <cdr:y>0.20914</cdr:y>
    </cdr:from>
    <cdr:to>
      <cdr:x>0.96374</cdr:x>
      <cdr:y>0.20975</cdr:y>
    </cdr:to>
    <cdr:cxnSp macro="">
      <cdr:nvCxnSpPr>
        <cdr:cNvPr id="3" name="Rovná spojnica 2"/>
        <cdr:cNvCxnSpPr/>
      </cdr:nvCxnSpPr>
      <cdr:spPr>
        <a:xfrm xmlns:a="http://schemas.openxmlformats.org/drawingml/2006/main">
          <a:off x="195681" y="466414"/>
          <a:ext cx="5217237" cy="13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0.49424</cdr:x>
      <cdr:y>0.66542</cdr:y>
    </cdr:from>
    <cdr:to>
      <cdr:x>0.82724</cdr:x>
      <cdr:y>0.74592</cdr:y>
    </cdr:to>
    <cdr:sp macro="" textlink="">
      <cdr:nvSpPr>
        <cdr:cNvPr id="5" name="BlokTextu 1"/>
        <cdr:cNvSpPr txBox="1"/>
      </cdr:nvSpPr>
      <cdr:spPr>
        <a:xfrm xmlns:a="http://schemas.openxmlformats.org/drawingml/2006/main">
          <a:off x="3940423" y="2053560"/>
          <a:ext cx="2654908" cy="24843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900">
              <a:latin typeface="Arial Narrow" panose="020B0606020202030204" pitchFamily="34" charset="0"/>
            </a:rPr>
            <a:t>Vplyvy mimo </a:t>
          </a:r>
          <a:r>
            <a:rPr lang="sk-SK" sz="900" baseline="0">
              <a:latin typeface="Arial Narrow" panose="020B0606020202030204" pitchFamily="34" charset="0"/>
            </a:rPr>
            <a:t>COVID-19 (3073 mil. eur)</a:t>
          </a:r>
          <a:endParaRPr lang="sk-SK" sz="900">
            <a:latin typeface="Arial Narrow" panose="020B0606020202030204" pitchFamily="34" charset="0"/>
          </a:endParaRPr>
        </a:p>
      </cdr:txBody>
    </cdr:sp>
  </cdr:relSizeAnchor>
  <cdr:relSizeAnchor xmlns:cdr="http://schemas.openxmlformats.org/drawingml/2006/chartDrawing">
    <cdr:from>
      <cdr:x>0.02598</cdr:x>
      <cdr:y>0.9287</cdr:y>
    </cdr:from>
    <cdr:to>
      <cdr:x>0.97837</cdr:x>
      <cdr:y>0.93252</cdr:y>
    </cdr:to>
    <cdr:cxnSp macro="">
      <cdr:nvCxnSpPr>
        <cdr:cNvPr id="8" name="Rovná spojnica 7"/>
        <cdr:cNvCxnSpPr/>
      </cdr:nvCxnSpPr>
      <cdr:spPr>
        <a:xfrm xmlns:a="http://schemas.openxmlformats.org/drawingml/2006/main" flipV="1">
          <a:off x="207131" y="2866060"/>
          <a:ext cx="7593117" cy="1178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0.06148</cdr:x>
      <cdr:y>0.16198</cdr:y>
    </cdr:from>
    <cdr:to>
      <cdr:x>0.99038</cdr:x>
      <cdr:y>0.16259</cdr:y>
    </cdr:to>
    <cdr:cxnSp macro="">
      <cdr:nvCxnSpPr>
        <cdr:cNvPr id="3" name="Rovná spojnica 2"/>
        <cdr:cNvCxnSpPr/>
      </cdr:nvCxnSpPr>
      <cdr:spPr>
        <a:xfrm xmlns:a="http://schemas.openxmlformats.org/drawingml/2006/main">
          <a:off x="345307" y="449069"/>
          <a:ext cx="5217237" cy="169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0.60868</cdr:x>
      <cdr:y>0.65768</cdr:y>
    </cdr:from>
    <cdr:to>
      <cdr:x>1</cdr:x>
      <cdr:y>0.76014</cdr:y>
    </cdr:to>
    <cdr:sp macro="" textlink="">
      <cdr:nvSpPr>
        <cdr:cNvPr id="6" name="BlokTextu 5"/>
        <cdr:cNvSpPr txBox="1"/>
      </cdr:nvSpPr>
      <cdr:spPr>
        <a:xfrm xmlns:a="http://schemas.openxmlformats.org/drawingml/2006/main">
          <a:off x="3418697" y="1823365"/>
          <a:ext cx="2197878" cy="2840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900">
              <a:latin typeface="Arial Narrow" panose="020B0606020202030204" pitchFamily="34" charset="0"/>
            </a:rPr>
            <a:t>Vplyv mimo pandémie COVID-19 (79 mil. eur)</a:t>
          </a:r>
        </a:p>
      </cdr:txBody>
    </cdr:sp>
  </cdr:relSizeAnchor>
</c:userShapes>
</file>

<file path=word/drawings/drawing3.xml><?xml version="1.0" encoding="utf-8"?>
<c:userShapes xmlns:c="http://schemas.openxmlformats.org/drawingml/2006/chart">
  <cdr:relSizeAnchor xmlns:cdr="http://schemas.openxmlformats.org/drawingml/2006/chartDrawing">
    <cdr:from>
      <cdr:x>0.7919</cdr:x>
      <cdr:y>0.00426</cdr:y>
    </cdr:from>
    <cdr:to>
      <cdr:x>0.79225</cdr:x>
      <cdr:y>0.70364</cdr:y>
    </cdr:to>
    <cdr:cxnSp macro="">
      <cdr:nvCxnSpPr>
        <cdr:cNvPr id="2" name="Rovná spojnica 1"/>
        <cdr:cNvCxnSpPr/>
      </cdr:nvCxnSpPr>
      <cdr:spPr>
        <a:xfrm xmlns:a="http://schemas.openxmlformats.org/drawingml/2006/main">
          <a:off x="4367306" y="10459"/>
          <a:ext cx="1905" cy="171685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0.10007</cdr:x>
      <cdr:y>0.16943</cdr:y>
    </cdr:from>
    <cdr:to>
      <cdr:x>0.43254</cdr:x>
      <cdr:y>0.31049</cdr:y>
    </cdr:to>
    <cdr:sp macro="" textlink="">
      <cdr:nvSpPr>
        <cdr:cNvPr id="2" name="BlokTextu 1"/>
        <cdr:cNvSpPr txBox="1"/>
      </cdr:nvSpPr>
      <cdr:spPr>
        <a:xfrm xmlns:a="http://schemas.openxmlformats.org/drawingml/2006/main">
          <a:off x="459825" y="591369"/>
          <a:ext cx="1527697" cy="4923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sk-SK" sz="700" b="1">
              <a:latin typeface="Arial Narrow" panose="020B0606020202030204" pitchFamily="34" charset="0"/>
            </a:rPr>
            <a:t>FIŠKÁLNA</a:t>
          </a:r>
          <a:endParaRPr lang="sk-SK" sz="700" b="1" baseline="0">
            <a:latin typeface="Arial Narrow" panose="020B0606020202030204" pitchFamily="34" charset="0"/>
          </a:endParaRPr>
        </a:p>
        <a:p xmlns:a="http://schemas.openxmlformats.org/drawingml/2006/main">
          <a:pPr algn="ctr"/>
          <a:r>
            <a:rPr lang="sk-SK" sz="700" b="1" baseline="0">
              <a:latin typeface="Arial Narrow" panose="020B0606020202030204" pitchFamily="34" charset="0"/>
            </a:rPr>
            <a:t>REŠTRIKCIA</a:t>
          </a:r>
          <a:endParaRPr lang="sk-SK" sz="700" b="1">
            <a:latin typeface="Arial Narrow" panose="020B0606020202030204" pitchFamily="34" charset="0"/>
          </a:endParaRPr>
        </a:p>
      </cdr:txBody>
    </cdr:sp>
  </cdr:relSizeAnchor>
  <cdr:relSizeAnchor xmlns:cdr="http://schemas.openxmlformats.org/drawingml/2006/chartDrawing">
    <cdr:from>
      <cdr:x>0.16744</cdr:x>
      <cdr:y>0.64361</cdr:y>
    </cdr:from>
    <cdr:to>
      <cdr:x>0.49991</cdr:x>
      <cdr:y>0.78467</cdr:y>
    </cdr:to>
    <cdr:sp macro="" textlink="">
      <cdr:nvSpPr>
        <cdr:cNvPr id="3" name="BlokTextu 2"/>
        <cdr:cNvSpPr txBox="1"/>
      </cdr:nvSpPr>
      <cdr:spPr>
        <a:xfrm xmlns:a="http://schemas.openxmlformats.org/drawingml/2006/main">
          <a:off x="769388" y="2246445"/>
          <a:ext cx="1527697" cy="4923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sk-SK" sz="700" b="1">
              <a:latin typeface="Arial Narrow" panose="020B0606020202030204" pitchFamily="34" charset="0"/>
            </a:rPr>
            <a:t>FIŠKÁLNA</a:t>
          </a:r>
          <a:endParaRPr lang="sk-SK" sz="700" b="1" baseline="0">
            <a:latin typeface="Arial Narrow" panose="020B0606020202030204" pitchFamily="34" charset="0"/>
          </a:endParaRPr>
        </a:p>
        <a:p xmlns:a="http://schemas.openxmlformats.org/drawingml/2006/main">
          <a:pPr algn="ctr"/>
          <a:r>
            <a:rPr lang="sk-SK" sz="700" b="1" baseline="0">
              <a:latin typeface="Arial Narrow" panose="020B0606020202030204" pitchFamily="34" charset="0"/>
            </a:rPr>
            <a:t>EXPANZIA</a:t>
          </a:r>
          <a:endParaRPr lang="sk-SK" sz="700" b="1">
            <a:latin typeface="Arial Narrow" panose="020B0606020202030204" pitchFamily="34" charset="0"/>
          </a:endParaRPr>
        </a:p>
      </cdr:txBody>
    </cdr:sp>
  </cdr:relSizeAnchor>
  <cdr:relSizeAnchor xmlns:cdr="http://schemas.openxmlformats.org/drawingml/2006/chartDrawing">
    <cdr:from>
      <cdr:x>0.74076</cdr:x>
      <cdr:y>0.15179</cdr:y>
    </cdr:from>
    <cdr:to>
      <cdr:x>0.87209</cdr:x>
      <cdr:y>0.88473</cdr:y>
    </cdr:to>
    <cdr:sp macro="" textlink="">
      <cdr:nvSpPr>
        <cdr:cNvPr id="4" name="Obdĺžnik 3"/>
        <cdr:cNvSpPr/>
      </cdr:nvSpPr>
      <cdr:spPr>
        <a:xfrm xmlns:a="http://schemas.openxmlformats.org/drawingml/2006/main">
          <a:off x="3818094" y="521155"/>
          <a:ext cx="676910" cy="2516505"/>
        </a:xfrm>
        <a:prstGeom xmlns:a="http://schemas.openxmlformats.org/drawingml/2006/main" prst="rect">
          <a:avLst/>
        </a:prstGeom>
        <a:noFill xmlns:a="http://schemas.openxmlformats.org/drawingml/2006/main"/>
        <a:ln xmlns:a="http://schemas.openxmlformats.org/drawingml/2006/main" w="19050">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sk-SK"/>
        </a:p>
      </cdr:txBody>
    </cdr:sp>
  </cdr:relSizeAnchor>
</c:userShapes>
</file>

<file path=word/drawings/drawing5.xml><?xml version="1.0" encoding="utf-8"?>
<c:userShapes xmlns:c="http://schemas.openxmlformats.org/drawingml/2006/chart">
  <cdr:relSizeAnchor xmlns:cdr="http://schemas.openxmlformats.org/drawingml/2006/chartDrawing">
    <cdr:from>
      <cdr:x>0.75901</cdr:x>
      <cdr:y>0.1644</cdr:y>
    </cdr:from>
    <cdr:to>
      <cdr:x>0.75901</cdr:x>
      <cdr:y>0.8336</cdr:y>
    </cdr:to>
    <cdr:cxnSp macro="">
      <cdr:nvCxnSpPr>
        <cdr:cNvPr id="3" name="Rovná spojnica 2"/>
        <cdr:cNvCxnSpPr/>
      </cdr:nvCxnSpPr>
      <cdr:spPr>
        <a:xfrm xmlns:a="http://schemas.openxmlformats.org/drawingml/2006/main">
          <a:off x="4371480" y="477079"/>
          <a:ext cx="0" cy="1941987"/>
        </a:xfrm>
        <a:prstGeom xmlns:a="http://schemas.openxmlformats.org/drawingml/2006/main" prst="line">
          <a:avLst/>
        </a:prstGeom>
        <a:ln xmlns:a="http://schemas.openxmlformats.org/drawingml/2006/main" w="12700">
          <a:solidFill>
            <a:schemeClr val="tx1"/>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0.79441</cdr:x>
      <cdr:y>0.49793</cdr:y>
    </cdr:from>
    <cdr:to>
      <cdr:x>0.90146</cdr:x>
      <cdr:y>0.55808</cdr:y>
    </cdr:to>
    <cdr:sp macro="" textlink="">
      <cdr:nvSpPr>
        <cdr:cNvPr id="5" name="Obdĺžnik 4"/>
        <cdr:cNvSpPr/>
      </cdr:nvSpPr>
      <cdr:spPr>
        <a:xfrm xmlns:a="http://schemas.openxmlformats.org/drawingml/2006/main">
          <a:off x="7621036" y="2125526"/>
          <a:ext cx="1027043" cy="256760"/>
        </a:xfrm>
        <a:prstGeom xmlns:a="http://schemas.openxmlformats.org/drawingml/2006/main" prst="rect">
          <a:avLst/>
        </a:prstGeom>
        <a:noFill xmlns:a="http://schemas.openxmlformats.org/drawingml/2006/main"/>
        <a:ln xmlns:a="http://schemas.openxmlformats.org/drawingml/2006/main" w="12700">
          <a:solidFill>
            <a:schemeClr val="tx1"/>
          </a:solidFill>
          <a:prstDash val="sysDash"/>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sk-SK" sz="700">
              <a:solidFill>
                <a:schemeClr val="tx1"/>
              </a:solidFill>
              <a:latin typeface="Arial Narrow" panose="020B0606020202030204" pitchFamily="34" charset="0"/>
            </a:rPr>
            <a:t>PROGNÓZA</a:t>
          </a:r>
        </a:p>
      </cdr:txBody>
    </cdr:sp>
  </cdr:relSizeAnchor>
</c:userShapes>
</file>

<file path=word/drawings/drawing6.xml><?xml version="1.0" encoding="utf-8"?>
<c:userShapes xmlns:c="http://schemas.openxmlformats.org/drawingml/2006/chart">
  <cdr:relSizeAnchor xmlns:cdr="http://schemas.openxmlformats.org/drawingml/2006/chartDrawing">
    <cdr:from>
      <cdr:x>0.32688</cdr:x>
      <cdr:y>0.14706</cdr:y>
    </cdr:from>
    <cdr:to>
      <cdr:x>0.54139</cdr:x>
      <cdr:y>0.23724</cdr:y>
    </cdr:to>
    <cdr:sp macro="" textlink="">
      <cdr:nvSpPr>
        <cdr:cNvPr id="4" name="BlokTextu 3"/>
        <cdr:cNvSpPr txBox="1"/>
      </cdr:nvSpPr>
      <cdr:spPr>
        <a:xfrm xmlns:a="http://schemas.openxmlformats.org/drawingml/2006/main">
          <a:off x="1067418" y="375178"/>
          <a:ext cx="700500" cy="23009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sk-SK" sz="800" b="1">
              <a:latin typeface="Arial Narrow" panose="020B0606020202030204" pitchFamily="34" charset="0"/>
            </a:rPr>
            <a:t>VYSOKÉ RIZIKO</a:t>
          </a:r>
        </a:p>
      </cdr:txBody>
    </cdr:sp>
  </cdr:relSizeAnchor>
  <cdr:relSizeAnchor xmlns:cdr="http://schemas.openxmlformats.org/drawingml/2006/chartDrawing">
    <cdr:from>
      <cdr:x>0.65982</cdr:x>
      <cdr:y>0.61472</cdr:y>
    </cdr:from>
    <cdr:to>
      <cdr:x>0.87433</cdr:x>
      <cdr:y>0.70491</cdr:y>
    </cdr:to>
    <cdr:sp macro="" textlink="">
      <cdr:nvSpPr>
        <cdr:cNvPr id="7" name="BlokTextu 1"/>
        <cdr:cNvSpPr txBox="1"/>
      </cdr:nvSpPr>
      <cdr:spPr>
        <a:xfrm xmlns:a="http://schemas.openxmlformats.org/drawingml/2006/main">
          <a:off x="1733773" y="1378307"/>
          <a:ext cx="563653" cy="202223"/>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sk-SK" sz="800" b="1">
              <a:solidFill>
                <a:schemeClr val="bg1"/>
              </a:solidFill>
              <a:latin typeface="Arial Narrow" panose="020B0606020202030204" pitchFamily="34" charset="0"/>
            </a:rPr>
            <a:t>NÍZKE RIZIKO</a:t>
          </a:r>
        </a:p>
      </cdr:txBody>
    </cdr:sp>
  </cdr:relSizeAnchor>
  <cdr:relSizeAnchor xmlns:cdr="http://schemas.openxmlformats.org/drawingml/2006/chartDrawing">
    <cdr:from>
      <cdr:x>0.33898</cdr:x>
      <cdr:y>0.37136</cdr:y>
    </cdr:from>
    <cdr:to>
      <cdr:x>0.60218</cdr:x>
      <cdr:y>0.46154</cdr:y>
    </cdr:to>
    <cdr:sp macro="" textlink="">
      <cdr:nvSpPr>
        <cdr:cNvPr id="5" name="BlokTextu 4"/>
        <cdr:cNvSpPr txBox="1"/>
      </cdr:nvSpPr>
      <cdr:spPr>
        <a:xfrm xmlns:a="http://schemas.openxmlformats.org/drawingml/2006/main">
          <a:off x="890725" y="832647"/>
          <a:ext cx="691584" cy="202200"/>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sk-SK" sz="800" b="1">
              <a:latin typeface="Arial Narrow" panose="020B0606020202030204" pitchFamily="34" charset="0"/>
            </a:rPr>
            <a:t>STREDNÉ RIZIKO</a:t>
          </a:r>
        </a:p>
      </cdr:txBody>
    </cdr:sp>
  </cdr:relSizeAnchor>
</c:userShapes>
</file>

<file path=word/drawings/drawing7.xml><?xml version="1.0" encoding="utf-8"?>
<c:userShapes xmlns:c="http://schemas.openxmlformats.org/drawingml/2006/chart">
  <cdr:relSizeAnchor xmlns:cdr="http://schemas.openxmlformats.org/drawingml/2006/chartDrawing">
    <cdr:from>
      <cdr:x>0.32688</cdr:x>
      <cdr:y>0.14706</cdr:y>
    </cdr:from>
    <cdr:to>
      <cdr:x>0.54139</cdr:x>
      <cdr:y>0.23724</cdr:y>
    </cdr:to>
    <cdr:sp macro="" textlink="">
      <cdr:nvSpPr>
        <cdr:cNvPr id="4" name="BlokTextu 3"/>
        <cdr:cNvSpPr txBox="1"/>
      </cdr:nvSpPr>
      <cdr:spPr>
        <a:xfrm xmlns:a="http://schemas.openxmlformats.org/drawingml/2006/main">
          <a:off x="1067418" y="375178"/>
          <a:ext cx="700500" cy="230094"/>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sk-SK" sz="800" b="1">
              <a:latin typeface="Arial Narrow" panose="020B0606020202030204" pitchFamily="34" charset="0"/>
            </a:rPr>
            <a:t>VYSOKÉ RIZIKO</a:t>
          </a:r>
        </a:p>
      </cdr:txBody>
    </cdr:sp>
  </cdr:relSizeAnchor>
  <cdr:relSizeAnchor xmlns:cdr="http://schemas.openxmlformats.org/drawingml/2006/chartDrawing">
    <cdr:from>
      <cdr:x>0.33857</cdr:x>
      <cdr:y>0.45498</cdr:y>
    </cdr:from>
    <cdr:to>
      <cdr:x>0.55308</cdr:x>
      <cdr:y>0.54517</cdr:y>
    </cdr:to>
    <cdr:sp macro="" textlink="">
      <cdr:nvSpPr>
        <cdr:cNvPr id="7" name="BlokTextu 1"/>
        <cdr:cNvSpPr txBox="1"/>
      </cdr:nvSpPr>
      <cdr:spPr>
        <a:xfrm xmlns:a="http://schemas.openxmlformats.org/drawingml/2006/main">
          <a:off x="1574303" y="1678872"/>
          <a:ext cx="997440" cy="332796"/>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sk-SK" sz="800" b="1">
              <a:latin typeface="Arial Narrow" panose="020B0606020202030204" pitchFamily="34" charset="0"/>
            </a:rPr>
            <a:t>STREDNÉ RIZIKO</a:t>
          </a:r>
        </a:p>
      </cdr:txBody>
    </cdr:sp>
  </cdr:relSizeAnchor>
  <cdr:relSizeAnchor xmlns:cdr="http://schemas.openxmlformats.org/drawingml/2006/chartDrawing">
    <cdr:from>
      <cdr:x>0.31746</cdr:x>
      <cdr:y>0.6863</cdr:y>
    </cdr:from>
    <cdr:to>
      <cdr:x>0.71002</cdr:x>
      <cdr:y>0.77649</cdr:y>
    </cdr:to>
    <cdr:sp macro="" textlink="">
      <cdr:nvSpPr>
        <cdr:cNvPr id="5" name="BlokTextu 1"/>
        <cdr:cNvSpPr txBox="1"/>
      </cdr:nvSpPr>
      <cdr:spPr>
        <a:xfrm xmlns:a="http://schemas.openxmlformats.org/drawingml/2006/main">
          <a:off x="866634" y="1533582"/>
          <a:ext cx="1071613" cy="20153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sk-SK" sz="800" b="1">
              <a:solidFill>
                <a:schemeClr val="bg1"/>
              </a:solidFill>
              <a:latin typeface="Arial Narrow" panose="020B0606020202030204" pitchFamily="34" charset="0"/>
            </a:rPr>
            <a:t>NÍZKE RIZIKO</a:t>
          </a:r>
        </a:p>
      </cdr:txBody>
    </cdr:sp>
  </cdr:relSizeAnchor>
</c:userShapes>
</file>

<file path=word/drawings/drawing8.xml><?xml version="1.0" encoding="utf-8"?>
<c:userShapes xmlns:c="http://schemas.openxmlformats.org/drawingml/2006/chart">
  <cdr:relSizeAnchor xmlns:cdr="http://schemas.openxmlformats.org/drawingml/2006/chartDrawing">
    <cdr:from>
      <cdr:x>0.21498</cdr:x>
      <cdr:y>0.44565</cdr:y>
    </cdr:from>
    <cdr:to>
      <cdr:x>0.57488</cdr:x>
      <cdr:y>0.6558</cdr:y>
    </cdr:to>
    <cdr:sp macro="" textlink="">
      <cdr:nvSpPr>
        <cdr:cNvPr id="2" name="Textové pole 1"/>
        <cdr:cNvSpPr txBox="1"/>
      </cdr:nvSpPr>
      <cdr:spPr bwMode="auto">
        <a:xfrm xmlns:a="http://schemas.openxmlformats.org/drawingml/2006/main">
          <a:off x="565150" y="781050"/>
          <a:ext cx="946150" cy="3683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Overflow="clip" vert="horz" wrap="square" lIns="91440" tIns="45720" rIns="91440" bIns="45720" rtlCol="0" anchor="t" anchorCtr="0" upright="1">
          <a:noAutofit/>
        </a:bodyPr>
        <a:lstStyle xmlns:a="http://schemas.openxmlformats.org/drawingml/2006/main"/>
        <a:p xmlns:a="http://schemas.openxmlformats.org/drawingml/2006/main">
          <a:r>
            <a:rPr lang="sk-SK" sz="800">
              <a:latin typeface="Arial Narrow" panose="020B0606020202030204" pitchFamily="34" charset="0"/>
            </a:rPr>
            <a:t>Záväzok z Plánu</a:t>
          </a:r>
          <a:r>
            <a:rPr lang="sk-SK" sz="800" baseline="0">
              <a:latin typeface="Arial Narrow" panose="020B0606020202030204" pitchFamily="34" charset="0"/>
            </a:rPr>
            <a:t> obnovy a odolnosti</a:t>
          </a:r>
          <a:endParaRPr lang="sk-SK" sz="800">
            <a:latin typeface="Arial Narrow" panose="020B060602020203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0.00871</cdr:x>
      <cdr:y>0.82353</cdr:y>
    </cdr:from>
    <cdr:to>
      <cdr:x>0.44808</cdr:x>
      <cdr:y>0.88971</cdr:y>
    </cdr:to>
    <cdr:sp macro="" textlink="">
      <cdr:nvSpPr>
        <cdr:cNvPr id="2" name="Obdĺžnik 1"/>
        <cdr:cNvSpPr/>
      </cdr:nvSpPr>
      <cdr:spPr>
        <a:xfrm xmlns:a="http://schemas.openxmlformats.org/drawingml/2006/main">
          <a:off x="50165" y="2133601"/>
          <a:ext cx="2531110" cy="171449"/>
        </a:xfrm>
        <a:prstGeom xmlns:a="http://schemas.openxmlformats.org/drawingml/2006/main" prst="rect">
          <a:avLst/>
        </a:prstGeom>
        <a:solidFill xmlns:a="http://schemas.openxmlformats.org/drawingml/2006/main">
          <a:srgbClr val="00B0F0">
            <a:alpha val="25000"/>
          </a:srgbClr>
        </a:solidFill>
        <a:ln xmlns:a="http://schemas.openxmlformats.org/drawingml/2006/main">
          <a:solidFill>
            <a:srgbClr val="00B0F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wrap="square">
          <a:noAutofit/>
        </a:bodyPr>
        <a:lstStyle xmlns:a="http://schemas.openxmlformats.org/drawingml/2006/main"/>
        <a:p xmlns:a="http://schemas.openxmlformats.org/drawingml/2006/main">
          <a:pPr>
            <a:spcAft>
              <a:spcPts val="0"/>
            </a:spcAft>
          </a:pPr>
          <a:r>
            <a:rPr lang="sk-SK" sz="1200">
              <a:effectLst/>
              <a:latin typeface="Times New Roman" panose="02020603050405020304" pitchFamily="18" charset="0"/>
              <a:ea typeface="Times New Roman" panose="02020603050405020304" pitchFamily="18" charset="0"/>
            </a:rPr>
            <a:t> </a:t>
          </a:r>
        </a:p>
      </cdr:txBody>
    </cdr:sp>
  </cdr:relSizeAnchor>
</c:userShapes>
</file>

<file path=word/theme/theme1.xml><?xml version="1.0" encoding="utf-8"?>
<a:theme xmlns:a="http://schemas.openxmlformats.org/drawingml/2006/main" name="Office Theme">
  <a:themeElements>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1">
            <a:lumMod val="75000"/>
          </a:schemeClr>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word/theme/themeOverride1.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Vlastné 2">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IFP">
    <a:dk1>
      <a:sysClr val="windowText" lastClr="000000"/>
    </a:dk1>
    <a:lt1>
      <a:sysClr val="window" lastClr="FFFFFF"/>
    </a:lt1>
    <a:dk2>
      <a:srgbClr val="1F497D"/>
    </a:dk2>
    <a:lt2>
      <a:srgbClr val="EEECE1"/>
    </a:lt2>
    <a:accent1>
      <a:srgbClr val="2C9ADC"/>
    </a:accent1>
    <a:accent2>
      <a:srgbClr val="AAD3F2"/>
    </a:accent2>
    <a:accent3>
      <a:srgbClr val="B0D6AF"/>
    </a:accent3>
    <a:accent4>
      <a:srgbClr val="D3BEDE"/>
    </a:accent4>
    <a:accent5>
      <a:srgbClr val="D9D3AB"/>
    </a:accent5>
    <a:accent6>
      <a:srgbClr val="F9C9BA"/>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4388-20B3-4F88-A895-3F0BDDA1CB67}">
  <ds:schemaRefs>
    <ds:schemaRef ds:uri="http://schemas.openxmlformats.org/officeDocument/2006/bibliography"/>
  </ds:schemaRefs>
</ds:datastoreItem>
</file>

<file path=customXml/itemProps2.xml><?xml version="1.0" encoding="utf-8"?>
<ds:datastoreItem xmlns:ds="http://schemas.openxmlformats.org/officeDocument/2006/customXml" ds:itemID="{48DC3E58-8C49-4BA4-AEA9-67B62691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29868</Words>
  <Characters>170248</Characters>
  <Application>Microsoft Office Word</Application>
  <DocSecurity>0</DocSecurity>
  <Lines>1418</Lines>
  <Paragraphs>399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Ministerstvo financií</Company>
  <LinksUpToDate>false</LinksUpToDate>
  <CharactersWithSpaces>199717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Suchta Juraj</dc:creator>
  <cp:keywords/>
  <dc:description/>
  <cp:lastModifiedBy>Ujlakyova Andrea</cp:lastModifiedBy>
  <cp:revision>2</cp:revision>
  <cp:lastPrinted>2022-04-26T14:12:00Z</cp:lastPrinted>
  <dcterms:created xsi:type="dcterms:W3CDTF">2022-05-02T11:15:00Z</dcterms:created>
  <dcterms:modified xsi:type="dcterms:W3CDTF">2022-05-02T11:15:00Z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980647295</vt:i4>
  </property>
</Properties>
</file>