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1222" w14:textId="77777777" w:rsidR="00424669" w:rsidRPr="00241497" w:rsidRDefault="00424669" w:rsidP="00283A8F">
      <w:pPr>
        <w:spacing w:after="4"/>
        <w:jc w:val="center"/>
        <w:rPr>
          <w:b/>
          <w:caps/>
          <w:spacing w:val="30"/>
          <w:lang w:val="sk-SK"/>
        </w:rPr>
      </w:pPr>
      <w:r w:rsidRPr="00241497">
        <w:rPr>
          <w:b/>
          <w:caps/>
          <w:spacing w:val="30"/>
          <w:lang w:val="sk-SK"/>
        </w:rPr>
        <w:t>Dôvodová správa</w:t>
      </w:r>
    </w:p>
    <w:p w14:paraId="64707153" w14:textId="77777777" w:rsidR="008B7878" w:rsidRPr="00241497" w:rsidRDefault="008B7878" w:rsidP="00C57DB3">
      <w:pPr>
        <w:spacing w:after="4"/>
        <w:ind w:left="360" w:hanging="360"/>
        <w:jc w:val="both"/>
        <w:rPr>
          <w:bCs/>
          <w:lang w:val="sk-SK"/>
        </w:rPr>
      </w:pPr>
    </w:p>
    <w:p w14:paraId="48B8683A" w14:textId="77777777" w:rsidR="008B7878" w:rsidRPr="00241497" w:rsidRDefault="008B7878" w:rsidP="00C57DB3">
      <w:pPr>
        <w:pStyle w:val="Odsekzoznamu"/>
        <w:numPr>
          <w:ilvl w:val="0"/>
          <w:numId w:val="1"/>
        </w:numPr>
        <w:spacing w:after="4"/>
        <w:ind w:left="360"/>
        <w:jc w:val="both"/>
        <w:rPr>
          <w:b/>
          <w:bCs/>
          <w:lang w:val="sk-SK"/>
        </w:rPr>
      </w:pPr>
      <w:r w:rsidRPr="00241497">
        <w:rPr>
          <w:b/>
          <w:bCs/>
          <w:lang w:val="sk-SK"/>
        </w:rPr>
        <w:t>Všeobecná časť</w:t>
      </w:r>
    </w:p>
    <w:p w14:paraId="65834233" w14:textId="77777777" w:rsidR="00D81343" w:rsidRPr="00241497" w:rsidRDefault="00D81343" w:rsidP="00C57DB3">
      <w:pPr>
        <w:spacing w:after="4"/>
        <w:jc w:val="both"/>
        <w:rPr>
          <w:bCs/>
          <w:lang w:val="sk-SK"/>
        </w:rPr>
      </w:pPr>
    </w:p>
    <w:p w14:paraId="778F8327" w14:textId="77777777" w:rsidR="002875A6" w:rsidRPr="00241497" w:rsidRDefault="001226C7" w:rsidP="002875A6">
      <w:pPr>
        <w:spacing w:after="4"/>
        <w:ind w:firstLine="720"/>
        <w:jc w:val="both"/>
        <w:rPr>
          <w:bCs/>
          <w:lang w:val="sk-SK"/>
        </w:rPr>
      </w:pPr>
      <w:r w:rsidRPr="00241497">
        <w:rPr>
          <w:bCs/>
          <w:lang w:val="sk-SK"/>
        </w:rPr>
        <w:t xml:space="preserve">Návrh zákona, </w:t>
      </w:r>
      <w:r w:rsidR="002875A6" w:rsidRPr="00241497">
        <w:rPr>
          <w:bCs/>
          <w:lang w:val="sk-SK"/>
        </w:rPr>
        <w:t>ktor</w:t>
      </w:r>
      <w:r w:rsidR="00BE3F8E" w:rsidRPr="00241497">
        <w:rPr>
          <w:bCs/>
          <w:lang w:val="sk-SK"/>
        </w:rPr>
        <w:t>ým sa mení a dopĺňa zákon č. 292/2014</w:t>
      </w:r>
      <w:r w:rsidR="002875A6" w:rsidRPr="00241497">
        <w:rPr>
          <w:bCs/>
          <w:lang w:val="sk-SK"/>
        </w:rPr>
        <w:t xml:space="preserve"> Z. z. o</w:t>
      </w:r>
      <w:r w:rsidR="00BE3F8E" w:rsidRPr="00241497">
        <w:rPr>
          <w:bCs/>
          <w:lang w:val="sk-SK"/>
        </w:rPr>
        <w:t xml:space="preserve"> príspevku poskytovanom z európskych štrukturálnych a investičných fondov a </w:t>
      </w:r>
      <w:r w:rsidR="002875A6" w:rsidRPr="00241497">
        <w:rPr>
          <w:bCs/>
          <w:lang w:val="sk-SK"/>
        </w:rPr>
        <w:t>o zmene a doplnení niektorých zákonov v znení neskorších predpisov</w:t>
      </w:r>
      <w:r w:rsidR="00DC12EB" w:rsidRPr="00241497">
        <w:rPr>
          <w:bCs/>
          <w:lang w:val="sk-SK"/>
        </w:rPr>
        <w:t xml:space="preserve"> </w:t>
      </w:r>
      <w:r w:rsidR="002875A6" w:rsidRPr="00241497">
        <w:rPr>
          <w:bCs/>
          <w:lang w:val="sk-SK"/>
        </w:rPr>
        <w:t>(ďalej len „návrh zákona“) sa predkladá ako iniciatívny materiál.</w:t>
      </w:r>
      <w:r w:rsidR="006A2E9D" w:rsidRPr="00241497">
        <w:rPr>
          <w:bCs/>
          <w:lang w:val="sk-SK"/>
        </w:rPr>
        <w:t xml:space="preserve"> Bezprostredným dôvodom na predloženie návrhu zákona je aktuálna situácia vyvolaná vojnou na Ukrajine. </w:t>
      </w:r>
    </w:p>
    <w:p w14:paraId="57A76D32" w14:textId="77777777" w:rsidR="002875A6" w:rsidRPr="00241497" w:rsidRDefault="002875A6" w:rsidP="002875A6">
      <w:pPr>
        <w:spacing w:after="4"/>
        <w:ind w:firstLine="720"/>
        <w:jc w:val="both"/>
        <w:rPr>
          <w:bCs/>
          <w:lang w:val="sk-SK"/>
        </w:rPr>
      </w:pPr>
    </w:p>
    <w:p w14:paraId="4D150515" w14:textId="77777777" w:rsidR="00477B74" w:rsidRPr="00241497" w:rsidRDefault="00477B74" w:rsidP="00477B74">
      <w:pPr>
        <w:spacing w:after="4"/>
        <w:ind w:firstLine="708"/>
        <w:jc w:val="both"/>
        <w:rPr>
          <w:lang w:val="sk-SK"/>
        </w:rPr>
      </w:pPr>
      <w:r w:rsidRPr="00241497">
        <w:rPr>
          <w:lang w:val="sk-SK"/>
        </w:rPr>
        <w:t>Cieľom návrhu zákona je reagovať na nepredvídateľné situácie, ktoré so sebou po pandémii prináša zhoršenie geopolitickej situácie, v dôsledku čoho je na území Slovenskej republiky okrem vyhlásenej mimoriadnej situácie v súvislosti s pandémiou COVID-19 vyhlásený núdzový stav z dôvodu situácie vyvolanej vojnou na Ukrajine a umožniť čo najpružnejšiu reakciu na prekonanie ich následkov v</w:t>
      </w:r>
      <w:r w:rsidR="00790FED" w:rsidRPr="00241497">
        <w:rPr>
          <w:lang w:val="sk-SK"/>
        </w:rPr>
        <w:t xml:space="preserve"> rámci poskytovania príspevkov </w:t>
      </w:r>
      <w:r w:rsidR="00DC12EB" w:rsidRPr="00241497">
        <w:rPr>
          <w:lang w:val="sk-SK"/>
        </w:rPr>
        <w:t>z európskych štrukturálnych a investičných fondov</w:t>
      </w:r>
      <w:r w:rsidRPr="00241497">
        <w:rPr>
          <w:lang w:val="sk-SK"/>
        </w:rPr>
        <w:t>.</w:t>
      </w:r>
    </w:p>
    <w:p w14:paraId="3A70E260" w14:textId="77777777" w:rsidR="00C569E7" w:rsidRPr="00241497" w:rsidRDefault="00C569E7" w:rsidP="002875A6">
      <w:pPr>
        <w:spacing w:after="4"/>
        <w:ind w:firstLine="720"/>
        <w:jc w:val="both"/>
        <w:rPr>
          <w:bCs/>
          <w:lang w:val="sk-SK"/>
        </w:rPr>
      </w:pPr>
    </w:p>
    <w:p w14:paraId="17A95E5C" w14:textId="7C42DA7C" w:rsidR="00DD1B7D" w:rsidRPr="00241497" w:rsidRDefault="0051066F" w:rsidP="0051066F">
      <w:pPr>
        <w:spacing w:after="4"/>
        <w:ind w:firstLine="720"/>
        <w:jc w:val="both"/>
        <w:rPr>
          <w:bCs/>
          <w:lang w:val="sk-SK"/>
        </w:rPr>
      </w:pPr>
      <w:r w:rsidRPr="0051066F">
        <w:rPr>
          <w:bCs/>
          <w:lang w:val="sk-SK"/>
        </w:rPr>
        <w:t>Návrh zákona obsahuje dve oblasti úprav - (i) možnosť zmeniť rozhodnutie o neschválení žiadosti v prípade projektov technickej pomoci a (ii) rozšírenie definície „</w:t>
      </w:r>
      <w:r w:rsidRPr="0051066F">
        <w:rPr>
          <w:bCs/>
          <w:i/>
          <w:lang w:val="sk-SK"/>
        </w:rPr>
        <w:t>krízovej situácie</w:t>
      </w:r>
      <w:r w:rsidRPr="0051066F">
        <w:rPr>
          <w:bCs/>
          <w:lang w:val="sk-SK"/>
        </w:rPr>
        <w:t>“ v rámci existujúcich osobitných procesných ustanovení uplatňovaných v čase mimoriadnej situácie, núdzového stavu alebo výnimočného stavu vyhláseného v súvislosti s pandémiou COVID-19 na uplatňovanie týchto ustanovení v čase mimoriadnej situácie, núdzového stavu alebo výnimočného stavu vyhláseného na území SR všeobecne. Zároveň sa definícia „</w:t>
      </w:r>
      <w:r w:rsidRPr="0051066F">
        <w:rPr>
          <w:bCs/>
          <w:i/>
          <w:lang w:val="sk-SK"/>
        </w:rPr>
        <w:t>krízovej situácie“</w:t>
      </w:r>
      <w:r w:rsidRPr="0051066F">
        <w:rPr>
          <w:bCs/>
          <w:lang w:val="sk-SK"/>
        </w:rPr>
        <w:t xml:space="preserve"> rozširuje aj tým spôsobom, že osobitné post</w:t>
      </w:r>
      <w:r w:rsidR="003B35B3">
        <w:rPr>
          <w:bCs/>
          <w:lang w:val="sk-SK"/>
        </w:rPr>
        <w:t>upy je možné využiť aj z dôvodu</w:t>
      </w:r>
      <w:r w:rsidRPr="0051066F">
        <w:rPr>
          <w:bCs/>
          <w:lang w:val="sk-SK"/>
        </w:rPr>
        <w:t xml:space="preserve"> tzv. „</w:t>
      </w:r>
      <w:r w:rsidRPr="0051066F">
        <w:rPr>
          <w:bCs/>
          <w:i/>
          <w:lang w:val="sk-SK"/>
        </w:rPr>
        <w:t>vis maior</w:t>
      </w:r>
      <w:r w:rsidRPr="0051066F">
        <w:rPr>
          <w:bCs/>
          <w:lang w:val="sk-SK"/>
        </w:rPr>
        <w:t>“, to znamená z dôvodu objektívnej mimoriadnej udalosti nespôsobenej prijímateľom, ktorú nemohol predvídať.</w:t>
      </w:r>
    </w:p>
    <w:p w14:paraId="5795AEF6" w14:textId="77777777" w:rsidR="00DD1B7D" w:rsidRPr="00241497" w:rsidRDefault="00DD1B7D" w:rsidP="002875A6">
      <w:pPr>
        <w:spacing w:after="4"/>
        <w:ind w:firstLine="720"/>
        <w:jc w:val="both"/>
        <w:rPr>
          <w:bCs/>
          <w:highlight w:val="yellow"/>
          <w:lang w:val="sk-SK"/>
        </w:rPr>
      </w:pPr>
    </w:p>
    <w:p w14:paraId="2465EE68" w14:textId="77777777" w:rsidR="002875A6" w:rsidRPr="00241497" w:rsidRDefault="002875A6" w:rsidP="002875A6">
      <w:pPr>
        <w:spacing w:after="4"/>
        <w:ind w:firstLine="720"/>
        <w:jc w:val="both"/>
        <w:rPr>
          <w:bCs/>
          <w:lang w:val="sk-SK"/>
        </w:rPr>
      </w:pPr>
      <w:r w:rsidRPr="00241497">
        <w:rPr>
          <w:bCs/>
          <w:lang w:val="sk-SK"/>
        </w:rPr>
        <w:t>Predbežná informácia k návrhu zákona nebola zverejnená z dôvodov podľa § 27 zákona č. 400/2015 Z. z. v znení neskorších predpisov. Z rovnakého dôvodu nebol návrh zákona predmetom medzirezortného pripomienkového konania.</w:t>
      </w:r>
    </w:p>
    <w:p w14:paraId="7577D9DB" w14:textId="77777777" w:rsidR="002875A6" w:rsidRPr="00241497" w:rsidRDefault="002875A6" w:rsidP="002875A6">
      <w:pPr>
        <w:spacing w:after="4"/>
        <w:ind w:firstLine="720"/>
        <w:jc w:val="both"/>
        <w:rPr>
          <w:bCs/>
          <w:lang w:val="sk-SK"/>
        </w:rPr>
      </w:pPr>
    </w:p>
    <w:p w14:paraId="11ED8ABE" w14:textId="77777777" w:rsidR="002875A6" w:rsidRPr="00241497" w:rsidRDefault="002875A6" w:rsidP="002875A6">
      <w:pPr>
        <w:spacing w:after="4"/>
        <w:ind w:firstLine="720"/>
        <w:jc w:val="both"/>
        <w:rPr>
          <w:bCs/>
          <w:lang w:val="sk-SK"/>
        </w:rPr>
      </w:pPr>
      <w:r w:rsidRPr="00241497">
        <w:rPr>
          <w:bCs/>
          <w:lang w:val="sk-SK"/>
        </w:rPr>
        <w:t>Návrh zákona je v súlade s Ústavou Slovenskej republiky, ústavnými zákonmi, nálezmi Ústavného súdu Slovenskej republiky, medzinárodnými zmluvami, ktorými je Slovenská republika viazaná a súčasne je v súlade s právom Európskej únie.</w:t>
      </w:r>
    </w:p>
    <w:p w14:paraId="60F048F4" w14:textId="77777777" w:rsidR="002875A6" w:rsidRPr="00241497" w:rsidRDefault="002875A6" w:rsidP="002875A6">
      <w:pPr>
        <w:spacing w:after="4"/>
        <w:ind w:firstLine="720"/>
        <w:jc w:val="both"/>
        <w:rPr>
          <w:bCs/>
          <w:lang w:val="sk-SK"/>
        </w:rPr>
      </w:pPr>
    </w:p>
    <w:p w14:paraId="7D2B9FBD" w14:textId="77777777" w:rsidR="002875A6" w:rsidRPr="00241497" w:rsidRDefault="002875A6" w:rsidP="002875A6">
      <w:pPr>
        <w:spacing w:after="4"/>
        <w:ind w:firstLine="720"/>
        <w:jc w:val="both"/>
        <w:rPr>
          <w:bCs/>
          <w:lang w:val="sk-SK"/>
        </w:rPr>
      </w:pPr>
      <w:r w:rsidRPr="00241497">
        <w:rPr>
          <w:bCs/>
          <w:lang w:val="sk-SK"/>
        </w:rPr>
        <w:t xml:space="preserve">Návrh zákona nie je predmetom vnútrokomunitárneho pripomienkového konania. </w:t>
      </w:r>
    </w:p>
    <w:p w14:paraId="0D9C1378" w14:textId="77777777" w:rsidR="002875A6" w:rsidRPr="00241497" w:rsidRDefault="002875A6" w:rsidP="002875A6">
      <w:pPr>
        <w:spacing w:after="4"/>
        <w:ind w:firstLine="720"/>
        <w:jc w:val="both"/>
        <w:rPr>
          <w:bCs/>
          <w:lang w:val="sk-SK"/>
        </w:rPr>
      </w:pPr>
    </w:p>
    <w:p w14:paraId="37A3952C" w14:textId="77777777" w:rsidR="002875A6" w:rsidRPr="00241497" w:rsidRDefault="002875A6" w:rsidP="002875A6">
      <w:pPr>
        <w:spacing w:after="4"/>
        <w:ind w:firstLine="720"/>
        <w:jc w:val="both"/>
        <w:rPr>
          <w:bCs/>
          <w:lang w:val="sk-SK"/>
        </w:rPr>
      </w:pPr>
      <w:r w:rsidRPr="00241497">
        <w:rPr>
          <w:bCs/>
          <w:lang w:val="sk-SK"/>
        </w:rPr>
        <w:t>Návrh zákona nebol predmetom rokovania Hospodárskej a sociálnej rady Slovenskej republiky a ani Legislatívnej rady vlády Slovenskej republiky z dôvodov podľa § 27 zákona č. 400/2015 Z. z. v znení neskorších predpisov.</w:t>
      </w:r>
    </w:p>
    <w:p w14:paraId="199E83C4" w14:textId="77777777" w:rsidR="00283A8F" w:rsidRPr="00241497" w:rsidRDefault="00283A8F" w:rsidP="002875A6">
      <w:pPr>
        <w:spacing w:after="4"/>
        <w:ind w:firstLine="720"/>
        <w:jc w:val="both"/>
        <w:rPr>
          <w:bCs/>
          <w:lang w:val="sk-SK"/>
        </w:rPr>
      </w:pPr>
    </w:p>
    <w:p w14:paraId="7131B451" w14:textId="77777777" w:rsidR="00C57DB3" w:rsidRPr="00241497" w:rsidRDefault="00E9605C" w:rsidP="00283A8F">
      <w:pPr>
        <w:spacing w:after="4"/>
        <w:ind w:firstLine="720"/>
        <w:jc w:val="both"/>
        <w:rPr>
          <w:bCs/>
          <w:lang w:val="sk-SK"/>
        </w:rPr>
      </w:pPr>
      <w:r w:rsidRPr="00241497">
        <w:rPr>
          <w:bCs/>
          <w:lang w:val="sk-SK"/>
        </w:rPr>
        <w:t>Návrh zákona nemá vplyv</w:t>
      </w:r>
      <w:r w:rsidR="0075261E" w:rsidRPr="00241497">
        <w:rPr>
          <w:bCs/>
          <w:lang w:val="sk-SK"/>
        </w:rPr>
        <w:t>y</w:t>
      </w:r>
      <w:r w:rsidRPr="00241497">
        <w:rPr>
          <w:bCs/>
          <w:lang w:val="sk-SK"/>
        </w:rPr>
        <w:t xml:space="preserve"> na </w:t>
      </w:r>
      <w:r w:rsidR="002875A6" w:rsidRPr="00241497">
        <w:rPr>
          <w:bCs/>
          <w:lang w:val="sk-SK"/>
        </w:rPr>
        <w:t xml:space="preserve">rozpočet verejnej správy, </w:t>
      </w:r>
      <w:r w:rsidR="0075261E" w:rsidRPr="00241497">
        <w:rPr>
          <w:bCs/>
          <w:lang w:val="sk-SK"/>
        </w:rPr>
        <w:t xml:space="preserve">vplyvy na </w:t>
      </w:r>
      <w:r w:rsidR="002875A6" w:rsidRPr="00241497">
        <w:rPr>
          <w:bCs/>
          <w:lang w:val="sk-SK"/>
        </w:rPr>
        <w:t xml:space="preserve">podnikateľské prostredie, </w:t>
      </w:r>
      <w:r w:rsidR="0075261E" w:rsidRPr="00241497">
        <w:rPr>
          <w:bCs/>
          <w:lang w:val="sk-SK"/>
        </w:rPr>
        <w:t xml:space="preserve">sociálne vplyvy, vplyvy na životné prostredie, vplyvy na </w:t>
      </w:r>
      <w:r w:rsidR="002875A6" w:rsidRPr="00241497">
        <w:rPr>
          <w:bCs/>
          <w:lang w:val="sk-SK"/>
        </w:rPr>
        <w:t xml:space="preserve">informatizáciu spoločnosti, </w:t>
      </w:r>
      <w:r w:rsidR="0075261E" w:rsidRPr="00241497">
        <w:rPr>
          <w:bCs/>
          <w:lang w:val="sk-SK"/>
        </w:rPr>
        <w:t xml:space="preserve">vplyvy </w:t>
      </w:r>
      <w:r w:rsidRPr="00241497">
        <w:rPr>
          <w:bCs/>
          <w:lang w:val="sk-SK"/>
        </w:rPr>
        <w:t xml:space="preserve">na služby </w:t>
      </w:r>
      <w:r w:rsidR="0075261E" w:rsidRPr="00241497">
        <w:rPr>
          <w:bCs/>
          <w:lang w:val="sk-SK"/>
        </w:rPr>
        <w:t xml:space="preserve">verejnej správy </w:t>
      </w:r>
      <w:r w:rsidRPr="00241497">
        <w:rPr>
          <w:bCs/>
          <w:lang w:val="sk-SK"/>
        </w:rPr>
        <w:t xml:space="preserve">pre občana a ani </w:t>
      </w:r>
      <w:r w:rsidR="0075261E" w:rsidRPr="00241497">
        <w:rPr>
          <w:bCs/>
          <w:lang w:val="sk-SK"/>
        </w:rPr>
        <w:t xml:space="preserve">vplyvy na manželstvo, rodičovstvo a rodinu. </w:t>
      </w:r>
    </w:p>
    <w:p w14:paraId="1ADF7785" w14:textId="77777777" w:rsidR="0008477D" w:rsidRPr="00241497" w:rsidRDefault="0008477D" w:rsidP="00283A8F">
      <w:pPr>
        <w:spacing w:after="4"/>
        <w:ind w:firstLine="720"/>
        <w:jc w:val="both"/>
        <w:rPr>
          <w:bCs/>
          <w:lang w:val="sk-SK"/>
        </w:rPr>
      </w:pPr>
    </w:p>
    <w:p w14:paraId="09F8F8F8" w14:textId="77777777" w:rsidR="0075261E" w:rsidRPr="00241497" w:rsidRDefault="0075261E" w:rsidP="00C05407">
      <w:pPr>
        <w:spacing w:after="4"/>
        <w:ind w:firstLine="720"/>
        <w:jc w:val="both"/>
        <w:rPr>
          <w:bCs/>
          <w:lang w:val="sk-SK"/>
        </w:rPr>
      </w:pPr>
      <w:r w:rsidRPr="00241497">
        <w:rPr>
          <w:bCs/>
          <w:lang w:val="sk-SK"/>
        </w:rPr>
        <w:t>Účinnosť navrhovanej právnej úpravy sa navrhuje dňom vyhlásenia zákona</w:t>
      </w:r>
      <w:r w:rsidR="007A2C9B" w:rsidRPr="00241497">
        <w:rPr>
          <w:bCs/>
          <w:lang w:val="sk-SK"/>
        </w:rPr>
        <w:t>.</w:t>
      </w:r>
      <w:r w:rsidRPr="00241497" w:rsidDel="0075261E">
        <w:rPr>
          <w:bCs/>
          <w:lang w:val="sk-SK"/>
        </w:rPr>
        <w:t xml:space="preserve"> </w:t>
      </w:r>
    </w:p>
    <w:p w14:paraId="2F73F8CB" w14:textId="77777777" w:rsidR="0075261E" w:rsidRPr="00241497" w:rsidRDefault="0075261E" w:rsidP="00C05407">
      <w:pPr>
        <w:spacing w:after="4"/>
        <w:ind w:firstLine="720"/>
        <w:jc w:val="both"/>
        <w:rPr>
          <w:bCs/>
          <w:lang w:val="sk-SK"/>
        </w:rPr>
      </w:pPr>
    </w:p>
    <w:p w14:paraId="0F1C4E27" w14:textId="77777777" w:rsidR="00CF133C" w:rsidRPr="00241497" w:rsidRDefault="00CF133C" w:rsidP="00C05407">
      <w:pPr>
        <w:spacing w:after="4"/>
        <w:ind w:firstLine="720"/>
        <w:jc w:val="both"/>
        <w:rPr>
          <w:bCs/>
          <w:lang w:val="sk-SK"/>
        </w:rPr>
      </w:pPr>
    </w:p>
    <w:p w14:paraId="2BD4F16D" w14:textId="0BBF3E22" w:rsidR="0052300D" w:rsidRDefault="00B10D3A" w:rsidP="00B10D3A">
      <w:pPr>
        <w:rPr>
          <w:bCs/>
          <w:lang w:val="sk-SK"/>
        </w:rPr>
      </w:pPr>
      <w:r>
        <w:rPr>
          <w:bCs/>
          <w:lang w:val="sk-SK"/>
        </w:rPr>
        <w:br w:type="page"/>
      </w:r>
    </w:p>
    <w:p w14:paraId="3EC499EF" w14:textId="77777777" w:rsidR="00B10D3A" w:rsidRPr="006045CB" w:rsidRDefault="00B10D3A" w:rsidP="00B10D3A">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17522B23" w14:textId="77777777" w:rsidR="00B10D3A" w:rsidRPr="00B043B4" w:rsidRDefault="00B10D3A" w:rsidP="00B10D3A">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10D3A" w:rsidRPr="00B043B4" w14:paraId="28E1B54F" w14:textId="77777777" w:rsidTr="000D0FAC">
        <w:tc>
          <w:tcPr>
            <w:tcW w:w="9180" w:type="dxa"/>
            <w:gridSpan w:val="11"/>
            <w:tcBorders>
              <w:bottom w:val="single" w:sz="4" w:space="0" w:color="FFFFFF"/>
            </w:tcBorders>
            <w:shd w:val="clear" w:color="auto" w:fill="E2E2E2"/>
          </w:tcPr>
          <w:p w14:paraId="464D91DD" w14:textId="77777777" w:rsidR="00B10D3A" w:rsidRPr="00B043B4" w:rsidRDefault="00B10D3A" w:rsidP="00B10D3A">
            <w:pPr>
              <w:numPr>
                <w:ilvl w:val="0"/>
                <w:numId w:val="10"/>
              </w:numPr>
              <w:ind w:left="426"/>
              <w:contextualSpacing/>
              <w:rPr>
                <w:rFonts w:eastAsia="Calibri"/>
                <w:b/>
              </w:rPr>
            </w:pPr>
            <w:r w:rsidRPr="00B043B4">
              <w:rPr>
                <w:rFonts w:eastAsia="Calibri"/>
                <w:b/>
              </w:rPr>
              <w:t>Základné údaje</w:t>
            </w:r>
          </w:p>
        </w:tc>
      </w:tr>
      <w:tr w:rsidR="00B10D3A" w:rsidRPr="00B043B4" w14:paraId="64312B61" w14:textId="77777777" w:rsidTr="000D0FAC">
        <w:tc>
          <w:tcPr>
            <w:tcW w:w="9180" w:type="dxa"/>
            <w:gridSpan w:val="11"/>
            <w:tcBorders>
              <w:bottom w:val="single" w:sz="4" w:space="0" w:color="FFFFFF"/>
            </w:tcBorders>
            <w:shd w:val="clear" w:color="auto" w:fill="E2E2E2"/>
          </w:tcPr>
          <w:p w14:paraId="75F5725C" w14:textId="77777777" w:rsidR="00B10D3A" w:rsidRPr="00B043B4" w:rsidRDefault="00B10D3A" w:rsidP="000D0FAC">
            <w:pPr>
              <w:spacing w:after="200" w:line="276" w:lineRule="auto"/>
              <w:ind w:left="142"/>
              <w:contextualSpacing/>
              <w:rPr>
                <w:rFonts w:eastAsia="Calibri"/>
                <w:b/>
              </w:rPr>
            </w:pPr>
            <w:r w:rsidRPr="00B043B4">
              <w:rPr>
                <w:rFonts w:eastAsia="Calibri"/>
                <w:b/>
              </w:rPr>
              <w:t>Názov materiálu</w:t>
            </w:r>
          </w:p>
        </w:tc>
      </w:tr>
      <w:tr w:rsidR="00B10D3A" w:rsidRPr="00B043B4" w14:paraId="4BD43150" w14:textId="77777777" w:rsidTr="000D0FAC">
        <w:tc>
          <w:tcPr>
            <w:tcW w:w="9180" w:type="dxa"/>
            <w:gridSpan w:val="11"/>
            <w:tcBorders>
              <w:top w:val="single" w:sz="4" w:space="0" w:color="FFFFFF"/>
              <w:bottom w:val="single" w:sz="4" w:space="0" w:color="auto"/>
            </w:tcBorders>
          </w:tcPr>
          <w:p w14:paraId="4D5A2119" w14:textId="77777777" w:rsidR="00B10D3A" w:rsidRPr="0025604D" w:rsidRDefault="00B10D3A" w:rsidP="000D0FAC">
            <w:pPr>
              <w:rPr>
                <w:sz w:val="20"/>
                <w:szCs w:val="20"/>
                <w:lang w:eastAsia="sk-SK"/>
              </w:rPr>
            </w:pPr>
            <w:r w:rsidRPr="0025604D">
              <w:rPr>
                <w:sz w:val="20"/>
                <w:szCs w:val="20"/>
              </w:rPr>
              <w:t>Návrh zákona, ktor</w:t>
            </w:r>
            <w:r>
              <w:rPr>
                <w:sz w:val="20"/>
                <w:szCs w:val="20"/>
              </w:rPr>
              <w:t>ým sa mení a dopĺňa zákon č. 292/2014</w:t>
            </w:r>
            <w:r w:rsidRPr="0025604D">
              <w:rPr>
                <w:sz w:val="20"/>
                <w:szCs w:val="20"/>
              </w:rPr>
              <w:t xml:space="preserve"> Z. z. o</w:t>
            </w:r>
            <w:r>
              <w:rPr>
                <w:sz w:val="20"/>
                <w:szCs w:val="20"/>
              </w:rPr>
              <w:t> príspevku poskytovanom z európskych štrukturálnych a investičných fondov</w:t>
            </w:r>
            <w:r w:rsidRPr="0025604D">
              <w:rPr>
                <w:sz w:val="20"/>
                <w:szCs w:val="20"/>
              </w:rPr>
              <w:t xml:space="preserve"> o zmene a doplnení niektorých zákonov v znení neskorších predpisov </w:t>
            </w:r>
          </w:p>
          <w:p w14:paraId="15B49566" w14:textId="77777777" w:rsidR="00B10D3A" w:rsidRPr="00B043B4" w:rsidRDefault="00B10D3A" w:rsidP="000D0FAC">
            <w:pPr>
              <w:rPr>
                <w:sz w:val="20"/>
                <w:szCs w:val="20"/>
                <w:lang w:eastAsia="sk-SK"/>
              </w:rPr>
            </w:pPr>
          </w:p>
        </w:tc>
      </w:tr>
      <w:tr w:rsidR="00B10D3A" w:rsidRPr="00B043B4" w14:paraId="624257CA" w14:textId="77777777" w:rsidTr="000D0FAC">
        <w:tc>
          <w:tcPr>
            <w:tcW w:w="9180" w:type="dxa"/>
            <w:gridSpan w:val="11"/>
            <w:tcBorders>
              <w:top w:val="single" w:sz="4" w:space="0" w:color="auto"/>
              <w:left w:val="single" w:sz="4" w:space="0" w:color="auto"/>
              <w:bottom w:val="single" w:sz="4" w:space="0" w:color="FFFFFF"/>
            </w:tcBorders>
            <w:shd w:val="clear" w:color="auto" w:fill="E2E2E2"/>
          </w:tcPr>
          <w:p w14:paraId="267499F0" w14:textId="77777777" w:rsidR="00B10D3A" w:rsidRPr="00B043B4" w:rsidRDefault="00B10D3A" w:rsidP="000D0FAC">
            <w:pPr>
              <w:spacing w:after="200" w:line="276" w:lineRule="auto"/>
              <w:ind w:left="142"/>
              <w:contextualSpacing/>
              <w:rPr>
                <w:rFonts w:eastAsia="Calibri"/>
                <w:b/>
              </w:rPr>
            </w:pPr>
            <w:r w:rsidRPr="00B043B4">
              <w:rPr>
                <w:rFonts w:eastAsia="Calibri"/>
                <w:b/>
              </w:rPr>
              <w:t>Predkladateľ (a spolupredkladateľ)</w:t>
            </w:r>
          </w:p>
        </w:tc>
      </w:tr>
      <w:tr w:rsidR="00B10D3A" w:rsidRPr="00B043B4" w14:paraId="1A502B37" w14:textId="77777777" w:rsidTr="000D0FAC">
        <w:tc>
          <w:tcPr>
            <w:tcW w:w="9180" w:type="dxa"/>
            <w:gridSpan w:val="11"/>
            <w:tcBorders>
              <w:top w:val="single" w:sz="4" w:space="0" w:color="FFFFFF"/>
              <w:left w:val="single" w:sz="4" w:space="0" w:color="auto"/>
              <w:bottom w:val="single" w:sz="4" w:space="0" w:color="auto"/>
            </w:tcBorders>
            <w:shd w:val="clear" w:color="auto" w:fill="FFFFFF"/>
          </w:tcPr>
          <w:p w14:paraId="262EC4CA" w14:textId="77777777" w:rsidR="00B10D3A" w:rsidRDefault="00B10D3A" w:rsidP="000D0FAC">
            <w:pPr>
              <w:rPr>
                <w:sz w:val="20"/>
                <w:szCs w:val="20"/>
              </w:rPr>
            </w:pPr>
            <w:r w:rsidRPr="000D79B1">
              <w:rPr>
                <w:sz w:val="20"/>
                <w:szCs w:val="20"/>
              </w:rPr>
              <w:t>Ministerstvo investícií, regionálneho rozvoja a informatizácie Slovenskej republiky</w:t>
            </w:r>
          </w:p>
          <w:p w14:paraId="6B403C24" w14:textId="77777777" w:rsidR="00B10D3A" w:rsidRPr="00B043B4" w:rsidRDefault="00B10D3A" w:rsidP="000D0FAC">
            <w:pPr>
              <w:rPr>
                <w:sz w:val="20"/>
                <w:szCs w:val="20"/>
                <w:lang w:eastAsia="sk-SK"/>
              </w:rPr>
            </w:pPr>
          </w:p>
        </w:tc>
      </w:tr>
      <w:tr w:rsidR="00B10D3A" w:rsidRPr="00B043B4" w14:paraId="5A54FE12" w14:textId="77777777" w:rsidTr="000D0FA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0969375" w14:textId="77777777" w:rsidR="00B10D3A" w:rsidRPr="00B043B4" w:rsidRDefault="00B10D3A" w:rsidP="000D0FAC">
            <w:pPr>
              <w:spacing w:after="200" w:line="276" w:lineRule="auto"/>
              <w:ind w:left="142"/>
              <w:contextualSpacing/>
              <w:rPr>
                <w:rFonts w:eastAsia="Calibri"/>
                <w:b/>
              </w:rPr>
            </w:pPr>
            <w:r w:rsidRPr="00B043B4">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BA3A500"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FFDE55D" w14:textId="77777777" w:rsidR="00B10D3A" w:rsidRPr="00B043B4" w:rsidRDefault="00B10D3A" w:rsidP="000D0FAC">
            <w:pPr>
              <w:rPr>
                <w:sz w:val="20"/>
                <w:szCs w:val="20"/>
                <w:lang w:eastAsia="sk-SK"/>
              </w:rPr>
            </w:pPr>
            <w:r w:rsidRPr="00B043B4">
              <w:rPr>
                <w:sz w:val="20"/>
                <w:szCs w:val="20"/>
                <w:lang w:eastAsia="sk-SK"/>
              </w:rPr>
              <w:t>Materiál nelegislatívnej povahy</w:t>
            </w:r>
          </w:p>
        </w:tc>
      </w:tr>
      <w:tr w:rsidR="00B10D3A" w:rsidRPr="00B043B4" w14:paraId="6571FE72" w14:textId="77777777" w:rsidTr="000D0FAC">
        <w:tc>
          <w:tcPr>
            <w:tcW w:w="4212" w:type="dxa"/>
            <w:gridSpan w:val="2"/>
            <w:vMerge/>
            <w:tcBorders>
              <w:top w:val="nil"/>
              <w:left w:val="single" w:sz="4" w:space="0" w:color="auto"/>
              <w:bottom w:val="single" w:sz="4" w:space="0" w:color="FFFFFF"/>
            </w:tcBorders>
            <w:shd w:val="clear" w:color="auto" w:fill="E2E2E2"/>
          </w:tcPr>
          <w:p w14:paraId="09A3D7DA" w14:textId="77777777" w:rsidR="00B10D3A" w:rsidRPr="00B043B4" w:rsidRDefault="00B10D3A" w:rsidP="000D0FAC">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D9C7B78"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7398A0E" w14:textId="77777777" w:rsidR="00B10D3A" w:rsidRPr="00B043B4" w:rsidRDefault="00B10D3A" w:rsidP="000D0FAC">
            <w:pPr>
              <w:ind w:left="175" w:hanging="175"/>
              <w:rPr>
                <w:sz w:val="20"/>
                <w:szCs w:val="20"/>
                <w:lang w:eastAsia="sk-SK"/>
              </w:rPr>
            </w:pPr>
            <w:r w:rsidRPr="00B043B4">
              <w:rPr>
                <w:sz w:val="20"/>
                <w:szCs w:val="20"/>
                <w:lang w:eastAsia="sk-SK"/>
              </w:rPr>
              <w:t>Materiál legislatívnej povahy</w:t>
            </w:r>
          </w:p>
        </w:tc>
      </w:tr>
      <w:tr w:rsidR="00B10D3A" w:rsidRPr="00B043B4" w14:paraId="60865C7C" w14:textId="77777777" w:rsidTr="000D0FAC">
        <w:tc>
          <w:tcPr>
            <w:tcW w:w="4212" w:type="dxa"/>
            <w:gridSpan w:val="2"/>
            <w:vMerge/>
            <w:tcBorders>
              <w:top w:val="nil"/>
              <w:left w:val="single" w:sz="4" w:space="0" w:color="auto"/>
              <w:bottom w:val="single" w:sz="4" w:space="0" w:color="auto"/>
            </w:tcBorders>
            <w:shd w:val="clear" w:color="auto" w:fill="E2E2E2"/>
          </w:tcPr>
          <w:p w14:paraId="613B4091" w14:textId="77777777" w:rsidR="00B10D3A" w:rsidRPr="00B043B4" w:rsidRDefault="00B10D3A" w:rsidP="000D0FAC">
            <w:pPr>
              <w:rPr>
                <w:sz w:val="20"/>
                <w:szCs w:val="20"/>
                <w:lang w:eastAsia="sk-SK"/>
              </w:rPr>
            </w:pPr>
          </w:p>
        </w:tc>
        <w:sdt>
          <w:sdtPr>
            <w:rPr>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928DCC2"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FA9CF66" w14:textId="77777777" w:rsidR="00B10D3A" w:rsidRPr="00B043B4" w:rsidRDefault="00B10D3A" w:rsidP="000D0FAC">
            <w:pPr>
              <w:rPr>
                <w:sz w:val="20"/>
                <w:szCs w:val="20"/>
                <w:lang w:eastAsia="sk-SK"/>
              </w:rPr>
            </w:pPr>
            <w:r w:rsidRPr="00B043B4">
              <w:rPr>
                <w:sz w:val="20"/>
                <w:szCs w:val="20"/>
                <w:lang w:eastAsia="sk-SK"/>
              </w:rPr>
              <w:t>Transpozícia práva EÚ</w:t>
            </w:r>
          </w:p>
        </w:tc>
      </w:tr>
      <w:tr w:rsidR="00B10D3A" w:rsidRPr="00B043B4" w14:paraId="4428CCCF" w14:textId="77777777" w:rsidTr="000D0FAC">
        <w:tc>
          <w:tcPr>
            <w:tcW w:w="9180" w:type="dxa"/>
            <w:gridSpan w:val="11"/>
            <w:tcBorders>
              <w:top w:val="single" w:sz="4" w:space="0" w:color="auto"/>
              <w:left w:val="single" w:sz="4" w:space="0" w:color="auto"/>
              <w:bottom w:val="single" w:sz="4" w:space="0" w:color="FFFFFF"/>
            </w:tcBorders>
            <w:shd w:val="clear" w:color="auto" w:fill="FFFFFF"/>
          </w:tcPr>
          <w:p w14:paraId="1D96F88F" w14:textId="77777777" w:rsidR="00B10D3A" w:rsidRPr="00B043B4" w:rsidRDefault="00B10D3A" w:rsidP="000D0FAC">
            <w:pPr>
              <w:rPr>
                <w:i/>
                <w:sz w:val="20"/>
                <w:szCs w:val="20"/>
                <w:lang w:eastAsia="sk-SK"/>
              </w:rPr>
            </w:pPr>
            <w:r w:rsidRPr="00B043B4">
              <w:rPr>
                <w:i/>
                <w:sz w:val="20"/>
                <w:szCs w:val="20"/>
                <w:lang w:eastAsia="sk-SK"/>
              </w:rPr>
              <w:t>V prípade transpozície uveďte zoznam transponovaných predpisov:</w:t>
            </w:r>
          </w:p>
          <w:p w14:paraId="43CA54EC" w14:textId="77777777" w:rsidR="00B10D3A" w:rsidRPr="00B043B4" w:rsidRDefault="00B10D3A" w:rsidP="000D0FAC">
            <w:pPr>
              <w:rPr>
                <w:sz w:val="20"/>
                <w:szCs w:val="20"/>
                <w:lang w:eastAsia="sk-SK"/>
              </w:rPr>
            </w:pPr>
          </w:p>
        </w:tc>
      </w:tr>
      <w:tr w:rsidR="00B10D3A" w:rsidRPr="00B043B4" w14:paraId="723CCC2E" w14:textId="77777777" w:rsidTr="000D0FA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C45EA54" w14:textId="77777777" w:rsidR="00B10D3A" w:rsidRPr="00B043B4" w:rsidRDefault="00B10D3A" w:rsidP="000D0FAC">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13B7D25" w14:textId="77777777" w:rsidR="00B10D3A" w:rsidRPr="00B043B4" w:rsidRDefault="00B10D3A" w:rsidP="000D0FAC">
            <w:pPr>
              <w:rPr>
                <w:i/>
                <w:sz w:val="20"/>
                <w:szCs w:val="20"/>
                <w:lang w:eastAsia="sk-SK"/>
              </w:rPr>
            </w:pPr>
            <w:r>
              <w:rPr>
                <w:i/>
                <w:sz w:val="20"/>
                <w:szCs w:val="20"/>
                <w:lang w:eastAsia="sk-SK"/>
              </w:rPr>
              <w:t>-</w:t>
            </w:r>
          </w:p>
        </w:tc>
      </w:tr>
      <w:tr w:rsidR="00B10D3A" w:rsidRPr="00B043B4" w14:paraId="1B8A7D13" w14:textId="77777777" w:rsidTr="000D0FA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171F574" w14:textId="77777777" w:rsidR="00B10D3A" w:rsidRPr="00B043B4" w:rsidRDefault="00B10D3A" w:rsidP="000D0FAC">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BE2169E" w14:textId="77777777" w:rsidR="00B10D3A" w:rsidRPr="00B043B4" w:rsidRDefault="00B10D3A" w:rsidP="000D0FAC">
            <w:pPr>
              <w:rPr>
                <w:i/>
                <w:sz w:val="20"/>
                <w:szCs w:val="20"/>
                <w:lang w:eastAsia="sk-SK"/>
              </w:rPr>
            </w:pPr>
            <w:r>
              <w:rPr>
                <w:i/>
                <w:sz w:val="20"/>
                <w:szCs w:val="20"/>
                <w:lang w:eastAsia="sk-SK"/>
              </w:rPr>
              <w:t>-</w:t>
            </w:r>
          </w:p>
        </w:tc>
      </w:tr>
      <w:tr w:rsidR="00B10D3A" w:rsidRPr="00B043B4" w14:paraId="5DC257B0" w14:textId="77777777" w:rsidTr="000D0FA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AECF4EE" w14:textId="77777777" w:rsidR="00B10D3A" w:rsidRPr="00B043B4" w:rsidRDefault="00B10D3A" w:rsidP="000D0FAC">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5F7D1CAF" w14:textId="77777777" w:rsidR="00B10D3A" w:rsidRPr="00B043B4" w:rsidRDefault="00B10D3A" w:rsidP="000D0FAC">
            <w:pPr>
              <w:rPr>
                <w:i/>
                <w:sz w:val="20"/>
                <w:szCs w:val="20"/>
                <w:lang w:eastAsia="sk-SK"/>
              </w:rPr>
            </w:pPr>
            <w:r>
              <w:rPr>
                <w:i/>
                <w:sz w:val="20"/>
                <w:szCs w:val="20"/>
                <w:lang w:eastAsia="sk-SK"/>
              </w:rPr>
              <w:t>-</w:t>
            </w:r>
          </w:p>
        </w:tc>
      </w:tr>
      <w:tr w:rsidR="00B10D3A" w:rsidRPr="00B043B4" w14:paraId="5576CA5E" w14:textId="77777777" w:rsidTr="000D0FA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3AAED48" w14:textId="77777777" w:rsidR="00B10D3A" w:rsidRPr="00B043B4" w:rsidRDefault="00B10D3A" w:rsidP="000D0FAC">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F5D9DAD" w14:textId="77777777" w:rsidR="00B10D3A" w:rsidRPr="00B043B4" w:rsidRDefault="00B10D3A" w:rsidP="000D0FAC">
            <w:pPr>
              <w:rPr>
                <w:i/>
                <w:sz w:val="20"/>
                <w:szCs w:val="20"/>
                <w:lang w:eastAsia="sk-SK"/>
              </w:rPr>
            </w:pPr>
            <w:r>
              <w:rPr>
                <w:i/>
                <w:sz w:val="20"/>
                <w:szCs w:val="20"/>
                <w:lang w:eastAsia="sk-SK"/>
              </w:rPr>
              <w:t>Máj 2022</w:t>
            </w:r>
          </w:p>
        </w:tc>
      </w:tr>
      <w:tr w:rsidR="00B10D3A" w:rsidRPr="00B043B4" w14:paraId="763B2FD2" w14:textId="77777777" w:rsidTr="000D0FAC">
        <w:tc>
          <w:tcPr>
            <w:tcW w:w="9180" w:type="dxa"/>
            <w:gridSpan w:val="11"/>
            <w:tcBorders>
              <w:top w:val="single" w:sz="4" w:space="0" w:color="auto"/>
              <w:left w:val="nil"/>
              <w:bottom w:val="single" w:sz="4" w:space="0" w:color="auto"/>
              <w:right w:val="nil"/>
            </w:tcBorders>
            <w:shd w:val="clear" w:color="auto" w:fill="FFFFFF"/>
          </w:tcPr>
          <w:p w14:paraId="493E4DCB" w14:textId="77777777" w:rsidR="00B10D3A" w:rsidRPr="00B043B4" w:rsidRDefault="00B10D3A" w:rsidP="000D0FAC">
            <w:pPr>
              <w:rPr>
                <w:sz w:val="20"/>
                <w:szCs w:val="20"/>
                <w:lang w:eastAsia="sk-SK"/>
              </w:rPr>
            </w:pPr>
          </w:p>
        </w:tc>
      </w:tr>
      <w:tr w:rsidR="00B10D3A" w:rsidRPr="00B043B4" w14:paraId="2B47F243" w14:textId="77777777" w:rsidTr="000D0F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7A68BA4" w14:textId="77777777" w:rsidR="00B10D3A" w:rsidRPr="00B043B4" w:rsidRDefault="00B10D3A" w:rsidP="00B10D3A">
            <w:pPr>
              <w:numPr>
                <w:ilvl w:val="0"/>
                <w:numId w:val="10"/>
              </w:numPr>
              <w:ind w:left="426"/>
              <w:contextualSpacing/>
              <w:rPr>
                <w:rFonts w:eastAsia="Calibri"/>
                <w:b/>
              </w:rPr>
            </w:pPr>
            <w:r w:rsidRPr="00B043B4">
              <w:rPr>
                <w:rFonts w:eastAsia="Calibri"/>
                <w:b/>
              </w:rPr>
              <w:t>Definovanie problému</w:t>
            </w:r>
          </w:p>
        </w:tc>
      </w:tr>
      <w:tr w:rsidR="00B10D3A" w:rsidRPr="00B043B4" w14:paraId="7F216F5B" w14:textId="77777777" w:rsidTr="000D0FA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225CC76" w14:textId="77777777" w:rsidR="00B10D3A" w:rsidRPr="00E85754" w:rsidRDefault="00B10D3A" w:rsidP="000D0FAC">
            <w:pPr>
              <w:rPr>
                <w:sz w:val="20"/>
                <w:szCs w:val="20"/>
                <w:lang w:eastAsia="sk-SK"/>
              </w:rPr>
            </w:pPr>
            <w:r w:rsidRPr="00E842E9">
              <w:rPr>
                <w:sz w:val="20"/>
                <w:szCs w:val="20"/>
                <w:lang w:eastAsia="sk-SK"/>
              </w:rPr>
              <w:t>V súvislosti s</w:t>
            </w:r>
            <w:r>
              <w:rPr>
                <w:sz w:val="20"/>
                <w:szCs w:val="20"/>
                <w:lang w:eastAsia="sk-SK"/>
              </w:rPr>
              <w:t xml:space="preserve"> aktuálnou situáciou vyvolanou vojnou na Ukrajine a vyhláseným núdzovým stavom na území </w:t>
            </w:r>
            <w:r w:rsidRPr="00E842E9">
              <w:rPr>
                <w:sz w:val="20"/>
                <w:szCs w:val="20"/>
                <w:lang w:eastAsia="sk-SK"/>
              </w:rPr>
              <w:t xml:space="preserve">Slovenskej republiky </w:t>
            </w:r>
            <w:r>
              <w:rPr>
                <w:sz w:val="20"/>
                <w:szCs w:val="20"/>
                <w:lang w:eastAsia="sk-SK"/>
              </w:rPr>
              <w:t>dochádza</w:t>
            </w:r>
            <w:r w:rsidRPr="00E842E9">
              <w:rPr>
                <w:sz w:val="20"/>
                <w:szCs w:val="20"/>
                <w:lang w:eastAsia="sk-SK"/>
              </w:rPr>
              <w:t xml:space="preserve"> v spoločnosti k rozsiahlym hospodárskym škodám. V súvislosti s touto situáciou je potrebné rýchlo reagovať aj vo vzťahu k efektívnemu využitiu finančných prostriedkov na elimináciu týchto škôd. Návrhom zákona dochádza k zmene a doplneniu zákon</w:t>
            </w:r>
            <w:r>
              <w:rPr>
                <w:sz w:val="20"/>
                <w:szCs w:val="20"/>
                <w:lang w:eastAsia="sk-SK"/>
              </w:rPr>
              <w:t>a</w:t>
            </w:r>
            <w:r w:rsidRPr="00E842E9">
              <w:rPr>
                <w:sz w:val="20"/>
                <w:szCs w:val="20"/>
                <w:lang w:eastAsia="sk-SK"/>
              </w:rPr>
              <w:t xml:space="preserve"> súvisiac</w:t>
            </w:r>
            <w:r>
              <w:rPr>
                <w:sz w:val="20"/>
                <w:szCs w:val="20"/>
                <w:lang w:eastAsia="sk-SK"/>
              </w:rPr>
              <w:t>eho</w:t>
            </w:r>
            <w:r w:rsidRPr="00E842E9">
              <w:rPr>
                <w:sz w:val="20"/>
                <w:szCs w:val="20"/>
                <w:lang w:eastAsia="sk-SK"/>
              </w:rPr>
              <w:t xml:space="preserve"> s poskytovaním príspevku z európskych štrukturálnych a investičných fondov EÚ na programové obdobie 2014</w:t>
            </w:r>
            <w:r>
              <w:rPr>
                <w:sz w:val="20"/>
                <w:szCs w:val="20"/>
                <w:lang w:eastAsia="sk-SK"/>
              </w:rPr>
              <w:t xml:space="preserve"> </w:t>
            </w:r>
            <w:r w:rsidRPr="00E842E9">
              <w:rPr>
                <w:sz w:val="20"/>
                <w:szCs w:val="20"/>
                <w:lang w:eastAsia="sk-SK"/>
              </w:rPr>
              <w:t>-</w:t>
            </w:r>
            <w:r>
              <w:rPr>
                <w:sz w:val="20"/>
                <w:szCs w:val="20"/>
                <w:lang w:eastAsia="sk-SK"/>
              </w:rPr>
              <w:t xml:space="preserve"> </w:t>
            </w:r>
            <w:r w:rsidRPr="00E842E9">
              <w:rPr>
                <w:sz w:val="20"/>
                <w:szCs w:val="20"/>
                <w:lang w:eastAsia="sk-SK"/>
              </w:rPr>
              <w:t>2020</w:t>
            </w:r>
            <w:r>
              <w:rPr>
                <w:sz w:val="20"/>
                <w:szCs w:val="20"/>
                <w:lang w:eastAsia="sk-SK"/>
              </w:rPr>
              <w:t>.</w:t>
            </w:r>
          </w:p>
        </w:tc>
      </w:tr>
      <w:tr w:rsidR="00B10D3A" w:rsidRPr="00B043B4" w14:paraId="360D14EA" w14:textId="77777777" w:rsidTr="000D0FAC">
        <w:tc>
          <w:tcPr>
            <w:tcW w:w="9180" w:type="dxa"/>
            <w:gridSpan w:val="11"/>
            <w:tcBorders>
              <w:top w:val="single" w:sz="4" w:space="0" w:color="auto"/>
              <w:left w:val="single" w:sz="4" w:space="0" w:color="auto"/>
              <w:bottom w:val="nil"/>
              <w:right w:val="single" w:sz="4" w:space="0" w:color="auto"/>
            </w:tcBorders>
            <w:shd w:val="clear" w:color="auto" w:fill="E2E2E2"/>
          </w:tcPr>
          <w:p w14:paraId="40B9E182" w14:textId="77777777" w:rsidR="00B10D3A" w:rsidRPr="00B043B4" w:rsidRDefault="00B10D3A" w:rsidP="00B10D3A">
            <w:pPr>
              <w:numPr>
                <w:ilvl w:val="0"/>
                <w:numId w:val="10"/>
              </w:numPr>
              <w:ind w:left="426"/>
              <w:contextualSpacing/>
              <w:rPr>
                <w:rFonts w:eastAsia="Calibri"/>
                <w:b/>
              </w:rPr>
            </w:pPr>
            <w:r w:rsidRPr="00B043B4">
              <w:rPr>
                <w:rFonts w:eastAsia="Calibri"/>
                <w:b/>
              </w:rPr>
              <w:t>Ciele a výsledný stav</w:t>
            </w:r>
          </w:p>
        </w:tc>
      </w:tr>
      <w:tr w:rsidR="00B10D3A" w:rsidRPr="00B043B4" w14:paraId="45B121C6" w14:textId="77777777" w:rsidTr="000D0FA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EE822EF" w14:textId="77777777" w:rsidR="00B10D3A" w:rsidRPr="00A902AE" w:rsidRDefault="00B10D3A" w:rsidP="000D0FAC">
            <w:pPr>
              <w:spacing w:after="4"/>
              <w:jc w:val="both"/>
              <w:rPr>
                <w:bCs/>
                <w:sz w:val="20"/>
                <w:szCs w:val="20"/>
              </w:rPr>
            </w:pPr>
            <w:r w:rsidRPr="00A902AE">
              <w:rPr>
                <w:bCs/>
                <w:sz w:val="20"/>
                <w:szCs w:val="20"/>
              </w:rPr>
              <w:t>Cieľom návrhu zákona je reagovať na nepredvídateľné situácie, ktoré so sebou po pandémii prináša zhoršenie geopolitickej situácie, v dôsledku čoho je na území Slovenskej republiky okrem vyhlásenej mimoriadnej situácie v súvislosti s pandémiou COVID-19 vyhlásený núdzový stav z dôvodu situácie vyvolanej vojnou na Ukrajine a umožniť čo najpružnejšiu reakciu na prekonanie ich následkov v</w:t>
            </w:r>
            <w:r>
              <w:rPr>
                <w:bCs/>
                <w:sz w:val="20"/>
                <w:szCs w:val="20"/>
              </w:rPr>
              <w:t> rámci poskytovania príspevkov z európskych štrukturálnych a investičných fondov</w:t>
            </w:r>
            <w:r w:rsidRPr="00A902AE">
              <w:rPr>
                <w:bCs/>
                <w:sz w:val="20"/>
                <w:szCs w:val="20"/>
              </w:rPr>
              <w:t xml:space="preserve">. </w:t>
            </w:r>
          </w:p>
          <w:p w14:paraId="1A910112" w14:textId="77777777" w:rsidR="00B10D3A" w:rsidRPr="00A902AE" w:rsidRDefault="00B10D3A" w:rsidP="000D0FAC">
            <w:pPr>
              <w:spacing w:after="4"/>
              <w:jc w:val="both"/>
              <w:rPr>
                <w:bCs/>
                <w:sz w:val="20"/>
                <w:szCs w:val="20"/>
              </w:rPr>
            </w:pPr>
            <w:r w:rsidRPr="00A902AE">
              <w:rPr>
                <w:bCs/>
                <w:sz w:val="20"/>
                <w:szCs w:val="20"/>
              </w:rPr>
              <w:t xml:space="preserve">Návrh zákona obsahuje </w:t>
            </w:r>
            <w:r>
              <w:rPr>
                <w:bCs/>
                <w:sz w:val="20"/>
                <w:szCs w:val="20"/>
              </w:rPr>
              <w:t>dve</w:t>
            </w:r>
            <w:r w:rsidRPr="00A902AE">
              <w:rPr>
                <w:bCs/>
                <w:sz w:val="20"/>
                <w:szCs w:val="20"/>
              </w:rPr>
              <w:t xml:space="preserve"> vetvy na realizáciu vyššie uvedeného cieľa </w:t>
            </w:r>
          </w:p>
          <w:p w14:paraId="47E2C5A3" w14:textId="77777777" w:rsidR="00B10D3A" w:rsidRPr="00A902AE" w:rsidRDefault="00B10D3A" w:rsidP="000D0FAC">
            <w:pPr>
              <w:spacing w:after="4"/>
              <w:jc w:val="both"/>
              <w:rPr>
                <w:bCs/>
                <w:sz w:val="20"/>
                <w:szCs w:val="20"/>
              </w:rPr>
            </w:pPr>
            <w:r w:rsidRPr="00A902AE">
              <w:rPr>
                <w:bCs/>
                <w:sz w:val="20"/>
                <w:szCs w:val="20"/>
              </w:rPr>
              <w:t>- umožnenie zmeniť rozhodnutie o neschválení žiadosti v prípade projektov technickej pomoci na základe už existujúceho vyzvania bez potreby nového konania o žiadosti (rozšírenie tzv. zásobníkového modelu),</w:t>
            </w:r>
          </w:p>
          <w:p w14:paraId="61C4DD99" w14:textId="77777777" w:rsidR="00B10D3A" w:rsidRPr="00A902AE" w:rsidRDefault="00B10D3A" w:rsidP="000D0FAC">
            <w:pPr>
              <w:spacing w:after="4"/>
              <w:jc w:val="both"/>
              <w:rPr>
                <w:bCs/>
                <w:sz w:val="20"/>
                <w:szCs w:val="20"/>
              </w:rPr>
            </w:pPr>
            <w:r w:rsidRPr="00A902AE">
              <w:rPr>
                <w:bCs/>
                <w:sz w:val="20"/>
                <w:szCs w:val="20"/>
              </w:rPr>
              <w:t>- rozšírenie pôsobnosti existujúcich osobitných procesných ustanovení vzťahujúcich sa na vyhlasovanie výziev a vyzvaní, schvaľovací proces žiadostí o poskytnutie nenávratného finančného príspevku (ďalej len „NFP“), ako aj samotnú realizáciu a</w:t>
            </w:r>
            <w:r>
              <w:rPr>
                <w:bCs/>
                <w:sz w:val="20"/>
                <w:szCs w:val="20"/>
              </w:rPr>
              <w:t> </w:t>
            </w:r>
            <w:r w:rsidRPr="00A902AE">
              <w:rPr>
                <w:bCs/>
                <w:sz w:val="20"/>
                <w:szCs w:val="20"/>
              </w:rPr>
              <w:t>financovanie</w:t>
            </w:r>
            <w:r>
              <w:rPr>
                <w:bCs/>
                <w:sz w:val="20"/>
                <w:szCs w:val="20"/>
              </w:rPr>
              <w:t xml:space="preserve"> národných</w:t>
            </w:r>
            <w:r w:rsidRPr="00A902AE">
              <w:rPr>
                <w:bCs/>
                <w:sz w:val="20"/>
                <w:szCs w:val="20"/>
              </w:rPr>
              <w:t xml:space="preserve"> projektov v čase mimoriadnej situácie, núdzového stavu alebo výnimočného stavu (ďalej len „krízová situácia“) vyhláseného v súvislosti s pandémiou COVID-19 na ich aplikáciu počas krízovej situácie vyhlásenej na území SR všeobecne. </w:t>
            </w:r>
          </w:p>
          <w:p w14:paraId="58761930" w14:textId="77777777" w:rsidR="00B10D3A" w:rsidRPr="00B043B4" w:rsidRDefault="00B10D3A" w:rsidP="000D0FAC">
            <w:pPr>
              <w:pStyle w:val="Normlnywebov"/>
              <w:spacing w:before="0" w:beforeAutospacing="0" w:after="0"/>
              <w:jc w:val="both"/>
              <w:rPr>
                <w:sz w:val="20"/>
                <w:szCs w:val="20"/>
              </w:rPr>
            </w:pPr>
          </w:p>
        </w:tc>
      </w:tr>
      <w:tr w:rsidR="00B10D3A" w:rsidRPr="00B043B4" w14:paraId="6834956E" w14:textId="77777777" w:rsidTr="000D0FAC">
        <w:tc>
          <w:tcPr>
            <w:tcW w:w="9180" w:type="dxa"/>
            <w:gridSpan w:val="11"/>
            <w:tcBorders>
              <w:top w:val="single" w:sz="4" w:space="0" w:color="auto"/>
              <w:left w:val="single" w:sz="4" w:space="0" w:color="auto"/>
              <w:bottom w:val="nil"/>
              <w:right w:val="single" w:sz="4" w:space="0" w:color="auto"/>
            </w:tcBorders>
            <w:shd w:val="clear" w:color="auto" w:fill="E2E2E2"/>
          </w:tcPr>
          <w:p w14:paraId="376992E1" w14:textId="77777777" w:rsidR="00B10D3A" w:rsidRPr="006E6D0C" w:rsidRDefault="00B10D3A" w:rsidP="00B10D3A">
            <w:pPr>
              <w:numPr>
                <w:ilvl w:val="0"/>
                <w:numId w:val="10"/>
              </w:numPr>
              <w:ind w:left="426"/>
              <w:contextualSpacing/>
              <w:rPr>
                <w:rFonts w:eastAsia="Calibri"/>
                <w:b/>
              </w:rPr>
            </w:pPr>
            <w:r w:rsidRPr="006E6D0C">
              <w:rPr>
                <w:rFonts w:eastAsia="Calibri"/>
                <w:b/>
              </w:rPr>
              <w:t>Dotknuté subjekty</w:t>
            </w:r>
          </w:p>
        </w:tc>
      </w:tr>
      <w:tr w:rsidR="00B10D3A" w:rsidRPr="00B043B4" w14:paraId="6E9CED08" w14:textId="77777777" w:rsidTr="000D0FAC">
        <w:tc>
          <w:tcPr>
            <w:tcW w:w="9180" w:type="dxa"/>
            <w:gridSpan w:val="11"/>
            <w:tcBorders>
              <w:top w:val="nil"/>
              <w:left w:val="single" w:sz="4" w:space="0" w:color="auto"/>
              <w:bottom w:val="single" w:sz="4" w:space="0" w:color="auto"/>
              <w:right w:val="single" w:sz="4" w:space="0" w:color="auto"/>
            </w:tcBorders>
            <w:shd w:val="clear" w:color="auto" w:fill="FFFFFF"/>
          </w:tcPr>
          <w:p w14:paraId="4455990B" w14:textId="77777777" w:rsidR="00B10D3A" w:rsidRDefault="00B10D3A" w:rsidP="000D0FAC">
            <w:pPr>
              <w:autoSpaceDE w:val="0"/>
              <w:autoSpaceDN w:val="0"/>
              <w:adjustRightInd w:val="0"/>
              <w:spacing w:line="100" w:lineRule="atLeast"/>
              <w:jc w:val="both"/>
              <w:rPr>
                <w:color w:val="000000"/>
                <w:sz w:val="20"/>
              </w:rPr>
            </w:pPr>
            <w:r w:rsidRPr="00825C0C">
              <w:rPr>
                <w:color w:val="000000"/>
                <w:sz w:val="20"/>
              </w:rPr>
              <w:t xml:space="preserve">Ministerstvo investícií, regionálneho rozvoja a informatizácie SR, </w:t>
            </w:r>
          </w:p>
          <w:p w14:paraId="22DD0D0B" w14:textId="77777777" w:rsidR="00B10D3A" w:rsidRPr="00825C0C" w:rsidRDefault="00B10D3A" w:rsidP="000D0FAC">
            <w:pPr>
              <w:autoSpaceDE w:val="0"/>
              <w:autoSpaceDN w:val="0"/>
              <w:adjustRightInd w:val="0"/>
              <w:spacing w:line="100" w:lineRule="atLeast"/>
              <w:jc w:val="both"/>
              <w:rPr>
                <w:color w:val="000000"/>
                <w:sz w:val="20"/>
              </w:rPr>
            </w:pPr>
            <w:r w:rsidRPr="00825C0C">
              <w:rPr>
                <w:color w:val="000000"/>
                <w:sz w:val="20"/>
              </w:rPr>
              <w:t>Ministerstvo financií SR</w:t>
            </w:r>
          </w:p>
          <w:p w14:paraId="154A34DE" w14:textId="77777777" w:rsidR="00B10D3A" w:rsidRPr="00825C0C" w:rsidRDefault="00B10D3A" w:rsidP="000D0FAC">
            <w:pPr>
              <w:autoSpaceDE w:val="0"/>
              <w:autoSpaceDN w:val="0"/>
              <w:adjustRightInd w:val="0"/>
              <w:spacing w:line="100" w:lineRule="atLeast"/>
              <w:jc w:val="both"/>
              <w:rPr>
                <w:color w:val="000000"/>
                <w:sz w:val="20"/>
              </w:rPr>
            </w:pPr>
            <w:r w:rsidRPr="00825C0C">
              <w:rPr>
                <w:color w:val="000000"/>
                <w:sz w:val="20"/>
              </w:rPr>
              <w:t>Subjekty zapojené do implementácie fondov EÚ</w:t>
            </w:r>
          </w:p>
          <w:p w14:paraId="5ADAE244" w14:textId="77777777" w:rsidR="00B10D3A" w:rsidRPr="00825C0C" w:rsidRDefault="00B10D3A" w:rsidP="000D0FAC">
            <w:pPr>
              <w:rPr>
                <w:color w:val="000000"/>
                <w:sz w:val="20"/>
              </w:rPr>
            </w:pPr>
            <w:r w:rsidRPr="00825C0C">
              <w:rPr>
                <w:color w:val="000000"/>
                <w:sz w:val="20"/>
              </w:rPr>
              <w:t>Žiadatelia a prijímatelia príspevku z fondov EÚ</w:t>
            </w:r>
          </w:p>
          <w:p w14:paraId="1A273EB2" w14:textId="77777777" w:rsidR="00B10D3A" w:rsidRPr="006E6D0C" w:rsidRDefault="00B10D3A" w:rsidP="000D0FAC">
            <w:pPr>
              <w:rPr>
                <w:i/>
                <w:sz w:val="20"/>
                <w:szCs w:val="20"/>
                <w:lang w:eastAsia="sk-SK"/>
              </w:rPr>
            </w:pPr>
            <w:r w:rsidRPr="00825C0C">
              <w:rPr>
                <w:color w:val="000000"/>
                <w:sz w:val="20"/>
              </w:rPr>
              <w:t>Nepriamo fyzické osoby, právnické osoby</w:t>
            </w:r>
          </w:p>
        </w:tc>
      </w:tr>
      <w:tr w:rsidR="00B10D3A" w:rsidRPr="00B043B4" w14:paraId="0F17E13C" w14:textId="77777777" w:rsidTr="000D0FAC">
        <w:tc>
          <w:tcPr>
            <w:tcW w:w="9180" w:type="dxa"/>
            <w:gridSpan w:val="11"/>
            <w:tcBorders>
              <w:top w:val="single" w:sz="4" w:space="0" w:color="auto"/>
              <w:left w:val="single" w:sz="4" w:space="0" w:color="auto"/>
              <w:bottom w:val="nil"/>
              <w:right w:val="single" w:sz="4" w:space="0" w:color="auto"/>
            </w:tcBorders>
            <w:shd w:val="clear" w:color="auto" w:fill="E2E2E2"/>
          </w:tcPr>
          <w:p w14:paraId="153E38DB" w14:textId="77777777" w:rsidR="00B10D3A" w:rsidRPr="00B043B4" w:rsidRDefault="00B10D3A" w:rsidP="00B10D3A">
            <w:pPr>
              <w:numPr>
                <w:ilvl w:val="0"/>
                <w:numId w:val="10"/>
              </w:numPr>
              <w:ind w:left="426"/>
              <w:contextualSpacing/>
              <w:rPr>
                <w:rFonts w:eastAsia="Calibri"/>
                <w:b/>
              </w:rPr>
            </w:pPr>
            <w:r w:rsidRPr="00B043B4">
              <w:rPr>
                <w:rFonts w:eastAsia="Calibri"/>
                <w:b/>
              </w:rPr>
              <w:t>Alternatívne riešenia</w:t>
            </w:r>
          </w:p>
        </w:tc>
      </w:tr>
      <w:tr w:rsidR="00B10D3A" w:rsidRPr="00B043B4" w14:paraId="03DEE7D2" w14:textId="77777777" w:rsidTr="000D0FAC">
        <w:trPr>
          <w:trHeight w:val="432"/>
        </w:trPr>
        <w:tc>
          <w:tcPr>
            <w:tcW w:w="9180" w:type="dxa"/>
            <w:gridSpan w:val="11"/>
            <w:tcBorders>
              <w:top w:val="nil"/>
              <w:left w:val="single" w:sz="4" w:space="0" w:color="auto"/>
              <w:bottom w:val="single" w:sz="4" w:space="0" w:color="auto"/>
              <w:right w:val="single" w:sz="4" w:space="0" w:color="auto"/>
            </w:tcBorders>
            <w:shd w:val="clear" w:color="auto" w:fill="FFFFFF"/>
          </w:tcPr>
          <w:p w14:paraId="22286CB4" w14:textId="77777777" w:rsidR="00B10D3A" w:rsidRPr="00472186" w:rsidRDefault="00B10D3A" w:rsidP="000D0FAC">
            <w:pPr>
              <w:jc w:val="both"/>
              <w:rPr>
                <w:sz w:val="20"/>
                <w:szCs w:val="20"/>
              </w:rPr>
            </w:pPr>
            <w:r w:rsidRPr="00472186">
              <w:rPr>
                <w:sz w:val="20"/>
                <w:szCs w:val="20"/>
              </w:rPr>
              <w:t xml:space="preserve">Alternatívne riešenia nie sú možné, ak sa má dosiahnuť cieľ a výsledný stav. </w:t>
            </w:r>
          </w:p>
        </w:tc>
      </w:tr>
      <w:tr w:rsidR="00B10D3A" w:rsidRPr="00B043B4" w14:paraId="7D8D7EB5" w14:textId="77777777" w:rsidTr="000D0F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702022" w14:textId="77777777" w:rsidR="00B10D3A" w:rsidRPr="00B043B4" w:rsidRDefault="00B10D3A" w:rsidP="00B10D3A">
            <w:pPr>
              <w:numPr>
                <w:ilvl w:val="0"/>
                <w:numId w:val="10"/>
              </w:numPr>
              <w:ind w:left="426"/>
              <w:contextualSpacing/>
              <w:rPr>
                <w:rFonts w:eastAsia="Calibri"/>
                <w:b/>
              </w:rPr>
            </w:pPr>
            <w:r w:rsidRPr="00B043B4">
              <w:rPr>
                <w:rFonts w:eastAsia="Calibri"/>
                <w:b/>
              </w:rPr>
              <w:t>Vykonávacie predpisy</w:t>
            </w:r>
          </w:p>
        </w:tc>
      </w:tr>
      <w:tr w:rsidR="00B10D3A" w:rsidRPr="00B043B4" w14:paraId="2E8C77B2" w14:textId="77777777" w:rsidTr="000D0FAC">
        <w:tc>
          <w:tcPr>
            <w:tcW w:w="6203" w:type="dxa"/>
            <w:gridSpan w:val="7"/>
            <w:tcBorders>
              <w:top w:val="single" w:sz="4" w:space="0" w:color="FFFFFF"/>
              <w:left w:val="single" w:sz="4" w:space="0" w:color="auto"/>
              <w:bottom w:val="nil"/>
              <w:right w:val="nil"/>
            </w:tcBorders>
            <w:shd w:val="clear" w:color="auto" w:fill="FFFFFF"/>
          </w:tcPr>
          <w:p w14:paraId="3842D519" w14:textId="77777777" w:rsidR="00B10D3A" w:rsidRPr="00B043B4" w:rsidRDefault="00B10D3A" w:rsidP="000D0FAC">
            <w:pPr>
              <w:rPr>
                <w:i/>
                <w:sz w:val="20"/>
                <w:szCs w:val="20"/>
                <w:lang w:eastAsia="sk-SK"/>
              </w:rPr>
            </w:pPr>
            <w:r w:rsidRPr="00B043B4">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6F5F6EC" w14:textId="77777777" w:rsidR="00B10D3A" w:rsidRPr="00B043B4" w:rsidRDefault="00750975" w:rsidP="000D0FAC">
            <w:pPr>
              <w:jc w:val="center"/>
              <w:rPr>
                <w:b/>
                <w:sz w:val="20"/>
                <w:szCs w:val="20"/>
                <w:lang w:eastAsia="sk-SK"/>
              </w:rPr>
            </w:pPr>
            <w:sdt>
              <w:sdtPr>
                <w:rPr>
                  <w:b/>
                  <w:sz w:val="20"/>
                  <w:szCs w:val="20"/>
                  <w:lang w:eastAsia="sk-SK"/>
                </w:rPr>
                <w:id w:val="1929613764"/>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sidRPr="00B043B4">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50EA994" w14:textId="77777777" w:rsidR="00B10D3A" w:rsidRPr="00B043B4" w:rsidRDefault="00750975" w:rsidP="000D0FAC">
            <w:pPr>
              <w:jc w:val="center"/>
              <w:rPr>
                <w:b/>
                <w:sz w:val="20"/>
                <w:szCs w:val="20"/>
                <w:lang w:eastAsia="sk-SK"/>
              </w:rPr>
            </w:pPr>
            <w:sdt>
              <w:sdtPr>
                <w:rPr>
                  <w:b/>
                  <w:sz w:val="20"/>
                  <w:szCs w:val="20"/>
                  <w:lang w:eastAsia="sk-SK"/>
                </w:rPr>
                <w:id w:val="-1594626508"/>
                <w14:checkbox>
                  <w14:checked w14:val="1"/>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sidRPr="00B043B4">
              <w:rPr>
                <w:b/>
                <w:sz w:val="20"/>
                <w:szCs w:val="20"/>
                <w:lang w:eastAsia="sk-SK"/>
              </w:rPr>
              <w:t xml:space="preserve">  Nie</w:t>
            </w:r>
          </w:p>
        </w:tc>
      </w:tr>
      <w:tr w:rsidR="00B10D3A" w:rsidRPr="00B043B4" w14:paraId="5D9E7964" w14:textId="77777777" w:rsidTr="000D0FAC">
        <w:tc>
          <w:tcPr>
            <w:tcW w:w="9180" w:type="dxa"/>
            <w:gridSpan w:val="11"/>
            <w:tcBorders>
              <w:top w:val="nil"/>
              <w:left w:val="single" w:sz="4" w:space="0" w:color="auto"/>
              <w:bottom w:val="single" w:sz="4" w:space="0" w:color="auto"/>
              <w:right w:val="single" w:sz="4" w:space="0" w:color="auto"/>
            </w:tcBorders>
            <w:shd w:val="clear" w:color="auto" w:fill="FFFFFF"/>
          </w:tcPr>
          <w:p w14:paraId="5DD8B4D7" w14:textId="77777777" w:rsidR="00B10D3A" w:rsidRPr="009C031B" w:rsidRDefault="00B10D3A" w:rsidP="000D0FAC">
            <w:pPr>
              <w:rPr>
                <w:sz w:val="20"/>
                <w:szCs w:val="20"/>
              </w:rPr>
            </w:pPr>
          </w:p>
        </w:tc>
      </w:tr>
      <w:tr w:rsidR="00B10D3A" w:rsidRPr="00B043B4" w14:paraId="5E87D8DA" w14:textId="77777777" w:rsidTr="000D0F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3A3D0A4" w14:textId="77777777" w:rsidR="00B10D3A" w:rsidRPr="00B043B4" w:rsidRDefault="00B10D3A" w:rsidP="00B10D3A">
            <w:pPr>
              <w:numPr>
                <w:ilvl w:val="0"/>
                <w:numId w:val="10"/>
              </w:numPr>
              <w:ind w:left="426"/>
              <w:contextualSpacing/>
              <w:rPr>
                <w:rFonts w:eastAsia="Calibri"/>
                <w:b/>
              </w:rPr>
            </w:pPr>
            <w:r w:rsidRPr="00B043B4">
              <w:rPr>
                <w:rFonts w:eastAsia="Calibri"/>
                <w:b/>
              </w:rPr>
              <w:t xml:space="preserve">Transpozícia práva EÚ </w:t>
            </w:r>
          </w:p>
        </w:tc>
      </w:tr>
      <w:tr w:rsidR="00B10D3A" w:rsidRPr="00B043B4" w14:paraId="684DAA3D" w14:textId="77777777" w:rsidTr="000D0FAC">
        <w:trPr>
          <w:trHeight w:val="157"/>
        </w:trPr>
        <w:tc>
          <w:tcPr>
            <w:tcW w:w="9180" w:type="dxa"/>
            <w:gridSpan w:val="11"/>
            <w:tcBorders>
              <w:top w:val="nil"/>
              <w:left w:val="single" w:sz="4" w:space="0" w:color="000000"/>
              <w:bottom w:val="nil"/>
              <w:right w:val="single" w:sz="4" w:space="0" w:color="auto"/>
            </w:tcBorders>
            <w:shd w:val="clear" w:color="auto" w:fill="FFFFFF"/>
          </w:tcPr>
          <w:p w14:paraId="1C9702A8" w14:textId="77777777" w:rsidR="00B10D3A" w:rsidRPr="00A04FFB" w:rsidRDefault="00B10D3A" w:rsidP="000D0FAC">
            <w:pPr>
              <w:jc w:val="both"/>
              <w:rPr>
                <w:i/>
                <w:sz w:val="20"/>
                <w:szCs w:val="20"/>
                <w:lang w:eastAsia="sk-SK"/>
              </w:rPr>
            </w:pPr>
            <w:r w:rsidRPr="00A04FFB">
              <w:rPr>
                <w:sz w:val="20"/>
                <w:szCs w:val="20"/>
              </w:rPr>
              <w:lastRenderedPageBreak/>
              <w:t>Primárnym cieľom návrhu zákona nie je transpozícia práva EÚ.</w:t>
            </w:r>
          </w:p>
        </w:tc>
      </w:tr>
      <w:tr w:rsidR="00B10D3A" w:rsidRPr="00B043B4" w14:paraId="4C95B3FC" w14:textId="77777777" w:rsidTr="000D0FA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688E3BE" w14:textId="77777777" w:rsidR="00B10D3A" w:rsidRPr="00B043B4" w:rsidRDefault="00B10D3A" w:rsidP="000D0FAC">
            <w:pPr>
              <w:jc w:val="center"/>
              <w:rPr>
                <w:sz w:val="20"/>
                <w:szCs w:val="20"/>
                <w:lang w:eastAsia="sk-SK"/>
              </w:rPr>
            </w:pPr>
          </w:p>
        </w:tc>
      </w:tr>
      <w:tr w:rsidR="00B10D3A" w:rsidRPr="00B043B4" w14:paraId="320A6C52" w14:textId="77777777" w:rsidTr="000D0F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6269AB9" w14:textId="77777777" w:rsidR="00B10D3A" w:rsidRPr="00B043B4" w:rsidRDefault="00B10D3A" w:rsidP="00B10D3A">
            <w:pPr>
              <w:numPr>
                <w:ilvl w:val="0"/>
                <w:numId w:val="10"/>
              </w:numPr>
              <w:ind w:left="426"/>
              <w:contextualSpacing/>
              <w:rPr>
                <w:rFonts w:eastAsia="Calibri"/>
                <w:b/>
              </w:rPr>
            </w:pPr>
            <w:r w:rsidRPr="00B043B4">
              <w:rPr>
                <w:rFonts w:eastAsia="Calibri"/>
                <w:b/>
              </w:rPr>
              <w:t>Preskúmanie účelnosti</w:t>
            </w:r>
          </w:p>
        </w:tc>
      </w:tr>
      <w:tr w:rsidR="00B10D3A" w:rsidRPr="00B043B4" w14:paraId="3D805F61" w14:textId="77777777" w:rsidTr="000D0FA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4EA59B5" w14:textId="77777777" w:rsidR="00B10D3A" w:rsidRPr="00A04FFB" w:rsidRDefault="00B10D3A" w:rsidP="000D0FAC">
            <w:pPr>
              <w:rPr>
                <w:i/>
                <w:sz w:val="20"/>
                <w:szCs w:val="20"/>
                <w:lang w:eastAsia="sk-SK"/>
              </w:rPr>
            </w:pPr>
            <w:r w:rsidRPr="00A04FFB">
              <w:rPr>
                <w:sz w:val="20"/>
                <w:szCs w:val="20"/>
              </w:rPr>
              <w:t>Preskúmanie účelnosti navrhovaného predpisu bude vykonávané priebežne po nadobudnutí jeho účinnosti.</w:t>
            </w:r>
          </w:p>
        </w:tc>
      </w:tr>
      <w:tr w:rsidR="00B10D3A" w:rsidRPr="00B043B4" w14:paraId="6AB20AD9" w14:textId="77777777" w:rsidTr="000D0FAC">
        <w:tc>
          <w:tcPr>
            <w:tcW w:w="9180" w:type="dxa"/>
            <w:gridSpan w:val="11"/>
            <w:tcBorders>
              <w:top w:val="nil"/>
              <w:left w:val="nil"/>
              <w:bottom w:val="single" w:sz="4" w:space="0" w:color="auto"/>
              <w:right w:val="nil"/>
            </w:tcBorders>
            <w:shd w:val="clear" w:color="auto" w:fill="FFFFFF"/>
          </w:tcPr>
          <w:p w14:paraId="00D7D1ED" w14:textId="77777777" w:rsidR="00B10D3A" w:rsidRPr="00B043B4" w:rsidRDefault="00B10D3A" w:rsidP="000D0FAC">
            <w:pPr>
              <w:rPr>
                <w:b/>
                <w:sz w:val="20"/>
                <w:szCs w:val="20"/>
                <w:lang w:eastAsia="sk-SK"/>
              </w:rPr>
            </w:pPr>
          </w:p>
          <w:p w14:paraId="729D21B9" w14:textId="77777777" w:rsidR="00B10D3A" w:rsidRPr="00B043B4" w:rsidRDefault="00B10D3A" w:rsidP="000D0FAC">
            <w:pPr>
              <w:rPr>
                <w:b/>
                <w:sz w:val="20"/>
                <w:szCs w:val="20"/>
                <w:lang w:eastAsia="sk-SK"/>
              </w:rPr>
            </w:pPr>
          </w:p>
          <w:p w14:paraId="1123B1FE" w14:textId="77777777" w:rsidR="00B10D3A" w:rsidRPr="00B043B4" w:rsidRDefault="00B10D3A" w:rsidP="000D0FAC">
            <w:pPr>
              <w:ind w:left="142" w:hanging="142"/>
              <w:rPr>
                <w:sz w:val="20"/>
                <w:szCs w:val="20"/>
                <w:lang w:eastAsia="sk-SK"/>
              </w:rPr>
            </w:pPr>
            <w:r w:rsidRPr="00B043B4">
              <w:rPr>
                <w:sz w:val="20"/>
                <w:szCs w:val="20"/>
                <w:lang w:eastAsia="sk-SK"/>
              </w:rPr>
              <w:t xml:space="preserve">* vyplniť iba v prípade, ak materiál nie je zahrnutý do Plánu práce vlády Slovenskej republiky alebo Plánu        legislatívnych úloh vlády Slovenskej republiky. </w:t>
            </w:r>
          </w:p>
          <w:p w14:paraId="21701EFD" w14:textId="77777777" w:rsidR="00B10D3A" w:rsidRDefault="00B10D3A" w:rsidP="000D0FAC">
            <w:pPr>
              <w:rPr>
                <w:sz w:val="20"/>
                <w:szCs w:val="20"/>
                <w:lang w:eastAsia="sk-SK"/>
              </w:rPr>
            </w:pPr>
            <w:r w:rsidRPr="00B043B4">
              <w:rPr>
                <w:sz w:val="20"/>
                <w:szCs w:val="20"/>
                <w:lang w:eastAsia="sk-SK"/>
              </w:rPr>
              <w:t>** vyplniť iba v prípade, ak sa záverečné posúdenie</w:t>
            </w:r>
            <w:r>
              <w:rPr>
                <w:sz w:val="20"/>
                <w:szCs w:val="20"/>
                <w:lang w:eastAsia="sk-SK"/>
              </w:rPr>
              <w:t xml:space="preserve"> vybraných vplyvov</w:t>
            </w:r>
            <w:r w:rsidRPr="00B043B4">
              <w:rPr>
                <w:sz w:val="20"/>
                <w:szCs w:val="20"/>
                <w:lang w:eastAsia="sk-SK"/>
              </w:rPr>
              <w:t xml:space="preserve"> uskutočnilo v zmysle bodu 9.1. </w:t>
            </w:r>
            <w:r>
              <w:rPr>
                <w:sz w:val="20"/>
                <w:szCs w:val="20"/>
                <w:lang w:eastAsia="sk-SK"/>
              </w:rPr>
              <w:t>j</w:t>
            </w:r>
            <w:r w:rsidRPr="00B043B4">
              <w:rPr>
                <w:sz w:val="20"/>
                <w:szCs w:val="20"/>
                <w:lang w:eastAsia="sk-SK"/>
              </w:rPr>
              <w:t>ednotnej metodiky</w:t>
            </w:r>
            <w:r>
              <w:rPr>
                <w:sz w:val="20"/>
                <w:szCs w:val="20"/>
                <w:lang w:eastAsia="sk-SK"/>
              </w:rPr>
              <w:t>.</w:t>
            </w:r>
          </w:p>
          <w:p w14:paraId="65618ED9" w14:textId="77777777" w:rsidR="00B10D3A" w:rsidRPr="00B043B4" w:rsidRDefault="00B10D3A" w:rsidP="000D0FAC">
            <w:pPr>
              <w:rPr>
                <w:b/>
                <w:sz w:val="20"/>
                <w:szCs w:val="20"/>
                <w:lang w:eastAsia="sk-SK"/>
              </w:rPr>
            </w:pPr>
          </w:p>
        </w:tc>
      </w:tr>
      <w:tr w:rsidR="00B10D3A" w:rsidRPr="00B043B4" w14:paraId="66EF138E" w14:textId="77777777" w:rsidTr="000D0FA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B5715E0" w14:textId="77777777" w:rsidR="00B10D3A" w:rsidRPr="00B043B4" w:rsidRDefault="00B10D3A" w:rsidP="00B10D3A">
            <w:pPr>
              <w:numPr>
                <w:ilvl w:val="0"/>
                <w:numId w:val="10"/>
              </w:numPr>
              <w:ind w:left="426"/>
              <w:contextualSpacing/>
              <w:rPr>
                <w:rFonts w:eastAsia="Calibri"/>
                <w:b/>
              </w:rPr>
            </w:pPr>
            <w:r w:rsidRPr="00B043B4">
              <w:rPr>
                <w:rFonts w:eastAsia="Calibri"/>
                <w:b/>
              </w:rPr>
              <w:t>Vybrané vplyvy  materiálu</w:t>
            </w:r>
          </w:p>
        </w:tc>
      </w:tr>
      <w:tr w:rsidR="00B10D3A" w:rsidRPr="00B043B4" w14:paraId="1F36128B" w14:textId="77777777" w:rsidTr="000D0FAC">
        <w:tc>
          <w:tcPr>
            <w:tcW w:w="3812" w:type="dxa"/>
            <w:tcBorders>
              <w:top w:val="single" w:sz="4" w:space="0" w:color="auto"/>
              <w:left w:val="single" w:sz="4" w:space="0" w:color="auto"/>
              <w:bottom w:val="nil"/>
              <w:right w:val="single" w:sz="4" w:space="0" w:color="auto"/>
            </w:tcBorders>
            <w:shd w:val="clear" w:color="auto" w:fill="E2E2E2"/>
          </w:tcPr>
          <w:p w14:paraId="7CCE1EFA" w14:textId="77777777" w:rsidR="00B10D3A" w:rsidRPr="00B043B4" w:rsidRDefault="00B10D3A" w:rsidP="000D0FAC">
            <w:pPr>
              <w:rPr>
                <w:b/>
                <w:sz w:val="20"/>
                <w:szCs w:val="20"/>
                <w:lang w:eastAsia="sk-SK"/>
              </w:rPr>
            </w:pPr>
            <w:r w:rsidRPr="00B043B4">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A874859"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2EF24A0" w14:textId="77777777" w:rsidR="00B10D3A" w:rsidRPr="00B043B4" w:rsidRDefault="00B10D3A" w:rsidP="000D0FAC">
            <w:pPr>
              <w:rPr>
                <w:b/>
                <w:sz w:val="20"/>
                <w:szCs w:val="20"/>
                <w:lang w:eastAsia="sk-SK"/>
              </w:rPr>
            </w:pPr>
            <w:r w:rsidRPr="00B043B4">
              <w:rPr>
                <w:b/>
                <w:sz w:val="20"/>
                <w:szCs w:val="20"/>
                <w:lang w:eastAsia="sk-SK"/>
              </w:rPr>
              <w:t>Pozitívne</w:t>
            </w:r>
          </w:p>
        </w:tc>
        <w:sdt>
          <w:sdtPr>
            <w:rPr>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B5CBAA2"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F70AEA6"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0E8DFF6" w14:textId="77777777" w:rsidR="00B10D3A" w:rsidRPr="00B043B4" w:rsidRDefault="00B10D3A" w:rsidP="000D0FAC">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0E4A90C" w14:textId="77777777" w:rsidR="00B10D3A" w:rsidRPr="00B043B4" w:rsidRDefault="00B10D3A" w:rsidP="000D0FAC">
            <w:pPr>
              <w:ind w:left="34"/>
              <w:rPr>
                <w:b/>
                <w:sz w:val="20"/>
                <w:szCs w:val="20"/>
                <w:lang w:eastAsia="sk-SK"/>
              </w:rPr>
            </w:pPr>
            <w:r w:rsidRPr="00B043B4">
              <w:rPr>
                <w:b/>
                <w:sz w:val="20"/>
                <w:szCs w:val="20"/>
                <w:lang w:eastAsia="sk-SK"/>
              </w:rPr>
              <w:t>Negatívne</w:t>
            </w:r>
          </w:p>
        </w:tc>
      </w:tr>
      <w:tr w:rsidR="00B10D3A" w:rsidRPr="00B043B4" w14:paraId="5E6F0B47" w14:textId="77777777" w:rsidTr="000D0FAC">
        <w:tc>
          <w:tcPr>
            <w:tcW w:w="3812" w:type="dxa"/>
            <w:tcBorders>
              <w:top w:val="nil"/>
              <w:left w:val="single" w:sz="4" w:space="0" w:color="auto"/>
              <w:bottom w:val="single" w:sz="4" w:space="0" w:color="000000"/>
              <w:right w:val="single" w:sz="4" w:space="0" w:color="auto"/>
            </w:tcBorders>
            <w:shd w:val="clear" w:color="auto" w:fill="E2E2E2"/>
          </w:tcPr>
          <w:p w14:paraId="78722886" w14:textId="77777777" w:rsidR="00B10D3A" w:rsidRDefault="00B10D3A" w:rsidP="000D0FAC">
            <w:pPr>
              <w:rPr>
                <w:sz w:val="20"/>
                <w:szCs w:val="20"/>
                <w:lang w:eastAsia="sk-SK"/>
              </w:rPr>
            </w:pPr>
            <w:r>
              <w:rPr>
                <w:sz w:val="20"/>
                <w:szCs w:val="20"/>
                <w:lang w:eastAsia="sk-SK"/>
              </w:rPr>
              <w:t xml:space="preserve">    </w:t>
            </w:r>
            <w:r w:rsidRPr="00A340BB">
              <w:rPr>
                <w:sz w:val="20"/>
                <w:szCs w:val="20"/>
                <w:lang w:eastAsia="sk-SK"/>
              </w:rPr>
              <w:t xml:space="preserve">z toho rozpočtovo zabezpečené vplyvy,     </w:t>
            </w:r>
            <w:r>
              <w:rPr>
                <w:sz w:val="20"/>
                <w:szCs w:val="20"/>
                <w:lang w:eastAsia="sk-SK"/>
              </w:rPr>
              <w:t xml:space="preserve">    </w:t>
            </w:r>
          </w:p>
          <w:p w14:paraId="4E898834" w14:textId="77777777" w:rsidR="00B10D3A" w:rsidRDefault="00B10D3A" w:rsidP="000D0FAC">
            <w:pPr>
              <w:rPr>
                <w:sz w:val="20"/>
                <w:szCs w:val="20"/>
                <w:lang w:eastAsia="sk-SK"/>
              </w:rPr>
            </w:pPr>
            <w:r>
              <w:rPr>
                <w:sz w:val="20"/>
                <w:szCs w:val="20"/>
                <w:lang w:eastAsia="sk-SK"/>
              </w:rPr>
              <w:t xml:space="preserve">    </w:t>
            </w:r>
            <w:r w:rsidRPr="00A340BB">
              <w:rPr>
                <w:sz w:val="20"/>
                <w:szCs w:val="20"/>
                <w:lang w:eastAsia="sk-SK"/>
              </w:rPr>
              <w:t xml:space="preserve">v prípade identifikovaného negatívneho </w:t>
            </w:r>
          </w:p>
          <w:p w14:paraId="0D3AFF8C" w14:textId="77777777" w:rsidR="00B10D3A" w:rsidRPr="00A340BB" w:rsidRDefault="00B10D3A" w:rsidP="000D0FAC">
            <w:pPr>
              <w:rPr>
                <w:sz w:val="20"/>
                <w:szCs w:val="20"/>
                <w:lang w:eastAsia="sk-SK"/>
              </w:rPr>
            </w:pPr>
            <w:r>
              <w:rPr>
                <w:sz w:val="20"/>
                <w:szCs w:val="20"/>
                <w:lang w:eastAsia="sk-SK"/>
              </w:rPr>
              <w:t xml:space="preserve">    </w:t>
            </w:r>
            <w:r w:rsidRPr="00A340BB">
              <w:rPr>
                <w:sz w:val="20"/>
                <w:szCs w:val="20"/>
                <w:lang w:eastAsia="sk-SK"/>
              </w:rPr>
              <w:t>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B6A4A5E"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7B3CDF1" w14:textId="77777777" w:rsidR="00B10D3A" w:rsidRPr="00B043B4" w:rsidRDefault="00B10D3A" w:rsidP="000D0FAC">
            <w:pPr>
              <w:rPr>
                <w:sz w:val="20"/>
                <w:szCs w:val="20"/>
                <w:lang w:eastAsia="sk-SK"/>
              </w:rPr>
            </w:pPr>
            <w:r w:rsidRPr="00B043B4">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7F06F91"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DF4DF6D" w14:textId="77777777" w:rsidR="00B10D3A" w:rsidRPr="00B043B4" w:rsidRDefault="00B10D3A" w:rsidP="000D0FAC">
            <w:pPr>
              <w:rPr>
                <w:sz w:val="20"/>
                <w:szCs w:val="20"/>
                <w:lang w:eastAsia="sk-SK"/>
              </w:rPr>
            </w:pPr>
            <w:r w:rsidRPr="00B043B4">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62C1297" w14:textId="77777777" w:rsidR="00B10D3A" w:rsidRPr="00B043B4" w:rsidRDefault="00B10D3A" w:rsidP="000D0FAC">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D21B52" w14:textId="77777777" w:rsidR="00B10D3A" w:rsidRPr="00B043B4" w:rsidRDefault="00B10D3A" w:rsidP="000D0FAC">
            <w:pPr>
              <w:ind w:left="34"/>
              <w:rPr>
                <w:sz w:val="20"/>
                <w:szCs w:val="20"/>
                <w:lang w:eastAsia="sk-SK"/>
              </w:rPr>
            </w:pPr>
            <w:r w:rsidRPr="00B043B4">
              <w:rPr>
                <w:sz w:val="20"/>
                <w:szCs w:val="20"/>
                <w:lang w:eastAsia="sk-SK"/>
              </w:rPr>
              <w:t>Čiastočne</w:t>
            </w:r>
          </w:p>
        </w:tc>
      </w:tr>
      <w:tr w:rsidR="00B10D3A" w:rsidRPr="00B043B4" w14:paraId="16E5872B" w14:textId="77777777" w:rsidTr="000D0FAC">
        <w:tc>
          <w:tcPr>
            <w:tcW w:w="3812" w:type="dxa"/>
            <w:tcBorders>
              <w:top w:val="single" w:sz="4" w:space="0" w:color="000000"/>
              <w:left w:val="single" w:sz="4" w:space="0" w:color="auto"/>
              <w:bottom w:val="nil"/>
              <w:right w:val="single" w:sz="4" w:space="0" w:color="auto"/>
            </w:tcBorders>
            <w:shd w:val="clear" w:color="auto" w:fill="E2E2E2"/>
          </w:tcPr>
          <w:p w14:paraId="6510919C" w14:textId="77777777" w:rsidR="00B10D3A" w:rsidRPr="00B043B4" w:rsidRDefault="00B10D3A" w:rsidP="000D0FAC">
            <w:pPr>
              <w:rPr>
                <w:b/>
                <w:sz w:val="20"/>
                <w:szCs w:val="20"/>
                <w:lang w:eastAsia="sk-SK"/>
              </w:rPr>
            </w:pPr>
            <w:r w:rsidRPr="00B043B4">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7AF0050"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FABD375"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DDBF38B"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A1ACC47"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11B7CCA"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68EFF50" w14:textId="77777777" w:rsidR="00B10D3A" w:rsidRPr="00B043B4" w:rsidRDefault="00B10D3A" w:rsidP="000D0FAC">
            <w:pPr>
              <w:ind w:left="54"/>
              <w:rPr>
                <w:b/>
                <w:sz w:val="20"/>
                <w:szCs w:val="20"/>
                <w:lang w:eastAsia="sk-SK"/>
              </w:rPr>
            </w:pPr>
            <w:r w:rsidRPr="00B043B4">
              <w:rPr>
                <w:b/>
                <w:sz w:val="20"/>
                <w:szCs w:val="20"/>
                <w:lang w:eastAsia="sk-SK"/>
              </w:rPr>
              <w:t>Negatívne</w:t>
            </w:r>
          </w:p>
        </w:tc>
      </w:tr>
      <w:tr w:rsidR="00B10D3A" w:rsidRPr="00B043B4" w14:paraId="42B39E47" w14:textId="77777777" w:rsidTr="000D0FAC">
        <w:tc>
          <w:tcPr>
            <w:tcW w:w="3812" w:type="dxa"/>
            <w:tcBorders>
              <w:top w:val="nil"/>
              <w:left w:val="single" w:sz="4" w:space="0" w:color="000000"/>
              <w:bottom w:val="nil"/>
              <w:right w:val="single" w:sz="4" w:space="0" w:color="000000"/>
            </w:tcBorders>
            <w:shd w:val="clear" w:color="auto" w:fill="E2E2E2"/>
          </w:tcPr>
          <w:p w14:paraId="7E7F2DB2" w14:textId="77777777" w:rsidR="00B10D3A" w:rsidRPr="00B043B4" w:rsidRDefault="00B10D3A" w:rsidP="000D0FAC">
            <w:pPr>
              <w:rPr>
                <w:sz w:val="20"/>
                <w:szCs w:val="20"/>
                <w:lang w:eastAsia="sk-SK"/>
              </w:rPr>
            </w:pPr>
            <w:r w:rsidRPr="00B043B4">
              <w:rPr>
                <w:sz w:val="20"/>
                <w:szCs w:val="20"/>
                <w:lang w:eastAsia="sk-SK"/>
              </w:rPr>
              <w:t xml:space="preserve"> </w:t>
            </w:r>
            <w:r>
              <w:rPr>
                <w:sz w:val="20"/>
                <w:szCs w:val="20"/>
                <w:lang w:eastAsia="sk-SK"/>
              </w:rPr>
              <w:t xml:space="preserve">   </w:t>
            </w:r>
            <w:r w:rsidRPr="00B043B4">
              <w:rPr>
                <w:sz w:val="20"/>
                <w:szCs w:val="20"/>
                <w:lang w:eastAsia="sk-SK"/>
              </w:rPr>
              <w:t>z toho vplyvy na MSP</w:t>
            </w:r>
          </w:p>
          <w:p w14:paraId="700904E4" w14:textId="77777777" w:rsidR="00B10D3A" w:rsidRPr="00B043B4" w:rsidRDefault="00B10D3A" w:rsidP="000D0FAC">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50D8927"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3536D6B" w14:textId="77777777" w:rsidR="00B10D3A" w:rsidRPr="00B043B4" w:rsidRDefault="00B10D3A" w:rsidP="000D0FAC">
            <w:pPr>
              <w:ind w:right="-108"/>
              <w:rPr>
                <w:sz w:val="20"/>
                <w:szCs w:val="20"/>
                <w:lang w:eastAsia="sk-SK"/>
              </w:rPr>
            </w:pPr>
            <w:r w:rsidRPr="00B043B4">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29969F5"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2828570" w14:textId="77777777" w:rsidR="00B10D3A" w:rsidRPr="00B043B4" w:rsidRDefault="00B10D3A" w:rsidP="000D0FAC">
            <w:pPr>
              <w:rPr>
                <w:sz w:val="20"/>
                <w:szCs w:val="20"/>
                <w:lang w:eastAsia="sk-SK"/>
              </w:rPr>
            </w:pPr>
            <w:r w:rsidRPr="00B043B4">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44604AF" w14:textId="77777777" w:rsidR="00B10D3A" w:rsidRPr="00B043B4" w:rsidRDefault="00B10D3A" w:rsidP="000D0FAC">
                <w:pPr>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D2EAD1A" w14:textId="77777777" w:rsidR="00B10D3A" w:rsidRPr="00B043B4" w:rsidRDefault="00B10D3A" w:rsidP="000D0FAC">
            <w:pPr>
              <w:ind w:left="54"/>
              <w:rPr>
                <w:sz w:val="20"/>
                <w:szCs w:val="20"/>
                <w:lang w:eastAsia="sk-SK"/>
              </w:rPr>
            </w:pPr>
            <w:r w:rsidRPr="00B043B4">
              <w:rPr>
                <w:sz w:val="20"/>
                <w:szCs w:val="20"/>
                <w:lang w:eastAsia="sk-SK"/>
              </w:rPr>
              <w:t>Negatívne</w:t>
            </w:r>
          </w:p>
        </w:tc>
      </w:tr>
      <w:tr w:rsidR="00B10D3A" w:rsidRPr="00B043B4" w14:paraId="182EFEB7" w14:textId="77777777" w:rsidTr="000D0FAC">
        <w:tc>
          <w:tcPr>
            <w:tcW w:w="3812" w:type="dxa"/>
            <w:tcBorders>
              <w:top w:val="nil"/>
              <w:left w:val="single" w:sz="4" w:space="0" w:color="auto"/>
              <w:bottom w:val="single" w:sz="4" w:space="0" w:color="auto"/>
              <w:right w:val="single" w:sz="4" w:space="0" w:color="auto"/>
            </w:tcBorders>
            <w:shd w:val="clear" w:color="auto" w:fill="E2E2E2"/>
          </w:tcPr>
          <w:p w14:paraId="7FCBEFD7" w14:textId="77777777" w:rsidR="00B10D3A" w:rsidRDefault="00B10D3A" w:rsidP="000D0FAC">
            <w:pPr>
              <w:rPr>
                <w:sz w:val="20"/>
                <w:szCs w:val="20"/>
                <w:lang w:eastAsia="sk-SK"/>
              </w:rPr>
            </w:pPr>
            <w:r>
              <w:rPr>
                <w:sz w:val="20"/>
                <w:szCs w:val="20"/>
                <w:lang w:eastAsia="sk-SK"/>
              </w:rPr>
              <w:t xml:space="preserve">    </w:t>
            </w:r>
            <w:r w:rsidRPr="00B043B4">
              <w:rPr>
                <w:sz w:val="20"/>
                <w:szCs w:val="20"/>
                <w:lang w:eastAsia="sk-SK"/>
              </w:rPr>
              <w:t xml:space="preserve">Mechanizmus znižovania byrokracie </w:t>
            </w:r>
            <w:r>
              <w:rPr>
                <w:sz w:val="20"/>
                <w:szCs w:val="20"/>
                <w:lang w:eastAsia="sk-SK"/>
              </w:rPr>
              <w:t xml:space="preserve">   </w:t>
            </w:r>
          </w:p>
          <w:p w14:paraId="4DBD1A71" w14:textId="77777777" w:rsidR="00B10D3A" w:rsidRPr="00B043B4" w:rsidRDefault="00B10D3A" w:rsidP="000D0FAC">
            <w:pPr>
              <w:rPr>
                <w:b/>
                <w:sz w:val="20"/>
                <w:szCs w:val="20"/>
                <w:lang w:eastAsia="sk-SK"/>
              </w:rPr>
            </w:pPr>
            <w:r>
              <w:rPr>
                <w:sz w:val="20"/>
                <w:szCs w:val="20"/>
                <w:lang w:eastAsia="sk-SK"/>
              </w:rPr>
              <w:t xml:space="preserve">    </w:t>
            </w:r>
            <w:r w:rsidRPr="00B043B4">
              <w:rPr>
                <w:sz w:val="20"/>
                <w:szCs w:val="20"/>
                <w:lang w:eastAsia="sk-SK"/>
              </w:rPr>
              <w:t>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AAC4D52"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F1F2EAF" w14:textId="77777777" w:rsidR="00B10D3A" w:rsidRPr="00B043B4" w:rsidRDefault="00B10D3A" w:rsidP="000D0FAC">
            <w:pPr>
              <w:ind w:right="-108"/>
              <w:rPr>
                <w:b/>
                <w:sz w:val="20"/>
                <w:szCs w:val="20"/>
                <w:lang w:eastAsia="sk-SK"/>
              </w:rPr>
            </w:pPr>
            <w:r w:rsidRPr="00B043B4">
              <w:rPr>
                <w:sz w:val="20"/>
                <w:szCs w:val="20"/>
                <w:lang w:eastAsia="sk-SK"/>
              </w:rPr>
              <w:t>Áno</w:t>
            </w:r>
          </w:p>
        </w:tc>
        <w:tc>
          <w:tcPr>
            <w:tcW w:w="254" w:type="dxa"/>
            <w:tcBorders>
              <w:top w:val="dotted" w:sz="4" w:space="0" w:color="auto"/>
              <w:left w:val="nil"/>
              <w:bottom w:val="single" w:sz="4" w:space="0" w:color="auto"/>
              <w:right w:val="nil"/>
            </w:tcBorders>
            <w:vAlign w:val="center"/>
          </w:tcPr>
          <w:p w14:paraId="1A4EDEFF" w14:textId="77777777" w:rsidR="00B10D3A" w:rsidRPr="00B043B4" w:rsidRDefault="00B10D3A" w:rsidP="000D0FAC">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5ECD9402" w14:textId="77777777" w:rsidR="00B10D3A" w:rsidRPr="00B043B4" w:rsidRDefault="00B10D3A" w:rsidP="000D0FAC">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FB3F37C"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5909EF6" w14:textId="77777777" w:rsidR="00B10D3A" w:rsidRPr="00B043B4" w:rsidRDefault="00B10D3A" w:rsidP="000D0FAC">
            <w:pPr>
              <w:ind w:left="54"/>
              <w:rPr>
                <w:b/>
                <w:sz w:val="20"/>
                <w:szCs w:val="20"/>
                <w:lang w:eastAsia="sk-SK"/>
              </w:rPr>
            </w:pPr>
            <w:r w:rsidRPr="00B043B4">
              <w:rPr>
                <w:sz w:val="20"/>
                <w:szCs w:val="20"/>
                <w:lang w:eastAsia="sk-SK"/>
              </w:rPr>
              <w:t>Nie</w:t>
            </w:r>
          </w:p>
        </w:tc>
      </w:tr>
      <w:tr w:rsidR="00B10D3A" w:rsidRPr="00B043B4" w14:paraId="3E7EFB56" w14:textId="77777777" w:rsidTr="000D0FA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DEE608F" w14:textId="77777777" w:rsidR="00B10D3A" w:rsidRPr="00B043B4" w:rsidRDefault="00B10D3A" w:rsidP="000D0FAC">
            <w:pPr>
              <w:rPr>
                <w:b/>
                <w:sz w:val="20"/>
                <w:szCs w:val="20"/>
                <w:lang w:eastAsia="sk-SK"/>
              </w:rPr>
            </w:pPr>
            <w:r w:rsidRPr="00B043B4">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CFB42FD"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E45B31B"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F512CA"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EDE8C27"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AB37390"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165190E" w14:textId="77777777" w:rsidR="00B10D3A" w:rsidRPr="00B043B4" w:rsidRDefault="00B10D3A" w:rsidP="000D0FAC">
            <w:pPr>
              <w:ind w:left="54"/>
              <w:rPr>
                <w:b/>
                <w:sz w:val="20"/>
                <w:szCs w:val="20"/>
                <w:lang w:eastAsia="sk-SK"/>
              </w:rPr>
            </w:pPr>
            <w:r w:rsidRPr="00B043B4">
              <w:rPr>
                <w:b/>
                <w:sz w:val="20"/>
                <w:szCs w:val="20"/>
                <w:lang w:eastAsia="sk-SK"/>
              </w:rPr>
              <w:t>Negatívne</w:t>
            </w:r>
          </w:p>
        </w:tc>
      </w:tr>
      <w:tr w:rsidR="00B10D3A" w:rsidRPr="00B043B4" w14:paraId="620CEA70" w14:textId="77777777" w:rsidTr="000D0FAC">
        <w:tc>
          <w:tcPr>
            <w:tcW w:w="3812" w:type="dxa"/>
            <w:tcBorders>
              <w:top w:val="single" w:sz="4" w:space="0" w:color="auto"/>
              <w:left w:val="single" w:sz="4" w:space="0" w:color="auto"/>
              <w:bottom w:val="single" w:sz="4" w:space="0" w:color="auto"/>
              <w:right w:val="single" w:sz="4" w:space="0" w:color="auto"/>
            </w:tcBorders>
            <w:shd w:val="clear" w:color="auto" w:fill="E2E2E2"/>
          </w:tcPr>
          <w:p w14:paraId="287CF67F" w14:textId="77777777" w:rsidR="00B10D3A" w:rsidRPr="00B043B4" w:rsidRDefault="00B10D3A" w:rsidP="000D0FAC">
            <w:pPr>
              <w:rPr>
                <w:b/>
                <w:sz w:val="20"/>
                <w:szCs w:val="20"/>
                <w:lang w:eastAsia="sk-SK"/>
              </w:rPr>
            </w:pPr>
            <w:r w:rsidRPr="00B043B4">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D094153"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71BE92A"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4CCCC33"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FC26F23"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12E4471"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7047BC4" w14:textId="77777777" w:rsidR="00B10D3A" w:rsidRPr="00B043B4" w:rsidRDefault="00B10D3A" w:rsidP="000D0FAC">
            <w:pPr>
              <w:ind w:left="54"/>
              <w:rPr>
                <w:b/>
                <w:sz w:val="20"/>
                <w:szCs w:val="20"/>
                <w:lang w:eastAsia="sk-SK"/>
              </w:rPr>
            </w:pPr>
            <w:r w:rsidRPr="00B043B4">
              <w:rPr>
                <w:b/>
                <w:sz w:val="20"/>
                <w:szCs w:val="20"/>
                <w:lang w:eastAsia="sk-SK"/>
              </w:rPr>
              <w:t>Negatívne</w:t>
            </w:r>
          </w:p>
        </w:tc>
      </w:tr>
      <w:tr w:rsidR="00B10D3A" w:rsidRPr="00B043B4" w14:paraId="0861B4E0" w14:textId="77777777" w:rsidTr="000D0FAC">
        <w:tc>
          <w:tcPr>
            <w:tcW w:w="3812" w:type="dxa"/>
            <w:tcBorders>
              <w:top w:val="single" w:sz="4" w:space="0" w:color="auto"/>
              <w:left w:val="single" w:sz="4" w:space="0" w:color="auto"/>
              <w:bottom w:val="single" w:sz="4" w:space="0" w:color="auto"/>
              <w:right w:val="single" w:sz="4" w:space="0" w:color="auto"/>
            </w:tcBorders>
            <w:shd w:val="clear" w:color="auto" w:fill="E2E2E2"/>
          </w:tcPr>
          <w:p w14:paraId="248ABB88" w14:textId="77777777" w:rsidR="00B10D3A" w:rsidRPr="00B043B4" w:rsidRDefault="00B10D3A" w:rsidP="000D0FAC">
            <w:pPr>
              <w:rPr>
                <w:b/>
                <w:sz w:val="20"/>
                <w:szCs w:val="20"/>
                <w:lang w:eastAsia="sk-SK"/>
              </w:rPr>
            </w:pPr>
            <w:r w:rsidRPr="00B043B4">
              <w:rPr>
                <w:b/>
                <w:sz w:val="20"/>
                <w:szCs w:val="20"/>
                <w:lang w:eastAsia="sk-SK"/>
              </w:rPr>
              <w:t>Vplyvy na informatizáciu</w:t>
            </w:r>
            <w:r>
              <w:rPr>
                <w:b/>
                <w:sz w:val="20"/>
                <w:szCs w:val="20"/>
                <w:lang w:eastAsia="sk-SK"/>
              </w:rPr>
              <w:t xml:space="preserve">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9491902"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451624F"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135187D"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CF93832"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FEDA643"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B1038DA" w14:textId="77777777" w:rsidR="00B10D3A" w:rsidRPr="00B043B4" w:rsidRDefault="00B10D3A" w:rsidP="000D0FAC">
            <w:pPr>
              <w:ind w:left="54"/>
              <w:rPr>
                <w:b/>
                <w:sz w:val="20"/>
                <w:szCs w:val="20"/>
                <w:lang w:eastAsia="sk-SK"/>
              </w:rPr>
            </w:pPr>
            <w:r w:rsidRPr="00B043B4">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10D3A" w:rsidRPr="00B043B4" w14:paraId="0F45EF1B" w14:textId="77777777" w:rsidTr="000D0FAC">
        <w:tc>
          <w:tcPr>
            <w:tcW w:w="3812" w:type="dxa"/>
            <w:tcBorders>
              <w:top w:val="single" w:sz="4" w:space="0" w:color="auto"/>
              <w:left w:val="single" w:sz="4" w:space="0" w:color="auto"/>
              <w:bottom w:val="nil"/>
              <w:right w:val="single" w:sz="4" w:space="0" w:color="auto"/>
            </w:tcBorders>
            <w:shd w:val="clear" w:color="auto" w:fill="E2E2E2"/>
          </w:tcPr>
          <w:p w14:paraId="2764B943" w14:textId="77777777" w:rsidR="00B10D3A" w:rsidRPr="00B043B4" w:rsidRDefault="00B10D3A" w:rsidP="000D0FAC">
            <w:pPr>
              <w:rPr>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5E24088B" w14:textId="77777777" w:rsidR="00B10D3A" w:rsidRPr="00B043B4" w:rsidRDefault="00B10D3A" w:rsidP="000D0FAC">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2768A818" w14:textId="77777777" w:rsidR="00B10D3A" w:rsidRPr="00B043B4" w:rsidRDefault="00B10D3A" w:rsidP="000D0FAC">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75057443" w14:textId="77777777" w:rsidR="00B10D3A" w:rsidRPr="00B043B4" w:rsidRDefault="00B10D3A" w:rsidP="000D0FAC">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6D4A1C7B" w14:textId="77777777" w:rsidR="00B10D3A" w:rsidRPr="00B043B4" w:rsidRDefault="00B10D3A" w:rsidP="000D0FAC">
            <w:pPr>
              <w:rPr>
                <w:b/>
                <w:sz w:val="20"/>
                <w:szCs w:val="20"/>
                <w:lang w:eastAsia="sk-SK"/>
              </w:rPr>
            </w:pPr>
          </w:p>
        </w:tc>
        <w:tc>
          <w:tcPr>
            <w:tcW w:w="547" w:type="dxa"/>
            <w:tcBorders>
              <w:top w:val="single" w:sz="4" w:space="0" w:color="auto"/>
              <w:left w:val="nil"/>
              <w:bottom w:val="nil"/>
              <w:right w:val="nil"/>
            </w:tcBorders>
            <w:shd w:val="clear" w:color="auto" w:fill="auto"/>
          </w:tcPr>
          <w:p w14:paraId="4F339B7C" w14:textId="77777777" w:rsidR="00B10D3A" w:rsidRPr="00B043B4" w:rsidRDefault="00B10D3A" w:rsidP="000D0FAC">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09E0C72E" w14:textId="77777777" w:rsidR="00B10D3A" w:rsidRPr="00B043B4" w:rsidRDefault="00B10D3A" w:rsidP="000D0FAC">
            <w:pPr>
              <w:ind w:left="54"/>
              <w:rPr>
                <w:b/>
                <w:sz w:val="20"/>
                <w:szCs w:val="20"/>
                <w:lang w:eastAsia="sk-SK"/>
              </w:rPr>
            </w:pPr>
          </w:p>
        </w:tc>
      </w:tr>
      <w:tr w:rsidR="00B10D3A" w:rsidRPr="00B043B4" w14:paraId="6E11DF77" w14:textId="77777777" w:rsidTr="000D0FAC">
        <w:tc>
          <w:tcPr>
            <w:tcW w:w="3812" w:type="dxa"/>
            <w:tcBorders>
              <w:top w:val="nil"/>
              <w:left w:val="single" w:sz="4" w:space="0" w:color="auto"/>
              <w:bottom w:val="nil"/>
              <w:right w:val="single" w:sz="4" w:space="0" w:color="auto"/>
            </w:tcBorders>
            <w:shd w:val="clear" w:color="auto" w:fill="E2E2E2"/>
          </w:tcPr>
          <w:p w14:paraId="08F2858D" w14:textId="77777777" w:rsidR="00B10D3A" w:rsidRPr="00B043B4" w:rsidRDefault="00B10D3A" w:rsidP="000D0FAC">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AFA222D"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8FDFBC7"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2B0DC8E"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60A1690"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C10907E"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1284071F" w14:textId="77777777" w:rsidR="00B10D3A" w:rsidRPr="00B043B4" w:rsidRDefault="00B10D3A" w:rsidP="000D0FAC">
            <w:pPr>
              <w:ind w:left="54"/>
              <w:rPr>
                <w:b/>
                <w:sz w:val="20"/>
                <w:szCs w:val="20"/>
                <w:lang w:eastAsia="sk-SK"/>
              </w:rPr>
            </w:pPr>
            <w:r w:rsidRPr="00B043B4">
              <w:rPr>
                <w:b/>
                <w:sz w:val="20"/>
                <w:szCs w:val="20"/>
                <w:lang w:eastAsia="sk-SK"/>
              </w:rPr>
              <w:t>Negatívne</w:t>
            </w:r>
          </w:p>
        </w:tc>
      </w:tr>
      <w:tr w:rsidR="00B10D3A" w:rsidRPr="00B043B4" w14:paraId="5D8D0BF7" w14:textId="77777777" w:rsidTr="000D0FAC">
        <w:tc>
          <w:tcPr>
            <w:tcW w:w="3812" w:type="dxa"/>
            <w:tcBorders>
              <w:top w:val="nil"/>
              <w:left w:val="single" w:sz="4" w:space="0" w:color="auto"/>
              <w:bottom w:val="nil"/>
              <w:right w:val="single" w:sz="4" w:space="0" w:color="auto"/>
            </w:tcBorders>
            <w:shd w:val="clear" w:color="auto" w:fill="E2E2E2"/>
          </w:tcPr>
          <w:p w14:paraId="3EB6C2B4" w14:textId="77777777" w:rsidR="00B10D3A" w:rsidRPr="00B043B4" w:rsidRDefault="00B10D3A" w:rsidP="000D0FAC">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4585194"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B3E5A9B"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226BCDC"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3280184"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0CEE446"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C17F134" w14:textId="77777777" w:rsidR="00B10D3A" w:rsidRPr="00B043B4" w:rsidRDefault="00B10D3A" w:rsidP="000D0FAC">
            <w:pPr>
              <w:ind w:left="54"/>
              <w:rPr>
                <w:b/>
                <w:sz w:val="20"/>
                <w:szCs w:val="20"/>
                <w:lang w:eastAsia="sk-SK"/>
              </w:rPr>
            </w:pPr>
            <w:r w:rsidRPr="00B043B4">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10D3A" w:rsidRPr="00B043B4" w14:paraId="6247389E" w14:textId="77777777" w:rsidTr="000D0FAC">
        <w:tc>
          <w:tcPr>
            <w:tcW w:w="3812" w:type="dxa"/>
            <w:tcBorders>
              <w:top w:val="single" w:sz="4" w:space="0" w:color="000000"/>
              <w:left w:val="single" w:sz="4" w:space="0" w:color="auto"/>
              <w:bottom w:val="single" w:sz="4" w:space="0" w:color="auto"/>
              <w:right w:val="single" w:sz="4" w:space="0" w:color="auto"/>
            </w:tcBorders>
            <w:shd w:val="clear" w:color="auto" w:fill="E2E2E2"/>
          </w:tcPr>
          <w:p w14:paraId="0710F14A" w14:textId="77777777" w:rsidR="00B10D3A" w:rsidRPr="00B043B4" w:rsidRDefault="00B10D3A" w:rsidP="000D0FAC">
            <w:pPr>
              <w:rPr>
                <w:b/>
                <w:sz w:val="20"/>
                <w:szCs w:val="20"/>
                <w:lang w:eastAsia="sk-SK"/>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0056AEB"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AE37457" w14:textId="77777777" w:rsidR="00B10D3A" w:rsidRPr="00B043B4" w:rsidRDefault="00B10D3A" w:rsidP="000D0FAC">
            <w:pPr>
              <w:ind w:right="-108"/>
              <w:rPr>
                <w:b/>
                <w:sz w:val="20"/>
                <w:szCs w:val="20"/>
                <w:lang w:eastAsia="sk-SK"/>
              </w:rPr>
            </w:pPr>
            <w:r w:rsidRPr="00B043B4">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2F30592"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0299552" w14:textId="77777777" w:rsidR="00B10D3A" w:rsidRPr="00B043B4" w:rsidRDefault="00B10D3A" w:rsidP="000D0FAC">
            <w:pPr>
              <w:rPr>
                <w:b/>
                <w:sz w:val="20"/>
                <w:szCs w:val="20"/>
                <w:lang w:eastAsia="sk-SK"/>
              </w:rPr>
            </w:pPr>
            <w:r w:rsidRPr="00B043B4">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652381D" w14:textId="77777777" w:rsidR="00B10D3A" w:rsidRPr="00B043B4" w:rsidRDefault="00B10D3A" w:rsidP="000D0FAC">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B3F9BC2" w14:textId="77777777" w:rsidR="00B10D3A" w:rsidRPr="00B043B4" w:rsidRDefault="00B10D3A" w:rsidP="000D0FAC">
            <w:pPr>
              <w:ind w:left="54"/>
              <w:rPr>
                <w:b/>
                <w:sz w:val="20"/>
                <w:szCs w:val="20"/>
                <w:lang w:eastAsia="sk-SK"/>
              </w:rPr>
            </w:pPr>
            <w:r w:rsidRPr="00B043B4">
              <w:rPr>
                <w:b/>
                <w:sz w:val="20"/>
                <w:szCs w:val="20"/>
                <w:lang w:eastAsia="sk-SK"/>
              </w:rPr>
              <w:t>Negatívne</w:t>
            </w:r>
          </w:p>
        </w:tc>
      </w:tr>
    </w:tbl>
    <w:p w14:paraId="6153E8C0" w14:textId="77777777" w:rsidR="00B10D3A" w:rsidRPr="00B043B4" w:rsidRDefault="00B10D3A" w:rsidP="00B10D3A">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B10D3A" w:rsidRPr="00B043B4" w14:paraId="20F064E3" w14:textId="77777777" w:rsidTr="000D0FAC">
        <w:tc>
          <w:tcPr>
            <w:tcW w:w="9176" w:type="dxa"/>
            <w:tcBorders>
              <w:top w:val="single" w:sz="4" w:space="0" w:color="auto"/>
              <w:left w:val="single" w:sz="4" w:space="0" w:color="auto"/>
              <w:bottom w:val="nil"/>
              <w:right w:val="single" w:sz="4" w:space="0" w:color="auto"/>
            </w:tcBorders>
            <w:shd w:val="clear" w:color="auto" w:fill="E2E2E2"/>
          </w:tcPr>
          <w:p w14:paraId="6B150868" w14:textId="77777777" w:rsidR="00B10D3A" w:rsidRPr="00B043B4" w:rsidRDefault="00B10D3A" w:rsidP="00B10D3A">
            <w:pPr>
              <w:numPr>
                <w:ilvl w:val="0"/>
                <w:numId w:val="10"/>
              </w:numPr>
              <w:ind w:left="426"/>
              <w:contextualSpacing/>
              <w:rPr>
                <w:rFonts w:eastAsia="Calibri"/>
                <w:b/>
              </w:rPr>
            </w:pPr>
            <w:r w:rsidRPr="00B043B4">
              <w:rPr>
                <w:rFonts w:eastAsia="Calibri"/>
                <w:b/>
              </w:rPr>
              <w:t>Poznámky</w:t>
            </w:r>
          </w:p>
        </w:tc>
      </w:tr>
      <w:tr w:rsidR="00B10D3A" w:rsidRPr="00B043B4" w14:paraId="5C89F25C" w14:textId="77777777" w:rsidTr="000D0FAC">
        <w:trPr>
          <w:trHeight w:val="369"/>
        </w:trPr>
        <w:tc>
          <w:tcPr>
            <w:tcW w:w="9176" w:type="dxa"/>
            <w:tcBorders>
              <w:top w:val="nil"/>
              <w:left w:val="single" w:sz="4" w:space="0" w:color="auto"/>
              <w:bottom w:val="single" w:sz="4" w:space="0" w:color="FFFFFF"/>
              <w:right w:val="single" w:sz="4" w:space="0" w:color="auto"/>
            </w:tcBorders>
            <w:shd w:val="clear" w:color="auto" w:fill="auto"/>
          </w:tcPr>
          <w:p w14:paraId="415B098B" w14:textId="77777777" w:rsidR="00B10D3A" w:rsidRPr="00B043B4" w:rsidRDefault="00B10D3A" w:rsidP="000D0FAC">
            <w:pPr>
              <w:pStyle w:val="Zkladntext"/>
              <w:spacing w:afterLines="20" w:after="48"/>
              <w:ind w:left="0" w:right="114"/>
              <w:rPr>
                <w:rFonts w:eastAsia="Calibri"/>
                <w:b/>
              </w:rPr>
            </w:pPr>
          </w:p>
        </w:tc>
      </w:tr>
      <w:tr w:rsidR="00B10D3A" w:rsidRPr="00B043B4" w14:paraId="7861B8D1" w14:textId="77777777" w:rsidTr="000D0FA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3239D99" w14:textId="77777777" w:rsidR="00B10D3A" w:rsidRPr="00B043B4" w:rsidRDefault="00B10D3A" w:rsidP="00B10D3A">
            <w:pPr>
              <w:numPr>
                <w:ilvl w:val="0"/>
                <w:numId w:val="10"/>
              </w:numPr>
              <w:ind w:left="426"/>
              <w:contextualSpacing/>
              <w:rPr>
                <w:rFonts w:eastAsia="Calibri"/>
                <w:b/>
              </w:rPr>
            </w:pPr>
            <w:r w:rsidRPr="00B043B4">
              <w:rPr>
                <w:rFonts w:eastAsia="Calibri"/>
                <w:b/>
              </w:rPr>
              <w:t>Kontakt na spracovateľa</w:t>
            </w:r>
          </w:p>
        </w:tc>
      </w:tr>
      <w:tr w:rsidR="00B10D3A" w:rsidRPr="00B043B4" w14:paraId="27DEF568" w14:textId="77777777" w:rsidTr="000D0FA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7FC19A5" w14:textId="77777777" w:rsidR="00B10D3A" w:rsidRDefault="00B10D3A" w:rsidP="000D0FAC">
            <w:pPr>
              <w:rPr>
                <w:iCs/>
                <w:sz w:val="20"/>
                <w:szCs w:val="20"/>
                <w:lang w:eastAsia="sk-SK"/>
              </w:rPr>
            </w:pPr>
            <w:r>
              <w:rPr>
                <w:iCs/>
                <w:sz w:val="20"/>
                <w:szCs w:val="20"/>
                <w:lang w:eastAsia="sk-SK"/>
              </w:rPr>
              <w:t xml:space="preserve">Sandra Fischerová </w:t>
            </w:r>
          </w:p>
          <w:p w14:paraId="7D70A22F" w14:textId="77777777" w:rsidR="00B10D3A" w:rsidRDefault="00B10D3A" w:rsidP="000D0FAC">
            <w:pPr>
              <w:rPr>
                <w:iCs/>
                <w:sz w:val="20"/>
                <w:szCs w:val="20"/>
                <w:lang w:eastAsia="sk-SK"/>
              </w:rPr>
            </w:pPr>
            <w:r>
              <w:rPr>
                <w:iCs/>
                <w:sz w:val="20"/>
                <w:szCs w:val="20"/>
                <w:lang w:eastAsia="sk-SK"/>
              </w:rPr>
              <w:t xml:space="preserve">Odbor metodiky a koordinácie subjektov, Sekcia centrálny koordinačný orgán </w:t>
            </w:r>
          </w:p>
          <w:p w14:paraId="650ADDB5" w14:textId="77777777" w:rsidR="00B10D3A" w:rsidRDefault="00B10D3A" w:rsidP="000D0FAC">
            <w:pPr>
              <w:rPr>
                <w:iCs/>
                <w:sz w:val="20"/>
                <w:szCs w:val="20"/>
                <w:lang w:eastAsia="sk-SK"/>
              </w:rPr>
            </w:pPr>
            <w:r>
              <w:rPr>
                <w:iCs/>
                <w:sz w:val="20"/>
                <w:szCs w:val="20"/>
                <w:lang w:eastAsia="sk-SK"/>
              </w:rPr>
              <w:t>Ministerstvo investícií, regionálneho rozvoja a informatizácie SR</w:t>
            </w:r>
          </w:p>
          <w:p w14:paraId="6CE853AD" w14:textId="77777777" w:rsidR="00B10D3A" w:rsidRPr="000D79B1" w:rsidRDefault="00750975" w:rsidP="000D0FAC">
            <w:hyperlink r:id="rId12" w:history="1">
              <w:r w:rsidR="00B10D3A" w:rsidRPr="000964DA">
                <w:rPr>
                  <w:rStyle w:val="Hypertextovprepojenie"/>
                  <w:iCs/>
                  <w:lang w:eastAsia="sk-SK"/>
                </w:rPr>
                <w:t>sandra.fischerova@mirri.gov.sk</w:t>
              </w:r>
            </w:hyperlink>
            <w:r w:rsidR="00B10D3A">
              <w:rPr>
                <w:iCs/>
                <w:sz w:val="20"/>
                <w:szCs w:val="20"/>
                <w:lang w:eastAsia="sk-SK"/>
              </w:rPr>
              <w:t>, 02/2092 8401</w:t>
            </w:r>
          </w:p>
        </w:tc>
      </w:tr>
      <w:tr w:rsidR="00B10D3A" w:rsidRPr="00B043B4" w14:paraId="5E02768A" w14:textId="77777777" w:rsidTr="000D0FAC">
        <w:tc>
          <w:tcPr>
            <w:tcW w:w="9176" w:type="dxa"/>
            <w:tcBorders>
              <w:top w:val="single" w:sz="4" w:space="0" w:color="auto"/>
              <w:left w:val="single" w:sz="4" w:space="0" w:color="auto"/>
              <w:bottom w:val="single" w:sz="4" w:space="0" w:color="FFFFFF"/>
              <w:right w:val="single" w:sz="4" w:space="0" w:color="auto"/>
            </w:tcBorders>
            <w:shd w:val="clear" w:color="auto" w:fill="E2E2E2"/>
          </w:tcPr>
          <w:p w14:paraId="2F795D71" w14:textId="77777777" w:rsidR="00B10D3A" w:rsidRPr="00B043B4" w:rsidRDefault="00B10D3A" w:rsidP="00B10D3A">
            <w:pPr>
              <w:numPr>
                <w:ilvl w:val="0"/>
                <w:numId w:val="10"/>
              </w:numPr>
              <w:ind w:left="426"/>
              <w:contextualSpacing/>
              <w:rPr>
                <w:rFonts w:eastAsia="Calibri"/>
                <w:b/>
              </w:rPr>
            </w:pPr>
            <w:r w:rsidRPr="00B043B4">
              <w:rPr>
                <w:rFonts w:eastAsia="Calibri"/>
                <w:b/>
              </w:rPr>
              <w:t>Zdroje</w:t>
            </w:r>
          </w:p>
        </w:tc>
      </w:tr>
      <w:tr w:rsidR="00B10D3A" w:rsidRPr="00B043B4" w14:paraId="1E4572CD" w14:textId="77777777" w:rsidTr="000D0FA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F8A78B5" w14:textId="77777777" w:rsidR="00B10D3A" w:rsidRPr="00A04FFB" w:rsidRDefault="00B10D3A" w:rsidP="000D0FAC">
            <w:pPr>
              <w:rPr>
                <w:b/>
                <w:sz w:val="20"/>
                <w:szCs w:val="20"/>
                <w:lang w:eastAsia="sk-SK"/>
              </w:rPr>
            </w:pPr>
          </w:p>
        </w:tc>
      </w:tr>
      <w:tr w:rsidR="00B10D3A" w:rsidRPr="00B043B4" w14:paraId="1C0B103C" w14:textId="77777777" w:rsidTr="000D0FA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51DB0B" w14:textId="77777777" w:rsidR="00B10D3A" w:rsidRPr="00B043B4" w:rsidRDefault="00B10D3A" w:rsidP="00B10D3A">
            <w:pPr>
              <w:numPr>
                <w:ilvl w:val="0"/>
                <w:numId w:val="10"/>
              </w:numPr>
              <w:ind w:left="447" w:hanging="425"/>
              <w:contextualSpacing/>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14:paraId="044D1429" w14:textId="77777777" w:rsidR="00B10D3A" w:rsidRPr="00B043B4" w:rsidRDefault="00B10D3A" w:rsidP="000D0FAC">
            <w:pPr>
              <w:ind w:left="502"/>
              <w:rPr>
                <w:b/>
                <w:sz w:val="20"/>
                <w:szCs w:val="20"/>
                <w:lang w:eastAsia="sk-SK"/>
              </w:rPr>
            </w:pPr>
            <w:r w:rsidRPr="00B043B4">
              <w:rPr>
                <w:rFonts w:eastAsia="Calibri"/>
              </w:rPr>
              <w:t>(v prípade, ak sa uskutočnilo v zmysle bodu 8.1 Jednotnej metodiky)</w:t>
            </w:r>
          </w:p>
        </w:tc>
      </w:tr>
      <w:tr w:rsidR="00B10D3A" w:rsidRPr="00B043B4" w14:paraId="4980ADFE" w14:textId="77777777" w:rsidTr="000D0FA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F7A8F22" w14:textId="77777777" w:rsidR="00B10D3A" w:rsidRPr="00B043B4" w:rsidRDefault="00B10D3A" w:rsidP="000D0FAC">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10D3A" w:rsidRPr="00B043B4" w14:paraId="019D1001" w14:textId="77777777" w:rsidTr="000D0FAC">
              <w:trPr>
                <w:trHeight w:val="396"/>
              </w:trPr>
              <w:tc>
                <w:tcPr>
                  <w:tcW w:w="2552" w:type="dxa"/>
                </w:tcPr>
                <w:p w14:paraId="4BD1F42D" w14:textId="77777777" w:rsidR="00B10D3A" w:rsidRPr="00B043B4" w:rsidRDefault="00750975" w:rsidP="000D0FAC">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Pr>
                      <w:b/>
                      <w:sz w:val="20"/>
                      <w:szCs w:val="20"/>
                      <w:lang w:eastAsia="sk-SK"/>
                    </w:rPr>
                    <w:t xml:space="preserve">  </w:t>
                  </w:r>
                  <w:r w:rsidR="00B10D3A" w:rsidRPr="00B043B4">
                    <w:rPr>
                      <w:b/>
                      <w:sz w:val="20"/>
                      <w:szCs w:val="20"/>
                      <w:lang w:eastAsia="sk-SK"/>
                    </w:rPr>
                    <w:t xml:space="preserve">Súhlasné </w:t>
                  </w:r>
                </w:p>
              </w:tc>
              <w:tc>
                <w:tcPr>
                  <w:tcW w:w="3827" w:type="dxa"/>
                </w:tcPr>
                <w:p w14:paraId="509140AF" w14:textId="77777777" w:rsidR="00B10D3A" w:rsidRPr="00B043B4" w:rsidRDefault="00750975" w:rsidP="000D0FAC">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Pr>
                      <w:b/>
                      <w:sz w:val="20"/>
                      <w:szCs w:val="20"/>
                      <w:lang w:eastAsia="sk-SK"/>
                    </w:rPr>
                    <w:t xml:space="preserve">  </w:t>
                  </w:r>
                  <w:r w:rsidR="00B10D3A" w:rsidRPr="00B043B4">
                    <w:rPr>
                      <w:b/>
                      <w:sz w:val="20"/>
                      <w:szCs w:val="20"/>
                      <w:lang w:eastAsia="sk-SK"/>
                    </w:rPr>
                    <w:t>Súhlasné s návrhom na dopracovanie</w:t>
                  </w:r>
                </w:p>
              </w:tc>
              <w:tc>
                <w:tcPr>
                  <w:tcW w:w="2534" w:type="dxa"/>
                </w:tcPr>
                <w:p w14:paraId="6F6B4759" w14:textId="77777777" w:rsidR="00B10D3A" w:rsidRPr="00B043B4" w:rsidRDefault="00750975" w:rsidP="000D0FAC">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Pr>
                      <w:b/>
                      <w:sz w:val="20"/>
                      <w:szCs w:val="20"/>
                      <w:lang w:eastAsia="sk-SK"/>
                    </w:rPr>
                    <w:t xml:space="preserve">  </w:t>
                  </w:r>
                  <w:r w:rsidR="00B10D3A" w:rsidRPr="00B043B4">
                    <w:rPr>
                      <w:b/>
                      <w:sz w:val="20"/>
                      <w:szCs w:val="20"/>
                      <w:lang w:eastAsia="sk-SK"/>
                    </w:rPr>
                    <w:t>Nesúhlasné</w:t>
                  </w:r>
                </w:p>
              </w:tc>
            </w:tr>
          </w:tbl>
          <w:p w14:paraId="017BB4C8" w14:textId="77777777" w:rsidR="00B10D3A" w:rsidRPr="00B043B4" w:rsidRDefault="00B10D3A" w:rsidP="000D0FAC">
            <w:pPr>
              <w:jc w:val="both"/>
              <w:rPr>
                <w:b/>
                <w:sz w:val="20"/>
                <w:szCs w:val="20"/>
                <w:lang w:eastAsia="sk-SK"/>
              </w:rPr>
            </w:pPr>
            <w:r w:rsidRPr="00B043B4">
              <w:rPr>
                <w:b/>
                <w:sz w:val="20"/>
                <w:szCs w:val="20"/>
                <w:lang w:eastAsia="sk-SK"/>
              </w:rPr>
              <w:t>Uveďte pripomienky zo stanoviska Komisie z časti II. spolu s Vaším vyhodnotením:</w:t>
            </w:r>
          </w:p>
          <w:p w14:paraId="01D31BE7" w14:textId="77777777" w:rsidR="00B10D3A" w:rsidRPr="00B043B4" w:rsidRDefault="00B10D3A" w:rsidP="000D0FAC">
            <w:pPr>
              <w:rPr>
                <w:b/>
                <w:sz w:val="20"/>
                <w:szCs w:val="20"/>
                <w:lang w:eastAsia="sk-SK"/>
              </w:rPr>
            </w:pPr>
          </w:p>
          <w:p w14:paraId="1AE21139" w14:textId="77777777" w:rsidR="00B10D3A" w:rsidRPr="00B043B4" w:rsidRDefault="00B10D3A" w:rsidP="000D0FAC">
            <w:pPr>
              <w:rPr>
                <w:b/>
                <w:sz w:val="20"/>
                <w:szCs w:val="20"/>
                <w:lang w:eastAsia="sk-SK"/>
              </w:rPr>
            </w:pPr>
          </w:p>
          <w:p w14:paraId="6DBB678E" w14:textId="77777777" w:rsidR="00B10D3A" w:rsidRPr="00B043B4" w:rsidRDefault="00B10D3A" w:rsidP="000D0FAC">
            <w:pPr>
              <w:rPr>
                <w:b/>
                <w:sz w:val="20"/>
                <w:szCs w:val="20"/>
                <w:lang w:eastAsia="sk-SK"/>
              </w:rPr>
            </w:pPr>
          </w:p>
        </w:tc>
      </w:tr>
      <w:tr w:rsidR="00B10D3A" w:rsidRPr="00B043B4" w14:paraId="54FE7658" w14:textId="77777777" w:rsidTr="000D0FA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89FC967" w14:textId="77777777" w:rsidR="00B10D3A" w:rsidRPr="00B043B4" w:rsidRDefault="00B10D3A" w:rsidP="00B10D3A">
            <w:pPr>
              <w:numPr>
                <w:ilvl w:val="0"/>
                <w:numId w:val="10"/>
              </w:numPr>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B10D3A" w:rsidRPr="00B043B4" w14:paraId="6101A8E2" w14:textId="77777777" w:rsidTr="000D0FAC">
        <w:tblPrEx>
          <w:tblBorders>
            <w:insideH w:val="single" w:sz="4" w:space="0" w:color="FFFFFF"/>
            <w:insideV w:val="single" w:sz="4" w:space="0" w:color="FFFFFF"/>
          </w:tblBorders>
        </w:tblPrEx>
        <w:tc>
          <w:tcPr>
            <w:tcW w:w="9176" w:type="dxa"/>
            <w:shd w:val="clear" w:color="auto" w:fill="FFFFFF"/>
          </w:tcPr>
          <w:p w14:paraId="410EE676" w14:textId="77777777" w:rsidR="00B10D3A" w:rsidRPr="00B043B4" w:rsidRDefault="00B10D3A" w:rsidP="000D0FAC">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10D3A" w:rsidRPr="00B043B4" w14:paraId="0ED792ED" w14:textId="77777777" w:rsidTr="000D0FAC">
              <w:trPr>
                <w:trHeight w:val="396"/>
              </w:trPr>
              <w:tc>
                <w:tcPr>
                  <w:tcW w:w="2552" w:type="dxa"/>
                </w:tcPr>
                <w:p w14:paraId="73AC0432" w14:textId="77777777" w:rsidR="00B10D3A" w:rsidRPr="00B043B4" w:rsidRDefault="00750975" w:rsidP="000D0FAC">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Pr>
                      <w:b/>
                      <w:sz w:val="20"/>
                      <w:szCs w:val="20"/>
                      <w:lang w:eastAsia="sk-SK"/>
                    </w:rPr>
                    <w:t xml:space="preserve">   </w:t>
                  </w:r>
                  <w:r w:rsidR="00B10D3A" w:rsidRPr="00B043B4">
                    <w:rPr>
                      <w:b/>
                      <w:sz w:val="20"/>
                      <w:szCs w:val="20"/>
                      <w:lang w:eastAsia="sk-SK"/>
                    </w:rPr>
                    <w:t xml:space="preserve">Súhlasné </w:t>
                  </w:r>
                </w:p>
              </w:tc>
              <w:tc>
                <w:tcPr>
                  <w:tcW w:w="3827" w:type="dxa"/>
                </w:tcPr>
                <w:p w14:paraId="2929EF5F" w14:textId="77777777" w:rsidR="00B10D3A" w:rsidRPr="00B043B4" w:rsidRDefault="00750975" w:rsidP="000D0FAC">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Pr>
                      <w:b/>
                      <w:sz w:val="20"/>
                      <w:szCs w:val="20"/>
                      <w:lang w:eastAsia="sk-SK"/>
                    </w:rPr>
                    <w:t xml:space="preserve">  </w:t>
                  </w:r>
                  <w:r w:rsidR="00B10D3A" w:rsidRPr="00B043B4">
                    <w:rPr>
                      <w:b/>
                      <w:sz w:val="20"/>
                      <w:szCs w:val="20"/>
                      <w:lang w:eastAsia="sk-SK"/>
                    </w:rPr>
                    <w:t>Súhlasné s  návrhom na dopracovanie</w:t>
                  </w:r>
                </w:p>
              </w:tc>
              <w:tc>
                <w:tcPr>
                  <w:tcW w:w="2534" w:type="dxa"/>
                </w:tcPr>
                <w:p w14:paraId="48D0D711" w14:textId="77777777" w:rsidR="00B10D3A" w:rsidRPr="00B043B4" w:rsidRDefault="00750975" w:rsidP="000D0FAC">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B10D3A">
                        <w:rPr>
                          <w:rFonts w:ascii="MS Gothic" w:eastAsia="MS Gothic" w:hAnsi="MS Gothic" w:hint="eastAsia"/>
                          <w:b/>
                          <w:sz w:val="20"/>
                          <w:szCs w:val="20"/>
                          <w:lang w:eastAsia="sk-SK"/>
                        </w:rPr>
                        <w:t>☐</w:t>
                      </w:r>
                    </w:sdtContent>
                  </w:sdt>
                  <w:r w:rsidR="00B10D3A">
                    <w:rPr>
                      <w:b/>
                      <w:sz w:val="20"/>
                      <w:szCs w:val="20"/>
                      <w:lang w:eastAsia="sk-SK"/>
                    </w:rPr>
                    <w:t xml:space="preserve">  </w:t>
                  </w:r>
                  <w:r w:rsidR="00B10D3A" w:rsidRPr="00B043B4">
                    <w:rPr>
                      <w:b/>
                      <w:sz w:val="20"/>
                      <w:szCs w:val="20"/>
                      <w:lang w:eastAsia="sk-SK"/>
                    </w:rPr>
                    <w:t>Nesúhlasné</w:t>
                  </w:r>
                </w:p>
              </w:tc>
            </w:tr>
          </w:tbl>
          <w:p w14:paraId="7F2C4936" w14:textId="77777777" w:rsidR="00B10D3A" w:rsidRPr="00B043B4" w:rsidRDefault="00B10D3A" w:rsidP="000D0FAC">
            <w:pPr>
              <w:rPr>
                <w:b/>
                <w:sz w:val="20"/>
                <w:szCs w:val="20"/>
                <w:lang w:eastAsia="sk-SK"/>
              </w:rPr>
            </w:pPr>
          </w:p>
        </w:tc>
      </w:tr>
    </w:tbl>
    <w:p w14:paraId="3B72571F" w14:textId="77777777" w:rsidR="00B10D3A" w:rsidRPr="00296FDF" w:rsidRDefault="00B10D3A" w:rsidP="00B10D3A">
      <w:pPr>
        <w:pStyle w:val="Standard"/>
        <w:pageBreakBefore/>
        <w:suppressAutoHyphens w:val="0"/>
        <w:spacing w:after="0" w:line="240" w:lineRule="auto"/>
        <w:jc w:val="center"/>
        <w:rPr>
          <w:rFonts w:ascii="Times New Roman" w:hAnsi="Times New Roman" w:cs="Times New Roman"/>
          <w:sz w:val="24"/>
          <w:szCs w:val="24"/>
        </w:rPr>
      </w:pPr>
      <w:r w:rsidRPr="00296FDF">
        <w:rPr>
          <w:rFonts w:ascii="Times New Roman" w:hAnsi="Times New Roman" w:cs="Times New Roman"/>
          <w:b/>
          <w:caps/>
          <w:spacing w:val="30"/>
          <w:sz w:val="24"/>
          <w:szCs w:val="24"/>
          <w:lang w:eastAsia="en-US"/>
        </w:rPr>
        <w:lastRenderedPageBreak/>
        <w:t>Doložka zlučiteľnosti</w:t>
      </w:r>
    </w:p>
    <w:p w14:paraId="2C85153B" w14:textId="77777777" w:rsidR="00B10D3A" w:rsidRPr="00296FDF" w:rsidRDefault="00B10D3A" w:rsidP="00B10D3A">
      <w:pPr>
        <w:pStyle w:val="Standard"/>
        <w:suppressAutoHyphens w:val="0"/>
        <w:spacing w:after="0" w:line="240" w:lineRule="auto"/>
        <w:jc w:val="center"/>
        <w:rPr>
          <w:rFonts w:ascii="Times New Roman" w:hAnsi="Times New Roman" w:cs="Times New Roman"/>
          <w:sz w:val="24"/>
          <w:szCs w:val="24"/>
        </w:rPr>
      </w:pPr>
      <w:r w:rsidRPr="00296FDF">
        <w:rPr>
          <w:rFonts w:ascii="Times New Roman" w:hAnsi="Times New Roman" w:cs="Times New Roman"/>
          <w:b/>
          <w:sz w:val="24"/>
          <w:szCs w:val="24"/>
          <w:lang w:eastAsia="en-US"/>
        </w:rPr>
        <w:t>právneho predpisu s právom Európskej únie</w:t>
      </w:r>
    </w:p>
    <w:p w14:paraId="088C5187" w14:textId="77777777" w:rsidR="00B10D3A" w:rsidRPr="00296FDF" w:rsidRDefault="00B10D3A" w:rsidP="00B10D3A">
      <w:pPr>
        <w:pStyle w:val="Standard"/>
        <w:suppressAutoHyphens w:val="0"/>
        <w:spacing w:after="0" w:line="240" w:lineRule="auto"/>
        <w:jc w:val="both"/>
        <w:rPr>
          <w:rFonts w:ascii="Times New Roman" w:hAnsi="Times New Roman" w:cs="Times New Roman"/>
          <w:sz w:val="24"/>
          <w:szCs w:val="24"/>
          <w:lang w:eastAsia="en-US"/>
        </w:rPr>
      </w:pPr>
    </w:p>
    <w:p w14:paraId="0A205A66" w14:textId="77777777" w:rsidR="00B10D3A" w:rsidRPr="00296FDF" w:rsidRDefault="00B10D3A" w:rsidP="00B10D3A">
      <w:pPr>
        <w:pStyle w:val="Standard"/>
        <w:spacing w:after="0" w:line="240" w:lineRule="auto"/>
        <w:jc w:val="both"/>
        <w:rPr>
          <w:rFonts w:ascii="Times New Roman" w:hAnsi="Times New Roman" w:cs="Times New Roman"/>
          <w:sz w:val="24"/>
          <w:szCs w:val="24"/>
          <w:lang w:eastAsia="en-US"/>
        </w:rPr>
      </w:pPr>
      <w:r w:rsidRPr="00296FDF">
        <w:rPr>
          <w:rFonts w:ascii="Times New Roman" w:hAnsi="Times New Roman" w:cs="Times New Roman"/>
          <w:b/>
          <w:sz w:val="24"/>
          <w:szCs w:val="24"/>
          <w:lang w:eastAsia="en-US"/>
        </w:rPr>
        <w:t>1. Predkladateľ právneho predpisu:</w:t>
      </w:r>
      <w:r w:rsidRPr="00296FDF">
        <w:rPr>
          <w:rFonts w:ascii="Times New Roman" w:hAnsi="Times New Roman" w:cs="Times New Roman"/>
          <w:sz w:val="24"/>
          <w:szCs w:val="24"/>
          <w:lang w:eastAsia="en-US"/>
        </w:rPr>
        <w:t xml:space="preserve"> </w:t>
      </w:r>
      <w:r w:rsidRPr="001B337F">
        <w:rPr>
          <w:rFonts w:ascii="Times New Roman" w:hAnsi="Times New Roman" w:cs="Times New Roman"/>
          <w:i/>
          <w:sz w:val="24"/>
          <w:szCs w:val="24"/>
          <w:lang w:eastAsia="en-US"/>
        </w:rPr>
        <w:t>Ministerstvo investícií, regionálneho rozvoja a informatizácie Slovenskej republiky</w:t>
      </w:r>
      <w:r>
        <w:rPr>
          <w:rFonts w:ascii="Times New Roman" w:hAnsi="Times New Roman" w:cs="Times New Roman"/>
          <w:i/>
          <w:sz w:val="24"/>
          <w:szCs w:val="24"/>
          <w:lang w:eastAsia="en-US"/>
        </w:rPr>
        <w:t xml:space="preserve"> </w:t>
      </w:r>
    </w:p>
    <w:p w14:paraId="1638B0EE" w14:textId="77777777" w:rsidR="00B10D3A" w:rsidRPr="00296FDF" w:rsidRDefault="00B10D3A" w:rsidP="00B10D3A">
      <w:pPr>
        <w:pStyle w:val="Standard"/>
        <w:suppressAutoHyphens w:val="0"/>
        <w:spacing w:after="0" w:line="240" w:lineRule="auto"/>
        <w:jc w:val="both"/>
        <w:rPr>
          <w:rFonts w:ascii="Times New Roman" w:hAnsi="Times New Roman" w:cs="Times New Roman"/>
          <w:sz w:val="24"/>
          <w:szCs w:val="24"/>
        </w:rPr>
      </w:pPr>
    </w:p>
    <w:p w14:paraId="17E864F1" w14:textId="77777777" w:rsidR="00B10D3A" w:rsidRPr="00296FDF" w:rsidRDefault="00B10D3A" w:rsidP="00B10D3A">
      <w:pPr>
        <w:pStyle w:val="Standard"/>
        <w:spacing w:after="0" w:line="240" w:lineRule="auto"/>
        <w:jc w:val="both"/>
        <w:rPr>
          <w:rFonts w:ascii="Times New Roman" w:hAnsi="Times New Roman" w:cs="Times New Roman"/>
          <w:sz w:val="24"/>
          <w:szCs w:val="24"/>
          <w:lang w:eastAsia="en-US"/>
        </w:rPr>
      </w:pPr>
      <w:r w:rsidRPr="00296FDF">
        <w:rPr>
          <w:rFonts w:ascii="Times New Roman" w:hAnsi="Times New Roman" w:cs="Times New Roman"/>
          <w:b/>
          <w:sz w:val="24"/>
          <w:szCs w:val="24"/>
          <w:lang w:eastAsia="en-US"/>
        </w:rPr>
        <w:t>2. Názov návrhu právneho predpisu:</w:t>
      </w:r>
      <w:r w:rsidRPr="00296FDF">
        <w:rPr>
          <w:rFonts w:ascii="Times New Roman" w:hAnsi="Times New Roman" w:cs="Times New Roman"/>
          <w:sz w:val="24"/>
          <w:szCs w:val="24"/>
          <w:lang w:eastAsia="en-US"/>
        </w:rPr>
        <w:t xml:space="preserve"> Návrh zákona, </w:t>
      </w:r>
      <w:r w:rsidRPr="00296FDF">
        <w:rPr>
          <w:rFonts w:ascii="Times New Roman" w:hAnsi="Times New Roman" w:cs="Times New Roman"/>
          <w:sz w:val="24"/>
          <w:szCs w:val="24"/>
        </w:rPr>
        <w:t>ktor</w:t>
      </w:r>
      <w:r>
        <w:rPr>
          <w:rFonts w:ascii="Times New Roman" w:hAnsi="Times New Roman" w:cs="Times New Roman"/>
          <w:sz w:val="24"/>
          <w:szCs w:val="24"/>
        </w:rPr>
        <w:t>ým sa mení a dopĺňa zákon č. 292/2014</w:t>
      </w:r>
      <w:r w:rsidRPr="00296FDF">
        <w:rPr>
          <w:rFonts w:ascii="Times New Roman" w:hAnsi="Times New Roman" w:cs="Times New Roman"/>
          <w:sz w:val="24"/>
          <w:szCs w:val="24"/>
        </w:rPr>
        <w:t xml:space="preserve"> Z. z. o</w:t>
      </w:r>
      <w:r>
        <w:rPr>
          <w:rFonts w:ascii="Times New Roman" w:hAnsi="Times New Roman" w:cs="Times New Roman"/>
          <w:sz w:val="24"/>
          <w:szCs w:val="24"/>
        </w:rPr>
        <w:t xml:space="preserve"> príspevku poskytovanom z európskych štrukturálnych a investičných fondov a </w:t>
      </w:r>
      <w:r w:rsidRPr="00296FDF">
        <w:rPr>
          <w:rFonts w:ascii="Times New Roman" w:hAnsi="Times New Roman" w:cs="Times New Roman"/>
          <w:sz w:val="24"/>
          <w:szCs w:val="24"/>
        </w:rPr>
        <w:t xml:space="preserve">o zmene a doplnení niektorých zákonov v znení neskorších predpisov </w:t>
      </w:r>
    </w:p>
    <w:p w14:paraId="49753A28" w14:textId="77777777" w:rsidR="00B10D3A" w:rsidRPr="00296FDF" w:rsidRDefault="00B10D3A" w:rsidP="00B10D3A">
      <w:pPr>
        <w:pStyle w:val="Standard"/>
        <w:suppressAutoHyphens w:val="0"/>
        <w:spacing w:after="0" w:line="240" w:lineRule="auto"/>
        <w:jc w:val="both"/>
        <w:rPr>
          <w:rFonts w:ascii="Times New Roman" w:hAnsi="Times New Roman" w:cs="Times New Roman"/>
          <w:sz w:val="24"/>
          <w:szCs w:val="24"/>
          <w:lang w:eastAsia="en-US"/>
        </w:rPr>
      </w:pPr>
    </w:p>
    <w:p w14:paraId="3144EABF" w14:textId="77777777" w:rsidR="00B10D3A" w:rsidRPr="00296FDF" w:rsidRDefault="00B10D3A" w:rsidP="00B10D3A">
      <w:pPr>
        <w:jc w:val="both"/>
        <w:rPr>
          <w:b/>
          <w:bCs/>
        </w:rPr>
      </w:pPr>
      <w:r w:rsidRPr="00296FDF">
        <w:rPr>
          <w:b/>
        </w:rPr>
        <w:t xml:space="preserve">3. </w:t>
      </w:r>
      <w:r w:rsidRPr="00296FDF">
        <w:rPr>
          <w:b/>
          <w:bCs/>
        </w:rPr>
        <w:t>Predmet návrhu zákona je upravený v práve Európskej únie:</w:t>
      </w:r>
    </w:p>
    <w:p w14:paraId="3BEE6F8A" w14:textId="77777777" w:rsidR="00B10D3A" w:rsidRPr="00296FDF" w:rsidRDefault="00B10D3A" w:rsidP="00B10D3A">
      <w:pPr>
        <w:pStyle w:val="Zkladntext"/>
        <w:widowControl/>
        <w:numPr>
          <w:ilvl w:val="1"/>
          <w:numId w:val="11"/>
        </w:numPr>
        <w:autoSpaceDE/>
        <w:autoSpaceDN/>
        <w:jc w:val="left"/>
      </w:pPr>
      <w:r w:rsidRPr="00296FDF">
        <w:t>v primárnom práve, a to</w:t>
      </w:r>
    </w:p>
    <w:p w14:paraId="4539C5EB" w14:textId="77777777" w:rsidR="00B10D3A" w:rsidRDefault="00B10D3A" w:rsidP="00B10D3A">
      <w:pPr>
        <w:pStyle w:val="Zkladntext"/>
        <w:ind w:left="850"/>
        <w:rPr>
          <w:i/>
        </w:rPr>
      </w:pPr>
      <w:r w:rsidRPr="004D2D3A">
        <w:rPr>
          <w:i/>
        </w:rPr>
        <w:t>Zmluva o fungovaní Európskej únie, najmä články 38 až 44, 162 až 164, 174 až 178, 320 až 324, 325 a 349.</w:t>
      </w:r>
    </w:p>
    <w:p w14:paraId="546A9878" w14:textId="77777777" w:rsidR="00B10D3A" w:rsidRPr="00296FDF" w:rsidRDefault="00B10D3A" w:rsidP="00B10D3A">
      <w:pPr>
        <w:pStyle w:val="Zkladntext"/>
        <w:ind w:left="850"/>
        <w:rPr>
          <w:i/>
        </w:rPr>
      </w:pPr>
    </w:p>
    <w:p w14:paraId="1868141B" w14:textId="77777777" w:rsidR="00B10D3A" w:rsidRPr="00296FDF" w:rsidRDefault="00B10D3A" w:rsidP="00B10D3A">
      <w:pPr>
        <w:pStyle w:val="Zkladntext"/>
        <w:widowControl/>
        <w:numPr>
          <w:ilvl w:val="1"/>
          <w:numId w:val="11"/>
        </w:numPr>
        <w:autoSpaceDE/>
        <w:autoSpaceDN/>
        <w:jc w:val="left"/>
      </w:pPr>
      <w:r w:rsidRPr="00296FDF">
        <w:t xml:space="preserve">v sekundárnom práve, a to  </w:t>
      </w:r>
    </w:p>
    <w:p w14:paraId="6BD8017C" w14:textId="77777777" w:rsidR="00B10D3A" w:rsidRDefault="00B10D3A" w:rsidP="00B10D3A">
      <w:pPr>
        <w:pStyle w:val="Zkladntext"/>
        <w:ind w:left="1210"/>
        <w:rPr>
          <w:i/>
          <w:szCs w:val="22"/>
        </w:rPr>
      </w:pPr>
    </w:p>
    <w:p w14:paraId="58BDDC4B" w14:textId="77777777" w:rsidR="00B10D3A" w:rsidRDefault="00B10D3A" w:rsidP="00B10D3A">
      <w:pPr>
        <w:pStyle w:val="Zkladntext"/>
        <w:ind w:left="1210"/>
        <w:rPr>
          <w:i/>
          <w:szCs w:val="22"/>
        </w:rPr>
      </w:pPr>
      <w:r w:rsidRPr="004D2D3A">
        <w:rPr>
          <w:i/>
          <w:szCs w:val="22"/>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v platnom znení.</w:t>
      </w:r>
    </w:p>
    <w:p w14:paraId="06B918F8" w14:textId="77777777" w:rsidR="00B10D3A" w:rsidRDefault="00B10D3A" w:rsidP="00B10D3A">
      <w:pPr>
        <w:pStyle w:val="Zkladntext"/>
        <w:ind w:left="1210"/>
        <w:rPr>
          <w:i/>
          <w:szCs w:val="22"/>
        </w:rPr>
      </w:pPr>
      <w:r w:rsidRPr="004D2D3A">
        <w:rPr>
          <w:i/>
          <w:szCs w:val="22"/>
        </w:rPr>
        <w:t>Nariadenie Európskeho parlamentu a Rady (EÚ) č. 1301/2013 zo 17. decembra 2013 o Európskom fonde regionálneho rozvoja a o osobitných ustanoveniach týkajúcich sa cieľa Investovanie do rastu a zamestnanosti, a ktorým sa zrušuje nariadenie (ES) č. 1080/2006. Nariadenie Európskeho parlamentu a Rady (EÚ) č. 1304/2013 z 17. decembri 2013 o Európskom sociálnom fonde a o zrušení nariadenia Rady (ES) č. 1081/2006 v platnom znení.</w:t>
      </w:r>
    </w:p>
    <w:p w14:paraId="05FF8EE8" w14:textId="77777777" w:rsidR="00B10D3A" w:rsidRDefault="00B10D3A" w:rsidP="00B10D3A">
      <w:pPr>
        <w:pStyle w:val="Zkladntext"/>
        <w:ind w:left="1210"/>
        <w:rPr>
          <w:i/>
          <w:szCs w:val="22"/>
        </w:rPr>
      </w:pPr>
      <w:r w:rsidRPr="004D2D3A">
        <w:rPr>
          <w:i/>
          <w:szCs w:val="22"/>
        </w:rPr>
        <w:t>Nariadenie Európskeho parlamentu a Rady (EÚ) č. 1300/2013 zo 17. decembra 2013 o Kohéznom fonde, ktorým sa zrušuje nariadenie Rady (ES) č. 1084/2006 v platnom znení.</w:t>
      </w:r>
    </w:p>
    <w:p w14:paraId="3819FF39" w14:textId="77777777" w:rsidR="00B10D3A" w:rsidRDefault="00B10D3A" w:rsidP="00B10D3A">
      <w:pPr>
        <w:pStyle w:val="Zkladntext"/>
        <w:ind w:left="1210"/>
        <w:rPr>
          <w:i/>
          <w:szCs w:val="22"/>
        </w:rPr>
      </w:pPr>
      <w:r w:rsidRPr="004D2D3A">
        <w:rPr>
          <w:i/>
          <w:szCs w:val="22"/>
        </w:rPr>
        <w:t>Nariadenie Európskeho parlamentu a Rady (EÚ) č. 1305/2013 zo 17. decembra 2013 o podpore rozvoja vidieka prostredníctvom Európskeho poľnohospodárskeho fondu pre rozvoj vidieka (EPFRV) a o zrušení nariadenia Rady (ES) č. 1698/2005 v platnom znení.</w:t>
      </w:r>
    </w:p>
    <w:p w14:paraId="5860F63D" w14:textId="77777777" w:rsidR="00B10D3A" w:rsidRDefault="00B10D3A" w:rsidP="00B10D3A">
      <w:pPr>
        <w:pStyle w:val="Zkladntext"/>
        <w:ind w:left="1210"/>
        <w:rPr>
          <w:i/>
          <w:szCs w:val="22"/>
        </w:rPr>
      </w:pPr>
      <w:r w:rsidRPr="004D2D3A">
        <w:rPr>
          <w:i/>
          <w:szCs w:val="22"/>
        </w:rPr>
        <w:t>Nariadenie Európskeho parlamentu a Rady (EÚ) č. 508/2014 z 15.mája 2014 o Európskom námornom a rybárskom fonde, ktorým sa zrušujú nariadenia Rady (ES) č. 2328/2003, (ES) č. 861/2006, (ES) č. 1198/2006 a (ES) č. 791/2007 a nariadenie Európskeho parlamentu a Rady (EÚ) č.1255/2011 v platnom znení.</w:t>
      </w:r>
    </w:p>
    <w:p w14:paraId="1AD35568" w14:textId="77777777" w:rsidR="00B10D3A" w:rsidRDefault="00B10D3A" w:rsidP="00B10D3A">
      <w:pPr>
        <w:pStyle w:val="Zkladntext"/>
        <w:ind w:left="1210"/>
        <w:rPr>
          <w:i/>
          <w:szCs w:val="22"/>
        </w:rPr>
      </w:pPr>
      <w:r w:rsidRPr="004D2D3A">
        <w:rPr>
          <w:i/>
          <w:szCs w:val="22"/>
        </w:rPr>
        <w:t>Nariadenie Európskeho parlamentu a Rady (EÚ) č. 1299/2013 z 17. decembra 2013 o osobitných ustanoveniach na podporu cieľa Európska územná spolupráca z Európskeho fondu regionálneho rozvoja v platnom znení.</w:t>
      </w:r>
    </w:p>
    <w:p w14:paraId="3880490E" w14:textId="77777777" w:rsidR="00B10D3A" w:rsidRDefault="00B10D3A" w:rsidP="00B10D3A">
      <w:pPr>
        <w:pStyle w:val="Zkladntext"/>
        <w:ind w:left="1210"/>
        <w:rPr>
          <w:i/>
          <w:szCs w:val="22"/>
        </w:rPr>
      </w:pPr>
      <w:r w:rsidRPr="004D2D3A">
        <w:rPr>
          <w:i/>
          <w:szCs w:val="22"/>
        </w:rPr>
        <w:t>Nariadenie Európskeho parlamentu a Rady (EÚ) č. 1302/2013 zo 17. decembra 2013, ktorým sa mení nariadenie (ES) č. 1082/2006 o Európskom zoskupení územnej spolupráce (EZÚS), pokiaľ ide o vyjasnenie, zjednodušenie a zlepšenie zakladania a fungovania takýchto zoskupení v platnom znení.</w:t>
      </w:r>
    </w:p>
    <w:p w14:paraId="2C7F627F" w14:textId="77777777" w:rsidR="00B10D3A" w:rsidRDefault="00B10D3A" w:rsidP="00B10D3A">
      <w:pPr>
        <w:pStyle w:val="Zkladntext"/>
        <w:ind w:left="1210"/>
        <w:rPr>
          <w:i/>
          <w:szCs w:val="22"/>
        </w:rPr>
      </w:pPr>
      <w:r w:rsidRPr="004D2D3A">
        <w:rPr>
          <w:i/>
          <w:szCs w:val="22"/>
        </w:rPr>
        <w:t xml:space="preserve">Nariadenie Európskeho parlamentu a Rady (EÚ) č. 1306/2013 zo 17. decembra </w:t>
      </w:r>
      <w:r w:rsidRPr="004D2D3A">
        <w:rPr>
          <w:i/>
          <w:szCs w:val="22"/>
        </w:rPr>
        <w:lastRenderedPageBreak/>
        <w:t>2013 o financovaní, riadení a monitorovaní spoločnej poľnohospodárskej politiky a ktorým sa zrušujú nariadenia Rady (EHS) č. 352/78, (ES) č. 165/94, (ES) č. 2799/98, (ES) č. 814/2000, (ES) č. 1290/2005 a (ES) č. 485/2008 v platnom znení.</w:t>
      </w:r>
    </w:p>
    <w:p w14:paraId="2DF275C2" w14:textId="77777777" w:rsidR="00B10D3A" w:rsidRDefault="00B10D3A" w:rsidP="00B10D3A">
      <w:pPr>
        <w:pStyle w:val="Zkladntext"/>
        <w:ind w:left="1210"/>
        <w:rPr>
          <w:i/>
          <w:szCs w:val="22"/>
        </w:rPr>
      </w:pPr>
      <w:r w:rsidRPr="004D2D3A">
        <w:rPr>
          <w:i/>
          <w:szCs w:val="22"/>
        </w:rPr>
        <w:t>Nariadenie Európskeho parlamentu a Rady (EÚ, Euratom) č.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v platnom znení.</w:t>
      </w:r>
    </w:p>
    <w:p w14:paraId="499C623A" w14:textId="77777777" w:rsidR="00B10D3A" w:rsidRDefault="00B10D3A" w:rsidP="00B10D3A">
      <w:pPr>
        <w:pStyle w:val="Zkladntext"/>
        <w:ind w:left="1210"/>
        <w:rPr>
          <w:i/>
          <w:szCs w:val="22"/>
        </w:rPr>
      </w:pPr>
      <w:r w:rsidRPr="004D2D3A">
        <w:rPr>
          <w:i/>
          <w:szCs w:val="22"/>
        </w:rPr>
        <w:t>Nariadenie Európskeho parlamentu a Rady (ES) č. 1082/2006 z 5. júla 2006 o Európskom zoskupení územnej spolupráce (EZÚS) v platnom znení.</w:t>
      </w:r>
    </w:p>
    <w:p w14:paraId="0F71213E" w14:textId="77777777" w:rsidR="00B10D3A" w:rsidRDefault="00B10D3A" w:rsidP="00B10D3A">
      <w:pPr>
        <w:pStyle w:val="Zkladntext"/>
        <w:rPr>
          <w:i/>
          <w:szCs w:val="22"/>
        </w:rPr>
      </w:pPr>
    </w:p>
    <w:p w14:paraId="0214F6A8" w14:textId="77777777" w:rsidR="00B10D3A" w:rsidRDefault="00B10D3A" w:rsidP="00B10D3A">
      <w:pPr>
        <w:pStyle w:val="Zkladntext"/>
        <w:ind w:left="1210"/>
        <w:rPr>
          <w:i/>
          <w:szCs w:val="22"/>
        </w:rPr>
      </w:pPr>
      <w:r w:rsidRPr="004D2D3A">
        <w:rPr>
          <w:i/>
          <w:szCs w:val="22"/>
        </w:rPr>
        <w:t>Vykonávacie nariadenie Komisie (EÚ) č. 215/2014 zo 7. marca 2014,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fondy.-sekundárnom (prijatom pred nadobudnutím platnosti Lisabonskej zmluvy, ktorou sa mení a dopĺňa Zmluva o Európskom spoločenstve a Zmluva o Európskej únii – do 30. novembra 2009)</w:t>
      </w:r>
      <w:r>
        <w:rPr>
          <w:i/>
          <w:szCs w:val="22"/>
        </w:rPr>
        <w:t>.</w:t>
      </w:r>
    </w:p>
    <w:p w14:paraId="7947482B" w14:textId="77777777" w:rsidR="00B10D3A" w:rsidRDefault="00B10D3A" w:rsidP="00B10D3A">
      <w:pPr>
        <w:pStyle w:val="Zkladntext"/>
        <w:ind w:left="1210"/>
        <w:rPr>
          <w:i/>
          <w:szCs w:val="22"/>
        </w:rPr>
      </w:pPr>
      <w:r w:rsidRPr="004D2D3A">
        <w:rPr>
          <w:i/>
          <w:szCs w:val="22"/>
        </w:rPr>
        <w:t>Rozhodnutie Rady z 25. júna 2007, ktorým sa zriaďuje Európsky fond pre integráciu štátnych príslušníkov tretích krajín na obdobie rokov 2007 až 2013 ako súčasť všeobecného programu Solidarita a riadenie migračných tokov (2007/435/ES) v platnom znení.</w:t>
      </w:r>
    </w:p>
    <w:p w14:paraId="3EA8A238" w14:textId="77777777" w:rsidR="00B10D3A" w:rsidRDefault="00B10D3A" w:rsidP="00B10D3A">
      <w:pPr>
        <w:pStyle w:val="Zkladntext"/>
        <w:ind w:left="1210"/>
        <w:rPr>
          <w:i/>
          <w:szCs w:val="22"/>
        </w:rPr>
      </w:pPr>
      <w:r w:rsidRPr="004D2D3A">
        <w:rPr>
          <w:i/>
          <w:szCs w:val="22"/>
        </w:rPr>
        <w:t>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v platnom znení.</w:t>
      </w:r>
    </w:p>
    <w:p w14:paraId="66640DD7" w14:textId="77777777" w:rsidR="00B10D3A" w:rsidRDefault="00B10D3A" w:rsidP="00B10D3A">
      <w:pPr>
        <w:pStyle w:val="Zkladntext"/>
        <w:ind w:left="1210"/>
        <w:rPr>
          <w:i/>
          <w:szCs w:val="22"/>
        </w:rPr>
      </w:pPr>
      <w:r w:rsidRPr="004D2D3A">
        <w:rPr>
          <w:i/>
          <w:szCs w:val="22"/>
        </w:rPr>
        <w:t>Nariadenie Európskeho parlamentu a Rady (ES) č. 1082/2006 z 5. júla 2006 o Európskom zoskupení územnej spolupráce (EZÚS) v platnom znení.</w:t>
      </w:r>
    </w:p>
    <w:p w14:paraId="2773E698" w14:textId="77777777" w:rsidR="00B10D3A" w:rsidRDefault="00B10D3A" w:rsidP="00B10D3A">
      <w:pPr>
        <w:pStyle w:val="Zkladntext"/>
        <w:ind w:left="1210"/>
        <w:rPr>
          <w:i/>
          <w:szCs w:val="22"/>
        </w:rPr>
      </w:pPr>
      <w:r w:rsidRPr="004D2D3A">
        <w:rPr>
          <w:i/>
          <w:szCs w:val="22"/>
        </w:rPr>
        <w:t>Nariadenie Komisie (ES) č. 885/2006 z 21. júna 2006, ktorým sa ustanovujú podrobné pravidlá uplatňovania nariadenia Rady (ES) č. 1290/2005, pokiaľ ide o akreditáciu platobných agentúr a iných orgánov a zúčtovania EPZF a EPFRV v platnom znení.</w:t>
      </w:r>
    </w:p>
    <w:p w14:paraId="246227DE" w14:textId="77777777" w:rsidR="00B10D3A" w:rsidRDefault="00B10D3A" w:rsidP="00B10D3A">
      <w:pPr>
        <w:pStyle w:val="Zkladntext"/>
        <w:ind w:left="1210"/>
        <w:rPr>
          <w:i/>
          <w:szCs w:val="22"/>
        </w:rPr>
      </w:pPr>
      <w:r w:rsidRPr="004D2D3A">
        <w:rPr>
          <w:i/>
          <w:szCs w:val="22"/>
        </w:rPr>
        <w:t>Nariadenie Rady (EURATOM, ES) č. 2185/96 z 11. novembra 1996 o kontrolách a 6inšpekciách na mieste, vykonávaných Komisiou s cieľom ochrany finančných záujmov Európskych spoločenstiev pred spreneverou a inými podvodmi v platnom znení.</w:t>
      </w:r>
    </w:p>
    <w:p w14:paraId="64A03089" w14:textId="77777777" w:rsidR="00B10D3A" w:rsidRDefault="00B10D3A" w:rsidP="00B10D3A">
      <w:pPr>
        <w:pStyle w:val="Zkladntext"/>
        <w:ind w:left="1210"/>
        <w:rPr>
          <w:i/>
          <w:szCs w:val="22"/>
        </w:rPr>
      </w:pPr>
      <w:r w:rsidRPr="004D2D3A">
        <w:rPr>
          <w:i/>
          <w:szCs w:val="22"/>
        </w:rPr>
        <w:t>Nariadenie Rady (ES, Euratom) č. 2988/95 z 18. decembra 1995 o ochrane finančných záujmov Európskych spoločenstiev v platnom znení</w:t>
      </w:r>
      <w:r>
        <w:rPr>
          <w:i/>
          <w:szCs w:val="22"/>
        </w:rPr>
        <w:t>.</w:t>
      </w:r>
    </w:p>
    <w:p w14:paraId="7072DD25" w14:textId="77777777" w:rsidR="00B10D3A" w:rsidRPr="00296FDF" w:rsidRDefault="00B10D3A" w:rsidP="00B10D3A">
      <w:pPr>
        <w:pStyle w:val="Zkladntext"/>
        <w:ind w:left="1210"/>
        <w:rPr>
          <w:i/>
        </w:rPr>
      </w:pPr>
    </w:p>
    <w:p w14:paraId="019ACB6F" w14:textId="77777777" w:rsidR="00B10D3A" w:rsidRPr="00296FDF" w:rsidRDefault="00B10D3A" w:rsidP="00B10D3A">
      <w:pPr>
        <w:pStyle w:val="Zkladntext"/>
        <w:widowControl/>
        <w:numPr>
          <w:ilvl w:val="1"/>
          <w:numId w:val="11"/>
        </w:numPr>
        <w:autoSpaceDE/>
        <w:autoSpaceDN/>
        <w:ind w:left="896"/>
      </w:pPr>
      <w:r w:rsidRPr="00296FDF">
        <w:t xml:space="preserve">judikatúre Súdneho dvora Európskej únie </w:t>
      </w:r>
    </w:p>
    <w:p w14:paraId="2A7AFF86" w14:textId="77777777" w:rsidR="00B10D3A" w:rsidRDefault="00B10D3A" w:rsidP="00B10D3A">
      <w:pPr>
        <w:ind w:left="896"/>
        <w:jc w:val="both"/>
        <w:rPr>
          <w:i/>
        </w:rPr>
      </w:pPr>
      <w:r>
        <w:rPr>
          <w:i/>
        </w:rPr>
        <w:t>R</w:t>
      </w:r>
      <w:r w:rsidRPr="004D2D3A">
        <w:rPr>
          <w:i/>
        </w:rPr>
        <w:t>ozhodnutie Súdneho dvora vo veci C 46/03, Spojené kráľovstvo Veľkej Británie a Sev</w:t>
      </w:r>
      <w:r>
        <w:rPr>
          <w:i/>
        </w:rPr>
        <w:t>erného Írska proti EK, [2005].</w:t>
      </w:r>
    </w:p>
    <w:p w14:paraId="4BA972E0" w14:textId="77777777" w:rsidR="00B10D3A" w:rsidRPr="00296FDF" w:rsidRDefault="00B10D3A" w:rsidP="00B10D3A">
      <w:pPr>
        <w:ind w:left="896"/>
        <w:jc w:val="both"/>
        <w:rPr>
          <w:i/>
        </w:rPr>
      </w:pPr>
      <w:r>
        <w:rPr>
          <w:i/>
        </w:rPr>
        <w:lastRenderedPageBreak/>
        <w:t>R</w:t>
      </w:r>
      <w:r w:rsidRPr="004D2D3A">
        <w:rPr>
          <w:i/>
        </w:rPr>
        <w:t>ozhodnutie Súdneho dvora vo veci T-102/03, Centro informativo per la collaborazione tra le imprese e la promozione degli investimenti in Sicilia SpA (CIS) proti EK, [2005]</w:t>
      </w:r>
      <w:r>
        <w:rPr>
          <w:i/>
        </w:rPr>
        <w:t>.</w:t>
      </w:r>
    </w:p>
    <w:p w14:paraId="3EA8CD62" w14:textId="77777777" w:rsidR="00B10D3A" w:rsidRPr="00296FDF" w:rsidRDefault="00B10D3A" w:rsidP="00B10D3A">
      <w:pPr>
        <w:tabs>
          <w:tab w:val="left" w:pos="340"/>
        </w:tabs>
        <w:jc w:val="both"/>
        <w:rPr>
          <w:b/>
          <w:bCs/>
        </w:rPr>
      </w:pPr>
      <w:r w:rsidRPr="00296FDF">
        <w:rPr>
          <w:b/>
          <w:bCs/>
        </w:rPr>
        <w:t>4. Záväzky Slovenskej republiky vo vzťahu k Európskej únii:</w:t>
      </w:r>
    </w:p>
    <w:p w14:paraId="6CDC0E34" w14:textId="77777777" w:rsidR="00B10D3A" w:rsidRPr="00296FDF" w:rsidRDefault="00B10D3A" w:rsidP="00B10D3A">
      <w:pPr>
        <w:pStyle w:val="Zkladntext"/>
        <w:widowControl/>
        <w:numPr>
          <w:ilvl w:val="1"/>
          <w:numId w:val="12"/>
        </w:numPr>
        <w:tabs>
          <w:tab w:val="left" w:pos="360"/>
        </w:tabs>
        <w:autoSpaceDE/>
        <w:autoSpaceDN/>
      </w:pPr>
      <w:r w:rsidRPr="00296FDF">
        <w:rPr>
          <w:bCs/>
        </w:rPr>
        <w:t>Lehota na prebranie príslušného právneho aktu Európskej únie, príp. aj osobitná lehota účinnosti jeho ustanovení</w:t>
      </w:r>
      <w:r w:rsidRPr="00296FDF">
        <w:t xml:space="preserve"> </w:t>
      </w:r>
    </w:p>
    <w:p w14:paraId="5119C66B" w14:textId="77777777" w:rsidR="00B10D3A" w:rsidRPr="00296FDF" w:rsidRDefault="00B10D3A" w:rsidP="00B10D3A">
      <w:pPr>
        <w:pStyle w:val="Zkladntext"/>
        <w:tabs>
          <w:tab w:val="left" w:pos="360"/>
        </w:tabs>
        <w:ind w:left="850"/>
        <w:rPr>
          <w:i/>
        </w:rPr>
      </w:pPr>
      <w:r w:rsidRPr="00296FDF">
        <w:rPr>
          <w:i/>
        </w:rPr>
        <w:t>nie je</w:t>
      </w:r>
      <w:r>
        <w:rPr>
          <w:i/>
        </w:rPr>
        <w:t>,</w:t>
      </w:r>
    </w:p>
    <w:p w14:paraId="64DDD581" w14:textId="77777777" w:rsidR="00B10D3A" w:rsidRPr="00296FDF" w:rsidRDefault="00B10D3A" w:rsidP="00B10D3A">
      <w:pPr>
        <w:pStyle w:val="Zkladntext"/>
        <w:tabs>
          <w:tab w:val="left" w:pos="360"/>
        </w:tabs>
        <w:ind w:left="850"/>
      </w:pPr>
    </w:p>
    <w:p w14:paraId="2D549F83" w14:textId="77777777" w:rsidR="00B10D3A" w:rsidRPr="003B7958" w:rsidRDefault="00B10D3A" w:rsidP="00B10D3A">
      <w:pPr>
        <w:pStyle w:val="Zkladntext"/>
        <w:widowControl/>
        <w:numPr>
          <w:ilvl w:val="1"/>
          <w:numId w:val="12"/>
        </w:numPr>
        <w:tabs>
          <w:tab w:val="left" w:pos="360"/>
        </w:tabs>
        <w:autoSpaceDE/>
        <w:autoSpaceDN/>
      </w:pPr>
      <w:r w:rsidRPr="003B7958">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227842C7" w14:textId="77777777" w:rsidR="00B10D3A" w:rsidRPr="003B7958" w:rsidRDefault="00B10D3A" w:rsidP="00B10D3A">
      <w:pPr>
        <w:pStyle w:val="Zkladntext"/>
        <w:tabs>
          <w:tab w:val="left" w:pos="360"/>
        </w:tabs>
        <w:ind w:left="850"/>
        <w:rPr>
          <w:i/>
        </w:rPr>
      </w:pPr>
      <w:r w:rsidRPr="003B7958">
        <w:rPr>
          <w:i/>
        </w:rPr>
        <w:t>nie je,</w:t>
      </w:r>
    </w:p>
    <w:p w14:paraId="7AA68C21" w14:textId="77777777" w:rsidR="00B10D3A" w:rsidRPr="003B7958" w:rsidRDefault="00B10D3A" w:rsidP="00B10D3A">
      <w:pPr>
        <w:pStyle w:val="Zkladntext"/>
        <w:tabs>
          <w:tab w:val="left" w:pos="360"/>
        </w:tabs>
        <w:ind w:left="850"/>
      </w:pPr>
    </w:p>
    <w:p w14:paraId="625AC4E6" w14:textId="77777777" w:rsidR="00B10D3A" w:rsidRPr="003B7958" w:rsidRDefault="00B10D3A" w:rsidP="00B10D3A">
      <w:pPr>
        <w:pStyle w:val="Zkladntext"/>
        <w:widowControl/>
        <w:numPr>
          <w:ilvl w:val="1"/>
          <w:numId w:val="12"/>
        </w:numPr>
        <w:tabs>
          <w:tab w:val="left" w:pos="360"/>
        </w:tabs>
        <w:autoSpaceDE/>
        <w:autoSpaceDN/>
      </w:pPr>
      <w:r w:rsidRPr="003B7958">
        <w:t>Informácia</w:t>
      </w:r>
      <w:r w:rsidRPr="003B7958">
        <w:rPr>
          <w:bCs/>
        </w:rPr>
        <w:t xml:space="preserve"> o právnych predpisoch, v ktorých sú uvádzané právne akty Európskej únie už prebrané, spolu s uvedením rozsahu ich prebrania, príp. potreby prijatia ďalších úprav  </w:t>
      </w:r>
    </w:p>
    <w:p w14:paraId="4F408F95" w14:textId="77777777" w:rsidR="00B10D3A" w:rsidRPr="003B7958" w:rsidRDefault="00B10D3A" w:rsidP="00B10D3A">
      <w:pPr>
        <w:pStyle w:val="Zkladntext"/>
        <w:tabs>
          <w:tab w:val="left" w:pos="360"/>
        </w:tabs>
        <w:ind w:left="850"/>
        <w:rPr>
          <w:i/>
        </w:rPr>
      </w:pPr>
      <w:r w:rsidRPr="003B7958">
        <w:rPr>
          <w:bCs/>
          <w:i/>
        </w:rPr>
        <w:t>nie je</w:t>
      </w:r>
      <w:r>
        <w:rPr>
          <w:bCs/>
          <w:i/>
        </w:rPr>
        <w:t>.</w:t>
      </w:r>
    </w:p>
    <w:p w14:paraId="7AD133C6" w14:textId="77777777" w:rsidR="00B10D3A" w:rsidRPr="00296FDF" w:rsidRDefault="00B10D3A" w:rsidP="00B10D3A">
      <w:pPr>
        <w:pStyle w:val="Zkladntext"/>
        <w:tabs>
          <w:tab w:val="left" w:pos="360"/>
        </w:tabs>
        <w:ind w:left="850"/>
        <w:rPr>
          <w:i/>
        </w:rPr>
      </w:pPr>
    </w:p>
    <w:p w14:paraId="46BC1B4E" w14:textId="77777777" w:rsidR="00B10D3A" w:rsidRDefault="00B10D3A" w:rsidP="00B10D3A">
      <w:pPr>
        <w:jc w:val="both"/>
        <w:rPr>
          <w:b/>
          <w:bCs/>
        </w:rPr>
      </w:pPr>
      <w:r w:rsidRPr="00296FDF">
        <w:rPr>
          <w:b/>
          <w:bCs/>
        </w:rPr>
        <w:t xml:space="preserve">5. Návrh zákona je zlučiteľný s právom Európskej únie:  </w:t>
      </w:r>
    </w:p>
    <w:p w14:paraId="39705A3A" w14:textId="77777777" w:rsidR="00B10D3A" w:rsidRPr="00294482" w:rsidRDefault="00B10D3A" w:rsidP="00B10D3A">
      <w:pPr>
        <w:ind w:firstLine="708"/>
        <w:jc w:val="both"/>
      </w:pPr>
      <w:r w:rsidRPr="00296FDF">
        <w:rPr>
          <w:bCs/>
          <w:i/>
        </w:rPr>
        <w:t>úplne.</w:t>
      </w:r>
      <w:r w:rsidRPr="00294482">
        <w:t xml:space="preserve">  </w:t>
      </w:r>
    </w:p>
    <w:p w14:paraId="42BF44F1" w14:textId="59563550" w:rsidR="00B10D3A" w:rsidRDefault="00B10D3A">
      <w:pPr>
        <w:rPr>
          <w:bCs/>
          <w:lang w:val="sk-SK"/>
        </w:rPr>
      </w:pPr>
      <w:r>
        <w:rPr>
          <w:bCs/>
          <w:lang w:val="sk-SK"/>
        </w:rPr>
        <w:br w:type="page"/>
      </w:r>
    </w:p>
    <w:p w14:paraId="5B482F21" w14:textId="77777777" w:rsidR="00B10D3A" w:rsidRPr="00241497" w:rsidRDefault="00B10D3A" w:rsidP="00B10D3A">
      <w:pPr>
        <w:rPr>
          <w:bCs/>
          <w:lang w:val="sk-SK"/>
        </w:rPr>
      </w:pPr>
      <w:bookmarkStart w:id="0" w:name="_GoBack"/>
      <w:bookmarkEnd w:id="0"/>
    </w:p>
    <w:p w14:paraId="2872902C" w14:textId="77777777" w:rsidR="0008477D" w:rsidRPr="00241497" w:rsidRDefault="0008477D" w:rsidP="00D524D1">
      <w:pPr>
        <w:pStyle w:val="Odsekzoznamu"/>
        <w:numPr>
          <w:ilvl w:val="0"/>
          <w:numId w:val="1"/>
        </w:numPr>
        <w:spacing w:after="4"/>
        <w:ind w:left="426" w:hanging="426"/>
        <w:jc w:val="both"/>
        <w:rPr>
          <w:b/>
          <w:bCs/>
          <w:lang w:val="sk-SK"/>
        </w:rPr>
      </w:pPr>
      <w:r w:rsidRPr="00241497">
        <w:rPr>
          <w:b/>
          <w:bCs/>
          <w:lang w:val="sk-SK"/>
        </w:rPr>
        <w:t>Osobitná časť</w:t>
      </w:r>
    </w:p>
    <w:p w14:paraId="4E11B5C2" w14:textId="77777777" w:rsidR="00D524D1" w:rsidRPr="00241497" w:rsidRDefault="00D524D1" w:rsidP="00D524D1">
      <w:pPr>
        <w:pStyle w:val="Odsekzoznamu"/>
        <w:spacing w:after="4"/>
        <w:ind w:left="426"/>
        <w:jc w:val="both"/>
        <w:rPr>
          <w:bCs/>
          <w:lang w:val="sk-SK"/>
        </w:rPr>
      </w:pPr>
    </w:p>
    <w:p w14:paraId="1876C226" w14:textId="3DDB34A6" w:rsidR="0008477D" w:rsidRPr="00241497" w:rsidRDefault="00241497" w:rsidP="0008477D">
      <w:pPr>
        <w:spacing w:afterLines="20" w:after="48"/>
        <w:ind w:right="7455"/>
        <w:rPr>
          <w:b/>
          <w:bCs/>
          <w:lang w:val="sk-SK"/>
        </w:rPr>
      </w:pPr>
      <w:r w:rsidRPr="00241497">
        <w:rPr>
          <w:b/>
          <w:bCs/>
          <w:lang w:val="sk-SK"/>
        </w:rPr>
        <w:t>K č</w:t>
      </w:r>
      <w:r w:rsidR="0008477D" w:rsidRPr="00241497">
        <w:rPr>
          <w:b/>
          <w:bCs/>
          <w:lang w:val="sk-SK"/>
        </w:rPr>
        <w:t>l. I</w:t>
      </w:r>
    </w:p>
    <w:p w14:paraId="1F02EA26" w14:textId="77777777" w:rsidR="00484975" w:rsidRPr="00241497" w:rsidRDefault="00484975" w:rsidP="0008477D">
      <w:pPr>
        <w:pStyle w:val="Nadpis1"/>
        <w:spacing w:afterLines="20" w:after="48"/>
        <w:ind w:left="0"/>
        <w:rPr>
          <w:b w:val="0"/>
        </w:rPr>
      </w:pPr>
    </w:p>
    <w:p w14:paraId="4DDD6C13" w14:textId="77777777" w:rsidR="0008477D" w:rsidRPr="00241497" w:rsidRDefault="008C6625" w:rsidP="0008477D">
      <w:pPr>
        <w:pStyle w:val="Nadpis1"/>
        <w:spacing w:afterLines="20" w:after="48"/>
        <w:ind w:left="0"/>
        <w:rPr>
          <w:b w:val="0"/>
        </w:rPr>
      </w:pPr>
      <w:r w:rsidRPr="00241497">
        <w:rPr>
          <w:b w:val="0"/>
        </w:rPr>
        <w:t xml:space="preserve">K </w:t>
      </w:r>
      <w:r w:rsidR="0008477D" w:rsidRPr="00241497">
        <w:rPr>
          <w:b w:val="0"/>
        </w:rPr>
        <w:t xml:space="preserve">bodu </w:t>
      </w:r>
      <w:r w:rsidR="00CF133C" w:rsidRPr="00241497">
        <w:rPr>
          <w:b w:val="0"/>
        </w:rPr>
        <w:t>1</w:t>
      </w:r>
      <w:r w:rsidR="0008477D" w:rsidRPr="00241497">
        <w:rPr>
          <w:b w:val="0"/>
        </w:rPr>
        <w:t xml:space="preserve"> (§ 28 ods. 5)</w:t>
      </w:r>
    </w:p>
    <w:p w14:paraId="4287FE8D" w14:textId="0D95D303" w:rsidR="0008477D" w:rsidRDefault="0008477D" w:rsidP="0008477D">
      <w:pPr>
        <w:spacing w:after="4"/>
        <w:ind w:firstLine="720"/>
        <w:jc w:val="both"/>
        <w:rPr>
          <w:bCs/>
          <w:lang w:val="sk-SK"/>
        </w:rPr>
      </w:pPr>
      <w:r w:rsidRPr="00241497">
        <w:rPr>
          <w:bCs/>
          <w:lang w:val="sk-SK"/>
        </w:rPr>
        <w:t>Právna úprava umožňujúca zmeniť rozhodnutie o neschválení žiadosti v prípade projektov technickej pomoci smeruje k zjednodušeniu prípravy a schvaľovania projektov technickej pomoci. V súčasnosti nie je možné pri projektoch technickej pomoci využívať inštitút tzv. zásobníka projektov podľa § 21 zákona č. 292/2014 Z. z. o príspevku poskytovanom z európskych štrukturálnych a investičných fondov a o zmene a doplnení niektorých zákonov, ktorý umožňuje zmeniť rozhodnutie o neschválení žiadosti na rozhodnutie o schválení žiadosti v prípade, ak poskytovateľ disponuje dostatočnými finančnými prostriedkami a sú splnené ďalšie podmienky podľa zákona.</w:t>
      </w:r>
    </w:p>
    <w:p w14:paraId="47CCC147" w14:textId="77777777" w:rsidR="00797607" w:rsidRPr="00241497" w:rsidRDefault="00797607" w:rsidP="0008477D">
      <w:pPr>
        <w:spacing w:after="4"/>
        <w:ind w:firstLine="720"/>
        <w:jc w:val="both"/>
        <w:rPr>
          <w:bCs/>
          <w:lang w:val="sk-SK"/>
        </w:rPr>
      </w:pPr>
    </w:p>
    <w:p w14:paraId="763D4568" w14:textId="5FDAE090" w:rsidR="0008477D" w:rsidRDefault="0008477D" w:rsidP="0008477D">
      <w:pPr>
        <w:spacing w:after="4"/>
        <w:ind w:firstLine="720"/>
        <w:jc w:val="both"/>
        <w:rPr>
          <w:bCs/>
          <w:lang w:val="sk-SK"/>
        </w:rPr>
      </w:pPr>
      <w:r w:rsidRPr="00241497">
        <w:rPr>
          <w:bCs/>
          <w:lang w:val="sk-SK"/>
        </w:rPr>
        <w:t>Pri projektoch technickej pomoci sa neaplikujú výberové kritériá, tieto projekty nemajú súťažný charakter a projekty sa od seba odlišujú len poradím, v rámci ktorého je rozhodujúci dátum a čas predloženia žiadosti o NFP. V prípade projektov technickej pomoci do účinnosti tejto právnej úpravy platilo, že ak na niektorý projekt nebola k dispozícii dostatočná disponibilná alokácia, poskytovateľ rozhodol o neschválení žiadosti a pokiaľ následne došlo k uvoľneniu finančných prostriedkov v rámci vyzvania, žiadateľ musel predložiť nový projekt a opätovne prejsť celým schvaľovacím procesom.</w:t>
      </w:r>
    </w:p>
    <w:p w14:paraId="78792AA6" w14:textId="77777777" w:rsidR="00797607" w:rsidRPr="00241497" w:rsidRDefault="00797607" w:rsidP="0008477D">
      <w:pPr>
        <w:spacing w:after="4"/>
        <w:ind w:firstLine="720"/>
        <w:jc w:val="both"/>
        <w:rPr>
          <w:bCs/>
          <w:lang w:val="sk-SK"/>
        </w:rPr>
      </w:pPr>
    </w:p>
    <w:p w14:paraId="279C8CFC" w14:textId="5B66262D" w:rsidR="0008477D" w:rsidRDefault="0008477D" w:rsidP="0008477D">
      <w:pPr>
        <w:spacing w:after="4"/>
        <w:ind w:firstLine="720"/>
        <w:jc w:val="both"/>
        <w:rPr>
          <w:bCs/>
          <w:lang w:val="sk-SK"/>
        </w:rPr>
      </w:pPr>
      <w:r w:rsidRPr="00241497">
        <w:rPr>
          <w:bCs/>
          <w:lang w:val="sk-SK"/>
        </w:rPr>
        <w:t xml:space="preserve">Navrhovanou zmenou môže poskytovateľ z vlastného podnetu zmeniť právoplatné rozhodnutie o neschválení žiadosti a rozhodnúť o jej schválení, ak žiadosť nebolo možné schváliť iba z dôvodu  nedostatku finančných prostriedkov určených na vyčerpanie vo vyzvaní, ak poskytovateľ disponuje dostatočnými finančnými prostriedkami určenými na zabezpečenie financovania projektu, ktorý je predmetom žiadosti, žiadateľ spĺňa podmienky poskytovania príspevku určené vo vyzvaní a zároveň so zmenou rozhodnutia žiadateľ súhlasí. </w:t>
      </w:r>
    </w:p>
    <w:p w14:paraId="78D3808F" w14:textId="77777777" w:rsidR="00797607" w:rsidRPr="00241497" w:rsidRDefault="00797607" w:rsidP="0008477D">
      <w:pPr>
        <w:spacing w:after="4"/>
        <w:ind w:firstLine="720"/>
        <w:jc w:val="both"/>
        <w:rPr>
          <w:bCs/>
          <w:lang w:val="sk-SK"/>
        </w:rPr>
      </w:pPr>
    </w:p>
    <w:p w14:paraId="3BD97018" w14:textId="64F7E396" w:rsidR="0008477D" w:rsidRDefault="0008477D" w:rsidP="0008477D">
      <w:pPr>
        <w:spacing w:after="4"/>
        <w:ind w:firstLine="720"/>
        <w:jc w:val="both"/>
        <w:rPr>
          <w:bCs/>
          <w:lang w:val="sk-SK"/>
        </w:rPr>
      </w:pPr>
      <w:r w:rsidRPr="00241497">
        <w:rPr>
          <w:bCs/>
          <w:lang w:val="sk-SK"/>
        </w:rPr>
        <w:t>Pri rozhodovaní o zmene rozhodnutia o neschválení žiadosti je poskytovateľ viazaný dodržaním poradia žiadostí podľa dátumu a času ich predloženia. Zároveň platí, že pokiaľ disponibilné finančné prostriedky, ktoré sa uvoľnili na vyčerpanie vo vyzvaní nepostačujú na zabezpečenie financovania projektu, ktorý je predmetom žiadosti, ktorá bola podľa dátumu a času predloženia umiestnená ako prvá v poradí, poskytovateľ koná v tzv. zmenovom konaní o tej ďalšej nasledujúcej žiadosti podľa poradia, na ktorú disponibilná alokácia postačuje.</w:t>
      </w:r>
    </w:p>
    <w:p w14:paraId="14E2D23A" w14:textId="77777777" w:rsidR="00797607" w:rsidRPr="00241497" w:rsidRDefault="00797607" w:rsidP="0008477D">
      <w:pPr>
        <w:spacing w:after="4"/>
        <w:ind w:firstLine="720"/>
        <w:jc w:val="both"/>
        <w:rPr>
          <w:bCs/>
          <w:lang w:val="sk-SK"/>
        </w:rPr>
      </w:pPr>
    </w:p>
    <w:p w14:paraId="1FAE2CAD" w14:textId="5CA7C1A7" w:rsidR="0008477D" w:rsidRDefault="0008477D" w:rsidP="0008477D">
      <w:pPr>
        <w:spacing w:after="4"/>
        <w:ind w:firstLine="720"/>
        <w:jc w:val="both"/>
        <w:rPr>
          <w:bCs/>
          <w:lang w:val="sk-SK"/>
        </w:rPr>
      </w:pPr>
      <w:r w:rsidRPr="00241497">
        <w:rPr>
          <w:bCs/>
          <w:lang w:val="sk-SK"/>
        </w:rPr>
        <w:t xml:space="preserve"> V rámci vyššie uvedeného sa zdôrazňuje, že v súlade s princípmi § 2 ods. 2 zákona č. 292/2014 Z. z. o príspevku poskytovanom z európskych štrukturálnych a investičných fondov a o zmene a doplnení niektorých zákonov poskytovateľ nie je oprávnený postupne navyšovať alokáciu určenú na vyčerpanie s cieľom účelovo podporiť konkrétnu žiadosť, o ktorej neschválení z dôvodu nedostatku finančných prostriedkov bolo predtým rozhodnuté.</w:t>
      </w:r>
    </w:p>
    <w:p w14:paraId="2ABD018E" w14:textId="77777777" w:rsidR="00797607" w:rsidRPr="00241497" w:rsidRDefault="00797607" w:rsidP="0008477D">
      <w:pPr>
        <w:spacing w:after="4"/>
        <w:ind w:firstLine="720"/>
        <w:jc w:val="both"/>
        <w:rPr>
          <w:bCs/>
          <w:lang w:val="sk-SK"/>
        </w:rPr>
      </w:pPr>
    </w:p>
    <w:p w14:paraId="77F4A829" w14:textId="77777777" w:rsidR="0008477D" w:rsidRPr="00241497" w:rsidRDefault="0008477D" w:rsidP="0008477D">
      <w:pPr>
        <w:spacing w:after="4"/>
        <w:ind w:firstLine="720"/>
        <w:jc w:val="both"/>
        <w:rPr>
          <w:bCs/>
          <w:lang w:val="sk-SK"/>
        </w:rPr>
      </w:pPr>
      <w:r w:rsidRPr="00241497">
        <w:rPr>
          <w:bCs/>
          <w:lang w:val="sk-SK"/>
        </w:rPr>
        <w:t>Navrhovaná zmena umožniť využívanie inštitútu zásobníka projektov aj pri projektoch technickej pomoci smeruje k odstráneniu administratívnej záťaže, ako aj k efektívnejšiemu čerpaniu finančných prostriedkov.</w:t>
      </w:r>
    </w:p>
    <w:p w14:paraId="7FE41963" w14:textId="77777777" w:rsidR="0008477D" w:rsidRPr="00241497" w:rsidRDefault="0008477D" w:rsidP="0008477D">
      <w:pPr>
        <w:pStyle w:val="Zkladntext"/>
        <w:spacing w:afterLines="20" w:after="48"/>
        <w:ind w:left="0"/>
        <w:jc w:val="left"/>
        <w:rPr>
          <w:bCs/>
        </w:rPr>
      </w:pPr>
    </w:p>
    <w:p w14:paraId="6CAEEBC4" w14:textId="77777777" w:rsidR="0008477D" w:rsidRPr="00241497" w:rsidRDefault="0008477D" w:rsidP="0008477D">
      <w:pPr>
        <w:pStyle w:val="Nadpis1"/>
        <w:spacing w:afterLines="20" w:after="48"/>
        <w:ind w:left="0"/>
        <w:rPr>
          <w:b w:val="0"/>
        </w:rPr>
      </w:pPr>
      <w:r w:rsidRPr="00241497">
        <w:rPr>
          <w:b w:val="0"/>
        </w:rPr>
        <w:t xml:space="preserve">K bodom </w:t>
      </w:r>
      <w:r w:rsidR="00CF133C" w:rsidRPr="00241497">
        <w:rPr>
          <w:b w:val="0"/>
        </w:rPr>
        <w:t>2</w:t>
      </w:r>
      <w:r w:rsidRPr="00241497">
        <w:rPr>
          <w:b w:val="0"/>
        </w:rPr>
        <w:t xml:space="preserve"> (nadpis nad § 56) a </w:t>
      </w:r>
      <w:r w:rsidR="00CF133C" w:rsidRPr="00241497">
        <w:rPr>
          <w:b w:val="0"/>
        </w:rPr>
        <w:t>3</w:t>
      </w:r>
      <w:r w:rsidRPr="00241497">
        <w:rPr>
          <w:b w:val="0"/>
        </w:rPr>
        <w:t xml:space="preserve"> (§ 56 ods. 1)</w:t>
      </w:r>
    </w:p>
    <w:p w14:paraId="0D97A156" w14:textId="2FF16EEB" w:rsidR="0008477D" w:rsidRDefault="0008477D" w:rsidP="0008477D">
      <w:pPr>
        <w:pStyle w:val="Nadpis1"/>
        <w:spacing w:afterLines="20" w:after="48"/>
        <w:ind w:left="0" w:firstLine="720"/>
        <w:rPr>
          <w:b w:val="0"/>
        </w:rPr>
      </w:pPr>
      <w:r w:rsidRPr="00241497">
        <w:rPr>
          <w:b w:val="0"/>
        </w:rPr>
        <w:t xml:space="preserve">Právna úprava nadväzuje na zákon č. 128/2020 Z. z., ktorým sa mení a dopĺňa zákon č. </w:t>
      </w:r>
      <w:r w:rsidRPr="00241497">
        <w:rPr>
          <w:b w:val="0"/>
        </w:rPr>
        <w:lastRenderedPageBreak/>
        <w:t xml:space="preserve">292/2014 Z. z. o príspevku poskytovanom z európskych štrukturálnych a investičných fondov a o zmene a doplnení niektorých zákonov v znení neskorších predpisov a ktorým sa dopĺňa zákon č. 528/2008 Z. z. o pomoci a podpore poskytovanej z fondov Európskeho spoločenstva v znení neskorších predpisov, ktorým boli v reakcii na situáciu, ktorá nastala v spoločnosti v súvislosti s pandémiou COVID-19, doplnené osobitné procesné ustanovenia umožňujúce poskytovateľom, prijímateľom a ostatným subjektom participujúcim na implementácii poskytovania pomoci, podpory a príspevku z fondov EÚ flexibilnejšie sa prispôsobiť zmenám, ktoré vo vzťahu k pandémii v spoločnosti nastali. </w:t>
      </w:r>
    </w:p>
    <w:p w14:paraId="5C38E80A" w14:textId="77777777" w:rsidR="00797607" w:rsidRPr="00241497" w:rsidRDefault="00797607" w:rsidP="0008477D">
      <w:pPr>
        <w:pStyle w:val="Nadpis1"/>
        <w:spacing w:afterLines="20" w:after="48"/>
        <w:ind w:left="0" w:firstLine="720"/>
        <w:rPr>
          <w:b w:val="0"/>
        </w:rPr>
      </w:pPr>
    </w:p>
    <w:p w14:paraId="2745741C" w14:textId="0E2AAA18" w:rsidR="0039631A" w:rsidRDefault="0039631A" w:rsidP="0039631A">
      <w:pPr>
        <w:pStyle w:val="Nadpis1"/>
        <w:spacing w:afterLines="20" w:after="48"/>
        <w:ind w:left="0" w:firstLine="720"/>
        <w:rPr>
          <w:b w:val="0"/>
        </w:rPr>
      </w:pPr>
      <w:r w:rsidRPr="00241497">
        <w:rPr>
          <w:b w:val="0"/>
        </w:rPr>
        <w:t>Rozšírenie aktuálnej právnej úpravy nielen vo vzťahu k pandémii COVID-19, ale aj pre iné krízové situácie, umožní aj v súčasnej situácii vojnového konfliktu, ktorého dôsledkom je navyšovanie cien, problémy s dodávkami rôznych tovarov, nedostatok pracovných síl a ďalšie, zachovať plynulosť čerpania finančných prostriedkov už zazmluvnených národných projektov a poskytovateľom operatívne reagovať na požiadavky súvisiace s presmerovaním finančných prostriedkov vo vzťahu k už vyhláseným, prípadne pripravovaným vyzvaniam, a to v rámci možnosti zmeny vyzvania pre národný projekt.</w:t>
      </w:r>
    </w:p>
    <w:p w14:paraId="15CC01C2" w14:textId="77777777" w:rsidR="00797607" w:rsidRPr="00241497" w:rsidRDefault="00797607" w:rsidP="0039631A">
      <w:pPr>
        <w:pStyle w:val="Nadpis1"/>
        <w:spacing w:afterLines="20" w:after="48"/>
        <w:ind w:left="0" w:firstLine="720"/>
        <w:rPr>
          <w:b w:val="0"/>
        </w:rPr>
      </w:pPr>
    </w:p>
    <w:p w14:paraId="0D151FB6" w14:textId="4E6C3B4E" w:rsidR="0008477D" w:rsidRDefault="0008477D" w:rsidP="0008477D">
      <w:pPr>
        <w:pStyle w:val="Nadpis1"/>
        <w:spacing w:afterLines="20" w:after="48"/>
        <w:ind w:left="0" w:firstLine="720"/>
        <w:rPr>
          <w:b w:val="0"/>
        </w:rPr>
      </w:pPr>
      <w:r w:rsidRPr="00241497">
        <w:rPr>
          <w:b w:val="0"/>
        </w:rPr>
        <w:t>Navrhovanou právnou úpravou sa umožňuje využitie týchto osobitných ustanovení v rámci akejkoľvek krízovej situácie na území Slovenskej republiky.</w:t>
      </w:r>
      <w:r w:rsidR="00ED6196" w:rsidRPr="00241497">
        <w:rPr>
          <w:b w:val="0"/>
        </w:rPr>
        <w:t xml:space="preserve"> Vzhľadom na to, že opätovný nábeh fungovania poskytovateľov aj prijímateľov nebude skokový, ale postupný, pričom sa budú musieť postupne vyrovnávať s následkami všetkých obmedzení existujúcich počas vyhlásenej mimoriadnej situácie prípadne núdzového stavu, </w:t>
      </w:r>
      <w:r w:rsidR="009473E1" w:rsidRPr="00241497">
        <w:rPr>
          <w:b w:val="0"/>
        </w:rPr>
        <w:t>uplatňuje</w:t>
      </w:r>
      <w:r w:rsidR="00ED6196" w:rsidRPr="00241497">
        <w:rPr>
          <w:b w:val="0"/>
        </w:rPr>
        <w:t xml:space="preserve"> sa prechodné šesť mesačné obdobie, počas ktorého trvajú všetky osobitné postupy.</w:t>
      </w:r>
      <w:r w:rsidR="0039631A" w:rsidRPr="00241497">
        <w:rPr>
          <w:b w:val="0"/>
        </w:rPr>
        <w:t xml:space="preserve"> Zároveň sa </w:t>
      </w:r>
      <w:r w:rsidR="002F23BD" w:rsidRPr="00241497">
        <w:rPr>
          <w:b w:val="0"/>
        </w:rPr>
        <w:t xml:space="preserve">definícia </w:t>
      </w:r>
      <w:r w:rsidR="00241497" w:rsidRPr="00241497">
        <w:rPr>
          <w:b w:val="0"/>
        </w:rPr>
        <w:t>„</w:t>
      </w:r>
      <w:r w:rsidR="002F23BD" w:rsidRPr="00241497">
        <w:rPr>
          <w:b w:val="0"/>
          <w:i/>
        </w:rPr>
        <w:t>krízovej situácie</w:t>
      </w:r>
      <w:r w:rsidR="00241497" w:rsidRPr="00241497">
        <w:rPr>
          <w:b w:val="0"/>
          <w:i/>
        </w:rPr>
        <w:t>“</w:t>
      </w:r>
      <w:r w:rsidR="002F23BD" w:rsidRPr="00241497">
        <w:rPr>
          <w:b w:val="0"/>
        </w:rPr>
        <w:t xml:space="preserve"> rozširuje tak</w:t>
      </w:r>
      <w:r w:rsidR="0039631A" w:rsidRPr="00241497">
        <w:rPr>
          <w:b w:val="0"/>
        </w:rPr>
        <w:t xml:space="preserve">, že </w:t>
      </w:r>
      <w:r w:rsidR="002F23BD" w:rsidRPr="00241497">
        <w:rPr>
          <w:b w:val="0"/>
        </w:rPr>
        <w:t>osobitné postupy</w:t>
      </w:r>
      <w:r w:rsidR="00241497" w:rsidRPr="00241497">
        <w:rPr>
          <w:b w:val="0"/>
        </w:rPr>
        <w:t xml:space="preserve"> je možné využiť aj z dôvodu</w:t>
      </w:r>
      <w:r w:rsidR="0039631A" w:rsidRPr="00241497">
        <w:rPr>
          <w:b w:val="0"/>
        </w:rPr>
        <w:t xml:space="preserve"> tzv. „</w:t>
      </w:r>
      <w:r w:rsidR="0039631A" w:rsidRPr="00241497">
        <w:rPr>
          <w:b w:val="0"/>
          <w:i/>
        </w:rPr>
        <w:t>vis maior</w:t>
      </w:r>
      <w:r w:rsidR="0039631A" w:rsidRPr="00241497">
        <w:rPr>
          <w:b w:val="0"/>
        </w:rPr>
        <w:t xml:space="preserve">“, to znamená z dôvodu objektívnej mimoriadnej udalosti nespôsobenej </w:t>
      </w:r>
      <w:r w:rsidR="002F23BD" w:rsidRPr="00241497">
        <w:rPr>
          <w:b w:val="0"/>
        </w:rPr>
        <w:t>prijímateľom</w:t>
      </w:r>
      <w:r w:rsidR="0039631A" w:rsidRPr="00241497">
        <w:rPr>
          <w:b w:val="0"/>
        </w:rPr>
        <w:t>, ktorú nemohol predvídať.</w:t>
      </w:r>
    </w:p>
    <w:p w14:paraId="292BF249" w14:textId="77777777" w:rsidR="00797607" w:rsidRPr="00241497" w:rsidRDefault="00797607" w:rsidP="0008477D">
      <w:pPr>
        <w:pStyle w:val="Nadpis1"/>
        <w:spacing w:afterLines="20" w:after="48"/>
        <w:ind w:left="0" w:firstLine="720"/>
        <w:rPr>
          <w:b w:val="0"/>
        </w:rPr>
      </w:pPr>
    </w:p>
    <w:p w14:paraId="107A80DA" w14:textId="68D7E29D" w:rsidR="0039631A" w:rsidRDefault="002F23BD" w:rsidP="00E013E5">
      <w:pPr>
        <w:pStyle w:val="Nadpis1"/>
        <w:spacing w:afterLines="20" w:after="48"/>
        <w:ind w:firstLine="720"/>
        <w:rPr>
          <w:b w:val="0"/>
        </w:rPr>
      </w:pPr>
      <w:r w:rsidRPr="00241497">
        <w:rPr>
          <w:b w:val="0"/>
        </w:rPr>
        <w:t>V rámci osobitných procesných ustanovení v</w:t>
      </w:r>
      <w:r w:rsidR="00E013E5" w:rsidRPr="00241497">
        <w:rPr>
          <w:b w:val="0"/>
        </w:rPr>
        <w:t> čase krízovej situácie sa naďalej pri zasadnutí kolektívnych orgánov umožňuje využitie elektronických prostriedkov</w:t>
      </w:r>
      <w:r w:rsidRPr="00241497">
        <w:rPr>
          <w:b w:val="0"/>
        </w:rPr>
        <w:t>.</w:t>
      </w:r>
      <w:r w:rsidR="00E013E5" w:rsidRPr="00241497">
        <w:rPr>
          <w:b w:val="0"/>
        </w:rPr>
        <w:t xml:space="preserve"> </w:t>
      </w:r>
      <w:r w:rsidRPr="00241497">
        <w:rPr>
          <w:b w:val="0"/>
        </w:rPr>
        <w:t>P</w:t>
      </w:r>
      <w:r w:rsidR="0039631A" w:rsidRPr="00241497">
        <w:rPr>
          <w:b w:val="0"/>
        </w:rPr>
        <w:t>re poskytovateľa</w:t>
      </w:r>
      <w:r w:rsidRPr="00241497">
        <w:rPr>
          <w:b w:val="0"/>
        </w:rPr>
        <w:t xml:space="preserve"> sa</w:t>
      </w:r>
      <w:r w:rsidR="0039631A" w:rsidRPr="00241497">
        <w:rPr>
          <w:b w:val="0"/>
        </w:rPr>
        <w:t xml:space="preserve"> naďalej umožňuje flexibilne reagovať na spoločenské potreby, mimoriadnu situáciu a potreby implementácie úpravou existujúceho národného projektu. Uvedeným spôsobom sa eliminuje administratívna záťaž spočívajúca v potrebe prípravy, schválenia a vyhlásenia nového vyzvania, vykonania nového konania o žiadosti a zazmluvnenia projektu. </w:t>
      </w:r>
      <w:r w:rsidR="00E013E5" w:rsidRPr="00241497">
        <w:rPr>
          <w:b w:val="0"/>
        </w:rPr>
        <w:t>V čase krízovej situácie bude naďalej</w:t>
      </w:r>
      <w:r w:rsidR="0039631A" w:rsidRPr="00241497">
        <w:rPr>
          <w:b w:val="0"/>
        </w:rPr>
        <w:t xml:space="preserve"> možné</w:t>
      </w:r>
      <w:r w:rsidR="00E013E5" w:rsidRPr="00241497">
        <w:rPr>
          <w:b w:val="0"/>
        </w:rPr>
        <w:t xml:space="preserve"> napríklad</w:t>
      </w:r>
      <w:r w:rsidR="0039631A" w:rsidRPr="00241497">
        <w:rPr>
          <w:b w:val="0"/>
        </w:rPr>
        <w:t xml:space="preserve"> meniť vyzvanie aktuálne otvorené aj uzavreté, t. j. aj v prípade, ak už je národný projekt v realizácii. Vyzvanie bude možné meniť akýmkoľvek spôsobom, teda napr. rozšíriť jednotlivé podmienky poskytnutia príspevku (napr. zmena cieľovej skupiny, doplnenie aktivity alebo podaktivity, predĺženie maximálne doby realizácie projektu)</w:t>
      </w:r>
      <w:r w:rsidR="00171A94" w:rsidRPr="00241497">
        <w:rPr>
          <w:b w:val="0"/>
        </w:rPr>
        <w:t xml:space="preserve"> alebo navýšiť výšku nenávratného finančného príspevku</w:t>
      </w:r>
      <w:r w:rsidR="0039631A" w:rsidRPr="00241497">
        <w:rPr>
          <w:b w:val="0"/>
        </w:rPr>
        <w:t>. Nebude možná zmena podmienok poskytnutia príspevku vzťahujúcich sa k subjektom, ktoré realizujú projekt, t. j. op</w:t>
      </w:r>
      <w:r w:rsidR="00E013E5" w:rsidRPr="00241497">
        <w:rPr>
          <w:b w:val="0"/>
        </w:rPr>
        <w:t xml:space="preserve">rávnenosť žiadateľa a partnera. Ďalej zostáva zachovaná možnosť pri vykonaní zmeny zmluvy využívať len oznámenie poskytovateľa prijímateľovi s odkazom na vzorovú zmenu zverejnenú na webovom sídle poskytovateľa, ktorá musí odkazovať na zmenu zverejnenú Centrálnym koordinačným orgánom (CKO) a/alebo Certifikačným orgánom (CO) pre oblasti v ich pôsobnosti. Zároveň sa </w:t>
      </w:r>
      <w:r w:rsidRPr="00241497">
        <w:rPr>
          <w:b w:val="0"/>
        </w:rPr>
        <w:t xml:space="preserve">pre poskytovateľa </w:t>
      </w:r>
      <w:r w:rsidR="00E013E5" w:rsidRPr="00241497">
        <w:rPr>
          <w:b w:val="0"/>
        </w:rPr>
        <w:t xml:space="preserve">ponecháva možnosť uzatvorenia </w:t>
      </w:r>
      <w:r w:rsidR="00E013E5" w:rsidRPr="009D6929">
        <w:rPr>
          <w:b w:val="0"/>
        </w:rPr>
        <w:t xml:space="preserve">dohôd o splátkach a dohôd o odklade plnenia na dlhšiu dobu ako doteraz </w:t>
      </w:r>
      <w:r w:rsidR="009D6929" w:rsidRPr="009D6929">
        <w:rPr>
          <w:b w:val="0"/>
        </w:rPr>
        <w:t>(4 roky pre dohodu o splátkach predĺžené na 5 rokov a 2 roky pre dohodu o odklad</w:t>
      </w:r>
      <w:r w:rsidR="009D6929">
        <w:rPr>
          <w:b w:val="0"/>
        </w:rPr>
        <w:t>e plnenia predĺžené</w:t>
      </w:r>
      <w:r w:rsidR="009D6929" w:rsidRPr="009D6929">
        <w:rPr>
          <w:b w:val="0"/>
        </w:rPr>
        <w:t xml:space="preserve"> na 3 roky) a možnosť kombinácie odkladu a splátok, tzn. odklad na dva roky a následne trojročné splácanie.</w:t>
      </w:r>
    </w:p>
    <w:p w14:paraId="48965C44" w14:textId="77777777" w:rsidR="00797607" w:rsidRPr="00241497" w:rsidRDefault="00797607" w:rsidP="00E013E5">
      <w:pPr>
        <w:pStyle w:val="Nadpis1"/>
        <w:spacing w:afterLines="20" w:after="48"/>
        <w:ind w:firstLine="720"/>
        <w:rPr>
          <w:b w:val="0"/>
        </w:rPr>
      </w:pPr>
    </w:p>
    <w:p w14:paraId="7F587EB5" w14:textId="77777777" w:rsidR="00CF133C" w:rsidRPr="00241497" w:rsidRDefault="00CF133C" w:rsidP="0008477D">
      <w:pPr>
        <w:pStyle w:val="Zkladntext"/>
        <w:spacing w:afterLines="20" w:after="48"/>
        <w:ind w:left="0" w:right="114"/>
        <w:rPr>
          <w:bCs/>
        </w:rPr>
      </w:pPr>
    </w:p>
    <w:p w14:paraId="0101EAD5" w14:textId="32F09637" w:rsidR="0008477D" w:rsidRPr="00241497" w:rsidRDefault="00241497" w:rsidP="0008477D">
      <w:pPr>
        <w:pStyle w:val="Zkladntext"/>
        <w:spacing w:afterLines="20" w:after="48"/>
        <w:ind w:left="0" w:right="114"/>
        <w:rPr>
          <w:b/>
          <w:bCs/>
        </w:rPr>
      </w:pPr>
      <w:r w:rsidRPr="00241497">
        <w:rPr>
          <w:b/>
          <w:bCs/>
        </w:rPr>
        <w:t>K č</w:t>
      </w:r>
      <w:r w:rsidR="0008477D" w:rsidRPr="00241497">
        <w:rPr>
          <w:b/>
          <w:bCs/>
        </w:rPr>
        <w:t>l. II (účinnosť)</w:t>
      </w:r>
    </w:p>
    <w:p w14:paraId="419A9145" w14:textId="77777777" w:rsidR="0008477D" w:rsidRPr="00241497" w:rsidRDefault="0008477D" w:rsidP="0008477D">
      <w:pPr>
        <w:pStyle w:val="Zkladntext"/>
        <w:spacing w:afterLines="20" w:after="48"/>
        <w:ind w:left="0" w:right="114" w:firstLine="720"/>
        <w:rPr>
          <w:bCs/>
        </w:rPr>
      </w:pPr>
      <w:r w:rsidRPr="00241497">
        <w:rPr>
          <w:bCs/>
        </w:rPr>
        <w:t>Účinnosť sa navrhuje dňom vyhlásenia zákona.</w:t>
      </w:r>
    </w:p>
    <w:p w14:paraId="6BA2C6A9" w14:textId="0D6B0CE0" w:rsidR="00AD2D46" w:rsidRDefault="00AD2D46" w:rsidP="00AD2D46">
      <w:pPr>
        <w:spacing w:after="4"/>
        <w:jc w:val="both"/>
        <w:rPr>
          <w:bCs/>
          <w:lang w:val="sk-SK"/>
        </w:rPr>
      </w:pPr>
    </w:p>
    <w:p w14:paraId="5EAC2B32" w14:textId="77777777" w:rsidR="00AD2D46" w:rsidRPr="00FD6682" w:rsidRDefault="00AD2D46" w:rsidP="00AD2D46">
      <w:pPr>
        <w:rPr>
          <w:lang w:val="sk-SK"/>
        </w:rPr>
      </w:pPr>
      <w:r w:rsidRPr="00FD6682">
        <w:rPr>
          <w:lang w:val="sk-SK"/>
        </w:rPr>
        <w:t>V Bratislave 4. mája 2022.</w:t>
      </w:r>
    </w:p>
    <w:p w14:paraId="0E01FA01" w14:textId="77777777" w:rsidR="00AD2D46" w:rsidRDefault="00AD2D46" w:rsidP="00AD2D46">
      <w:pPr>
        <w:jc w:val="center"/>
        <w:rPr>
          <w:b/>
        </w:rPr>
      </w:pPr>
    </w:p>
    <w:p w14:paraId="7CE0ADDC" w14:textId="77777777" w:rsidR="00AD2D46" w:rsidRDefault="00AD2D46" w:rsidP="00AD2D46">
      <w:pPr>
        <w:jc w:val="center"/>
        <w:rPr>
          <w:b/>
        </w:rPr>
      </w:pPr>
    </w:p>
    <w:p w14:paraId="527AC549" w14:textId="77777777" w:rsidR="00AD2D46" w:rsidRDefault="00AD2D46" w:rsidP="00AD2D46">
      <w:pPr>
        <w:jc w:val="center"/>
        <w:rPr>
          <w:b/>
        </w:rPr>
      </w:pPr>
    </w:p>
    <w:p w14:paraId="4AEF5ECE" w14:textId="77777777" w:rsidR="00AD2D46" w:rsidRDefault="00AD2D46" w:rsidP="00AD2D46">
      <w:pPr>
        <w:pStyle w:val="Bezriadkovania"/>
        <w:jc w:val="center"/>
        <w:rPr>
          <w:rFonts w:ascii="Times New Roman" w:hAnsi="Times New Roman" w:cs="Times New Roman"/>
          <w:b/>
          <w:sz w:val="24"/>
          <w:szCs w:val="24"/>
        </w:rPr>
      </w:pPr>
      <w:r>
        <w:rPr>
          <w:rFonts w:ascii="Times New Roman" w:hAnsi="Times New Roman" w:cs="Times New Roman"/>
          <w:b/>
          <w:sz w:val="24"/>
          <w:szCs w:val="24"/>
        </w:rPr>
        <w:t>Eduard Heger v. r.</w:t>
      </w:r>
    </w:p>
    <w:p w14:paraId="5C14E425" w14:textId="77777777" w:rsidR="00AD2D46" w:rsidRDefault="00AD2D46" w:rsidP="00AD2D46">
      <w:pPr>
        <w:pStyle w:val="Bezriadkovania"/>
        <w:jc w:val="center"/>
        <w:rPr>
          <w:rFonts w:ascii="Times New Roman" w:hAnsi="Times New Roman" w:cs="Times New Roman"/>
          <w:sz w:val="24"/>
          <w:szCs w:val="24"/>
        </w:rPr>
      </w:pPr>
      <w:r>
        <w:rPr>
          <w:rFonts w:ascii="Times New Roman" w:hAnsi="Times New Roman" w:cs="Times New Roman"/>
          <w:sz w:val="24"/>
          <w:szCs w:val="24"/>
        </w:rPr>
        <w:t>predseda vlády</w:t>
      </w:r>
    </w:p>
    <w:p w14:paraId="28813B15" w14:textId="77777777" w:rsidR="00AD2D46" w:rsidRDefault="00AD2D46" w:rsidP="00AD2D46">
      <w:pPr>
        <w:pStyle w:val="Bezriadkovania"/>
        <w:jc w:val="center"/>
        <w:rPr>
          <w:rFonts w:ascii="Times New Roman" w:hAnsi="Times New Roman" w:cs="Times New Roman"/>
          <w:sz w:val="24"/>
          <w:szCs w:val="24"/>
        </w:rPr>
      </w:pPr>
      <w:r>
        <w:rPr>
          <w:rFonts w:ascii="Times New Roman" w:hAnsi="Times New Roman" w:cs="Times New Roman"/>
          <w:sz w:val="24"/>
          <w:szCs w:val="24"/>
        </w:rPr>
        <w:t>Slovenskej republiky</w:t>
      </w:r>
    </w:p>
    <w:p w14:paraId="00C44DBA" w14:textId="77777777" w:rsidR="00AD2D46" w:rsidRDefault="00AD2D46" w:rsidP="00AD2D46">
      <w:pPr>
        <w:pStyle w:val="Bezriadkovania"/>
        <w:jc w:val="center"/>
        <w:rPr>
          <w:rFonts w:ascii="Times New Roman" w:hAnsi="Times New Roman" w:cs="Times New Roman"/>
          <w:sz w:val="24"/>
          <w:szCs w:val="24"/>
        </w:rPr>
      </w:pPr>
    </w:p>
    <w:p w14:paraId="05E69BC9" w14:textId="77777777" w:rsidR="00AD2D46" w:rsidRDefault="00AD2D46" w:rsidP="00AD2D46">
      <w:pPr>
        <w:pStyle w:val="Bezriadkovania"/>
        <w:jc w:val="center"/>
        <w:rPr>
          <w:rFonts w:ascii="Times New Roman" w:hAnsi="Times New Roman" w:cs="Times New Roman"/>
          <w:sz w:val="24"/>
          <w:szCs w:val="24"/>
        </w:rPr>
      </w:pPr>
    </w:p>
    <w:p w14:paraId="7AF31EDF" w14:textId="77777777" w:rsidR="00AD2D46" w:rsidRDefault="00AD2D46" w:rsidP="00AD2D46">
      <w:pPr>
        <w:pStyle w:val="Bezriadkovania"/>
        <w:jc w:val="center"/>
        <w:rPr>
          <w:rFonts w:ascii="Times New Roman" w:hAnsi="Times New Roman" w:cs="Times New Roman"/>
          <w:sz w:val="24"/>
          <w:szCs w:val="24"/>
        </w:rPr>
      </w:pPr>
    </w:p>
    <w:p w14:paraId="5BF446D5" w14:textId="77777777" w:rsidR="00AD2D46" w:rsidRDefault="00AD2D46" w:rsidP="00AD2D46">
      <w:pPr>
        <w:pStyle w:val="Bezriadkovania"/>
        <w:jc w:val="center"/>
        <w:rPr>
          <w:rFonts w:ascii="Times New Roman" w:hAnsi="Times New Roman" w:cs="Times New Roman"/>
          <w:sz w:val="24"/>
          <w:szCs w:val="24"/>
        </w:rPr>
      </w:pPr>
    </w:p>
    <w:p w14:paraId="454E30AC" w14:textId="77777777" w:rsidR="00AD2D46" w:rsidRDefault="00AD2D46" w:rsidP="00AD2D46">
      <w:pPr>
        <w:pStyle w:val="Bezriadkovania"/>
        <w:jc w:val="center"/>
        <w:rPr>
          <w:rFonts w:ascii="Times New Roman" w:hAnsi="Times New Roman" w:cs="Times New Roman"/>
          <w:sz w:val="24"/>
          <w:szCs w:val="24"/>
        </w:rPr>
      </w:pPr>
    </w:p>
    <w:p w14:paraId="63AE0169" w14:textId="77777777" w:rsidR="00AD2D46" w:rsidRDefault="00AD2D46" w:rsidP="00AD2D46">
      <w:pPr>
        <w:pStyle w:val="Bezriadkovania"/>
        <w:jc w:val="center"/>
        <w:rPr>
          <w:rFonts w:ascii="Times New Roman" w:hAnsi="Times New Roman" w:cs="Times New Roman"/>
          <w:b/>
          <w:sz w:val="24"/>
          <w:szCs w:val="24"/>
        </w:rPr>
      </w:pPr>
      <w:r>
        <w:rPr>
          <w:rFonts w:ascii="Times New Roman" w:hAnsi="Times New Roman" w:cs="Times New Roman"/>
          <w:b/>
          <w:sz w:val="24"/>
          <w:szCs w:val="24"/>
        </w:rPr>
        <w:t>Veronika Remišová  v. r.</w:t>
      </w:r>
    </w:p>
    <w:p w14:paraId="25790B90" w14:textId="77777777" w:rsidR="00AD2D46" w:rsidRDefault="00AD2D46" w:rsidP="00AD2D46">
      <w:pPr>
        <w:pStyle w:val="Bezriadkovania"/>
        <w:jc w:val="center"/>
        <w:rPr>
          <w:rFonts w:ascii="Times New Roman" w:hAnsi="Times New Roman" w:cs="Times New Roman"/>
          <w:sz w:val="24"/>
          <w:szCs w:val="24"/>
        </w:rPr>
      </w:pPr>
      <w:r>
        <w:rPr>
          <w:rFonts w:ascii="Times New Roman" w:hAnsi="Times New Roman" w:cs="Times New Roman"/>
          <w:sz w:val="24"/>
          <w:szCs w:val="24"/>
        </w:rPr>
        <w:t>podpredsedníčka vlády a ministerka investícií,</w:t>
      </w:r>
    </w:p>
    <w:p w14:paraId="2FBD54CD" w14:textId="77777777" w:rsidR="00AD2D46" w:rsidRDefault="00AD2D46" w:rsidP="00AD2D46">
      <w:pPr>
        <w:pStyle w:val="Bezriadkovania"/>
        <w:jc w:val="center"/>
        <w:rPr>
          <w:rFonts w:ascii="Times New Roman" w:hAnsi="Times New Roman" w:cs="Times New Roman"/>
          <w:sz w:val="24"/>
          <w:szCs w:val="24"/>
        </w:rPr>
      </w:pPr>
      <w:r>
        <w:rPr>
          <w:rFonts w:ascii="Times New Roman" w:hAnsi="Times New Roman" w:cs="Times New Roman"/>
          <w:sz w:val="24"/>
          <w:szCs w:val="24"/>
        </w:rPr>
        <w:t xml:space="preserve">regionálneho rozvoja a informatizácie </w:t>
      </w:r>
    </w:p>
    <w:p w14:paraId="1AD47511" w14:textId="023FFB92" w:rsidR="00B10D3A" w:rsidRPr="0062444D" w:rsidRDefault="00B10D3A" w:rsidP="00B10D3A">
      <w:pPr>
        <w:pStyle w:val="Bezriadkovania"/>
        <w:jc w:val="center"/>
        <w:rPr>
          <w:rFonts w:ascii="Times New Roman" w:hAnsi="Times New Roman" w:cs="Times New Roman"/>
          <w:sz w:val="24"/>
          <w:szCs w:val="24"/>
        </w:rPr>
      </w:pPr>
    </w:p>
    <w:p w14:paraId="639BDE2C" w14:textId="77777777" w:rsidR="00B10D3A" w:rsidRPr="009078D8" w:rsidRDefault="00B10D3A" w:rsidP="00B10D3A">
      <w:pPr>
        <w:spacing w:after="4"/>
        <w:jc w:val="both"/>
        <w:rPr>
          <w:bCs/>
          <w:lang w:val="sk-SK"/>
        </w:rPr>
      </w:pPr>
    </w:p>
    <w:p w14:paraId="28DF26B9" w14:textId="77777777" w:rsidR="0008477D" w:rsidRPr="00B10D3A" w:rsidRDefault="0008477D" w:rsidP="00B10D3A">
      <w:pPr>
        <w:rPr>
          <w:lang w:val="sk-SK"/>
        </w:rPr>
      </w:pPr>
    </w:p>
    <w:sectPr w:rsidR="0008477D" w:rsidRPr="00B10D3A" w:rsidSect="00AC1260">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A114B" w16cid:durableId="26027178"/>
  <w16cid:commentId w16cid:paraId="09A6FCD0" w16cid:durableId="260271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522CE" w14:textId="77777777" w:rsidR="00BA0A27" w:rsidRDefault="00BA0A27" w:rsidP="00964F03">
      <w:r>
        <w:separator/>
      </w:r>
    </w:p>
  </w:endnote>
  <w:endnote w:type="continuationSeparator" w:id="0">
    <w:p w14:paraId="2F75710F" w14:textId="77777777" w:rsidR="00BA0A27" w:rsidRDefault="00BA0A27" w:rsidP="009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C7768" w14:textId="77777777" w:rsidR="00BA0A27" w:rsidRDefault="00BA0A27" w:rsidP="00964F03">
      <w:r>
        <w:separator/>
      </w:r>
    </w:p>
  </w:footnote>
  <w:footnote w:type="continuationSeparator" w:id="0">
    <w:p w14:paraId="69577E23" w14:textId="77777777" w:rsidR="00BA0A27" w:rsidRDefault="00BA0A27" w:rsidP="00964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9" w15:restartNumberingAfterBreak="0">
    <w:nsid w:val="606F597A"/>
    <w:multiLevelType w:val="hybridMultilevel"/>
    <w:tmpl w:val="8924B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4"/>
  </w:num>
  <w:num w:numId="3">
    <w:abstractNumId w:val="2"/>
  </w:num>
  <w:num w:numId="4">
    <w:abstractNumId w:val="0"/>
  </w:num>
  <w:num w:numId="5">
    <w:abstractNumId w:val="5"/>
  </w:num>
  <w:num w:numId="6">
    <w:abstractNumId w:val="10"/>
  </w:num>
  <w:num w:numId="7">
    <w:abstractNumId w:val="6"/>
  </w:num>
  <w:num w:numId="8">
    <w:abstractNumId w:val="3"/>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78"/>
    <w:rsid w:val="0001420D"/>
    <w:rsid w:val="00040563"/>
    <w:rsid w:val="00047599"/>
    <w:rsid w:val="000533FD"/>
    <w:rsid w:val="000710F2"/>
    <w:rsid w:val="0008477D"/>
    <w:rsid w:val="000972B1"/>
    <w:rsid w:val="000A01DC"/>
    <w:rsid w:val="000B0EC7"/>
    <w:rsid w:val="000B7BCC"/>
    <w:rsid w:val="000E1352"/>
    <w:rsid w:val="000E1894"/>
    <w:rsid w:val="000E7138"/>
    <w:rsid w:val="00104150"/>
    <w:rsid w:val="00117DBB"/>
    <w:rsid w:val="001207A7"/>
    <w:rsid w:val="001226C7"/>
    <w:rsid w:val="00146FAA"/>
    <w:rsid w:val="00153AEA"/>
    <w:rsid w:val="00171A94"/>
    <w:rsid w:val="001740BB"/>
    <w:rsid w:val="00185BE2"/>
    <w:rsid w:val="00187FB3"/>
    <w:rsid w:val="00195474"/>
    <w:rsid w:val="001B1078"/>
    <w:rsid w:val="001B307B"/>
    <w:rsid w:val="001B3287"/>
    <w:rsid w:val="001B7157"/>
    <w:rsid w:val="001C32F1"/>
    <w:rsid w:val="001D0C6F"/>
    <w:rsid w:val="001D226E"/>
    <w:rsid w:val="0023426E"/>
    <w:rsid w:val="00241497"/>
    <w:rsid w:val="00244063"/>
    <w:rsid w:val="002636D4"/>
    <w:rsid w:val="00272D4C"/>
    <w:rsid w:val="00283A8F"/>
    <w:rsid w:val="002875A6"/>
    <w:rsid w:val="002B1FCC"/>
    <w:rsid w:val="002B57C8"/>
    <w:rsid w:val="002C04DC"/>
    <w:rsid w:val="002C341A"/>
    <w:rsid w:val="002C493B"/>
    <w:rsid w:val="002E3A28"/>
    <w:rsid w:val="002E5975"/>
    <w:rsid w:val="002F0438"/>
    <w:rsid w:val="002F23BD"/>
    <w:rsid w:val="002F7780"/>
    <w:rsid w:val="00306207"/>
    <w:rsid w:val="00352001"/>
    <w:rsid w:val="00353BAD"/>
    <w:rsid w:val="0035509D"/>
    <w:rsid w:val="003556FE"/>
    <w:rsid w:val="00357A3C"/>
    <w:rsid w:val="00380AB5"/>
    <w:rsid w:val="00383F67"/>
    <w:rsid w:val="0039631A"/>
    <w:rsid w:val="003B247D"/>
    <w:rsid w:val="003B287C"/>
    <w:rsid w:val="003B35B3"/>
    <w:rsid w:val="003C3267"/>
    <w:rsid w:val="003C6B97"/>
    <w:rsid w:val="003E3BD0"/>
    <w:rsid w:val="003E7B53"/>
    <w:rsid w:val="004003A3"/>
    <w:rsid w:val="00416EFE"/>
    <w:rsid w:val="00424669"/>
    <w:rsid w:val="00432D56"/>
    <w:rsid w:val="00457868"/>
    <w:rsid w:val="0046691C"/>
    <w:rsid w:val="0047611A"/>
    <w:rsid w:val="00477B74"/>
    <w:rsid w:val="00484975"/>
    <w:rsid w:val="00490090"/>
    <w:rsid w:val="004A4470"/>
    <w:rsid w:val="004A475F"/>
    <w:rsid w:val="004C6561"/>
    <w:rsid w:val="004D3EB3"/>
    <w:rsid w:val="004D7485"/>
    <w:rsid w:val="004E40EB"/>
    <w:rsid w:val="004E4987"/>
    <w:rsid w:val="004E508F"/>
    <w:rsid w:val="004F2B97"/>
    <w:rsid w:val="004F51E2"/>
    <w:rsid w:val="0051066F"/>
    <w:rsid w:val="00510A36"/>
    <w:rsid w:val="005155EB"/>
    <w:rsid w:val="0052300D"/>
    <w:rsid w:val="00527CFF"/>
    <w:rsid w:val="005344FA"/>
    <w:rsid w:val="005353F8"/>
    <w:rsid w:val="00546A27"/>
    <w:rsid w:val="00551F25"/>
    <w:rsid w:val="005539DC"/>
    <w:rsid w:val="00555FF8"/>
    <w:rsid w:val="0059429C"/>
    <w:rsid w:val="005B0B82"/>
    <w:rsid w:val="005C0265"/>
    <w:rsid w:val="005E0850"/>
    <w:rsid w:val="005E50EC"/>
    <w:rsid w:val="005F0CC8"/>
    <w:rsid w:val="00605409"/>
    <w:rsid w:val="006112F0"/>
    <w:rsid w:val="00625242"/>
    <w:rsid w:val="00630A4F"/>
    <w:rsid w:val="00656DEA"/>
    <w:rsid w:val="00694041"/>
    <w:rsid w:val="006A0AB7"/>
    <w:rsid w:val="006A2E9D"/>
    <w:rsid w:val="006B2F46"/>
    <w:rsid w:val="006C6A14"/>
    <w:rsid w:val="006E7C97"/>
    <w:rsid w:val="007041B3"/>
    <w:rsid w:val="00704DC3"/>
    <w:rsid w:val="00723452"/>
    <w:rsid w:val="00740737"/>
    <w:rsid w:val="00744E0A"/>
    <w:rsid w:val="00750975"/>
    <w:rsid w:val="0075261E"/>
    <w:rsid w:val="00757BD8"/>
    <w:rsid w:val="00777E70"/>
    <w:rsid w:val="00790FED"/>
    <w:rsid w:val="00792750"/>
    <w:rsid w:val="007969A0"/>
    <w:rsid w:val="00797607"/>
    <w:rsid w:val="007A2C9B"/>
    <w:rsid w:val="007C06CA"/>
    <w:rsid w:val="007E5BDB"/>
    <w:rsid w:val="007F20B0"/>
    <w:rsid w:val="007F733F"/>
    <w:rsid w:val="008323D7"/>
    <w:rsid w:val="00837B49"/>
    <w:rsid w:val="0084398F"/>
    <w:rsid w:val="00886EEB"/>
    <w:rsid w:val="00887765"/>
    <w:rsid w:val="008950D0"/>
    <w:rsid w:val="008951C9"/>
    <w:rsid w:val="008B7878"/>
    <w:rsid w:val="008C1E2A"/>
    <w:rsid w:val="008C6625"/>
    <w:rsid w:val="008E41F3"/>
    <w:rsid w:val="009078D8"/>
    <w:rsid w:val="00917F88"/>
    <w:rsid w:val="00920C1F"/>
    <w:rsid w:val="009473E1"/>
    <w:rsid w:val="009518D4"/>
    <w:rsid w:val="00963FD6"/>
    <w:rsid w:val="00964F03"/>
    <w:rsid w:val="00967948"/>
    <w:rsid w:val="00967C23"/>
    <w:rsid w:val="00972080"/>
    <w:rsid w:val="00973F5D"/>
    <w:rsid w:val="00986652"/>
    <w:rsid w:val="00995FE1"/>
    <w:rsid w:val="009C17B8"/>
    <w:rsid w:val="009D5154"/>
    <w:rsid w:val="009D6929"/>
    <w:rsid w:val="009F16D8"/>
    <w:rsid w:val="009F7C3B"/>
    <w:rsid w:val="00A3535C"/>
    <w:rsid w:val="00A70F4C"/>
    <w:rsid w:val="00A77F04"/>
    <w:rsid w:val="00A93B38"/>
    <w:rsid w:val="00AB47A2"/>
    <w:rsid w:val="00AC1260"/>
    <w:rsid w:val="00AD2D46"/>
    <w:rsid w:val="00AE09B4"/>
    <w:rsid w:val="00AE50F2"/>
    <w:rsid w:val="00AF08CC"/>
    <w:rsid w:val="00B028CD"/>
    <w:rsid w:val="00B04047"/>
    <w:rsid w:val="00B10D3A"/>
    <w:rsid w:val="00B164E9"/>
    <w:rsid w:val="00B31EE8"/>
    <w:rsid w:val="00B76170"/>
    <w:rsid w:val="00B83356"/>
    <w:rsid w:val="00B940D1"/>
    <w:rsid w:val="00BA0A27"/>
    <w:rsid w:val="00BB47C6"/>
    <w:rsid w:val="00BB5F71"/>
    <w:rsid w:val="00BC707D"/>
    <w:rsid w:val="00BD0112"/>
    <w:rsid w:val="00BD16E4"/>
    <w:rsid w:val="00BE3F8E"/>
    <w:rsid w:val="00C05407"/>
    <w:rsid w:val="00C1552D"/>
    <w:rsid w:val="00C20436"/>
    <w:rsid w:val="00C24AFC"/>
    <w:rsid w:val="00C363E6"/>
    <w:rsid w:val="00C36C90"/>
    <w:rsid w:val="00C37204"/>
    <w:rsid w:val="00C41287"/>
    <w:rsid w:val="00C569E7"/>
    <w:rsid w:val="00C57BBE"/>
    <w:rsid w:val="00C57DB3"/>
    <w:rsid w:val="00C62565"/>
    <w:rsid w:val="00C656E9"/>
    <w:rsid w:val="00C72789"/>
    <w:rsid w:val="00C813F2"/>
    <w:rsid w:val="00C94DCE"/>
    <w:rsid w:val="00CA29AF"/>
    <w:rsid w:val="00CB6EEE"/>
    <w:rsid w:val="00CE52E0"/>
    <w:rsid w:val="00CE6E94"/>
    <w:rsid w:val="00CE7F8D"/>
    <w:rsid w:val="00CF133C"/>
    <w:rsid w:val="00D039F3"/>
    <w:rsid w:val="00D13A4D"/>
    <w:rsid w:val="00D33E9B"/>
    <w:rsid w:val="00D47BE8"/>
    <w:rsid w:val="00D5068F"/>
    <w:rsid w:val="00D524D1"/>
    <w:rsid w:val="00D5678E"/>
    <w:rsid w:val="00D74F15"/>
    <w:rsid w:val="00D81343"/>
    <w:rsid w:val="00D85716"/>
    <w:rsid w:val="00DC12EB"/>
    <w:rsid w:val="00DD1B7D"/>
    <w:rsid w:val="00DD428E"/>
    <w:rsid w:val="00DD4F3A"/>
    <w:rsid w:val="00DF0CC0"/>
    <w:rsid w:val="00E00D11"/>
    <w:rsid w:val="00E013E5"/>
    <w:rsid w:val="00E120C3"/>
    <w:rsid w:val="00E150BC"/>
    <w:rsid w:val="00E72D53"/>
    <w:rsid w:val="00E73C0B"/>
    <w:rsid w:val="00E9605C"/>
    <w:rsid w:val="00E9609F"/>
    <w:rsid w:val="00EA07A4"/>
    <w:rsid w:val="00EB1E0F"/>
    <w:rsid w:val="00EB3454"/>
    <w:rsid w:val="00ED6196"/>
    <w:rsid w:val="00EE3ABC"/>
    <w:rsid w:val="00F06BF7"/>
    <w:rsid w:val="00F2070A"/>
    <w:rsid w:val="00F26840"/>
    <w:rsid w:val="00F56EC1"/>
    <w:rsid w:val="00FA6545"/>
    <w:rsid w:val="00FD2B6E"/>
    <w:rsid w:val="00FD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4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7878"/>
    <w:rPr>
      <w:rFonts w:ascii="Times New Roman" w:eastAsia="Times New Roman" w:hAnsi="Times New Roman" w:cs="Times New Roman"/>
    </w:rPr>
  </w:style>
  <w:style w:type="paragraph" w:styleId="Nadpis1">
    <w:name w:val="heading 1"/>
    <w:basedOn w:val="Normlny"/>
    <w:link w:val="Nadpis1Char"/>
    <w:uiPriority w:val="9"/>
    <w:qFormat/>
    <w:rsid w:val="0008477D"/>
    <w:pPr>
      <w:widowControl w:val="0"/>
      <w:autoSpaceDE w:val="0"/>
      <w:autoSpaceDN w:val="0"/>
      <w:ind w:left="116"/>
      <w:jc w:val="both"/>
      <w:outlineLvl w:val="0"/>
    </w:pPr>
    <w:rPr>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8B7878"/>
    <w:pPr>
      <w:ind w:left="720"/>
      <w:contextualSpacing/>
    </w:pPr>
  </w:style>
  <w:style w:type="paragraph" w:styleId="Textbubliny">
    <w:name w:val="Balloon Text"/>
    <w:basedOn w:val="Normlny"/>
    <w:link w:val="TextbublinyChar"/>
    <w:uiPriority w:val="99"/>
    <w:semiHidden/>
    <w:unhideWhenUsed/>
    <w:rsid w:val="00B76170"/>
    <w:rPr>
      <w:sz w:val="18"/>
      <w:szCs w:val="18"/>
    </w:rPr>
  </w:style>
  <w:style w:type="character" w:customStyle="1" w:styleId="TextbublinyChar">
    <w:name w:val="Text bubliny Char"/>
    <w:basedOn w:val="Predvolenpsmoodseku"/>
    <w:link w:val="Textbubliny"/>
    <w:uiPriority w:val="99"/>
    <w:semiHidden/>
    <w:rsid w:val="00B76170"/>
    <w:rPr>
      <w:rFonts w:ascii="Times New Roman" w:eastAsia="Times New Roman" w:hAnsi="Times New Roman" w:cs="Times New Roman"/>
      <w:sz w:val="18"/>
      <w:szCs w:val="18"/>
    </w:rPr>
  </w:style>
  <w:style w:type="paragraph" w:styleId="Textpoznmkypodiarou">
    <w:name w:val="footnote text"/>
    <w:basedOn w:val="Normlny"/>
    <w:link w:val="TextpoznmkypodiarouChar"/>
    <w:uiPriority w:val="99"/>
    <w:semiHidden/>
    <w:unhideWhenUsed/>
    <w:rsid w:val="00964F03"/>
    <w:rPr>
      <w:rFonts w:asciiTheme="minorHAnsi" w:eastAsiaTheme="minorHAnsi" w:hAnsiTheme="minorHAnsi" w:cstheme="minorBidi"/>
      <w:sz w:val="20"/>
      <w:szCs w:val="20"/>
      <w:lang w:val="sk-SK"/>
    </w:rPr>
  </w:style>
  <w:style w:type="character" w:customStyle="1" w:styleId="TextpoznmkypodiarouChar">
    <w:name w:val="Text poznámky pod čiarou Char"/>
    <w:basedOn w:val="Predvolenpsmoodseku"/>
    <w:link w:val="Textpoznmkypodiarou"/>
    <w:uiPriority w:val="99"/>
    <w:semiHidden/>
    <w:rsid w:val="00964F03"/>
    <w:rPr>
      <w:sz w:val="20"/>
      <w:szCs w:val="20"/>
      <w:lang w:val="sk-SK"/>
    </w:rPr>
  </w:style>
  <w:style w:type="character" w:styleId="Odkaznapoznmkupodiarou">
    <w:name w:val="footnote reference"/>
    <w:basedOn w:val="Predvolenpsmoodseku"/>
    <w:uiPriority w:val="99"/>
    <w:semiHidden/>
    <w:unhideWhenUsed/>
    <w:rsid w:val="00964F03"/>
    <w:rPr>
      <w:vertAlign w:val="superscript"/>
    </w:rPr>
  </w:style>
  <w:style w:type="character" w:customStyle="1" w:styleId="bold">
    <w:name w:val="bold"/>
    <w:basedOn w:val="Predvolenpsmoodseku"/>
    <w:rsid w:val="004003A3"/>
  </w:style>
  <w:style w:type="character" w:customStyle="1" w:styleId="italic">
    <w:name w:val="italic"/>
    <w:basedOn w:val="Predvolenpsmoodseku"/>
    <w:rsid w:val="004003A3"/>
  </w:style>
  <w:style w:type="paragraph" w:customStyle="1" w:styleId="Normlny1">
    <w:name w:val="Normálny1"/>
    <w:basedOn w:val="Normlny"/>
    <w:rsid w:val="004003A3"/>
    <w:pPr>
      <w:spacing w:before="100" w:beforeAutospacing="1" w:after="100" w:afterAutospacing="1"/>
    </w:pPr>
    <w:rPr>
      <w:lang w:val="sk-SK" w:eastAsia="sk-SK"/>
    </w:rPr>
  </w:style>
  <w:style w:type="paragraph" w:customStyle="1" w:styleId="c01pointnumerotealtn">
    <w:name w:val="c01pointnumerotealtn"/>
    <w:basedOn w:val="Normlny"/>
    <w:rsid w:val="00B940D1"/>
    <w:pPr>
      <w:spacing w:before="100" w:beforeAutospacing="1" w:after="100" w:afterAutospacing="1"/>
    </w:pPr>
    <w:rPr>
      <w:lang w:val="sk-SK"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283A8F"/>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8950D0"/>
    <w:rPr>
      <w:sz w:val="16"/>
      <w:szCs w:val="16"/>
    </w:rPr>
  </w:style>
  <w:style w:type="paragraph" w:styleId="Textkomentra">
    <w:name w:val="annotation text"/>
    <w:basedOn w:val="Normlny"/>
    <w:link w:val="TextkomentraChar"/>
    <w:uiPriority w:val="99"/>
    <w:semiHidden/>
    <w:unhideWhenUsed/>
    <w:rsid w:val="008950D0"/>
    <w:rPr>
      <w:sz w:val="20"/>
      <w:szCs w:val="20"/>
    </w:rPr>
  </w:style>
  <w:style w:type="character" w:customStyle="1" w:styleId="TextkomentraChar">
    <w:name w:val="Text komentára Char"/>
    <w:basedOn w:val="Predvolenpsmoodseku"/>
    <w:link w:val="Textkomentra"/>
    <w:uiPriority w:val="99"/>
    <w:semiHidden/>
    <w:rsid w:val="008950D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950D0"/>
    <w:rPr>
      <w:b/>
      <w:bCs/>
    </w:rPr>
  </w:style>
  <w:style w:type="character" w:customStyle="1" w:styleId="PredmetkomentraChar">
    <w:name w:val="Predmet komentára Char"/>
    <w:basedOn w:val="TextkomentraChar"/>
    <w:link w:val="Predmetkomentra"/>
    <w:uiPriority w:val="99"/>
    <w:semiHidden/>
    <w:rsid w:val="008950D0"/>
    <w:rPr>
      <w:rFonts w:ascii="Times New Roman" w:eastAsia="Times New Roman" w:hAnsi="Times New Roman" w:cs="Times New Roman"/>
      <w:b/>
      <w:bCs/>
      <w:sz w:val="20"/>
      <w:szCs w:val="20"/>
    </w:rPr>
  </w:style>
  <w:style w:type="character" w:customStyle="1" w:styleId="Nadpis1Char">
    <w:name w:val="Nadpis 1 Char"/>
    <w:basedOn w:val="Predvolenpsmoodseku"/>
    <w:link w:val="Nadpis1"/>
    <w:uiPriority w:val="9"/>
    <w:rsid w:val="0008477D"/>
    <w:rPr>
      <w:rFonts w:ascii="Times New Roman" w:eastAsia="Times New Roman" w:hAnsi="Times New Roman" w:cs="Times New Roman"/>
      <w:b/>
      <w:bCs/>
      <w:lang w:val="sk-SK"/>
    </w:rPr>
  </w:style>
  <w:style w:type="paragraph" w:styleId="Zkladntext">
    <w:name w:val="Body Text"/>
    <w:basedOn w:val="Normlny"/>
    <w:link w:val="ZkladntextChar"/>
    <w:uiPriority w:val="1"/>
    <w:qFormat/>
    <w:rsid w:val="0008477D"/>
    <w:pPr>
      <w:widowControl w:val="0"/>
      <w:autoSpaceDE w:val="0"/>
      <w:autoSpaceDN w:val="0"/>
      <w:ind w:left="116"/>
      <w:jc w:val="both"/>
    </w:pPr>
    <w:rPr>
      <w:lang w:val="sk-SK"/>
    </w:rPr>
  </w:style>
  <w:style w:type="character" w:customStyle="1" w:styleId="ZkladntextChar">
    <w:name w:val="Základný text Char"/>
    <w:basedOn w:val="Predvolenpsmoodseku"/>
    <w:link w:val="Zkladntext"/>
    <w:uiPriority w:val="1"/>
    <w:rsid w:val="0008477D"/>
    <w:rPr>
      <w:rFonts w:ascii="Times New Roman" w:eastAsia="Times New Roman" w:hAnsi="Times New Roman" w:cs="Times New Roman"/>
      <w:lang w:val="sk-SK"/>
    </w:rPr>
  </w:style>
  <w:style w:type="paragraph" w:styleId="Revzia">
    <w:name w:val="Revision"/>
    <w:hidden/>
    <w:uiPriority w:val="99"/>
    <w:semiHidden/>
    <w:rsid w:val="00484975"/>
    <w:rPr>
      <w:rFonts w:ascii="Times New Roman" w:eastAsia="Times New Roman" w:hAnsi="Times New Roman" w:cs="Times New Roman"/>
    </w:rPr>
  </w:style>
  <w:style w:type="table" w:customStyle="1" w:styleId="Mriekatabuky1">
    <w:name w:val="Mriežka tabuľky1"/>
    <w:basedOn w:val="Normlnatabuka"/>
    <w:next w:val="Mriekatabuky"/>
    <w:uiPriority w:val="59"/>
    <w:rsid w:val="00B10D3A"/>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B10D3A"/>
    <w:pPr>
      <w:spacing w:before="100" w:beforeAutospacing="1" w:after="100" w:afterAutospacing="1"/>
    </w:pPr>
    <w:rPr>
      <w:lang w:val="sk-SK" w:eastAsia="sk-SK"/>
    </w:rPr>
  </w:style>
  <w:style w:type="character" w:styleId="Hypertextovprepojenie">
    <w:name w:val="Hyperlink"/>
    <w:basedOn w:val="Predvolenpsmoodseku"/>
    <w:uiPriority w:val="99"/>
    <w:unhideWhenUsed/>
    <w:rsid w:val="00B10D3A"/>
    <w:rPr>
      <w:color w:val="0563C1" w:themeColor="hyperlink"/>
      <w:u w:val="single"/>
    </w:rPr>
  </w:style>
  <w:style w:type="table" w:styleId="Mriekatabuky">
    <w:name w:val="Table Grid"/>
    <w:basedOn w:val="Normlnatabuka"/>
    <w:uiPriority w:val="39"/>
    <w:rsid w:val="00B1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0D3A"/>
    <w:pPr>
      <w:suppressAutoHyphens/>
      <w:autoSpaceDN w:val="0"/>
      <w:spacing w:after="200" w:line="276" w:lineRule="auto"/>
    </w:pPr>
    <w:rPr>
      <w:rFonts w:ascii="Calibri" w:eastAsia="SimSun" w:hAnsi="Calibri" w:cs="Calibri"/>
      <w:kern w:val="3"/>
      <w:sz w:val="22"/>
      <w:szCs w:val="22"/>
      <w:lang w:val="sk-SK" w:eastAsia="ar-SA"/>
    </w:rPr>
  </w:style>
  <w:style w:type="paragraph" w:styleId="Bezriadkovania">
    <w:name w:val="No Spacing"/>
    <w:uiPriority w:val="1"/>
    <w:qFormat/>
    <w:rsid w:val="00B10D3A"/>
    <w:rPr>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4811">
      <w:bodyDiv w:val="1"/>
      <w:marLeft w:val="0"/>
      <w:marRight w:val="0"/>
      <w:marTop w:val="0"/>
      <w:marBottom w:val="0"/>
      <w:divBdr>
        <w:top w:val="none" w:sz="0" w:space="0" w:color="auto"/>
        <w:left w:val="none" w:sz="0" w:space="0" w:color="auto"/>
        <w:bottom w:val="none" w:sz="0" w:space="0" w:color="auto"/>
        <w:right w:val="none" w:sz="0" w:space="0" w:color="auto"/>
      </w:divBdr>
    </w:div>
    <w:div w:id="1004161522">
      <w:bodyDiv w:val="1"/>
      <w:marLeft w:val="0"/>
      <w:marRight w:val="0"/>
      <w:marTop w:val="0"/>
      <w:marBottom w:val="0"/>
      <w:divBdr>
        <w:top w:val="none" w:sz="0" w:space="0" w:color="auto"/>
        <w:left w:val="none" w:sz="0" w:space="0" w:color="auto"/>
        <w:bottom w:val="none" w:sz="0" w:space="0" w:color="auto"/>
        <w:right w:val="none" w:sz="0" w:space="0" w:color="auto"/>
      </w:divBdr>
    </w:div>
    <w:div w:id="1856990512">
      <w:bodyDiv w:val="1"/>
      <w:marLeft w:val="0"/>
      <w:marRight w:val="0"/>
      <w:marTop w:val="0"/>
      <w:marBottom w:val="0"/>
      <w:divBdr>
        <w:top w:val="none" w:sz="0" w:space="0" w:color="auto"/>
        <w:left w:val="none" w:sz="0" w:space="0" w:color="auto"/>
        <w:bottom w:val="none" w:sz="0" w:space="0" w:color="auto"/>
        <w:right w:val="none" w:sz="0" w:space="0" w:color="auto"/>
      </w:divBdr>
      <w:divsChild>
        <w:div w:id="386488206">
          <w:marLeft w:val="0"/>
          <w:marRight w:val="0"/>
          <w:marTop w:val="0"/>
          <w:marBottom w:val="0"/>
          <w:divBdr>
            <w:top w:val="none" w:sz="0" w:space="0" w:color="auto"/>
            <w:left w:val="none" w:sz="0" w:space="0" w:color="auto"/>
            <w:bottom w:val="none" w:sz="0" w:space="0" w:color="auto"/>
            <w:right w:val="none" w:sz="0" w:space="0" w:color="auto"/>
          </w:divBdr>
        </w:div>
        <w:div w:id="1944070471">
          <w:marLeft w:val="0"/>
          <w:marRight w:val="0"/>
          <w:marTop w:val="0"/>
          <w:marBottom w:val="0"/>
          <w:divBdr>
            <w:top w:val="none" w:sz="0" w:space="0" w:color="auto"/>
            <w:left w:val="none" w:sz="0" w:space="0" w:color="auto"/>
            <w:bottom w:val="none" w:sz="0" w:space="0" w:color="auto"/>
            <w:right w:val="none" w:sz="0" w:space="0" w:color="auto"/>
          </w:divBdr>
        </w:div>
        <w:div w:id="49021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ndra.fischerova@mirri.gov.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26c6947-7193-433e-9fee-b9383e5fa34c" xsi:nil="true"/>
  </documentManagement>
</p:properties>
</file>

<file path=customXml/item3.xml><?xml version="1.0" encoding="utf-8"?>
<f:fields xmlns:f="http://schemas.fabasoft.com/folio/2007/fields">
  <f:record ref="">
    <f:field ref="objname" par="" edit="true" text="04a_dôvodová-správa_všeobecná"/>
    <f:field ref="objsubject" par="" edit="true" text=""/>
    <f:field ref="objcreatedby" par="" text="Dubravská, Lucia, JUDr."/>
    <f:field ref="objcreatedat" par="" text="12.5.2021 12:56:00"/>
    <f:field ref="objchangedby" par="" text="Administrator, System"/>
    <f:field ref="objmodifiedat" par="" text="12.5.2021 12:56: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E1D28-B1FD-421E-BEA4-28B3C66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FF346-AFA1-43DB-A4B1-88B49E137B56}">
  <ds:schemaRefs>
    <ds:schemaRef ds:uri="d26c6947-7193-433e-9fee-b9383e5fa34c"/>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0B60F99-CC35-4EFA-8FDA-09330021E1E7}">
  <ds:schemaRefs>
    <ds:schemaRef ds:uri="http://schemas.microsoft.com/sharepoint/v3/contenttype/forms"/>
  </ds:schemaRefs>
</ds:datastoreItem>
</file>

<file path=customXml/itemProps5.xml><?xml version="1.0" encoding="utf-8"?>
<ds:datastoreItem xmlns:ds="http://schemas.openxmlformats.org/officeDocument/2006/customXml" ds:itemID="{EB27AEA8-1FB5-4B95-80BA-A594ABD5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3353</Words>
  <Characters>19114</Characters>
  <Application>Microsoft Office Word</Application>
  <DocSecurity>0</DocSecurity>
  <Lines>159</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2022-05-03T16:22:00Z</dcterms:created>
  <dcterms:modified xsi:type="dcterms:W3CDTF">2022-05-04T12:05:00Z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Štefan Holý</vt:lpwstr>
  </property>
  <property fmtid="{D5CDD505-2E9C-101B-9397-08002B2CF9AE}" pid="13" name="FSC#SKEDITIONSLOVLEX@103.510:dalsipredkladatel">
    <vt:lpwstr>JUDr. Miroslav Hlivák</vt:lpwstr>
  </property>
  <property fmtid="{D5CDD505-2E9C-101B-9397-08002B2CF9AE}" pid="14"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 - podpredseda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september až december 2020</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LO/2021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LP/2021/233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vt:lpwstr>
  </property>
  <property fmtid="{D5CDD505-2E9C-101B-9397-08002B2CF9AE}" pid="142" name="FSC#SKEDITIONSLOVLEX@103.510:funkciaZodpPredAkuzativ">
    <vt:lpwstr>podpredsedu vlády Slovenskej republiky</vt:lpwstr>
  </property>
  <property fmtid="{D5CDD505-2E9C-101B-9397-08002B2CF9AE}" pid="143" name="FSC#SKEDITIONSLOVLEX@103.510:funkciaZodpPredDativ">
    <vt:lpwstr>podpredsedovi vlády Slovenskej republiky</vt:lpwstr>
  </property>
  <property fmtid="{D5CDD505-2E9C-101B-9397-08002B2CF9AE}" pid="144" name="FSC#SKEDITIONSLOVLEX@103.510:funkciaDalsiPred">
    <vt:lpwstr>predseda, </vt:lpwstr>
  </property>
  <property fmtid="{D5CDD505-2E9C-101B-9397-08002B2CF9AE}" pid="145" name="FSC#SKEDITIONSLOVLEX@103.510:funkciaDalsiPredAkuzativ">
    <vt:lpwstr>predsedu, </vt:lpwstr>
  </property>
  <property fmtid="{D5CDD505-2E9C-101B-9397-08002B2CF9AE}" pid="146" name="FSC#SKEDITIONSLOVLEX@103.510:funkciaDalsiPredDativ">
    <vt:lpwstr>predsedovi, </vt:lpwstr>
  </property>
  <property fmtid="{D5CDD505-2E9C-101B-9397-08002B2CF9AE}" pid="147" name="FSC#SKEDITIONSLOVLEX@103.510:predkladateliaObalSD">
    <vt:lpwstr>Štefan Holý_x000d_
podpredseda vlády Slovenskej republiky_x000d_
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12. 5. 2021</vt:lpwstr>
  </property>
  <property fmtid="{D5CDD505-2E9C-101B-9397-08002B2CF9AE}" pid="151" name="FSC#COOSYSTEM@1.1:Container">
    <vt:lpwstr>COO.2145.1000.3.4357562</vt:lpwstr>
  </property>
  <property fmtid="{D5CDD505-2E9C-101B-9397-08002B2CF9AE}" pid="152" name="FSC#FSCFOLIO@1.1001:docpropproject">
    <vt:lpwstr/>
  </property>
  <property fmtid="{D5CDD505-2E9C-101B-9397-08002B2CF9AE}" pid="153" name="_SourceUrl">
    <vt:lpwstr/>
  </property>
  <property fmtid="{D5CDD505-2E9C-101B-9397-08002B2CF9AE}" pid="154" name="ComplianceAssetId">
    <vt:lpwstr/>
  </property>
  <property fmtid="{D5CDD505-2E9C-101B-9397-08002B2CF9AE}" pid="155" name="TriggerFlowInfo">
    <vt:lpwstr/>
  </property>
  <property fmtid="{D5CDD505-2E9C-101B-9397-08002B2CF9AE}" pid="156" name="Order">
    <vt:r8>3527200</vt:r8>
  </property>
  <property fmtid="{D5CDD505-2E9C-101B-9397-08002B2CF9AE}" pid="157" name="ContentTypeId">
    <vt:lpwstr>0x0101005D47492F976CBF46A6AE218298779E84</vt:lpwstr>
  </property>
  <property fmtid="{D5CDD505-2E9C-101B-9397-08002B2CF9AE}" pid="158" name="_SharedFileIndex">
    <vt:lpwstr/>
  </property>
  <property fmtid="{D5CDD505-2E9C-101B-9397-08002B2CF9AE}" pid="159" name="_ExtendedDescription">
    <vt:lpwstr/>
  </property>
</Properties>
</file>