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89B" w:rsidRPr="00647281" w:rsidRDefault="007D489B" w:rsidP="007D489B">
      <w:pPr>
        <w:spacing w:after="240"/>
        <w:jc w:val="center"/>
        <w:rPr>
          <w:b/>
        </w:rPr>
      </w:pPr>
      <w:r w:rsidRPr="00647281">
        <w:rPr>
          <w:b/>
        </w:rPr>
        <w:t>Dôvodová správa</w:t>
      </w:r>
    </w:p>
    <w:p w:rsidR="007D489B" w:rsidRPr="00647281" w:rsidRDefault="007D489B" w:rsidP="007D489B">
      <w:pPr>
        <w:spacing w:after="240"/>
        <w:jc w:val="both"/>
        <w:rPr>
          <w:b/>
        </w:rPr>
      </w:pPr>
      <w:r w:rsidRPr="00647281">
        <w:rPr>
          <w:b/>
        </w:rPr>
        <w:t>A. Všeobecná časť</w:t>
      </w:r>
    </w:p>
    <w:p w:rsidR="007D489B" w:rsidRPr="00647281" w:rsidRDefault="007D489B" w:rsidP="007D489B">
      <w:pPr>
        <w:spacing w:after="240"/>
        <w:ind w:firstLine="708"/>
        <w:jc w:val="both"/>
      </w:pPr>
      <w:r>
        <w:t xml:space="preserve">Zákon č. 180/2014 Z. z. o podmienkach výkonu volebného práva a o zmene a doplnení niektorých zákonov v znení účinnom do 29. mája 2014 pôvodne </w:t>
      </w:r>
      <w:r w:rsidRPr="00647281">
        <w:t>ustanovoval tri prekážky práva voliť. Okrem prekážky, ktorou je zákonom ustanovené obmedzenie osobnej slobody z dôvodov ochrany verejného zdravia</w:t>
      </w:r>
      <w:r>
        <w:t>,</w:t>
      </w:r>
      <w:r w:rsidRPr="00647281">
        <w:t xml:space="preserve"> predstavovali prekážku práva voliť aj pozbavenie spôsobilosti na právne úkony a výkon trestu odňatia slobody uložený za spáchanie obzvlášť závažného zločinu.</w:t>
      </w:r>
    </w:p>
    <w:p w:rsidR="007D489B" w:rsidRPr="00647281" w:rsidRDefault="007D489B" w:rsidP="007D489B">
      <w:pPr>
        <w:spacing w:after="240"/>
        <w:ind w:firstLine="708"/>
        <w:jc w:val="both"/>
      </w:pPr>
      <w:r w:rsidRPr="00647281">
        <w:t>Posledné dve prekážky</w:t>
      </w:r>
      <w:r>
        <w:t xml:space="preserve"> výkonu volebného práva</w:t>
      </w:r>
      <w:r w:rsidRPr="00647281">
        <w:t xml:space="preserve"> boli na základe rozhodnutia Ústavného súdu Slovenskej republiky o</w:t>
      </w:r>
      <w:r>
        <w:t> nesúlade dotknutých ustanovení</w:t>
      </w:r>
      <w:r w:rsidRPr="00647281">
        <w:t xml:space="preserve"> </w:t>
      </w:r>
      <w:r>
        <w:t>volebného zákona</w:t>
      </w:r>
      <w:r w:rsidRPr="00647281">
        <w:t xml:space="preserve"> s Ústavou Slovenskej republiky a príslušnými ustanoveniami medzinárodných zmlúv zrušené a vytvorila sa tak možnosť, aby sa volieb a hlasovania v referende mohol zúčastniť takmer každý a zvyšovala sa tak legitimita volených orgánov.</w:t>
      </w:r>
    </w:p>
    <w:p w:rsidR="007D489B" w:rsidRPr="00647281" w:rsidRDefault="007D489B" w:rsidP="007D489B">
      <w:pPr>
        <w:spacing w:after="240"/>
        <w:ind w:firstLine="708"/>
        <w:jc w:val="both"/>
      </w:pPr>
      <w:r w:rsidRPr="00647281">
        <w:t>Prekážka, ktorou je zákonom ustanovené obmedzenie osobnej slobody z dôvodov ochrany verejného zdravia</w:t>
      </w:r>
      <w:r>
        <w:t>,</w:t>
      </w:r>
      <w:r w:rsidRPr="00647281">
        <w:t xml:space="preserve"> bola zavedená do právneho systému hneď po poli</w:t>
      </w:r>
      <w:r>
        <w:t>tických a spoločenských zmenách</w:t>
      </w:r>
      <w:r w:rsidRPr="00647281">
        <w:t xml:space="preserve"> v marci 1990 a pre voľby do orgánov samosprávy obcí zákonom Slovenskej národnej rady č. 346/1990 Zb. z 28. augusta 1990. Táto prekážka bola a je teda viac ako 30 rokov spoločnosťou akceptovaná z dôvodu, že spravidla sa uplatňovala pri doručovaní prenosnej volebnej schránky do nemocničných zariadení a obmedzenie sa vzťahovalo najmä na infekčné oddelenia nemocníc. Zákon, prirodzene, </w:t>
      </w:r>
      <w:r>
        <w:t>nepočítal s</w:t>
      </w:r>
      <w:r w:rsidRPr="00647281">
        <w:t xml:space="preserve"> pandémiou a s takým rozsiahlym dopadom na uplatňovanie </w:t>
      </w:r>
      <w:r>
        <w:t xml:space="preserve">aktívneho </w:t>
      </w:r>
      <w:r w:rsidRPr="00647281">
        <w:t>volebného práva voličov.</w:t>
      </w:r>
    </w:p>
    <w:p w:rsidR="007D489B" w:rsidRPr="00647281" w:rsidRDefault="007D489B" w:rsidP="007D489B">
      <w:pPr>
        <w:spacing w:after="240"/>
        <w:ind w:firstLine="708"/>
        <w:jc w:val="both"/>
      </w:pPr>
      <w:r w:rsidRPr="00647281">
        <w:t xml:space="preserve">Kým v minulosti sa obmedzenie osobnej slobody z dôvodov ochrany verejného zdravia vzťahovalo možno na pár desiatok spravidla hospitalizovaných voličov, v súčasnosti môže byť obmedzené volebné právo aj tisícom voličov, podľa toho, ako sa </w:t>
      </w:r>
      <w:proofErr w:type="spellStart"/>
      <w:r w:rsidRPr="00647281">
        <w:t>pandemická</w:t>
      </w:r>
      <w:proofErr w:type="spellEnd"/>
      <w:r w:rsidRPr="00647281">
        <w:t xml:space="preserve"> situácia bude vyvíjať s blížiacim sa termínom volieb do orgánov samosprávy obcí a volieb do orgánov samosprávy krajov, ktoré sa majú v roku 2022 konať v rovnaký deň a v rovnakom ča</w:t>
      </w:r>
      <w:r>
        <w:t>se (ďalej len „spojené voľby“)</w:t>
      </w:r>
      <w:r w:rsidRPr="00647281">
        <w:t>.</w:t>
      </w:r>
    </w:p>
    <w:p w:rsidR="007D489B" w:rsidRDefault="007D489B" w:rsidP="007D489B">
      <w:pPr>
        <w:spacing w:after="240"/>
        <w:ind w:firstLine="708"/>
        <w:jc w:val="both"/>
      </w:pPr>
      <w:r w:rsidRPr="00647281">
        <w:t xml:space="preserve">Vzhľadom </w:t>
      </w:r>
      <w:r>
        <w:t>na to</w:t>
      </w:r>
      <w:r w:rsidRPr="00647281">
        <w:t>, že mimoriadne situácie si vyžadujú mimoriadne riešenia, navrhuje sa, aby bolo umožnené hlasovať v spojených voľbách aj voličom, ktorým bola nariadená izolácia a</w:t>
      </w:r>
      <w:r>
        <w:t>lebo</w:t>
      </w:r>
      <w:r w:rsidRPr="00647281">
        <w:t xml:space="preserve"> karanténa, avšak špeciálnym spôsobom tak, aby bola zabezpečená ochrana verejného zdravia.</w:t>
      </w:r>
    </w:p>
    <w:p w:rsidR="007D489B" w:rsidRDefault="007D489B" w:rsidP="007D489B">
      <w:pPr>
        <w:spacing w:after="240"/>
        <w:ind w:firstLine="708"/>
        <w:jc w:val="both"/>
      </w:pPr>
      <w:r>
        <w:t>V</w:t>
      </w:r>
      <w:r w:rsidRPr="00D32088">
        <w:t> súlade s vytvoreným právnym rámcom podľa § 4 volebného zákona</w:t>
      </w:r>
      <w:r>
        <w:t xml:space="preserve"> sa</w:t>
      </w:r>
      <w:r w:rsidRPr="00D32088">
        <w:t xml:space="preserve"> ustanovuje pre prípad pretrvávajúcej pandémie ochorenia COVID-19 a s ňou súvisiacich karanténnych opatrení osôb pozitívnych na ochorenie COVID-19 alebo osôb, ktoré prišli do úzkeho kontaktu s osobami pozitívnymi na ochorenie COVID-19, právo týchto osôb uplatniť výkon svojho volebného práva prostredníctvom špeciálneho spôsobu hlasovania</w:t>
      </w:r>
      <w:r>
        <w:t xml:space="preserve">. </w:t>
      </w:r>
    </w:p>
    <w:p w:rsidR="007D489B" w:rsidRPr="00647281" w:rsidRDefault="007D489B" w:rsidP="007D489B">
      <w:pPr>
        <w:spacing w:after="240"/>
        <w:ind w:firstLine="708"/>
        <w:jc w:val="both"/>
      </w:pPr>
      <w:r>
        <w:t>Predmetom úpravy návrhu zákona je komplexný proces špeciálneho spôsobu hlasovania vo všetkých jeho štádiách, najmä podmienok uplatnenia špeciálneho spôsobu hlasovania, kreovanie špeciálnych volebných komisií, vytváranie špeciálnych zoznamov oprávnených voličov na základe žiadosti, priebeh špeciálneho spôsobu hlasovania, ktoré budú zabezpečovať vyslaní členovia špeciálnej volebnej komisie v mieste nahláseného pobytu oprávneného voliča, ako aj materiálne, personálne zabezpečenie špeciálneho spôsobu hlasovania a odmeňovanie osôb aktívne participujúcich na príprave a vykonaní tohto hlasovania.</w:t>
      </w:r>
    </w:p>
    <w:p w:rsidR="007D489B" w:rsidRDefault="007D489B" w:rsidP="007D489B">
      <w:pPr>
        <w:spacing w:after="240"/>
        <w:ind w:firstLine="708"/>
        <w:jc w:val="both"/>
        <w:rPr>
          <w:shd w:val="clear" w:color="auto" w:fill="FFFFFF"/>
        </w:rPr>
      </w:pPr>
      <w:r w:rsidRPr="00647281">
        <w:lastRenderedPageBreak/>
        <w:t>Špeciálny spôsob hlasovania je určený výlučne pre osoby, ktorým bola nariadená izolácia a</w:t>
      </w:r>
      <w:r>
        <w:t>lebo</w:t>
      </w:r>
      <w:r w:rsidRPr="00647281">
        <w:t xml:space="preserve"> karanténa </w:t>
      </w:r>
      <w:r w:rsidRPr="00647281">
        <w:rPr>
          <w:shd w:val="clear" w:color="auto" w:fill="FFFFFF"/>
        </w:rPr>
        <w:t>z dôvodov ochrany verejného zdravia pred ochorením COVID-19 a pre osoby žijúce s nimi v spoločnej domácnosti</w:t>
      </w:r>
      <w:r>
        <w:rPr>
          <w:shd w:val="clear" w:color="auto" w:fill="FFFFFF"/>
        </w:rPr>
        <w:t>, a to na základe ich žiadosti</w:t>
      </w:r>
      <w:r w:rsidRPr="00647281">
        <w:rPr>
          <w:shd w:val="clear" w:color="auto" w:fill="FFFFFF"/>
        </w:rPr>
        <w:t xml:space="preserve">. </w:t>
      </w:r>
    </w:p>
    <w:p w:rsidR="007D489B" w:rsidRPr="00647281" w:rsidRDefault="007D489B" w:rsidP="007D489B">
      <w:pPr>
        <w:spacing w:after="240"/>
        <w:ind w:firstLine="708"/>
        <w:jc w:val="both"/>
        <w:rPr>
          <w:shd w:val="clear" w:color="auto" w:fill="FFFFFF"/>
        </w:rPr>
      </w:pPr>
      <w:r>
        <w:rPr>
          <w:shd w:val="clear" w:color="auto" w:fill="FFFFFF"/>
        </w:rPr>
        <w:t xml:space="preserve">Vzhľadom na to, že vývoj epidemiologickej situácie a potrebu uplatnenia tejto špeciálnej právnej úpravy nemožno vopred predpokladať, </w:t>
      </w:r>
      <w:r w:rsidRPr="00647281">
        <w:rPr>
          <w:shd w:val="clear" w:color="auto" w:fill="FFFFFF"/>
        </w:rPr>
        <w:t>zákon obsahuje ustanovenie, podľa ktorého sa postup podľa tohto zákona uplatní iba v prípade, ak k 30. septembru 2022 budú na základe rozhodnutia Úradu verejného zdravotníctva Slovenskej republiky (ďalej len „úrad“) osoby pozitívne na ochorenie COVID-19</w:t>
      </w:r>
      <w:r>
        <w:rPr>
          <w:shd w:val="clear" w:color="auto" w:fill="FFFFFF"/>
        </w:rPr>
        <w:t xml:space="preserve"> a osoby, ktoré s nimi prišli do úzkeho kontaktu,</w:t>
      </w:r>
      <w:r w:rsidRPr="00647281">
        <w:rPr>
          <w:shd w:val="clear" w:color="auto" w:fill="FFFFFF"/>
        </w:rPr>
        <w:t xml:space="preserve"> podliehať izolácii a</w:t>
      </w:r>
      <w:r>
        <w:rPr>
          <w:shd w:val="clear" w:color="auto" w:fill="FFFFFF"/>
        </w:rPr>
        <w:t>lebo karanténe</w:t>
      </w:r>
      <w:r w:rsidRPr="00647281">
        <w:rPr>
          <w:shd w:val="clear" w:color="auto" w:fill="FFFFFF"/>
        </w:rPr>
        <w:t>.</w:t>
      </w:r>
    </w:p>
    <w:p w:rsidR="007D489B" w:rsidRPr="00647281" w:rsidRDefault="007D489B" w:rsidP="007D489B">
      <w:pPr>
        <w:spacing w:after="240"/>
        <w:ind w:firstLine="708"/>
        <w:jc w:val="both"/>
        <w:rPr>
          <w:shd w:val="clear" w:color="auto" w:fill="FFFFFF"/>
        </w:rPr>
      </w:pPr>
      <w:r w:rsidRPr="00647281">
        <w:rPr>
          <w:shd w:val="clear" w:color="auto" w:fill="FFFFFF"/>
        </w:rPr>
        <w:t>Špeciálny spôsob hlasovania sa navrhuje realizovať hlasovaním do špeciálnej prenosnej volebnej schránky. Osobitosť spočíva v tom, že sa zriaďuje špeciálna volebná komisia s</w:t>
      </w:r>
      <w:r>
        <w:rPr>
          <w:shd w:val="clear" w:color="auto" w:fill="FFFFFF"/>
        </w:rPr>
        <w:t> </w:t>
      </w:r>
      <w:r w:rsidRPr="00647281">
        <w:rPr>
          <w:shd w:val="clear" w:color="auto" w:fill="FFFFFF"/>
        </w:rPr>
        <w:t xml:space="preserve">určeným sídlom v obci v rámci špeciálneho </w:t>
      </w:r>
      <w:r>
        <w:rPr>
          <w:shd w:val="clear" w:color="auto" w:fill="FFFFFF"/>
        </w:rPr>
        <w:t>volebného</w:t>
      </w:r>
      <w:r w:rsidRPr="00647281">
        <w:rPr>
          <w:shd w:val="clear" w:color="auto" w:fill="FFFFFF"/>
        </w:rPr>
        <w:t xml:space="preserve"> obvodu. Zoznam obcí patriacich do</w:t>
      </w:r>
      <w:r>
        <w:rPr>
          <w:shd w:val="clear" w:color="auto" w:fill="FFFFFF"/>
        </w:rPr>
        <w:t> </w:t>
      </w:r>
      <w:r w:rsidRPr="00647281">
        <w:rPr>
          <w:shd w:val="clear" w:color="auto" w:fill="FFFFFF"/>
        </w:rPr>
        <w:t>územia jednotlivých špeciálnych volebných obvodov a sídla špeciálnych volebných komisii sú uvedené v prílohe k zákonu.</w:t>
      </w:r>
    </w:p>
    <w:p w:rsidR="007D489B" w:rsidRPr="00647281" w:rsidRDefault="007D489B" w:rsidP="007D489B">
      <w:pPr>
        <w:spacing w:after="240"/>
        <w:ind w:firstLine="708"/>
        <w:jc w:val="both"/>
        <w:rPr>
          <w:shd w:val="clear" w:color="auto" w:fill="FFFFFF"/>
        </w:rPr>
      </w:pPr>
      <w:r w:rsidRPr="00647281">
        <w:rPr>
          <w:shd w:val="clear" w:color="auto" w:fill="FFFFFF"/>
        </w:rPr>
        <w:t>Členovia špeciálnej volebnej komisie u</w:t>
      </w:r>
      <w:r>
        <w:rPr>
          <w:shd w:val="clear" w:color="auto" w:fill="FFFFFF"/>
        </w:rPr>
        <w:t>tvorenej delegovaním politickými stranami</w:t>
      </w:r>
      <w:r w:rsidRPr="00647281">
        <w:rPr>
          <w:shd w:val="clear" w:color="auto" w:fill="FFFFFF"/>
        </w:rPr>
        <w:t xml:space="preserve"> budú na požiadanie oprávneného voliča doručovať hlasovacie lístky so špeciálnou prenosnou volebnou schránkou voličom, ktorí sa z dôvodu prekážky pri výkone práva hlasovať z dôvodu ochrany ve</w:t>
      </w:r>
      <w:r>
        <w:rPr>
          <w:shd w:val="clear" w:color="auto" w:fill="FFFFFF"/>
        </w:rPr>
        <w:t>rejného zdravia nemôžu dostaviť</w:t>
      </w:r>
      <w:r w:rsidRPr="00647281">
        <w:rPr>
          <w:shd w:val="clear" w:color="auto" w:fill="FFFFFF"/>
        </w:rPr>
        <w:t xml:space="preserve"> do volebnej miestnosti.</w:t>
      </w:r>
    </w:p>
    <w:p w:rsidR="007D489B" w:rsidRPr="00647281" w:rsidRDefault="007D489B" w:rsidP="007D489B">
      <w:pPr>
        <w:spacing w:after="240"/>
        <w:ind w:firstLine="708"/>
        <w:jc w:val="both"/>
        <w:rPr>
          <w:shd w:val="clear" w:color="auto" w:fill="FFFFFF"/>
        </w:rPr>
      </w:pPr>
      <w:r w:rsidRPr="00647281">
        <w:rPr>
          <w:shd w:val="clear" w:color="auto" w:fill="FFFFFF"/>
        </w:rPr>
        <w:t>Zákon upravuje spôsob kreovania špeciálnej volebnej komisie, ustanovuje podmienky členstva v nej, ako aj čin</w:t>
      </w:r>
      <w:r>
        <w:rPr>
          <w:shd w:val="clear" w:color="auto" w:fill="FFFFFF"/>
        </w:rPr>
        <w:t>nosť členov špeciálnej volebnej</w:t>
      </w:r>
      <w:r w:rsidRPr="00647281">
        <w:rPr>
          <w:shd w:val="clear" w:color="auto" w:fill="FFFFFF"/>
        </w:rPr>
        <w:t xml:space="preserve"> komisie. Určuje sa, že komisia</w:t>
      </w:r>
      <w:r>
        <w:rPr>
          <w:shd w:val="clear" w:color="auto" w:fill="FFFFFF"/>
        </w:rPr>
        <w:t xml:space="preserve"> musí mať minimálne osem členov, pričom hlasovanie do špeciálnej volebnej schránky v mieste pobytu oprávneného voliča budú zabezpečovať vždy dvaja vyslaní členovia tejto komisie.</w:t>
      </w:r>
      <w:r w:rsidRPr="00647281">
        <w:rPr>
          <w:shd w:val="clear" w:color="auto" w:fill="FFFFFF"/>
        </w:rPr>
        <w:t xml:space="preserve"> Je nevyhnutné počítať aj so situáciou, že epidémia bude na ústupe a dvaja členovia špeciálnej volebnej komisie budú postačovať na zabezpečenie hlasovania vo všetkých obciach patriacich do územného obvodu špeciálnej volebnej komisie, prípadne ani nebude potrebné, aby členovia tejto komisie vo volebný deň začali svoju činnosť, pretože žiaden z oprávnených voličov s trvalým pobytom v príslušnom špeciálnom volebnom obvode nepožiada o špeciálnu prenosnú volebnú schránku. Na druhej strane možno bude potrebné, aby všetci ôsmi členovia komisie v štyroch dvojiciach vo volebný deň zabezpečovali hlasovanie oprávnených voličov podľa tohto zákona z dôvodu, že epidemi</w:t>
      </w:r>
      <w:r>
        <w:rPr>
          <w:shd w:val="clear" w:color="auto" w:fill="FFFFFF"/>
        </w:rPr>
        <w:t>ologická</w:t>
      </w:r>
      <w:r w:rsidRPr="00647281">
        <w:rPr>
          <w:shd w:val="clear" w:color="auto" w:fill="FFFFFF"/>
        </w:rPr>
        <w:t xml:space="preserve"> situácia v príslušnom špeciálnom volebnom obvode bude nepriaznivá</w:t>
      </w:r>
      <w:r>
        <w:rPr>
          <w:shd w:val="clear" w:color="auto" w:fill="FFFFFF"/>
        </w:rPr>
        <w:t xml:space="preserve"> a o špeciálny spôsob hlasovania požiada veľké množstvo oprávnených voličov</w:t>
      </w:r>
      <w:r w:rsidRPr="00647281">
        <w:rPr>
          <w:shd w:val="clear" w:color="auto" w:fill="FFFFFF"/>
        </w:rPr>
        <w:t xml:space="preserve">. </w:t>
      </w:r>
    </w:p>
    <w:p w:rsidR="007D489B" w:rsidRPr="00647281" w:rsidRDefault="007D489B" w:rsidP="007D489B">
      <w:pPr>
        <w:spacing w:after="240"/>
        <w:ind w:firstLine="708"/>
        <w:jc w:val="both"/>
        <w:rPr>
          <w:strike/>
          <w:shd w:val="clear" w:color="auto" w:fill="FFFFFF"/>
        </w:rPr>
      </w:pPr>
      <w:r w:rsidRPr="00647281">
        <w:rPr>
          <w:shd w:val="clear" w:color="auto" w:fill="FFFFFF"/>
        </w:rPr>
        <w:t xml:space="preserve">Zákon </w:t>
      </w:r>
      <w:r>
        <w:rPr>
          <w:shd w:val="clear" w:color="auto" w:fill="FFFFFF"/>
        </w:rPr>
        <w:t xml:space="preserve">ďalej </w:t>
      </w:r>
      <w:r w:rsidRPr="00647281">
        <w:rPr>
          <w:shd w:val="clear" w:color="auto" w:fill="FFFFFF"/>
        </w:rPr>
        <w:t xml:space="preserve">upravuje podrobnosti o zapisovaní oprávneného voliča do špeciálneho zoznamu voličov oprávnených hlasovať špeciálnym spôsobom, ako aj o vyčiarknutí oprávneného voliča zo zoznamu voličov vo volebnom okrsku podľa miesta trvalého pobytu voliča. </w:t>
      </w:r>
      <w:r>
        <w:rPr>
          <w:shd w:val="clear" w:color="auto" w:fill="FFFFFF"/>
        </w:rPr>
        <w:t>Ustanovuje sa</w:t>
      </w:r>
      <w:r w:rsidRPr="00647281">
        <w:rPr>
          <w:shd w:val="clear" w:color="auto" w:fill="FFFFFF"/>
        </w:rPr>
        <w:t>, že žiadosť</w:t>
      </w:r>
      <w:r>
        <w:rPr>
          <w:shd w:val="clear" w:color="auto" w:fill="FFFFFF"/>
        </w:rPr>
        <w:t xml:space="preserve"> o špeciálny spôsob hlasovania je možné</w:t>
      </w:r>
      <w:r w:rsidRPr="00647281">
        <w:rPr>
          <w:shd w:val="clear" w:color="auto" w:fill="FFFFFF"/>
        </w:rPr>
        <w:t xml:space="preserve"> podať najneskôr v posledný pracovný deň predo dňom konania volieb do dvanástej hodiny, a to telefonicky zapisovateľovi miestnej volebnej komisie za</w:t>
      </w:r>
      <w:r>
        <w:rPr>
          <w:shd w:val="clear" w:color="auto" w:fill="FFFFFF"/>
        </w:rPr>
        <w:t xml:space="preserve"> účelom potreby overenia údajov, </w:t>
      </w:r>
      <w:r w:rsidRPr="00647281">
        <w:rPr>
          <w:shd w:val="clear" w:color="auto" w:fill="FFFFFF"/>
        </w:rPr>
        <w:t xml:space="preserve">telefonického kontaktu </w:t>
      </w:r>
      <w:r>
        <w:rPr>
          <w:shd w:val="clear" w:color="auto" w:fill="FFFFFF"/>
        </w:rPr>
        <w:t>a vyhotovenia špeciálnych zoznamov oprávnených voličov</w:t>
      </w:r>
      <w:r w:rsidRPr="00647281">
        <w:rPr>
          <w:shd w:val="clear" w:color="auto" w:fill="FFFFFF"/>
        </w:rPr>
        <w:t>.</w:t>
      </w:r>
    </w:p>
    <w:p w:rsidR="007D489B" w:rsidRPr="00647281" w:rsidRDefault="007D489B" w:rsidP="007D489B">
      <w:pPr>
        <w:spacing w:after="240"/>
        <w:ind w:firstLine="708"/>
        <w:jc w:val="both"/>
        <w:rPr>
          <w:shd w:val="clear" w:color="auto" w:fill="FFFFFF"/>
        </w:rPr>
      </w:pPr>
      <w:r w:rsidRPr="00647281">
        <w:rPr>
          <w:shd w:val="clear" w:color="auto" w:fill="FFFFFF"/>
        </w:rPr>
        <w:t>Od zapisovateľov miestnych volebných komisií sa očakáva vysoká profesionalita a pracovné nasadenie pri prijímaní žiadostí oprávne</w:t>
      </w:r>
      <w:r>
        <w:rPr>
          <w:shd w:val="clear" w:color="auto" w:fill="FFFFFF"/>
        </w:rPr>
        <w:t>ných voličov, tvorbe špeciálnych zoznamov oprávnených voličov a</w:t>
      </w:r>
      <w:r w:rsidRPr="00647281">
        <w:rPr>
          <w:shd w:val="clear" w:color="auto" w:fill="FFFFFF"/>
        </w:rPr>
        <w:t xml:space="preserve"> pri zabezpečovaní vyčiarknutia oprávnených vo</w:t>
      </w:r>
      <w:r>
        <w:rPr>
          <w:shd w:val="clear" w:color="auto" w:fill="FFFFFF"/>
        </w:rPr>
        <w:t>ličov v zozname voličov v obci</w:t>
      </w:r>
      <w:r w:rsidRPr="00647281">
        <w:rPr>
          <w:shd w:val="clear" w:color="auto" w:fill="FFFFFF"/>
        </w:rPr>
        <w:t>.</w:t>
      </w:r>
    </w:p>
    <w:p w:rsidR="007D489B" w:rsidRPr="00647281" w:rsidRDefault="007D489B" w:rsidP="007D489B">
      <w:pPr>
        <w:spacing w:after="240"/>
        <w:ind w:firstLine="708"/>
        <w:jc w:val="both"/>
        <w:rPr>
          <w:i/>
          <w:iCs/>
          <w:shd w:val="clear" w:color="auto" w:fill="FFFFFF"/>
        </w:rPr>
      </w:pPr>
      <w:r w:rsidRPr="00647281">
        <w:rPr>
          <w:shd w:val="clear" w:color="auto" w:fill="FFFFFF"/>
        </w:rPr>
        <w:t xml:space="preserve">Vzhľadom na náročnosť práce, určité riziko z dôvodu priameho kontaktu s osobami v izolácii alebo v karanténe, navrhuje sa členom špeciálnej komisie vyslaným so špeciálnou </w:t>
      </w:r>
      <w:r w:rsidRPr="00647281">
        <w:rPr>
          <w:shd w:val="clear" w:color="auto" w:fill="FFFFFF"/>
        </w:rPr>
        <w:lastRenderedPageBreak/>
        <w:t>prenosnou volebnou schránkou odmena v úhrnnej výške 200 eur. Vzhľadom na nevyhnutnú prepravu motorovým vozidlom na území špeciálneho volebného obvodu, ktorý tvorí spravidla niekoľko obcí</w:t>
      </w:r>
      <w:r>
        <w:rPr>
          <w:shd w:val="clear" w:color="auto" w:fill="FFFFFF"/>
        </w:rPr>
        <w:t>,</w:t>
      </w:r>
      <w:r w:rsidRPr="00647281">
        <w:rPr>
          <w:shd w:val="clear" w:color="auto" w:fill="FFFFFF"/>
        </w:rPr>
        <w:t xml:space="preserve"> sa ustanovuje, že vodič motorového vozidla sa na účely odmeňovania považuje za člena volebnej komisie a patrí mu odmena vo výške 170 eur. </w:t>
      </w:r>
    </w:p>
    <w:p w:rsidR="007D489B" w:rsidRPr="00647281" w:rsidRDefault="007D489B" w:rsidP="007D489B">
      <w:pPr>
        <w:spacing w:after="240"/>
        <w:ind w:firstLine="708"/>
        <w:jc w:val="both"/>
        <w:rPr>
          <w:shd w:val="clear" w:color="auto" w:fill="FFFFFF"/>
        </w:rPr>
      </w:pPr>
      <w:r w:rsidRPr="00647281">
        <w:rPr>
          <w:shd w:val="clear" w:color="auto" w:fill="FFFFFF"/>
        </w:rPr>
        <w:t>Zákon ustanovuje tiež špeciálny spôsob hlasovania a postupy, ktoré zabezpečia, aby každý, kto požiadal o špeciálny spôsob hlasovania, mal umožnené uplatniť právo hlasovať, ale zároveň, aby postup pri hlasovaní a vykonávaní záznamov v špeciálnom zozname oprávnených voličov</w:t>
      </w:r>
      <w:r>
        <w:rPr>
          <w:shd w:val="clear" w:color="auto" w:fill="FFFFFF"/>
        </w:rPr>
        <w:t>,</w:t>
      </w:r>
      <w:r w:rsidRPr="00647281">
        <w:rPr>
          <w:shd w:val="clear" w:color="auto" w:fill="FFFFFF"/>
        </w:rPr>
        <w:t xml:space="preserve"> vzbudzoval u voličov dôveru v zákonnosť volieb.</w:t>
      </w:r>
    </w:p>
    <w:p w:rsidR="007D489B" w:rsidRPr="00647281" w:rsidRDefault="007D489B" w:rsidP="007D489B">
      <w:pPr>
        <w:spacing w:after="240"/>
        <w:ind w:firstLine="708"/>
        <w:jc w:val="both"/>
        <w:rPr>
          <w:shd w:val="clear" w:color="auto" w:fill="FFFFFF"/>
        </w:rPr>
      </w:pPr>
      <w:r w:rsidRPr="00647281">
        <w:rPr>
          <w:shd w:val="clear" w:color="auto" w:fill="FFFFFF"/>
        </w:rPr>
        <w:t xml:space="preserve">Navrhuje sa, aby špeciálna volebná komisia mala sídlo v obci podľa prílohy zákona, </w:t>
      </w:r>
      <w:r>
        <w:rPr>
          <w:shd w:val="clear" w:color="auto" w:fill="FFFFFF"/>
        </w:rPr>
        <w:t>pričom každá z týchto obcí</w:t>
      </w:r>
      <w:r w:rsidRPr="00647281">
        <w:rPr>
          <w:shd w:val="clear" w:color="auto" w:fill="FFFFFF"/>
        </w:rPr>
        <w:t xml:space="preserve"> zabezpečí potrebné podmienky pre činnosť špeciálnej volebnej komisie, vrátane motorového vozidla a vodiča. Výdavky spojené so špeciálnym spôsobom hlasovania a </w:t>
      </w:r>
      <w:bookmarkStart w:id="0" w:name="_Hlk95045649"/>
      <w:r w:rsidRPr="00647281">
        <w:rPr>
          <w:shd w:val="clear" w:color="auto" w:fill="FFFFFF"/>
        </w:rPr>
        <w:t>s činnosťou špeciálnej volebnej komisie, vrátane odmeny člena špeciálnej volebnej komisie a vodiča zabezpečujúceho prepravu členov špeciálnej volebnej komisie</w:t>
      </w:r>
      <w:bookmarkEnd w:id="0"/>
      <w:r>
        <w:rPr>
          <w:shd w:val="clear" w:color="auto" w:fill="FFFFFF"/>
        </w:rPr>
        <w:t>, patriace k výdavkom spojeným</w:t>
      </w:r>
      <w:r w:rsidRPr="00647281">
        <w:rPr>
          <w:shd w:val="clear" w:color="auto" w:fill="FFFFFF"/>
        </w:rPr>
        <w:t xml:space="preserve"> s</w:t>
      </w:r>
      <w:r>
        <w:rPr>
          <w:shd w:val="clear" w:color="auto" w:fill="FFFFFF"/>
        </w:rPr>
        <w:t> </w:t>
      </w:r>
      <w:r w:rsidRPr="00647281">
        <w:rPr>
          <w:shd w:val="clear" w:color="auto" w:fill="FFFFFF"/>
        </w:rPr>
        <w:t>voľbami</w:t>
      </w:r>
      <w:r>
        <w:rPr>
          <w:shd w:val="clear" w:color="auto" w:fill="FFFFFF"/>
        </w:rPr>
        <w:t>,</w:t>
      </w:r>
      <w:r w:rsidRPr="00647281">
        <w:rPr>
          <w:shd w:val="clear" w:color="auto" w:fill="FFFFFF"/>
        </w:rPr>
        <w:t xml:space="preserve"> nebu</w:t>
      </w:r>
      <w:r>
        <w:rPr>
          <w:shd w:val="clear" w:color="auto" w:fill="FFFFFF"/>
        </w:rPr>
        <w:t>de znášať obec, ktorá je sídlom</w:t>
      </w:r>
      <w:r w:rsidRPr="00647281">
        <w:rPr>
          <w:shd w:val="clear" w:color="auto" w:fill="FFFFFF"/>
        </w:rPr>
        <w:t xml:space="preserve"> špeciálnej volebnej komisie, ale tieto výdavky budú hradené zo štátneho rozpočtu. </w:t>
      </w:r>
    </w:p>
    <w:p w:rsidR="007D489B" w:rsidRPr="00647281" w:rsidRDefault="007D489B" w:rsidP="007D489B">
      <w:pPr>
        <w:spacing w:after="240"/>
        <w:ind w:firstLine="708"/>
        <w:jc w:val="both"/>
        <w:rPr>
          <w:shd w:val="clear" w:color="auto" w:fill="FFFFFF"/>
        </w:rPr>
      </w:pPr>
      <w:r>
        <w:rPr>
          <w:shd w:val="clear" w:color="auto" w:fill="FFFFFF"/>
        </w:rPr>
        <w:t>K</w:t>
      </w:r>
      <w:r w:rsidRPr="00647281">
        <w:rPr>
          <w:shd w:val="clear" w:color="auto" w:fill="FFFFFF"/>
        </w:rPr>
        <w:t xml:space="preserve">eďže tento zákon upravuje odchýlky od právneho predpisu upravujúceho podmienky výkonu volebného práva, ktorým je </w:t>
      </w:r>
      <w:r>
        <w:rPr>
          <w:shd w:val="clear" w:color="auto" w:fill="FFFFFF"/>
        </w:rPr>
        <w:t>volebný zákon</w:t>
      </w:r>
      <w:r w:rsidRPr="00647281">
        <w:rPr>
          <w:shd w:val="clear" w:color="auto" w:fill="FFFFFF"/>
        </w:rPr>
        <w:t>,</w:t>
      </w:r>
      <w:r>
        <w:rPr>
          <w:shd w:val="clear" w:color="auto" w:fill="FFFFFF"/>
        </w:rPr>
        <w:t xml:space="preserve"> ustanovuje sa,</w:t>
      </w:r>
      <w:r w:rsidRPr="00647281">
        <w:rPr>
          <w:shd w:val="clear" w:color="auto" w:fill="FFFFFF"/>
        </w:rPr>
        <w:t xml:space="preserve"> že veci, ktoré nie sú upravené navrhovaným zákonom</w:t>
      </w:r>
      <w:r>
        <w:rPr>
          <w:shd w:val="clear" w:color="auto" w:fill="FFFFFF"/>
        </w:rPr>
        <w:t>,</w:t>
      </w:r>
      <w:r w:rsidRPr="00647281">
        <w:rPr>
          <w:shd w:val="clear" w:color="auto" w:fill="FFFFFF"/>
        </w:rPr>
        <w:t xml:space="preserve"> sa spravujú volebným zákonom.</w:t>
      </w:r>
    </w:p>
    <w:p w:rsidR="007D489B" w:rsidRPr="00647281" w:rsidRDefault="007D489B" w:rsidP="007D489B">
      <w:pPr>
        <w:spacing w:after="240"/>
        <w:ind w:firstLine="708"/>
        <w:jc w:val="both"/>
        <w:rPr>
          <w:shd w:val="clear" w:color="auto" w:fill="FFFFFF"/>
        </w:rPr>
      </w:pPr>
      <w:r>
        <w:rPr>
          <w:shd w:val="clear" w:color="auto" w:fill="FFFFFF"/>
        </w:rPr>
        <w:t>V článku II sa</w:t>
      </w:r>
      <w:r w:rsidRPr="00647281">
        <w:rPr>
          <w:shd w:val="clear" w:color="auto" w:fill="FFFFFF"/>
        </w:rPr>
        <w:t xml:space="preserve"> navrhuje predĺž</w:t>
      </w:r>
      <w:r>
        <w:rPr>
          <w:shd w:val="clear" w:color="auto" w:fill="FFFFFF"/>
        </w:rPr>
        <w:t>enie lehoty na vykonanie volieb</w:t>
      </w:r>
      <w:r w:rsidRPr="00647281">
        <w:rPr>
          <w:shd w:val="clear" w:color="auto" w:fill="FFFFFF"/>
        </w:rPr>
        <w:t xml:space="preserve"> do orgánov samosprávnych krajov a volieb do orgáno</w:t>
      </w:r>
      <w:r>
        <w:rPr>
          <w:shd w:val="clear" w:color="auto" w:fill="FFFFFF"/>
        </w:rPr>
        <w:t>v samosprávy obcí v medziach volebného obdobia o sedem dní a</w:t>
      </w:r>
      <w:r w:rsidRPr="00647281">
        <w:rPr>
          <w:shd w:val="clear" w:color="auto" w:fill="FFFFFF"/>
        </w:rPr>
        <w:t xml:space="preserve"> vytvárajú sa tak predpoklady na určenie optimálneho termínu konania predmetných volieb.</w:t>
      </w:r>
    </w:p>
    <w:p w:rsidR="007D489B" w:rsidRPr="00342C18" w:rsidRDefault="007D489B" w:rsidP="007D489B">
      <w:pPr>
        <w:spacing w:after="240"/>
        <w:ind w:firstLine="708"/>
        <w:jc w:val="both"/>
      </w:pPr>
      <w:r>
        <w:rPr>
          <w:shd w:val="clear" w:color="auto" w:fill="FFFFFF"/>
        </w:rPr>
        <w:t>V článku III sa</w:t>
      </w:r>
      <w:r w:rsidRPr="00647281">
        <w:rPr>
          <w:shd w:val="clear" w:color="auto" w:fill="FFFFFF"/>
        </w:rPr>
        <w:t xml:space="preserve"> novelizáciou zákona </w:t>
      </w:r>
      <w:r w:rsidRPr="00647281">
        <w:t xml:space="preserve">č. 181/2014 Z. z. o volebnej kampani </w:t>
      </w:r>
      <w:r>
        <w:t xml:space="preserve">a o zmene a doplnení zákona č. </w:t>
      </w:r>
      <w:r w:rsidRPr="00647281">
        <w:t>85/2005 Z. z. o politických stranách a politických hnutiach v znení neskorších prepisov precizovaním textu poskytuje právna istota koalícii politických strán a politických hnutí, že zodpovednosť za vedenie volebnej kampane kandidátom uvedeným na kandidátnej listine tejto koalície po čase ustanovenom na volebnú kampaň budú politické strany niesť len v tom prípade, ak ide o kandidáta vo voľbách do Národ</w:t>
      </w:r>
      <w:r>
        <w:t>nej rady Slovenskej republiky a</w:t>
      </w:r>
      <w:r w:rsidRPr="00647281">
        <w:t xml:space="preserve"> voľbách do Európskeho par</w:t>
      </w:r>
      <w:r>
        <w:t>lamentu a úprava sa nevzťahuje</w:t>
      </w:r>
      <w:r w:rsidRPr="00647281">
        <w:t xml:space="preserve"> na blížiace </w:t>
      </w:r>
      <w:r>
        <w:t xml:space="preserve">sa </w:t>
      </w:r>
      <w:r w:rsidRPr="00647281">
        <w:t>spojené voľby do orgánov územnej samosprávy</w:t>
      </w:r>
      <w:r>
        <w:t>.</w:t>
      </w:r>
    </w:p>
    <w:p w:rsidR="007D489B" w:rsidRDefault="007D489B" w:rsidP="007D489B">
      <w:pPr>
        <w:spacing w:after="240"/>
        <w:ind w:firstLine="708"/>
        <w:jc w:val="both"/>
        <w:rPr>
          <w:shd w:val="clear" w:color="auto" w:fill="FFFFFF"/>
        </w:rPr>
      </w:pPr>
      <w:r w:rsidRPr="00647281">
        <w:rPr>
          <w:shd w:val="clear" w:color="auto" w:fill="FFFFFF"/>
        </w:rPr>
        <w:t>Účinnosť sa navrhuje dňom vyhlásenia, ešte pred vyhlásením spojených volieb do orgánov územnej samosprávy.</w:t>
      </w:r>
    </w:p>
    <w:p w:rsidR="007D489B" w:rsidRPr="00647281" w:rsidRDefault="007D489B" w:rsidP="007D489B">
      <w:pPr>
        <w:spacing w:after="240"/>
        <w:ind w:firstLine="708"/>
        <w:jc w:val="both"/>
        <w:rPr>
          <w:shd w:val="clear" w:color="auto" w:fill="FFFFFF"/>
        </w:rPr>
      </w:pPr>
      <w:r w:rsidRPr="00421E40">
        <w:t>Návrh zákona má vplyv na rozpočet verejnej správy, pričom zakladá negatívny dopad na štátny rozpočet. Návrh zákona má pozitívny sociálny vplyv a nezakladá</w:t>
      </w:r>
      <w:r w:rsidRPr="00561C79">
        <w:t xml:space="preserve"> vpl</w:t>
      </w:r>
      <w:r>
        <w:t xml:space="preserve">yv na podnikateľské prostredie, </w:t>
      </w:r>
      <w:r w:rsidRPr="00561C79">
        <w:t>vplyvy na životné prostredie, na informatizáciu, na služby verejnej správy pre občana, ani na manželstvo, rodičovstvo a rodinu.</w:t>
      </w:r>
    </w:p>
    <w:p w:rsidR="009945C2" w:rsidRDefault="007D489B" w:rsidP="007D489B">
      <w:r w:rsidRPr="00647281">
        <w:t>Predložený návrh zákona je v súlade s Ústavou Slovenskej republiky, ústavnými zákonmi a nálezmi Ústavného súdu Slovenskej republiky, zákonmi, medzinárodnými zmluvami a inými medzinárodnými dokumentmi, ktorými je Slovenská republika viazaná, ako aj v súlade s právom Európskej únie.</w:t>
      </w:r>
    </w:p>
    <w:p w:rsidR="007D489B" w:rsidRDefault="007D489B" w:rsidP="007D489B"/>
    <w:p w:rsidR="007D489B" w:rsidRDefault="007D489B" w:rsidP="007D489B">
      <w:pPr>
        <w:jc w:val="center"/>
        <w:rPr>
          <w:b/>
          <w:sz w:val="28"/>
          <w:szCs w:val="28"/>
        </w:rPr>
      </w:pPr>
    </w:p>
    <w:p w:rsidR="007D489B" w:rsidRDefault="007D489B" w:rsidP="007D489B">
      <w:pPr>
        <w:jc w:val="center"/>
        <w:rPr>
          <w:b/>
          <w:sz w:val="28"/>
          <w:szCs w:val="28"/>
        </w:rPr>
      </w:pPr>
    </w:p>
    <w:p w:rsidR="007D489B" w:rsidRPr="007D489B" w:rsidRDefault="007D489B" w:rsidP="007D489B">
      <w:pPr>
        <w:jc w:val="center"/>
        <w:rPr>
          <w:b/>
          <w:sz w:val="28"/>
          <w:szCs w:val="28"/>
        </w:rPr>
      </w:pPr>
      <w:r w:rsidRPr="007D489B">
        <w:rPr>
          <w:b/>
          <w:sz w:val="28"/>
          <w:szCs w:val="28"/>
        </w:rPr>
        <w:lastRenderedPageBreak/>
        <w:t>Doložka vybraných vplyvov</w:t>
      </w:r>
    </w:p>
    <w:p w:rsidR="007D489B" w:rsidRPr="007D489B" w:rsidRDefault="007D489B" w:rsidP="007D489B">
      <w:pPr>
        <w:spacing w:after="200" w:line="276" w:lineRule="auto"/>
        <w:contextualSpacing/>
        <w:rPr>
          <w:rFonts w:ascii="Calibri" w:eastAsia="Calibri" w:hAnsi="Calibri"/>
          <w:b/>
          <w:sz w:val="22"/>
          <w:szCs w:val="22"/>
          <w:lang w:eastAsia="en-US"/>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7D489B" w:rsidRPr="007D489B" w:rsidTr="007D489B">
        <w:tc>
          <w:tcPr>
            <w:tcW w:w="9180" w:type="dxa"/>
            <w:gridSpan w:val="11"/>
            <w:tcBorders>
              <w:bottom w:val="single" w:sz="4" w:space="0" w:color="FFFFFF"/>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Základné údaje</w:t>
            </w:r>
          </w:p>
        </w:tc>
      </w:tr>
      <w:tr w:rsidR="007D489B" w:rsidRPr="007D489B" w:rsidTr="007D489B">
        <w:tc>
          <w:tcPr>
            <w:tcW w:w="9180" w:type="dxa"/>
            <w:gridSpan w:val="11"/>
            <w:tcBorders>
              <w:bottom w:val="single" w:sz="4" w:space="0" w:color="FFFFFF"/>
            </w:tcBorders>
            <w:shd w:val="clear" w:color="auto" w:fill="E2E2E2"/>
          </w:tcPr>
          <w:p w:rsidR="007D489B" w:rsidRPr="007D489B" w:rsidRDefault="007D489B" w:rsidP="007D489B">
            <w:pPr>
              <w:spacing w:after="200" w:line="276" w:lineRule="auto"/>
              <w:contextualSpacing/>
              <w:rPr>
                <w:rFonts w:eastAsia="Calibri"/>
                <w:b/>
                <w:sz w:val="22"/>
                <w:szCs w:val="22"/>
                <w:lang w:eastAsia="en-US"/>
              </w:rPr>
            </w:pPr>
            <w:r w:rsidRPr="007D489B">
              <w:rPr>
                <w:rFonts w:eastAsia="Calibri"/>
                <w:b/>
                <w:sz w:val="22"/>
                <w:szCs w:val="22"/>
                <w:lang w:eastAsia="en-US"/>
              </w:rPr>
              <w:t>Názov materiálu</w:t>
            </w:r>
          </w:p>
        </w:tc>
      </w:tr>
      <w:tr w:rsidR="007D489B" w:rsidRPr="007D489B" w:rsidTr="007D489B">
        <w:tc>
          <w:tcPr>
            <w:tcW w:w="9180" w:type="dxa"/>
            <w:gridSpan w:val="11"/>
            <w:tcBorders>
              <w:top w:val="single" w:sz="4" w:space="0" w:color="FFFFFF"/>
              <w:bottom w:val="single" w:sz="4" w:space="0" w:color="auto"/>
            </w:tcBorders>
          </w:tcPr>
          <w:p w:rsidR="007D489B" w:rsidRPr="007D489B" w:rsidRDefault="007D489B" w:rsidP="007D489B">
            <w:pPr>
              <w:spacing w:after="240"/>
              <w:rPr>
                <w:lang w:eastAsia="en-US"/>
              </w:rPr>
            </w:pPr>
            <w:r w:rsidRPr="007D489B">
              <w:rPr>
                <w:lang w:eastAsia="en-US"/>
              </w:rPr>
              <w:t>Zákon o špeciálnom spôsobe hlasovania vo voľbách do orgánov samosprávy obcí a vo voľbách do orgánov samosprávnych krajov, ktoré sa konajú v roku 2022 v rovnaký deň a v rovnakom čase a ktorým sa menia a dopĺňajú niektoré zákony</w:t>
            </w:r>
          </w:p>
        </w:tc>
      </w:tr>
      <w:tr w:rsidR="007D489B" w:rsidRPr="007D489B" w:rsidTr="007D489B">
        <w:tc>
          <w:tcPr>
            <w:tcW w:w="9180" w:type="dxa"/>
            <w:gridSpan w:val="11"/>
            <w:tcBorders>
              <w:top w:val="single" w:sz="4" w:space="0" w:color="auto"/>
              <w:left w:val="single" w:sz="4" w:space="0" w:color="auto"/>
              <w:bottom w:val="single" w:sz="4" w:space="0" w:color="FFFFFF"/>
            </w:tcBorders>
            <w:shd w:val="clear" w:color="auto" w:fill="E2E2E2"/>
          </w:tcPr>
          <w:p w:rsidR="007D489B" w:rsidRPr="007D489B" w:rsidRDefault="007D489B" w:rsidP="007D489B">
            <w:pPr>
              <w:spacing w:after="200" w:line="276" w:lineRule="auto"/>
              <w:contextualSpacing/>
              <w:rPr>
                <w:rFonts w:eastAsia="Calibri"/>
                <w:b/>
                <w:sz w:val="22"/>
                <w:szCs w:val="22"/>
                <w:lang w:eastAsia="en-US"/>
              </w:rPr>
            </w:pPr>
            <w:r w:rsidRPr="007D489B">
              <w:rPr>
                <w:rFonts w:eastAsia="Calibri"/>
                <w:b/>
                <w:sz w:val="22"/>
                <w:szCs w:val="22"/>
                <w:lang w:eastAsia="en-US"/>
              </w:rPr>
              <w:t>Predkladateľ (a spolupredkladateľ)</w:t>
            </w:r>
          </w:p>
        </w:tc>
      </w:tr>
      <w:tr w:rsidR="007D489B" w:rsidRPr="007D489B" w:rsidTr="007D489B">
        <w:tc>
          <w:tcPr>
            <w:tcW w:w="9180" w:type="dxa"/>
            <w:gridSpan w:val="11"/>
            <w:tcBorders>
              <w:top w:val="single" w:sz="4" w:space="0" w:color="FFFFFF"/>
              <w:left w:val="single" w:sz="4" w:space="0" w:color="auto"/>
              <w:bottom w:val="single" w:sz="4" w:space="0" w:color="auto"/>
            </w:tcBorders>
            <w:shd w:val="clear" w:color="auto" w:fill="FFFFFF"/>
          </w:tcPr>
          <w:p w:rsidR="007D489B" w:rsidRPr="007D489B" w:rsidRDefault="007D489B" w:rsidP="007D489B">
            <w:pPr>
              <w:rPr>
                <w:sz w:val="20"/>
                <w:szCs w:val="20"/>
              </w:rPr>
            </w:pPr>
            <w:r w:rsidRPr="007D489B">
              <w:rPr>
                <w:szCs w:val="20"/>
              </w:rPr>
              <w:t>minister vnútra Slovenskej republiky</w:t>
            </w:r>
          </w:p>
          <w:p w:rsidR="007D489B" w:rsidRPr="007D489B" w:rsidRDefault="007D489B" w:rsidP="007D489B">
            <w:pPr>
              <w:rPr>
                <w:sz w:val="20"/>
                <w:szCs w:val="20"/>
              </w:rPr>
            </w:pPr>
          </w:p>
        </w:tc>
      </w:tr>
      <w:tr w:rsidR="007D489B" w:rsidRPr="007D489B" w:rsidTr="007D489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7D489B" w:rsidRPr="007D489B" w:rsidRDefault="007D489B" w:rsidP="007D489B">
            <w:pPr>
              <w:spacing w:after="200" w:line="276" w:lineRule="auto"/>
              <w:contextualSpacing/>
              <w:rPr>
                <w:rFonts w:eastAsia="Calibri"/>
                <w:b/>
                <w:sz w:val="22"/>
                <w:szCs w:val="22"/>
                <w:lang w:eastAsia="en-US"/>
              </w:rPr>
            </w:pPr>
            <w:r w:rsidRPr="007D489B">
              <w:rPr>
                <w:rFonts w:eastAsia="Calibri"/>
                <w:b/>
                <w:sz w:val="22"/>
                <w:szCs w:val="22"/>
                <w:lang w:eastAsia="en-US"/>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7D489B" w:rsidRPr="007D489B" w:rsidRDefault="007D489B" w:rsidP="007D489B">
                <w:pPr>
                  <w:jc w:val="center"/>
                  <w:rPr>
                    <w:sz w:val="20"/>
                    <w:szCs w:val="20"/>
                  </w:rPr>
                </w:pPr>
                <w:r w:rsidRPr="007D489B">
                  <w:rPr>
                    <w:rFonts w:eastAsia="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7D489B" w:rsidRPr="007D489B" w:rsidRDefault="007D489B" w:rsidP="007D489B">
            <w:pPr>
              <w:rPr>
                <w:sz w:val="20"/>
                <w:szCs w:val="20"/>
              </w:rPr>
            </w:pPr>
            <w:r w:rsidRPr="007D489B">
              <w:rPr>
                <w:sz w:val="20"/>
                <w:szCs w:val="20"/>
              </w:rPr>
              <w:t>Materiál nelegislatívnej povahy</w:t>
            </w:r>
          </w:p>
        </w:tc>
      </w:tr>
      <w:tr w:rsidR="007D489B" w:rsidRPr="007D489B" w:rsidTr="007D489B">
        <w:tc>
          <w:tcPr>
            <w:tcW w:w="4212" w:type="dxa"/>
            <w:gridSpan w:val="2"/>
            <w:vMerge/>
            <w:tcBorders>
              <w:top w:val="nil"/>
              <w:left w:val="single" w:sz="4" w:space="0" w:color="auto"/>
              <w:bottom w:val="single" w:sz="4" w:space="0" w:color="FFFFFF"/>
            </w:tcBorders>
            <w:shd w:val="clear" w:color="auto" w:fill="E2E2E2"/>
          </w:tcPr>
          <w:p w:rsidR="007D489B" w:rsidRPr="007D489B" w:rsidRDefault="007D489B" w:rsidP="007D489B">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7D489B" w:rsidRPr="007D489B" w:rsidRDefault="007D489B" w:rsidP="007D489B">
                <w:pPr>
                  <w:jc w:val="center"/>
                  <w:rPr>
                    <w:sz w:val="20"/>
                    <w:szCs w:val="20"/>
                  </w:rPr>
                </w:pPr>
                <w:r w:rsidRPr="007D489B">
                  <w:rPr>
                    <w:rFonts w:eastAsia="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7D489B" w:rsidRPr="007D489B" w:rsidRDefault="007D489B" w:rsidP="007D489B">
            <w:pPr>
              <w:rPr>
                <w:sz w:val="20"/>
                <w:szCs w:val="20"/>
              </w:rPr>
            </w:pPr>
            <w:r w:rsidRPr="007D489B">
              <w:rPr>
                <w:sz w:val="20"/>
                <w:szCs w:val="20"/>
              </w:rPr>
              <w:t>Materiál legislatívnej povahy</w:t>
            </w:r>
          </w:p>
        </w:tc>
      </w:tr>
      <w:tr w:rsidR="007D489B" w:rsidRPr="007D489B" w:rsidTr="007D489B">
        <w:tc>
          <w:tcPr>
            <w:tcW w:w="4212" w:type="dxa"/>
            <w:gridSpan w:val="2"/>
            <w:vMerge/>
            <w:tcBorders>
              <w:top w:val="nil"/>
              <w:left w:val="single" w:sz="4" w:space="0" w:color="auto"/>
              <w:bottom w:val="single" w:sz="4" w:space="0" w:color="auto"/>
            </w:tcBorders>
            <w:shd w:val="clear" w:color="auto" w:fill="E2E2E2"/>
          </w:tcPr>
          <w:p w:rsidR="007D489B" w:rsidRPr="007D489B" w:rsidRDefault="007D489B" w:rsidP="007D489B">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7D489B" w:rsidRPr="007D489B" w:rsidRDefault="007D489B" w:rsidP="007D489B">
                <w:pPr>
                  <w:jc w:val="center"/>
                  <w:rPr>
                    <w:sz w:val="20"/>
                    <w:szCs w:val="20"/>
                  </w:rPr>
                </w:pPr>
                <w:r w:rsidRPr="007D489B">
                  <w:rPr>
                    <w:rFonts w:eastAsia="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7D489B" w:rsidRPr="007D489B" w:rsidRDefault="007D489B" w:rsidP="007D489B">
            <w:pPr>
              <w:rPr>
                <w:sz w:val="20"/>
                <w:szCs w:val="20"/>
              </w:rPr>
            </w:pPr>
            <w:r w:rsidRPr="007D489B">
              <w:rPr>
                <w:sz w:val="20"/>
                <w:szCs w:val="20"/>
              </w:rPr>
              <w:t>Transpozícia práva EÚ</w:t>
            </w:r>
          </w:p>
        </w:tc>
      </w:tr>
      <w:tr w:rsidR="007D489B" w:rsidRPr="007D489B" w:rsidTr="007D489B">
        <w:tc>
          <w:tcPr>
            <w:tcW w:w="9180" w:type="dxa"/>
            <w:gridSpan w:val="11"/>
            <w:tcBorders>
              <w:top w:val="single" w:sz="4" w:space="0" w:color="auto"/>
              <w:left w:val="single" w:sz="4" w:space="0" w:color="auto"/>
              <w:bottom w:val="single" w:sz="4" w:space="0" w:color="FFFFFF"/>
            </w:tcBorders>
            <w:shd w:val="clear" w:color="auto" w:fill="FFFFFF"/>
          </w:tcPr>
          <w:p w:rsidR="007D489B" w:rsidRPr="007D489B" w:rsidRDefault="007D489B" w:rsidP="007D489B">
            <w:pPr>
              <w:rPr>
                <w:i/>
                <w:sz w:val="20"/>
                <w:szCs w:val="20"/>
              </w:rPr>
            </w:pPr>
            <w:r w:rsidRPr="007D489B">
              <w:rPr>
                <w:i/>
                <w:sz w:val="20"/>
                <w:szCs w:val="20"/>
              </w:rPr>
              <w:t>V prípade transpozície uveďte zoznam transponovaných predpisov:</w:t>
            </w:r>
          </w:p>
          <w:p w:rsidR="007D489B" w:rsidRPr="007D489B" w:rsidRDefault="007D489B" w:rsidP="007D489B">
            <w:pPr>
              <w:rPr>
                <w:sz w:val="20"/>
                <w:szCs w:val="20"/>
              </w:rPr>
            </w:pPr>
          </w:p>
        </w:tc>
      </w:tr>
      <w:tr w:rsidR="007D489B" w:rsidRPr="007D489B" w:rsidTr="007D489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7D489B" w:rsidRPr="007D489B" w:rsidRDefault="007D489B" w:rsidP="007D489B">
            <w:pPr>
              <w:spacing w:after="200" w:line="276" w:lineRule="auto"/>
              <w:contextualSpacing/>
              <w:rPr>
                <w:rFonts w:eastAsia="Calibri"/>
                <w:b/>
                <w:sz w:val="22"/>
                <w:szCs w:val="22"/>
                <w:lang w:eastAsia="en-US"/>
              </w:rPr>
            </w:pPr>
            <w:r w:rsidRPr="007D489B">
              <w:rPr>
                <w:rFonts w:eastAsia="Calibri"/>
                <w:b/>
                <w:sz w:val="22"/>
                <w:szCs w:val="22"/>
                <w:lang w:eastAsia="en-US"/>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7D489B" w:rsidRPr="007D489B" w:rsidRDefault="007D489B" w:rsidP="007D489B">
            <w:pPr>
              <w:rPr>
                <w:sz w:val="20"/>
                <w:szCs w:val="20"/>
              </w:rPr>
            </w:pPr>
            <w:r w:rsidRPr="007D489B">
              <w:rPr>
                <w:sz w:val="20"/>
                <w:szCs w:val="20"/>
              </w:rPr>
              <w:t>1. – 10. marec 2022</w:t>
            </w:r>
          </w:p>
        </w:tc>
      </w:tr>
      <w:tr w:rsidR="007D489B" w:rsidRPr="007D489B" w:rsidTr="007D489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spacing w:after="200" w:line="276" w:lineRule="auto"/>
              <w:contextualSpacing/>
              <w:rPr>
                <w:rFonts w:eastAsia="Calibri"/>
                <w:b/>
                <w:sz w:val="22"/>
                <w:szCs w:val="22"/>
                <w:lang w:eastAsia="en-US"/>
              </w:rPr>
            </w:pPr>
            <w:r w:rsidRPr="007D489B">
              <w:rPr>
                <w:rFonts w:eastAsia="Calibri"/>
                <w:b/>
                <w:sz w:val="22"/>
                <w:szCs w:val="22"/>
                <w:lang w:eastAsia="en-US"/>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7D489B" w:rsidRPr="007D489B" w:rsidRDefault="007D489B" w:rsidP="007D489B">
            <w:pPr>
              <w:rPr>
                <w:sz w:val="20"/>
                <w:szCs w:val="20"/>
              </w:rPr>
            </w:pPr>
            <w:r w:rsidRPr="007D489B">
              <w:rPr>
                <w:sz w:val="20"/>
                <w:szCs w:val="20"/>
              </w:rPr>
              <w:t xml:space="preserve">skrátené medzirezortné pripomienkové konanie </w:t>
            </w:r>
          </w:p>
          <w:p w:rsidR="007D489B" w:rsidRPr="007D489B" w:rsidRDefault="007D489B" w:rsidP="007D489B">
            <w:pPr>
              <w:rPr>
                <w:sz w:val="20"/>
                <w:szCs w:val="20"/>
              </w:rPr>
            </w:pPr>
            <w:r w:rsidRPr="007D489B">
              <w:rPr>
                <w:sz w:val="20"/>
                <w:szCs w:val="20"/>
              </w:rPr>
              <w:t>14. – 22. marec 2022</w:t>
            </w:r>
          </w:p>
        </w:tc>
      </w:tr>
      <w:tr w:rsidR="007D489B" w:rsidRPr="007D489B" w:rsidTr="007D489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spacing w:line="276" w:lineRule="auto"/>
              <w:contextualSpacing/>
              <w:rPr>
                <w:rFonts w:ascii="Calibri" w:eastAsia="Calibri" w:hAnsi="Calibri"/>
                <w:b/>
                <w:sz w:val="22"/>
                <w:szCs w:val="22"/>
                <w:lang w:eastAsia="en-US"/>
              </w:rPr>
            </w:pPr>
            <w:r w:rsidRPr="007D489B">
              <w:rPr>
                <w:rFonts w:eastAsia="Calibri"/>
                <w:b/>
                <w:sz w:val="22"/>
                <w:szCs w:val="22"/>
                <w:lang w:eastAsia="en-US"/>
              </w:rPr>
              <w:t>Predpokladaný termín začiatku a ukončenia ZP**</w:t>
            </w:r>
            <w:r w:rsidRPr="007D489B">
              <w:rPr>
                <w:rFonts w:ascii="Calibri" w:eastAsia="Calibri" w:hAnsi="Calibri"/>
                <w:b/>
                <w:sz w:val="22"/>
                <w:szCs w:val="22"/>
                <w:lang w:eastAsia="en-US"/>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7D489B" w:rsidRPr="007D489B" w:rsidRDefault="007D489B" w:rsidP="007D489B">
            <w:pPr>
              <w:rPr>
                <w:sz w:val="20"/>
                <w:szCs w:val="20"/>
              </w:rPr>
            </w:pPr>
          </w:p>
        </w:tc>
      </w:tr>
      <w:tr w:rsidR="007D489B" w:rsidRPr="007D489B" w:rsidTr="007D489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spacing w:after="200" w:line="276" w:lineRule="auto"/>
              <w:contextualSpacing/>
              <w:jc w:val="both"/>
              <w:rPr>
                <w:rFonts w:eastAsia="Calibri"/>
                <w:b/>
                <w:sz w:val="22"/>
                <w:szCs w:val="22"/>
                <w:lang w:eastAsia="en-US"/>
              </w:rPr>
            </w:pPr>
            <w:r w:rsidRPr="007D489B">
              <w:rPr>
                <w:rFonts w:eastAsia="Calibri"/>
                <w:b/>
                <w:sz w:val="22"/>
                <w:szCs w:val="22"/>
                <w:lang w:eastAsia="en-US"/>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7D489B" w:rsidRPr="007D489B" w:rsidRDefault="007D489B" w:rsidP="007D489B">
            <w:pPr>
              <w:rPr>
                <w:sz w:val="20"/>
                <w:szCs w:val="20"/>
              </w:rPr>
            </w:pPr>
            <w:r w:rsidRPr="007D489B">
              <w:rPr>
                <w:sz w:val="20"/>
                <w:szCs w:val="20"/>
              </w:rPr>
              <w:t>apríl 2022</w:t>
            </w:r>
          </w:p>
        </w:tc>
      </w:tr>
      <w:tr w:rsidR="007D489B" w:rsidRPr="007D489B" w:rsidTr="007D489B">
        <w:tc>
          <w:tcPr>
            <w:tcW w:w="9180" w:type="dxa"/>
            <w:gridSpan w:val="11"/>
            <w:tcBorders>
              <w:top w:val="single" w:sz="4" w:space="0" w:color="auto"/>
              <w:left w:val="nil"/>
              <w:bottom w:val="single" w:sz="4" w:space="0" w:color="auto"/>
              <w:right w:val="nil"/>
            </w:tcBorders>
            <w:shd w:val="clear" w:color="auto" w:fill="FFFFFF"/>
          </w:tcPr>
          <w:p w:rsidR="007D489B" w:rsidRPr="007D489B" w:rsidRDefault="007D489B" w:rsidP="007D489B">
            <w:pPr>
              <w:rPr>
                <w:sz w:val="20"/>
                <w:szCs w:val="20"/>
              </w:rPr>
            </w:pPr>
          </w:p>
        </w:tc>
      </w:tr>
      <w:tr w:rsidR="007D489B" w:rsidRPr="007D489B" w:rsidTr="007D489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Definovanie problému</w:t>
            </w:r>
          </w:p>
        </w:tc>
      </w:tr>
      <w:tr w:rsidR="007D489B" w:rsidRPr="007D489B" w:rsidTr="007D489B">
        <w:trPr>
          <w:trHeight w:val="1991"/>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D489B" w:rsidRPr="007D489B" w:rsidRDefault="007D489B" w:rsidP="007D489B">
            <w:pPr>
              <w:spacing w:after="240"/>
              <w:jc w:val="both"/>
              <w:rPr>
                <w:lang w:eastAsia="en-US"/>
              </w:rPr>
            </w:pPr>
            <w:r w:rsidRPr="007D489B">
              <w:rPr>
                <w:sz w:val="20"/>
                <w:szCs w:val="20"/>
                <w:lang w:eastAsia="en-US"/>
              </w:rPr>
              <w:t xml:space="preserve">Vytvorenie špeciálnych podmienok na uplatnenie práva osôb, ktoré majú zákonom </w:t>
            </w:r>
            <w:r w:rsidRPr="007D489B">
              <w:rPr>
                <w:color w:val="000000"/>
                <w:sz w:val="20"/>
                <w:szCs w:val="20"/>
                <w:shd w:val="clear" w:color="auto" w:fill="FFFFFF"/>
                <w:lang w:eastAsia="en-US"/>
              </w:rPr>
              <w:t>ustanovené obmedzenie osobnej slobody z dôvodov ochrany verejného zdravia pred ochorením COVID-</w:t>
            </w:r>
            <w:r w:rsidRPr="007D489B">
              <w:rPr>
                <w:sz w:val="20"/>
                <w:szCs w:val="20"/>
                <w:shd w:val="clear" w:color="auto" w:fill="FFFFFF"/>
                <w:lang w:eastAsia="en-US"/>
              </w:rPr>
              <w:t xml:space="preserve">19, </w:t>
            </w:r>
            <w:r w:rsidRPr="007D489B">
              <w:rPr>
                <w:sz w:val="20"/>
                <w:szCs w:val="20"/>
                <w:lang w:eastAsia="en-US"/>
              </w:rPr>
              <w:t xml:space="preserve">vrátane osôb žijúcich s nimi v spoločnej domácnosti, </w:t>
            </w:r>
            <w:r w:rsidRPr="007D489B">
              <w:rPr>
                <w:sz w:val="20"/>
                <w:szCs w:val="20"/>
                <w:shd w:val="clear" w:color="auto" w:fill="FFFFFF"/>
                <w:lang w:eastAsia="en-US"/>
              </w:rPr>
              <w:t>hlasovať vo</w:t>
            </w:r>
            <w:r w:rsidRPr="007D489B">
              <w:rPr>
                <w:sz w:val="20"/>
                <w:szCs w:val="20"/>
                <w:lang w:eastAsia="en-US"/>
              </w:rPr>
              <w:t xml:space="preserve"> voľbách do orgánov samosprávy obcí a vo</w:t>
            </w:r>
            <w:r w:rsidRPr="007D489B">
              <w:rPr>
                <w:sz w:val="20"/>
                <w:szCs w:val="20"/>
                <w:shd w:val="clear" w:color="auto" w:fill="FFFFFF"/>
                <w:lang w:eastAsia="en-US"/>
              </w:rPr>
              <w:t xml:space="preserve"> voľbách </w:t>
            </w:r>
            <w:r w:rsidRPr="007D489B">
              <w:rPr>
                <w:sz w:val="20"/>
                <w:szCs w:val="20"/>
                <w:lang w:eastAsia="en-US"/>
              </w:rPr>
              <w:t>do orgánov samosprávnych krajov, ktoré sa konajú v roku 2022 v rovnaký deň a v rovnakom čase (ďalej len „spojené voľby“). Postup podľa tohto zákona sa uplatní iba v prípade, ak bude k 30. septembru 2022 Úradom verejného zdravotníctva Slovenskej republiky z dôvodu ochrany verejného zdravia pred ochorením COVID-19 nariadená izolácia osôb pozitívnych na ochorenie COVID-19 alebo karanténa osôb, ktoré prišli do úzkeho kontaktu s osobou pozitívnou na ochorenie COVID-19.</w:t>
            </w:r>
          </w:p>
        </w:tc>
      </w:tr>
      <w:tr w:rsidR="007D489B" w:rsidRPr="007D489B" w:rsidTr="007D489B">
        <w:tc>
          <w:tcPr>
            <w:tcW w:w="9180" w:type="dxa"/>
            <w:gridSpan w:val="11"/>
            <w:tcBorders>
              <w:top w:val="single" w:sz="4" w:space="0" w:color="auto"/>
              <w:left w:val="single" w:sz="4" w:space="0" w:color="auto"/>
              <w:bottom w:val="nil"/>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Ciele a výsledný stav</w:t>
            </w:r>
          </w:p>
        </w:tc>
      </w:tr>
      <w:tr w:rsidR="007D489B" w:rsidRPr="007D489B" w:rsidTr="007D489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7D489B" w:rsidRPr="007D489B" w:rsidRDefault="007D489B" w:rsidP="007D489B">
            <w:pPr>
              <w:jc w:val="both"/>
              <w:rPr>
                <w:sz w:val="20"/>
                <w:szCs w:val="20"/>
              </w:rPr>
            </w:pPr>
            <w:r w:rsidRPr="007D489B">
              <w:rPr>
                <w:sz w:val="20"/>
                <w:szCs w:val="20"/>
              </w:rPr>
              <w:t>Hlavným cieľom navrhovaného zákona je vytvorenie legislatívnych podmienok na zabezpečenie špeciálneho spôsobu hlasovania v určenom územnom obvode podľa prílohy zákona oprávnenými voličmi, ktorí požiadali o špeciálny spôsob hlasovania do špeciálnej prenosnej volebnej schránky, a ktorí majú ku dňu vykonania spojených volieb nariadenú karanténu alebo izoláciu z dôvodu ochrany verejného zdravia pred ochorením COVID-19.</w:t>
            </w:r>
          </w:p>
        </w:tc>
      </w:tr>
      <w:tr w:rsidR="007D489B" w:rsidRPr="007D489B" w:rsidTr="007D489B">
        <w:tc>
          <w:tcPr>
            <w:tcW w:w="9180" w:type="dxa"/>
            <w:gridSpan w:val="11"/>
            <w:tcBorders>
              <w:top w:val="single" w:sz="4" w:space="0" w:color="auto"/>
              <w:left w:val="single" w:sz="4" w:space="0" w:color="auto"/>
              <w:bottom w:val="nil"/>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Dotknuté subjekty</w:t>
            </w:r>
          </w:p>
        </w:tc>
      </w:tr>
      <w:tr w:rsidR="007D489B" w:rsidRPr="007D489B" w:rsidTr="007D489B">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rsidR="007D489B" w:rsidRDefault="007D489B" w:rsidP="007D489B">
            <w:pPr>
              <w:rPr>
                <w:rFonts w:eastAsiaTheme="minorHAnsi"/>
                <w:sz w:val="22"/>
                <w:szCs w:val="22"/>
                <w:lang w:eastAsia="en-US"/>
              </w:rPr>
            </w:pPr>
            <w:r w:rsidRPr="007D489B">
              <w:rPr>
                <w:rFonts w:eastAsiaTheme="minorHAnsi"/>
                <w:sz w:val="20"/>
                <w:szCs w:val="20"/>
                <w:lang w:eastAsia="en-US"/>
              </w:rPr>
              <w:t xml:space="preserve">Ministerstvo vnútra Slovenskej republiky, </w:t>
            </w:r>
            <w:r w:rsidRPr="007D489B">
              <w:rPr>
                <w:rFonts w:eastAsiaTheme="minorHAnsi"/>
                <w:color w:val="000000" w:themeColor="text1"/>
                <w:sz w:val="20"/>
                <w:szCs w:val="20"/>
                <w:lang w:eastAsia="en-US"/>
              </w:rPr>
              <w:t>Úrad verejného zdravotníctva Slovenskej republiky</w:t>
            </w:r>
            <w:r w:rsidRPr="007D489B">
              <w:rPr>
                <w:rFonts w:eastAsiaTheme="minorHAnsi"/>
                <w:sz w:val="20"/>
                <w:szCs w:val="20"/>
                <w:lang w:eastAsia="en-US"/>
              </w:rPr>
              <w:t>, okresné úrady, obce</w:t>
            </w:r>
            <w:r w:rsidRPr="007D489B">
              <w:rPr>
                <w:rFonts w:eastAsiaTheme="minorHAnsi"/>
                <w:sz w:val="22"/>
                <w:szCs w:val="22"/>
                <w:lang w:eastAsia="en-US"/>
              </w:rPr>
              <w:t>.</w:t>
            </w:r>
          </w:p>
          <w:p w:rsidR="007D489B" w:rsidRPr="007D489B" w:rsidRDefault="007D489B" w:rsidP="007D489B">
            <w:pPr>
              <w:rPr>
                <w:sz w:val="20"/>
                <w:szCs w:val="20"/>
              </w:rPr>
            </w:pPr>
          </w:p>
        </w:tc>
      </w:tr>
      <w:tr w:rsidR="007D489B" w:rsidRPr="007D489B" w:rsidTr="007D489B">
        <w:tc>
          <w:tcPr>
            <w:tcW w:w="9180" w:type="dxa"/>
            <w:gridSpan w:val="11"/>
            <w:tcBorders>
              <w:top w:val="single" w:sz="4" w:space="0" w:color="auto"/>
              <w:left w:val="single" w:sz="4" w:space="0" w:color="auto"/>
              <w:bottom w:val="nil"/>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Alternatívne riešenia</w:t>
            </w:r>
          </w:p>
        </w:tc>
      </w:tr>
      <w:tr w:rsidR="007D489B" w:rsidRPr="007D489B" w:rsidTr="007D489B">
        <w:trPr>
          <w:trHeight w:val="605"/>
        </w:trPr>
        <w:tc>
          <w:tcPr>
            <w:tcW w:w="9180" w:type="dxa"/>
            <w:gridSpan w:val="11"/>
            <w:tcBorders>
              <w:top w:val="nil"/>
              <w:left w:val="single" w:sz="4" w:space="0" w:color="auto"/>
              <w:bottom w:val="single" w:sz="4" w:space="0" w:color="auto"/>
              <w:right w:val="single" w:sz="4" w:space="0" w:color="auto"/>
            </w:tcBorders>
            <w:shd w:val="clear" w:color="auto" w:fill="auto"/>
          </w:tcPr>
          <w:p w:rsidR="007D489B" w:rsidRPr="007D489B" w:rsidRDefault="007D489B" w:rsidP="007D489B">
            <w:pPr>
              <w:jc w:val="both"/>
              <w:rPr>
                <w:sz w:val="20"/>
                <w:szCs w:val="20"/>
              </w:rPr>
            </w:pPr>
            <w:r w:rsidRPr="007D489B">
              <w:rPr>
                <w:rFonts w:eastAsiaTheme="minorHAnsi"/>
                <w:color w:val="000000" w:themeColor="text1"/>
                <w:sz w:val="20"/>
                <w:szCs w:val="20"/>
                <w:lang w:eastAsia="en-US"/>
              </w:rPr>
              <w:t>Nulový variant je vykonanie spojených volieb s obvyklým počtom volebných komisií bez špeciálnych volebných komisií.</w:t>
            </w:r>
          </w:p>
        </w:tc>
      </w:tr>
      <w:tr w:rsidR="007D489B" w:rsidRPr="007D489B" w:rsidTr="007D489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Vykonávacie predpisy</w:t>
            </w:r>
          </w:p>
        </w:tc>
      </w:tr>
      <w:tr w:rsidR="007D489B" w:rsidRPr="007D489B" w:rsidTr="007D489B">
        <w:tc>
          <w:tcPr>
            <w:tcW w:w="6203" w:type="dxa"/>
            <w:gridSpan w:val="7"/>
            <w:tcBorders>
              <w:top w:val="single" w:sz="4" w:space="0" w:color="FFFFFF"/>
              <w:left w:val="single" w:sz="4" w:space="0" w:color="auto"/>
              <w:bottom w:val="nil"/>
              <w:right w:val="nil"/>
            </w:tcBorders>
            <w:shd w:val="clear" w:color="auto" w:fill="FFFFFF"/>
          </w:tcPr>
          <w:p w:rsidR="007D489B" w:rsidRPr="007D489B" w:rsidRDefault="007D489B" w:rsidP="007D489B">
            <w:pPr>
              <w:rPr>
                <w:i/>
                <w:sz w:val="20"/>
                <w:szCs w:val="20"/>
              </w:rPr>
            </w:pPr>
            <w:r w:rsidRPr="007D489B">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7D489B" w:rsidRPr="007D489B" w:rsidRDefault="002E423C" w:rsidP="007D489B">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7D489B" w:rsidRPr="007D489B">
                  <w:rPr>
                    <w:rFonts w:eastAsia="MS Gothic" w:hint="eastAsia"/>
                    <w:b/>
                    <w:sz w:val="20"/>
                    <w:szCs w:val="20"/>
                  </w:rPr>
                  <w:t>☐</w:t>
                </w:r>
              </w:sdtContent>
            </w:sdt>
            <w:r w:rsidR="007D489B" w:rsidRPr="007D489B">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7D489B" w:rsidRPr="007D489B" w:rsidRDefault="002E423C" w:rsidP="007D489B">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7D489B" w:rsidRPr="007D489B">
                  <w:rPr>
                    <w:rFonts w:eastAsia="MS Gothic" w:hint="eastAsia"/>
                    <w:b/>
                    <w:sz w:val="20"/>
                    <w:szCs w:val="20"/>
                  </w:rPr>
                  <w:t>☒</w:t>
                </w:r>
              </w:sdtContent>
            </w:sdt>
            <w:r w:rsidR="007D489B" w:rsidRPr="007D489B">
              <w:rPr>
                <w:b/>
                <w:sz w:val="20"/>
                <w:szCs w:val="20"/>
              </w:rPr>
              <w:t xml:space="preserve">  Nie</w:t>
            </w:r>
          </w:p>
        </w:tc>
      </w:tr>
      <w:tr w:rsidR="007D489B" w:rsidRPr="007D489B" w:rsidTr="007D489B">
        <w:tc>
          <w:tcPr>
            <w:tcW w:w="9180" w:type="dxa"/>
            <w:gridSpan w:val="11"/>
            <w:tcBorders>
              <w:top w:val="nil"/>
              <w:left w:val="single" w:sz="4" w:space="0" w:color="auto"/>
              <w:bottom w:val="single" w:sz="4" w:space="0" w:color="auto"/>
              <w:right w:val="single" w:sz="4" w:space="0" w:color="auto"/>
            </w:tcBorders>
            <w:shd w:val="clear" w:color="auto" w:fill="FFFFFF"/>
          </w:tcPr>
          <w:p w:rsidR="007D489B" w:rsidRPr="007D489B" w:rsidRDefault="007D489B" w:rsidP="007D489B">
            <w:pPr>
              <w:rPr>
                <w:i/>
                <w:sz w:val="20"/>
                <w:szCs w:val="20"/>
              </w:rPr>
            </w:pPr>
            <w:r w:rsidRPr="007D489B">
              <w:rPr>
                <w:i/>
                <w:sz w:val="20"/>
                <w:szCs w:val="20"/>
              </w:rPr>
              <w:t>Ak áno, uveďte ktoré oblasti budú nimi upravené, resp. ktorých vykonávacích predpisov sa zmena dotkne:</w:t>
            </w:r>
          </w:p>
          <w:p w:rsidR="007D489B" w:rsidRDefault="007D489B" w:rsidP="007D489B">
            <w:pPr>
              <w:rPr>
                <w:sz w:val="20"/>
                <w:szCs w:val="20"/>
              </w:rPr>
            </w:pPr>
          </w:p>
          <w:p w:rsidR="007D489B" w:rsidRPr="007D489B" w:rsidRDefault="007D489B" w:rsidP="007D489B">
            <w:pPr>
              <w:rPr>
                <w:sz w:val="20"/>
                <w:szCs w:val="20"/>
              </w:rPr>
            </w:pPr>
          </w:p>
        </w:tc>
      </w:tr>
      <w:tr w:rsidR="007D489B" w:rsidRPr="007D489B" w:rsidTr="007D489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 xml:space="preserve">Transpozícia práva EÚ </w:t>
            </w:r>
          </w:p>
        </w:tc>
      </w:tr>
      <w:tr w:rsidR="007D489B" w:rsidRPr="007D489B" w:rsidTr="007D489B">
        <w:trPr>
          <w:trHeight w:val="157"/>
        </w:trPr>
        <w:tc>
          <w:tcPr>
            <w:tcW w:w="9180" w:type="dxa"/>
            <w:gridSpan w:val="11"/>
            <w:tcBorders>
              <w:top w:val="nil"/>
              <w:left w:val="single" w:sz="4" w:space="0" w:color="000000"/>
              <w:bottom w:val="nil"/>
              <w:right w:val="single" w:sz="4" w:space="0" w:color="auto"/>
            </w:tcBorders>
            <w:shd w:val="clear" w:color="auto" w:fill="FFFFFF"/>
          </w:tcPr>
          <w:p w:rsidR="007D489B" w:rsidRPr="007D489B" w:rsidRDefault="007D489B" w:rsidP="007D489B">
            <w:pPr>
              <w:jc w:val="both"/>
              <w:rPr>
                <w:i/>
                <w:sz w:val="20"/>
                <w:szCs w:val="20"/>
              </w:rPr>
            </w:pPr>
            <w:r w:rsidRPr="007D489B">
              <w:rPr>
                <w:sz w:val="20"/>
                <w:szCs w:val="20"/>
              </w:rPr>
              <w:t>Žiadne</w:t>
            </w:r>
            <w:r w:rsidRPr="007D489B">
              <w:rPr>
                <w:i/>
                <w:sz w:val="20"/>
                <w:szCs w:val="20"/>
              </w:rPr>
              <w:t>.</w:t>
            </w:r>
          </w:p>
        </w:tc>
      </w:tr>
      <w:tr w:rsidR="007D489B" w:rsidRPr="007D489B" w:rsidTr="007D489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7D489B" w:rsidRDefault="007D489B" w:rsidP="007D489B">
            <w:pPr>
              <w:jc w:val="center"/>
              <w:rPr>
                <w:sz w:val="20"/>
                <w:szCs w:val="20"/>
              </w:rPr>
            </w:pPr>
          </w:p>
          <w:p w:rsidR="007D489B" w:rsidRPr="007D489B" w:rsidRDefault="007D489B" w:rsidP="007D489B">
            <w:pPr>
              <w:jc w:val="center"/>
              <w:rPr>
                <w:sz w:val="20"/>
                <w:szCs w:val="20"/>
              </w:rPr>
            </w:pPr>
          </w:p>
        </w:tc>
      </w:tr>
      <w:tr w:rsidR="007D489B" w:rsidRPr="007D489B" w:rsidTr="007D489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lastRenderedPageBreak/>
              <w:t>Preskúmanie účelnosti</w:t>
            </w:r>
          </w:p>
        </w:tc>
      </w:tr>
      <w:tr w:rsidR="007D489B" w:rsidRPr="007D489B" w:rsidTr="007D489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D489B" w:rsidRPr="007D489B" w:rsidRDefault="007D489B" w:rsidP="007D489B">
            <w:pPr>
              <w:jc w:val="both"/>
              <w:rPr>
                <w:rFonts w:eastAsiaTheme="minorHAnsi"/>
                <w:iCs/>
                <w:sz w:val="20"/>
                <w:szCs w:val="20"/>
              </w:rPr>
            </w:pPr>
            <w:r w:rsidRPr="007D489B">
              <w:rPr>
                <w:rFonts w:eastAsiaTheme="minorHAnsi"/>
                <w:iCs/>
                <w:sz w:val="20"/>
                <w:szCs w:val="20"/>
              </w:rPr>
              <w:t>Navrhované zmeny vyplývajúce z návrhu zákona budú priebežne sledované a účelnosť  vynaložených finančných prostriedkov bude  vyhodnotená v rámci vyúčtovania prostriedkov štátneho rozpočtu na úhradu výdavkov spojených s konaním spojených volieb. Kvalitatívne ukazovatele sa z dôvodu povinnosti štátu zabezpečiť ústavné právo voliča nesledujú.</w:t>
            </w:r>
          </w:p>
          <w:p w:rsidR="007D489B" w:rsidRPr="007D489B" w:rsidRDefault="007D489B" w:rsidP="007D489B">
            <w:pPr>
              <w:rPr>
                <w:i/>
                <w:sz w:val="20"/>
                <w:szCs w:val="20"/>
              </w:rPr>
            </w:pPr>
          </w:p>
        </w:tc>
      </w:tr>
      <w:tr w:rsidR="007D489B" w:rsidRPr="007D489B" w:rsidTr="007D489B">
        <w:tc>
          <w:tcPr>
            <w:tcW w:w="9180" w:type="dxa"/>
            <w:gridSpan w:val="11"/>
            <w:tcBorders>
              <w:top w:val="nil"/>
              <w:left w:val="nil"/>
              <w:bottom w:val="single" w:sz="4" w:space="0" w:color="auto"/>
              <w:right w:val="nil"/>
            </w:tcBorders>
            <w:shd w:val="clear" w:color="auto" w:fill="FFFFFF"/>
          </w:tcPr>
          <w:p w:rsidR="007D489B" w:rsidRPr="007D489B" w:rsidRDefault="007D489B" w:rsidP="007D489B">
            <w:pPr>
              <w:rPr>
                <w:b/>
                <w:sz w:val="20"/>
                <w:szCs w:val="20"/>
              </w:rPr>
            </w:pPr>
          </w:p>
          <w:p w:rsidR="007D489B" w:rsidRPr="007D489B" w:rsidRDefault="007D489B" w:rsidP="007D489B">
            <w:pPr>
              <w:rPr>
                <w:b/>
                <w:sz w:val="20"/>
                <w:szCs w:val="20"/>
              </w:rPr>
            </w:pPr>
          </w:p>
          <w:p w:rsidR="007D489B" w:rsidRPr="007D489B" w:rsidRDefault="007D489B" w:rsidP="007D489B">
            <w:pPr>
              <w:rPr>
                <w:sz w:val="20"/>
                <w:szCs w:val="20"/>
              </w:rPr>
            </w:pPr>
            <w:r w:rsidRPr="007D489B">
              <w:rPr>
                <w:sz w:val="20"/>
                <w:szCs w:val="20"/>
              </w:rPr>
              <w:t xml:space="preserve">* vyplniť iba v prípade, ak materiál nie je zahrnutý do Plánu práce vlády Slovenskej republiky alebo Plánu        legislatívnych úloh vlády Slovenskej republiky. </w:t>
            </w:r>
          </w:p>
          <w:p w:rsidR="007D489B" w:rsidRDefault="007D489B" w:rsidP="007D489B">
            <w:pPr>
              <w:rPr>
                <w:sz w:val="20"/>
                <w:szCs w:val="20"/>
              </w:rPr>
            </w:pPr>
            <w:r w:rsidRPr="007D489B">
              <w:rPr>
                <w:sz w:val="20"/>
                <w:szCs w:val="20"/>
              </w:rPr>
              <w:t>** vyplniť iba v prípade, ak sa záverečné posúdenie vybraných vplyvov uskutočnilo v zmysle bodu 9.1. jednotnej metodiky.</w:t>
            </w:r>
          </w:p>
          <w:p w:rsidR="007D489B" w:rsidRPr="007D489B" w:rsidRDefault="007D489B" w:rsidP="007D489B">
            <w:pPr>
              <w:rPr>
                <w:sz w:val="20"/>
                <w:szCs w:val="20"/>
              </w:rPr>
            </w:pPr>
          </w:p>
          <w:p w:rsidR="007D489B" w:rsidRPr="007D489B" w:rsidRDefault="007D489B" w:rsidP="007D489B">
            <w:pPr>
              <w:rPr>
                <w:b/>
                <w:sz w:val="20"/>
                <w:szCs w:val="20"/>
              </w:rPr>
            </w:pPr>
          </w:p>
        </w:tc>
      </w:tr>
      <w:tr w:rsidR="007D489B" w:rsidRPr="007D489B" w:rsidTr="007D489B">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Vybrané vplyvy  materiálu</w:t>
            </w:r>
          </w:p>
        </w:tc>
      </w:tr>
      <w:tr w:rsidR="007D489B" w:rsidRPr="007D489B" w:rsidTr="007D489B">
        <w:tc>
          <w:tcPr>
            <w:tcW w:w="3812" w:type="dxa"/>
            <w:tcBorders>
              <w:top w:val="single" w:sz="4" w:space="0" w:color="auto"/>
              <w:left w:val="single" w:sz="4" w:space="0" w:color="auto"/>
              <w:bottom w:val="nil"/>
              <w:right w:val="single" w:sz="4" w:space="0" w:color="auto"/>
            </w:tcBorders>
            <w:shd w:val="clear" w:color="auto" w:fill="E2E2E2"/>
          </w:tcPr>
          <w:p w:rsidR="007D489B" w:rsidRPr="007D489B" w:rsidRDefault="007D489B" w:rsidP="007D489B">
            <w:pPr>
              <w:rPr>
                <w:b/>
                <w:sz w:val="20"/>
                <w:szCs w:val="20"/>
              </w:rPr>
            </w:pPr>
            <w:r w:rsidRPr="007D489B">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7D489B" w:rsidRPr="007D489B" w:rsidRDefault="007D489B" w:rsidP="007D489B">
            <w:pPr>
              <w:rPr>
                <w:b/>
                <w:sz w:val="20"/>
                <w:szCs w:val="20"/>
              </w:rPr>
            </w:pPr>
            <w:r w:rsidRPr="007D489B">
              <w:rPr>
                <w:b/>
                <w:sz w:val="20"/>
                <w:szCs w:val="20"/>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133" w:type="dxa"/>
            <w:tcBorders>
              <w:top w:val="single" w:sz="4" w:space="0" w:color="auto"/>
              <w:left w:val="nil"/>
              <w:bottom w:val="dotted" w:sz="4" w:space="0" w:color="auto"/>
              <w:right w:val="nil"/>
            </w:tcBorders>
          </w:tcPr>
          <w:p w:rsidR="007D489B" w:rsidRPr="007D489B" w:rsidRDefault="007D489B" w:rsidP="007D489B">
            <w:pPr>
              <w:rPr>
                <w:b/>
                <w:sz w:val="20"/>
                <w:szCs w:val="20"/>
              </w:rPr>
            </w:pPr>
            <w:r w:rsidRPr="007D489B">
              <w:rPr>
                <w:b/>
                <w:sz w:val="20"/>
                <w:szCs w:val="20"/>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7D489B" w:rsidRPr="007D489B" w:rsidRDefault="007D489B" w:rsidP="007D489B">
                <w:pPr>
                  <w:ind w:right="-108"/>
                  <w:jc w:val="center"/>
                  <w:rPr>
                    <w:b/>
                    <w:sz w:val="20"/>
                    <w:szCs w:val="20"/>
                  </w:rPr>
                </w:pPr>
                <w:r w:rsidRPr="007D489B">
                  <w:rPr>
                    <w:rFonts w:eastAsia="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7D489B" w:rsidRPr="007D489B" w:rsidRDefault="007D489B" w:rsidP="007D489B">
            <w:pPr>
              <w:rPr>
                <w:b/>
                <w:sz w:val="20"/>
                <w:szCs w:val="20"/>
              </w:rPr>
            </w:pPr>
            <w:r w:rsidRPr="007D489B">
              <w:rPr>
                <w:b/>
                <w:sz w:val="20"/>
                <w:szCs w:val="20"/>
              </w:rPr>
              <w:t>Negatívne</w:t>
            </w:r>
          </w:p>
        </w:tc>
      </w:tr>
      <w:tr w:rsidR="007D489B" w:rsidRPr="007D489B" w:rsidTr="007D489B">
        <w:tc>
          <w:tcPr>
            <w:tcW w:w="3812" w:type="dxa"/>
            <w:tcBorders>
              <w:top w:val="nil"/>
              <w:left w:val="single" w:sz="4" w:space="0" w:color="auto"/>
              <w:bottom w:val="single" w:sz="4" w:space="0" w:color="000000"/>
              <w:right w:val="single" w:sz="4" w:space="0" w:color="auto"/>
            </w:tcBorders>
            <w:shd w:val="clear" w:color="auto" w:fill="E2E2E2"/>
          </w:tcPr>
          <w:p w:rsidR="007D489B" w:rsidRPr="007D489B" w:rsidRDefault="007D489B" w:rsidP="007D489B">
            <w:pPr>
              <w:rPr>
                <w:sz w:val="20"/>
                <w:szCs w:val="20"/>
              </w:rPr>
            </w:pPr>
            <w:r w:rsidRPr="007D489B">
              <w:rPr>
                <w:sz w:val="20"/>
                <w:szCs w:val="20"/>
              </w:rPr>
              <w:t xml:space="preserve">    z toho rozpočtovo zabezpečené vplyvy,         </w:t>
            </w:r>
          </w:p>
          <w:p w:rsidR="007D489B" w:rsidRPr="007D489B" w:rsidRDefault="007D489B" w:rsidP="007D489B">
            <w:pPr>
              <w:rPr>
                <w:sz w:val="20"/>
                <w:szCs w:val="20"/>
              </w:rPr>
            </w:pPr>
            <w:r w:rsidRPr="007D489B">
              <w:rPr>
                <w:sz w:val="20"/>
                <w:szCs w:val="20"/>
              </w:rPr>
              <w:t xml:space="preserve">    v prípade identifikovaného negatívneho </w:t>
            </w:r>
          </w:p>
          <w:p w:rsidR="007D489B" w:rsidRPr="007D489B" w:rsidRDefault="007D489B" w:rsidP="007D489B">
            <w:pPr>
              <w:rPr>
                <w:sz w:val="20"/>
                <w:szCs w:val="20"/>
              </w:rPr>
            </w:pPr>
            <w:r w:rsidRPr="007D489B">
              <w:rPr>
                <w:sz w:val="20"/>
                <w:szCs w:val="20"/>
              </w:rPr>
              <w:t xml:space="preserve">    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D489B" w:rsidRPr="007D489B" w:rsidRDefault="007D489B" w:rsidP="007D489B">
                <w:pPr>
                  <w:jc w:val="center"/>
                  <w:rPr>
                    <w:sz w:val="20"/>
                    <w:szCs w:val="20"/>
                  </w:rPr>
                </w:pPr>
                <w:r w:rsidRPr="007D489B">
                  <w:rPr>
                    <w:rFonts w:eastAsia="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7D489B" w:rsidRPr="007D489B" w:rsidRDefault="007D489B" w:rsidP="007D489B">
            <w:pPr>
              <w:rPr>
                <w:sz w:val="20"/>
                <w:szCs w:val="20"/>
              </w:rPr>
            </w:pPr>
            <w:r w:rsidRPr="007D489B">
              <w:rPr>
                <w:sz w:val="20"/>
                <w:szCs w:val="20"/>
              </w:rPr>
              <w:t>Áno</w:t>
            </w:r>
          </w:p>
        </w:tc>
        <w:sdt>
          <w:sdtPr>
            <w:rPr>
              <w:sz w:val="20"/>
              <w:szCs w:val="20"/>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7D489B" w:rsidRPr="007D489B" w:rsidRDefault="007D489B" w:rsidP="007D489B">
                <w:pPr>
                  <w:jc w:val="center"/>
                  <w:rPr>
                    <w:sz w:val="20"/>
                    <w:szCs w:val="20"/>
                  </w:rPr>
                </w:pPr>
                <w:r w:rsidRPr="007D489B">
                  <w:rPr>
                    <w:rFonts w:eastAsia="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7D489B" w:rsidRPr="007D489B" w:rsidRDefault="007D489B" w:rsidP="007D489B">
            <w:pPr>
              <w:rPr>
                <w:sz w:val="20"/>
                <w:szCs w:val="20"/>
              </w:rPr>
            </w:pPr>
            <w:r w:rsidRPr="007D489B">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D489B" w:rsidRPr="007D489B" w:rsidRDefault="007D489B" w:rsidP="007D489B">
                <w:pPr>
                  <w:ind w:right="-108"/>
                  <w:jc w:val="center"/>
                  <w:rPr>
                    <w:sz w:val="20"/>
                    <w:szCs w:val="20"/>
                  </w:rPr>
                </w:pPr>
                <w:r w:rsidRPr="007D489B">
                  <w:rPr>
                    <w:rFonts w:eastAsia="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7D489B" w:rsidRPr="007D489B" w:rsidRDefault="007D489B" w:rsidP="007D489B">
            <w:pPr>
              <w:rPr>
                <w:sz w:val="20"/>
                <w:szCs w:val="20"/>
              </w:rPr>
            </w:pPr>
            <w:r w:rsidRPr="007D489B">
              <w:rPr>
                <w:sz w:val="20"/>
                <w:szCs w:val="20"/>
              </w:rPr>
              <w:t>Čiastočne</w:t>
            </w:r>
          </w:p>
        </w:tc>
      </w:tr>
      <w:tr w:rsidR="007D489B" w:rsidRPr="007D489B" w:rsidTr="007D489B">
        <w:tc>
          <w:tcPr>
            <w:tcW w:w="3812" w:type="dxa"/>
            <w:tcBorders>
              <w:top w:val="single" w:sz="4" w:space="0" w:color="000000"/>
              <w:left w:val="single" w:sz="4" w:space="0" w:color="auto"/>
              <w:bottom w:val="nil"/>
              <w:right w:val="single" w:sz="4" w:space="0" w:color="auto"/>
            </w:tcBorders>
            <w:shd w:val="clear" w:color="auto" w:fill="E2E2E2"/>
          </w:tcPr>
          <w:p w:rsidR="007D489B" w:rsidRPr="007D489B" w:rsidRDefault="007D489B" w:rsidP="007D489B">
            <w:pPr>
              <w:rPr>
                <w:b/>
                <w:sz w:val="20"/>
                <w:szCs w:val="20"/>
              </w:rPr>
            </w:pPr>
            <w:r w:rsidRPr="007D489B">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7D489B" w:rsidRPr="007D489B" w:rsidRDefault="007D489B" w:rsidP="007D489B">
            <w:pPr>
              <w:ind w:right="-108"/>
              <w:rPr>
                <w:b/>
                <w:sz w:val="20"/>
                <w:szCs w:val="20"/>
              </w:rPr>
            </w:pPr>
            <w:r w:rsidRPr="007D489B">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7D489B" w:rsidRPr="007D489B" w:rsidRDefault="007D489B" w:rsidP="007D489B">
            <w:pPr>
              <w:rPr>
                <w:b/>
                <w:sz w:val="20"/>
                <w:szCs w:val="20"/>
              </w:rPr>
            </w:pPr>
            <w:r w:rsidRPr="007D489B">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7D489B" w:rsidRPr="007D489B" w:rsidRDefault="007D489B" w:rsidP="007D489B">
            <w:pPr>
              <w:rPr>
                <w:b/>
                <w:sz w:val="20"/>
                <w:szCs w:val="20"/>
              </w:rPr>
            </w:pPr>
            <w:r w:rsidRPr="007D489B">
              <w:rPr>
                <w:b/>
                <w:sz w:val="20"/>
                <w:szCs w:val="20"/>
              </w:rPr>
              <w:t>Negatívne</w:t>
            </w:r>
          </w:p>
        </w:tc>
      </w:tr>
      <w:tr w:rsidR="007D489B" w:rsidRPr="007D489B" w:rsidTr="007D489B">
        <w:tc>
          <w:tcPr>
            <w:tcW w:w="3812" w:type="dxa"/>
            <w:tcBorders>
              <w:top w:val="nil"/>
              <w:left w:val="single" w:sz="4" w:space="0" w:color="000000"/>
              <w:bottom w:val="nil"/>
              <w:right w:val="single" w:sz="4" w:space="0" w:color="000000"/>
            </w:tcBorders>
            <w:shd w:val="clear" w:color="auto" w:fill="E2E2E2"/>
          </w:tcPr>
          <w:p w:rsidR="007D489B" w:rsidRPr="007D489B" w:rsidRDefault="007D489B" w:rsidP="007D489B">
            <w:pPr>
              <w:rPr>
                <w:sz w:val="20"/>
                <w:szCs w:val="20"/>
              </w:rPr>
            </w:pPr>
            <w:r w:rsidRPr="007D489B">
              <w:rPr>
                <w:sz w:val="20"/>
                <w:szCs w:val="20"/>
              </w:rPr>
              <w:t xml:space="preserve">    z toho vplyvy na MSP</w:t>
            </w:r>
          </w:p>
          <w:p w:rsidR="007D489B" w:rsidRPr="007D489B" w:rsidRDefault="007D489B" w:rsidP="007D489B">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D489B" w:rsidRPr="007D489B" w:rsidRDefault="007D489B" w:rsidP="007D489B">
                <w:pPr>
                  <w:jc w:val="center"/>
                  <w:rPr>
                    <w:sz w:val="20"/>
                    <w:szCs w:val="20"/>
                  </w:rPr>
                </w:pPr>
                <w:r w:rsidRPr="007D489B">
                  <w:rPr>
                    <w:rFonts w:eastAsia="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7D489B" w:rsidRPr="007D489B" w:rsidRDefault="007D489B" w:rsidP="007D489B">
            <w:pPr>
              <w:ind w:right="-108"/>
              <w:rPr>
                <w:sz w:val="20"/>
                <w:szCs w:val="20"/>
              </w:rPr>
            </w:pPr>
            <w:r w:rsidRPr="007D489B">
              <w:rPr>
                <w:sz w:val="20"/>
                <w:szCs w:val="20"/>
              </w:rPr>
              <w:t>Pozitívne</w:t>
            </w:r>
          </w:p>
        </w:tc>
        <w:sdt>
          <w:sdtPr>
            <w:rPr>
              <w:sz w:val="20"/>
              <w:szCs w:val="20"/>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D489B" w:rsidRPr="007D489B" w:rsidRDefault="007D489B" w:rsidP="007D489B">
                <w:pPr>
                  <w:jc w:val="center"/>
                  <w:rPr>
                    <w:sz w:val="20"/>
                    <w:szCs w:val="20"/>
                  </w:rPr>
                </w:pPr>
                <w:r w:rsidRPr="007D489B">
                  <w:rPr>
                    <w:rFonts w:eastAsia="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7D489B" w:rsidRPr="007D489B" w:rsidRDefault="007D489B" w:rsidP="007D489B">
            <w:pPr>
              <w:rPr>
                <w:sz w:val="20"/>
                <w:szCs w:val="20"/>
              </w:rPr>
            </w:pPr>
            <w:r w:rsidRPr="007D489B">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D489B" w:rsidRPr="007D489B" w:rsidRDefault="007D489B" w:rsidP="007D489B">
                <w:pPr>
                  <w:jc w:val="center"/>
                  <w:rPr>
                    <w:sz w:val="20"/>
                    <w:szCs w:val="20"/>
                  </w:rPr>
                </w:pPr>
                <w:r w:rsidRPr="007D489B">
                  <w:rPr>
                    <w:rFonts w:eastAsia="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7D489B" w:rsidRPr="007D489B" w:rsidRDefault="007D489B" w:rsidP="007D489B">
            <w:pPr>
              <w:rPr>
                <w:sz w:val="20"/>
                <w:szCs w:val="20"/>
              </w:rPr>
            </w:pPr>
            <w:r w:rsidRPr="007D489B">
              <w:rPr>
                <w:sz w:val="20"/>
                <w:szCs w:val="20"/>
              </w:rPr>
              <w:t>Negatívne</w:t>
            </w:r>
          </w:p>
        </w:tc>
      </w:tr>
      <w:tr w:rsidR="007D489B" w:rsidRPr="007D489B" w:rsidTr="007D489B">
        <w:tc>
          <w:tcPr>
            <w:tcW w:w="3812" w:type="dxa"/>
            <w:tcBorders>
              <w:top w:val="nil"/>
              <w:left w:val="single" w:sz="4" w:space="0" w:color="auto"/>
              <w:bottom w:val="single" w:sz="4" w:space="0" w:color="auto"/>
              <w:right w:val="single" w:sz="4" w:space="0" w:color="auto"/>
            </w:tcBorders>
            <w:shd w:val="clear" w:color="auto" w:fill="E2E2E2"/>
          </w:tcPr>
          <w:p w:rsidR="007D489B" w:rsidRPr="007D489B" w:rsidRDefault="007D489B" w:rsidP="007D489B">
            <w:pPr>
              <w:rPr>
                <w:sz w:val="20"/>
                <w:szCs w:val="20"/>
              </w:rPr>
            </w:pPr>
            <w:r w:rsidRPr="007D489B">
              <w:rPr>
                <w:sz w:val="20"/>
                <w:szCs w:val="20"/>
              </w:rPr>
              <w:t xml:space="preserve">    Mechanizmus znižovania byrokracie    </w:t>
            </w:r>
          </w:p>
          <w:p w:rsidR="007D489B" w:rsidRPr="007D489B" w:rsidRDefault="007D489B" w:rsidP="007D489B">
            <w:pPr>
              <w:rPr>
                <w:b/>
                <w:sz w:val="20"/>
                <w:szCs w:val="20"/>
              </w:rPr>
            </w:pPr>
            <w:r w:rsidRPr="007D489B">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7D489B" w:rsidRPr="007D489B" w:rsidRDefault="007D489B" w:rsidP="007D489B">
            <w:pPr>
              <w:ind w:right="-108"/>
              <w:rPr>
                <w:b/>
                <w:sz w:val="20"/>
                <w:szCs w:val="20"/>
              </w:rPr>
            </w:pPr>
            <w:r w:rsidRPr="007D489B">
              <w:rPr>
                <w:sz w:val="20"/>
                <w:szCs w:val="20"/>
              </w:rPr>
              <w:t>Áno</w:t>
            </w:r>
          </w:p>
        </w:tc>
        <w:tc>
          <w:tcPr>
            <w:tcW w:w="254" w:type="dxa"/>
            <w:tcBorders>
              <w:top w:val="dotted" w:sz="4" w:space="0" w:color="auto"/>
              <w:left w:val="nil"/>
              <w:bottom w:val="single" w:sz="4" w:space="0" w:color="auto"/>
              <w:right w:val="nil"/>
            </w:tcBorders>
            <w:vAlign w:val="center"/>
          </w:tcPr>
          <w:p w:rsidR="007D489B" w:rsidRPr="007D489B" w:rsidRDefault="007D489B" w:rsidP="007D489B">
            <w:pPr>
              <w:jc w:val="center"/>
              <w:rPr>
                <w:b/>
                <w:sz w:val="20"/>
                <w:szCs w:val="20"/>
              </w:rPr>
            </w:pPr>
          </w:p>
        </w:tc>
        <w:tc>
          <w:tcPr>
            <w:tcW w:w="1133" w:type="dxa"/>
            <w:tcBorders>
              <w:top w:val="dotted" w:sz="4" w:space="0" w:color="auto"/>
              <w:left w:val="nil"/>
              <w:bottom w:val="single" w:sz="4" w:space="0" w:color="auto"/>
              <w:right w:val="nil"/>
            </w:tcBorders>
            <w:vAlign w:val="center"/>
          </w:tcPr>
          <w:p w:rsidR="007D489B" w:rsidRPr="007D489B" w:rsidRDefault="007D489B" w:rsidP="007D489B">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7D489B" w:rsidRPr="007D489B" w:rsidRDefault="007D489B" w:rsidP="007D489B">
            <w:pPr>
              <w:rPr>
                <w:b/>
                <w:sz w:val="20"/>
                <w:szCs w:val="20"/>
              </w:rPr>
            </w:pPr>
            <w:r w:rsidRPr="007D489B">
              <w:rPr>
                <w:sz w:val="20"/>
                <w:szCs w:val="20"/>
              </w:rPr>
              <w:t>Nie</w:t>
            </w:r>
          </w:p>
        </w:tc>
      </w:tr>
      <w:tr w:rsidR="007D489B" w:rsidRPr="007D489B" w:rsidTr="007D489B">
        <w:tc>
          <w:tcPr>
            <w:tcW w:w="3812" w:type="dxa"/>
            <w:tcBorders>
              <w:top w:val="single" w:sz="4" w:space="0" w:color="000000"/>
              <w:left w:val="single" w:sz="4" w:space="0" w:color="auto"/>
              <w:bottom w:val="single" w:sz="4" w:space="0" w:color="auto"/>
              <w:right w:val="single" w:sz="4" w:space="0" w:color="auto"/>
            </w:tcBorders>
            <w:shd w:val="clear" w:color="auto" w:fill="E2E2E2"/>
          </w:tcPr>
          <w:p w:rsidR="007D489B" w:rsidRPr="007D489B" w:rsidRDefault="007D489B" w:rsidP="007D489B">
            <w:pPr>
              <w:rPr>
                <w:b/>
                <w:sz w:val="20"/>
                <w:szCs w:val="20"/>
              </w:rPr>
            </w:pPr>
            <w:r w:rsidRPr="007D489B">
              <w:rPr>
                <w:b/>
                <w:sz w:val="20"/>
                <w:szCs w:val="20"/>
              </w:rPr>
              <w:t>Sociálne vplyvy</w:t>
            </w:r>
          </w:p>
        </w:tc>
        <w:sdt>
          <w:sdtPr>
            <w:rPr>
              <w:b/>
              <w:sz w:val="20"/>
              <w:szCs w:val="20"/>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7D489B" w:rsidRPr="007D489B" w:rsidRDefault="007D489B" w:rsidP="007D489B">
            <w:pPr>
              <w:ind w:right="-108"/>
              <w:rPr>
                <w:b/>
                <w:sz w:val="20"/>
                <w:szCs w:val="20"/>
              </w:rPr>
            </w:pPr>
            <w:r w:rsidRPr="007D489B">
              <w:rPr>
                <w:b/>
                <w:sz w:val="20"/>
                <w:szCs w:val="20"/>
              </w:rPr>
              <w:t>Pozitívne</w:t>
            </w:r>
          </w:p>
        </w:tc>
        <w:sdt>
          <w:sdtPr>
            <w:rPr>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133" w:type="dxa"/>
            <w:tcBorders>
              <w:top w:val="single" w:sz="4" w:space="0" w:color="auto"/>
              <w:left w:val="nil"/>
              <w:bottom w:val="single" w:sz="4" w:space="0" w:color="auto"/>
              <w:right w:val="nil"/>
            </w:tcBorders>
          </w:tcPr>
          <w:p w:rsidR="007D489B" w:rsidRPr="007D489B" w:rsidRDefault="007D489B" w:rsidP="007D489B">
            <w:pPr>
              <w:rPr>
                <w:b/>
                <w:sz w:val="20"/>
                <w:szCs w:val="20"/>
              </w:rPr>
            </w:pPr>
            <w:r w:rsidRPr="007D489B">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7D489B" w:rsidRPr="007D489B" w:rsidRDefault="007D489B" w:rsidP="007D489B">
            <w:pPr>
              <w:rPr>
                <w:b/>
                <w:sz w:val="20"/>
                <w:szCs w:val="20"/>
              </w:rPr>
            </w:pPr>
            <w:r w:rsidRPr="007D489B">
              <w:rPr>
                <w:b/>
                <w:sz w:val="20"/>
                <w:szCs w:val="20"/>
              </w:rPr>
              <w:t>Negatívne</w:t>
            </w:r>
          </w:p>
        </w:tc>
      </w:tr>
      <w:tr w:rsidR="007D489B" w:rsidRPr="007D489B" w:rsidTr="007D489B">
        <w:tc>
          <w:tcPr>
            <w:tcW w:w="3812" w:type="dxa"/>
            <w:tcBorders>
              <w:top w:val="single" w:sz="4" w:space="0" w:color="auto"/>
              <w:left w:val="single" w:sz="4" w:space="0" w:color="auto"/>
              <w:bottom w:val="single" w:sz="4" w:space="0" w:color="auto"/>
              <w:right w:val="single" w:sz="4" w:space="0" w:color="auto"/>
            </w:tcBorders>
            <w:shd w:val="clear" w:color="auto" w:fill="E2E2E2"/>
          </w:tcPr>
          <w:p w:rsidR="007D489B" w:rsidRPr="007D489B" w:rsidRDefault="007D489B" w:rsidP="007D489B">
            <w:pPr>
              <w:rPr>
                <w:b/>
                <w:sz w:val="20"/>
                <w:szCs w:val="20"/>
              </w:rPr>
            </w:pPr>
            <w:r w:rsidRPr="007D489B">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7D489B" w:rsidRPr="007D489B" w:rsidRDefault="007D489B" w:rsidP="007D489B">
            <w:pPr>
              <w:ind w:right="-108"/>
              <w:rPr>
                <w:b/>
                <w:sz w:val="20"/>
                <w:szCs w:val="20"/>
              </w:rPr>
            </w:pPr>
            <w:r w:rsidRPr="007D489B">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133" w:type="dxa"/>
            <w:tcBorders>
              <w:top w:val="single" w:sz="4" w:space="0" w:color="auto"/>
              <w:left w:val="nil"/>
              <w:bottom w:val="single" w:sz="4" w:space="0" w:color="auto"/>
              <w:right w:val="nil"/>
            </w:tcBorders>
          </w:tcPr>
          <w:p w:rsidR="007D489B" w:rsidRPr="007D489B" w:rsidRDefault="007D489B" w:rsidP="007D489B">
            <w:pPr>
              <w:rPr>
                <w:b/>
                <w:sz w:val="20"/>
                <w:szCs w:val="20"/>
              </w:rPr>
            </w:pPr>
            <w:r w:rsidRPr="007D489B">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7D489B" w:rsidRPr="007D489B" w:rsidRDefault="007D489B" w:rsidP="007D489B">
            <w:pPr>
              <w:rPr>
                <w:b/>
                <w:sz w:val="20"/>
                <w:szCs w:val="20"/>
              </w:rPr>
            </w:pPr>
            <w:r w:rsidRPr="007D489B">
              <w:rPr>
                <w:b/>
                <w:sz w:val="20"/>
                <w:szCs w:val="20"/>
              </w:rPr>
              <w:t>Negatívne</w:t>
            </w:r>
          </w:p>
        </w:tc>
      </w:tr>
      <w:tr w:rsidR="007D489B" w:rsidRPr="007D489B" w:rsidTr="007D489B">
        <w:tc>
          <w:tcPr>
            <w:tcW w:w="3812" w:type="dxa"/>
            <w:tcBorders>
              <w:top w:val="single" w:sz="4" w:space="0" w:color="auto"/>
              <w:left w:val="single" w:sz="4" w:space="0" w:color="auto"/>
              <w:bottom w:val="single" w:sz="4" w:space="0" w:color="auto"/>
              <w:right w:val="single" w:sz="4" w:space="0" w:color="auto"/>
            </w:tcBorders>
            <w:shd w:val="clear" w:color="auto" w:fill="E2E2E2"/>
          </w:tcPr>
          <w:p w:rsidR="007D489B" w:rsidRPr="007D489B" w:rsidRDefault="007D489B" w:rsidP="007D489B">
            <w:pPr>
              <w:rPr>
                <w:b/>
                <w:sz w:val="20"/>
                <w:szCs w:val="20"/>
              </w:rPr>
            </w:pPr>
            <w:r w:rsidRPr="007D489B">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7D489B" w:rsidRPr="007D489B" w:rsidRDefault="007D489B" w:rsidP="007D489B">
            <w:pPr>
              <w:ind w:right="-108"/>
              <w:rPr>
                <w:b/>
                <w:sz w:val="20"/>
                <w:szCs w:val="20"/>
              </w:rPr>
            </w:pPr>
            <w:r w:rsidRPr="007D489B">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133" w:type="dxa"/>
            <w:tcBorders>
              <w:top w:val="single" w:sz="4" w:space="0" w:color="auto"/>
              <w:left w:val="nil"/>
              <w:bottom w:val="single" w:sz="4" w:space="0" w:color="auto"/>
              <w:right w:val="nil"/>
            </w:tcBorders>
          </w:tcPr>
          <w:p w:rsidR="007D489B" w:rsidRPr="007D489B" w:rsidRDefault="007D489B" w:rsidP="007D489B">
            <w:pPr>
              <w:rPr>
                <w:b/>
                <w:sz w:val="20"/>
                <w:szCs w:val="20"/>
              </w:rPr>
            </w:pPr>
            <w:r w:rsidRPr="007D489B">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7D489B" w:rsidRPr="007D489B" w:rsidRDefault="007D489B" w:rsidP="007D489B">
            <w:pPr>
              <w:rPr>
                <w:b/>
                <w:sz w:val="20"/>
                <w:szCs w:val="20"/>
              </w:rPr>
            </w:pPr>
            <w:r w:rsidRPr="007D489B">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7D489B" w:rsidRPr="007D489B" w:rsidTr="007D489B">
        <w:tc>
          <w:tcPr>
            <w:tcW w:w="3812" w:type="dxa"/>
            <w:tcBorders>
              <w:top w:val="single" w:sz="4" w:space="0" w:color="auto"/>
              <w:left w:val="single" w:sz="4" w:space="0" w:color="auto"/>
              <w:bottom w:val="nil"/>
              <w:right w:val="single" w:sz="4" w:space="0" w:color="auto"/>
            </w:tcBorders>
            <w:shd w:val="clear" w:color="auto" w:fill="E2E2E2"/>
          </w:tcPr>
          <w:p w:rsidR="007D489B" w:rsidRPr="007D489B" w:rsidRDefault="007D489B" w:rsidP="007D489B">
            <w:pPr>
              <w:rPr>
                <w:b/>
                <w:sz w:val="20"/>
                <w:szCs w:val="20"/>
              </w:rPr>
            </w:pPr>
            <w:r w:rsidRPr="007D489B">
              <w:rPr>
                <w:rFonts w:eastAsia="Calibri"/>
                <w:b/>
                <w:sz w:val="20"/>
                <w:szCs w:val="20"/>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7D489B" w:rsidRPr="007D489B" w:rsidRDefault="007D489B" w:rsidP="007D489B">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7D489B" w:rsidRPr="007D489B" w:rsidRDefault="007D489B" w:rsidP="007D489B">
            <w:pPr>
              <w:ind w:right="-108"/>
              <w:rPr>
                <w:b/>
                <w:sz w:val="20"/>
                <w:szCs w:val="20"/>
              </w:rPr>
            </w:pPr>
          </w:p>
        </w:tc>
        <w:tc>
          <w:tcPr>
            <w:tcW w:w="569" w:type="dxa"/>
            <w:gridSpan w:val="2"/>
            <w:tcBorders>
              <w:top w:val="single" w:sz="4" w:space="0" w:color="auto"/>
              <w:left w:val="nil"/>
              <w:bottom w:val="nil"/>
              <w:right w:val="nil"/>
            </w:tcBorders>
            <w:shd w:val="clear" w:color="auto" w:fill="auto"/>
          </w:tcPr>
          <w:p w:rsidR="007D489B" w:rsidRPr="007D489B" w:rsidRDefault="007D489B" w:rsidP="007D489B">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7D489B" w:rsidRPr="007D489B" w:rsidRDefault="007D489B" w:rsidP="007D489B">
            <w:pPr>
              <w:rPr>
                <w:b/>
                <w:sz w:val="20"/>
                <w:szCs w:val="20"/>
              </w:rPr>
            </w:pPr>
          </w:p>
        </w:tc>
        <w:tc>
          <w:tcPr>
            <w:tcW w:w="547" w:type="dxa"/>
            <w:tcBorders>
              <w:top w:val="single" w:sz="4" w:space="0" w:color="auto"/>
              <w:left w:val="nil"/>
              <w:bottom w:val="nil"/>
              <w:right w:val="nil"/>
            </w:tcBorders>
            <w:shd w:val="clear" w:color="auto" w:fill="auto"/>
          </w:tcPr>
          <w:p w:rsidR="007D489B" w:rsidRPr="007D489B" w:rsidRDefault="007D489B" w:rsidP="007D489B">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7D489B" w:rsidRPr="007D489B" w:rsidRDefault="007D489B" w:rsidP="007D489B">
            <w:pPr>
              <w:rPr>
                <w:b/>
                <w:sz w:val="20"/>
                <w:szCs w:val="20"/>
              </w:rPr>
            </w:pPr>
          </w:p>
        </w:tc>
      </w:tr>
      <w:tr w:rsidR="007D489B" w:rsidRPr="007D489B" w:rsidTr="007D489B">
        <w:tc>
          <w:tcPr>
            <w:tcW w:w="3812" w:type="dxa"/>
            <w:tcBorders>
              <w:top w:val="nil"/>
              <w:left w:val="single" w:sz="4" w:space="0" w:color="auto"/>
              <w:bottom w:val="nil"/>
              <w:right w:val="single" w:sz="4" w:space="0" w:color="auto"/>
            </w:tcBorders>
            <w:shd w:val="clear" w:color="auto" w:fill="E2E2E2"/>
          </w:tcPr>
          <w:p w:rsidR="007D489B" w:rsidRPr="007D489B" w:rsidRDefault="007D489B" w:rsidP="007D489B">
            <w:pPr>
              <w:rPr>
                <w:rFonts w:eastAsia="Calibri"/>
                <w:b/>
                <w:sz w:val="20"/>
                <w:szCs w:val="20"/>
                <w:lang w:eastAsia="en-US"/>
              </w:rPr>
            </w:pPr>
            <w:r w:rsidRPr="007D489B">
              <w:rPr>
                <w:rFonts w:eastAsia="Calibri"/>
                <w:b/>
                <w:sz w:val="20"/>
                <w:szCs w:val="20"/>
                <w:lang w:eastAsia="en-US"/>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7D489B" w:rsidRPr="007D489B" w:rsidRDefault="007D489B" w:rsidP="007D489B">
            <w:pPr>
              <w:ind w:right="-108"/>
              <w:rPr>
                <w:b/>
                <w:sz w:val="20"/>
                <w:szCs w:val="20"/>
              </w:rPr>
            </w:pPr>
            <w:r w:rsidRPr="007D489B">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133" w:type="dxa"/>
            <w:tcBorders>
              <w:top w:val="nil"/>
              <w:left w:val="nil"/>
              <w:bottom w:val="dotted" w:sz="4" w:space="0" w:color="auto"/>
              <w:right w:val="nil"/>
            </w:tcBorders>
            <w:shd w:val="clear" w:color="auto" w:fill="auto"/>
          </w:tcPr>
          <w:p w:rsidR="007D489B" w:rsidRPr="007D489B" w:rsidRDefault="007D489B" w:rsidP="007D489B">
            <w:pPr>
              <w:rPr>
                <w:b/>
                <w:sz w:val="20"/>
                <w:szCs w:val="20"/>
              </w:rPr>
            </w:pPr>
            <w:r w:rsidRPr="007D489B">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7D489B" w:rsidRPr="007D489B" w:rsidRDefault="007D489B" w:rsidP="007D489B">
            <w:pPr>
              <w:rPr>
                <w:b/>
                <w:sz w:val="20"/>
                <w:szCs w:val="20"/>
              </w:rPr>
            </w:pPr>
            <w:r w:rsidRPr="007D489B">
              <w:rPr>
                <w:b/>
                <w:sz w:val="20"/>
                <w:szCs w:val="20"/>
              </w:rPr>
              <w:t>Negatívne</w:t>
            </w:r>
          </w:p>
        </w:tc>
      </w:tr>
      <w:tr w:rsidR="007D489B" w:rsidRPr="007D489B" w:rsidTr="007D489B">
        <w:tc>
          <w:tcPr>
            <w:tcW w:w="3812" w:type="dxa"/>
            <w:tcBorders>
              <w:top w:val="nil"/>
              <w:left w:val="single" w:sz="4" w:space="0" w:color="auto"/>
              <w:bottom w:val="nil"/>
              <w:right w:val="single" w:sz="4" w:space="0" w:color="auto"/>
            </w:tcBorders>
            <w:shd w:val="clear" w:color="auto" w:fill="E2E2E2"/>
          </w:tcPr>
          <w:p w:rsidR="007D489B" w:rsidRPr="007D489B" w:rsidRDefault="007D489B" w:rsidP="007D489B">
            <w:pPr>
              <w:rPr>
                <w:rFonts w:eastAsia="Calibri"/>
                <w:b/>
                <w:sz w:val="20"/>
                <w:szCs w:val="20"/>
                <w:lang w:eastAsia="en-US"/>
              </w:rPr>
            </w:pPr>
            <w:r w:rsidRPr="007D489B">
              <w:rPr>
                <w:rFonts w:eastAsia="Calibri"/>
                <w:b/>
                <w:sz w:val="20"/>
                <w:szCs w:val="20"/>
                <w:lang w:eastAsia="en-US"/>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7D489B" w:rsidRPr="007D489B" w:rsidRDefault="007D489B" w:rsidP="007D489B">
            <w:pPr>
              <w:ind w:right="-108"/>
              <w:rPr>
                <w:b/>
                <w:sz w:val="20"/>
                <w:szCs w:val="20"/>
              </w:rPr>
            </w:pPr>
            <w:r w:rsidRPr="007D489B">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7D489B" w:rsidRPr="007D489B" w:rsidRDefault="007D489B" w:rsidP="007D489B">
            <w:pPr>
              <w:rPr>
                <w:b/>
                <w:sz w:val="20"/>
                <w:szCs w:val="20"/>
              </w:rPr>
            </w:pPr>
            <w:r w:rsidRPr="007D489B">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7D489B" w:rsidRPr="007D489B" w:rsidRDefault="007D489B" w:rsidP="007D489B">
            <w:pPr>
              <w:rPr>
                <w:b/>
                <w:sz w:val="20"/>
                <w:szCs w:val="20"/>
              </w:rPr>
            </w:pPr>
            <w:r w:rsidRPr="007D489B">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7D489B" w:rsidRPr="007D489B" w:rsidTr="007D489B">
        <w:tc>
          <w:tcPr>
            <w:tcW w:w="3812" w:type="dxa"/>
            <w:tcBorders>
              <w:top w:val="single" w:sz="4" w:space="0" w:color="000000"/>
              <w:left w:val="single" w:sz="4" w:space="0" w:color="auto"/>
              <w:bottom w:val="single" w:sz="4" w:space="0" w:color="auto"/>
              <w:right w:val="single" w:sz="4" w:space="0" w:color="auto"/>
            </w:tcBorders>
            <w:shd w:val="clear" w:color="auto" w:fill="E2E2E2"/>
          </w:tcPr>
          <w:p w:rsidR="007D489B" w:rsidRPr="007D489B" w:rsidRDefault="007D489B" w:rsidP="007D489B">
            <w:pPr>
              <w:rPr>
                <w:b/>
                <w:sz w:val="20"/>
                <w:szCs w:val="20"/>
              </w:rPr>
            </w:pPr>
            <w:r w:rsidRPr="007D489B">
              <w:rPr>
                <w:b/>
                <w:sz w:val="20"/>
                <w:szCs w:val="20"/>
                <w:lang w:eastAsia="en-US"/>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7D489B" w:rsidRPr="007D489B" w:rsidRDefault="007D489B" w:rsidP="007D489B">
            <w:pPr>
              <w:ind w:right="-108"/>
              <w:rPr>
                <w:b/>
                <w:sz w:val="20"/>
                <w:szCs w:val="20"/>
              </w:rPr>
            </w:pPr>
            <w:r w:rsidRPr="007D489B">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7D489B" w:rsidRPr="007D489B" w:rsidRDefault="007D489B" w:rsidP="007D489B">
            <w:pPr>
              <w:rPr>
                <w:b/>
                <w:sz w:val="20"/>
                <w:szCs w:val="20"/>
              </w:rPr>
            </w:pPr>
            <w:r w:rsidRPr="007D489B">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7D489B" w:rsidRPr="007D489B" w:rsidRDefault="007D489B" w:rsidP="007D489B">
                <w:pPr>
                  <w:jc w:val="center"/>
                  <w:rPr>
                    <w:b/>
                    <w:sz w:val="20"/>
                    <w:szCs w:val="20"/>
                  </w:rPr>
                </w:pPr>
                <w:r w:rsidRPr="007D489B">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7D489B" w:rsidRPr="007D489B" w:rsidRDefault="007D489B" w:rsidP="007D489B">
            <w:pPr>
              <w:rPr>
                <w:b/>
                <w:sz w:val="20"/>
                <w:szCs w:val="20"/>
              </w:rPr>
            </w:pPr>
            <w:r w:rsidRPr="007D489B">
              <w:rPr>
                <w:b/>
                <w:sz w:val="20"/>
                <w:szCs w:val="20"/>
              </w:rPr>
              <w:t>Negatívne</w:t>
            </w:r>
          </w:p>
        </w:tc>
      </w:tr>
    </w:tbl>
    <w:p w:rsidR="007D489B" w:rsidRPr="007D489B" w:rsidRDefault="007D489B" w:rsidP="007D489B">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7D489B" w:rsidRPr="007D489B" w:rsidTr="007D489B">
        <w:tc>
          <w:tcPr>
            <w:tcW w:w="9176" w:type="dxa"/>
            <w:tcBorders>
              <w:top w:val="single" w:sz="4" w:space="0" w:color="auto"/>
              <w:left w:val="single" w:sz="4" w:space="0" w:color="auto"/>
              <w:bottom w:val="nil"/>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Poznámky</w:t>
            </w:r>
          </w:p>
        </w:tc>
      </w:tr>
      <w:tr w:rsidR="007D489B" w:rsidRPr="007D489B" w:rsidTr="007D489B">
        <w:trPr>
          <w:trHeight w:val="713"/>
        </w:trPr>
        <w:tc>
          <w:tcPr>
            <w:tcW w:w="9176" w:type="dxa"/>
            <w:tcBorders>
              <w:top w:val="nil"/>
              <w:left w:val="single" w:sz="4" w:space="0" w:color="auto"/>
              <w:bottom w:val="single" w:sz="4" w:space="0" w:color="FFFFFF"/>
              <w:right w:val="single" w:sz="4" w:space="0" w:color="auto"/>
            </w:tcBorders>
            <w:shd w:val="clear" w:color="auto" w:fill="auto"/>
          </w:tcPr>
          <w:p w:rsidR="007D489B" w:rsidRPr="007D489B" w:rsidRDefault="007D489B" w:rsidP="007D489B">
            <w:pPr>
              <w:jc w:val="both"/>
              <w:rPr>
                <w:rFonts w:eastAsia="Calibri"/>
                <w:b/>
                <w:sz w:val="22"/>
                <w:szCs w:val="22"/>
                <w:lang w:eastAsia="en-US"/>
              </w:rPr>
            </w:pPr>
            <w:r w:rsidRPr="007D489B">
              <w:rPr>
                <w:rFonts w:eastAsia="Calibri"/>
                <w:b/>
                <w:sz w:val="22"/>
                <w:szCs w:val="22"/>
                <w:lang w:eastAsia="en-US"/>
              </w:rPr>
              <w:t>-</w:t>
            </w:r>
          </w:p>
        </w:tc>
      </w:tr>
      <w:tr w:rsidR="007D489B" w:rsidRPr="007D489B" w:rsidTr="007D489B">
        <w:tc>
          <w:tcPr>
            <w:tcW w:w="9176" w:type="dxa"/>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Kontakt na spracovateľa</w:t>
            </w:r>
          </w:p>
        </w:tc>
      </w:tr>
      <w:tr w:rsidR="007D489B" w:rsidRPr="007D489B" w:rsidTr="007D489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D489B" w:rsidRPr="007D489B" w:rsidRDefault="007D489B" w:rsidP="007D489B">
            <w:pPr>
              <w:rPr>
                <w:sz w:val="20"/>
                <w:szCs w:val="20"/>
              </w:rPr>
            </w:pPr>
            <w:r w:rsidRPr="007D489B">
              <w:rPr>
                <w:rFonts w:eastAsiaTheme="minorHAnsi"/>
                <w:sz w:val="20"/>
                <w:szCs w:val="20"/>
                <w:lang w:eastAsia="en-US"/>
              </w:rPr>
              <w:t>Ing. Eva Chmelová, riaditeľka odboru volieb, referenda a politických strán Ministerstva vnútra SR,</w:t>
            </w:r>
            <w:r w:rsidRPr="007D489B">
              <w:rPr>
                <w:rFonts w:eastAsiaTheme="minorHAnsi"/>
                <w:sz w:val="20"/>
                <w:szCs w:val="20"/>
                <w:lang w:eastAsia="en-US"/>
              </w:rPr>
              <w:br/>
              <w:t>č. t. 02/48592310, e-mail: eva.chmelova@minv.sk</w:t>
            </w:r>
          </w:p>
        </w:tc>
      </w:tr>
      <w:tr w:rsidR="007D489B" w:rsidRPr="007D489B" w:rsidTr="007D489B">
        <w:tc>
          <w:tcPr>
            <w:tcW w:w="9176" w:type="dxa"/>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numPr>
                <w:ilvl w:val="0"/>
                <w:numId w:val="1"/>
              </w:numPr>
              <w:ind w:left="426"/>
              <w:contextualSpacing/>
              <w:rPr>
                <w:rFonts w:eastAsia="Calibri"/>
                <w:b/>
                <w:sz w:val="22"/>
                <w:szCs w:val="22"/>
                <w:lang w:eastAsia="en-US"/>
              </w:rPr>
            </w:pPr>
            <w:r w:rsidRPr="007D489B">
              <w:rPr>
                <w:rFonts w:eastAsia="Calibri"/>
                <w:b/>
                <w:sz w:val="22"/>
                <w:szCs w:val="22"/>
                <w:lang w:eastAsia="en-US"/>
              </w:rPr>
              <w:t>Zdroje</w:t>
            </w:r>
          </w:p>
        </w:tc>
      </w:tr>
      <w:tr w:rsidR="007D489B" w:rsidRPr="007D489B" w:rsidTr="007D489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D489B" w:rsidRPr="007D489B" w:rsidRDefault="007D489B" w:rsidP="007D489B">
            <w:pPr>
              <w:jc w:val="both"/>
              <w:rPr>
                <w:rFonts w:eastAsiaTheme="minorHAnsi"/>
                <w:sz w:val="20"/>
                <w:szCs w:val="20"/>
                <w:lang w:eastAsia="en-US"/>
              </w:rPr>
            </w:pPr>
            <w:r w:rsidRPr="007D489B">
              <w:rPr>
                <w:rFonts w:eastAsiaTheme="minorHAnsi"/>
                <w:sz w:val="20"/>
                <w:szCs w:val="20"/>
                <w:lang w:eastAsia="en-US"/>
              </w:rPr>
              <w:t>Kvantifikácia výdavkov na zabezpečenie spojených volieb v roku 2022, zákon č. 180/2014 Z. z. o podmienkach výkonu volebného práva a o zmene a doplnení niektorých zákonov v znení neskorších predpisov, vyhláška Ministerstva vnútra Slovenskej republiky č. 308/2015 Z. z. o výdavkoch spojených s voľbami v znení neskorších predpisov.</w:t>
            </w:r>
          </w:p>
          <w:p w:rsidR="007D489B" w:rsidRPr="007D489B" w:rsidRDefault="007D489B" w:rsidP="007D489B">
            <w:pPr>
              <w:rPr>
                <w:b/>
                <w:sz w:val="20"/>
                <w:szCs w:val="20"/>
              </w:rPr>
            </w:pPr>
          </w:p>
        </w:tc>
      </w:tr>
      <w:tr w:rsidR="007D489B" w:rsidRPr="007D489B" w:rsidTr="007D489B">
        <w:tc>
          <w:tcPr>
            <w:tcW w:w="9176" w:type="dxa"/>
            <w:tcBorders>
              <w:top w:val="single" w:sz="4" w:space="0" w:color="auto"/>
              <w:left w:val="single" w:sz="4" w:space="0" w:color="auto"/>
              <w:bottom w:val="single" w:sz="4" w:space="0" w:color="FFFFFF"/>
              <w:right w:val="single" w:sz="4" w:space="0" w:color="auto"/>
            </w:tcBorders>
            <w:shd w:val="clear" w:color="auto" w:fill="E2E2E2"/>
          </w:tcPr>
          <w:p w:rsidR="007D489B" w:rsidRPr="007D489B" w:rsidRDefault="007D489B" w:rsidP="007D489B">
            <w:pPr>
              <w:numPr>
                <w:ilvl w:val="0"/>
                <w:numId w:val="1"/>
              </w:numPr>
              <w:ind w:left="447" w:hanging="425"/>
              <w:contextualSpacing/>
              <w:rPr>
                <w:rFonts w:eastAsia="Calibri"/>
                <w:b/>
                <w:sz w:val="22"/>
                <w:szCs w:val="22"/>
                <w:lang w:eastAsia="en-US"/>
              </w:rPr>
            </w:pPr>
            <w:r w:rsidRPr="007D489B">
              <w:rPr>
                <w:rFonts w:eastAsia="Calibri"/>
                <w:b/>
                <w:sz w:val="22"/>
                <w:szCs w:val="22"/>
                <w:lang w:eastAsia="en-US"/>
              </w:rPr>
              <w:t>Stanovisko Komisie na posudzovanie vybraných vplyvov z PPK č. 034/2022</w:t>
            </w:r>
          </w:p>
          <w:p w:rsidR="007D489B" w:rsidRPr="007D489B" w:rsidRDefault="007D489B" w:rsidP="007D489B">
            <w:pPr>
              <w:rPr>
                <w:b/>
                <w:sz w:val="20"/>
                <w:szCs w:val="20"/>
              </w:rPr>
            </w:pPr>
            <w:r w:rsidRPr="007D489B">
              <w:rPr>
                <w:rFonts w:eastAsia="Calibri"/>
                <w:sz w:val="22"/>
                <w:szCs w:val="22"/>
                <w:lang w:eastAsia="en-US"/>
              </w:rPr>
              <w:t>(v prípade, ak sa uskutočnilo v zmysle bodu 8.1 Jednotnej metodiky)</w:t>
            </w:r>
          </w:p>
        </w:tc>
      </w:tr>
      <w:tr w:rsidR="007D489B" w:rsidRPr="007D489B" w:rsidTr="007D489B">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D489B" w:rsidRPr="007D489B" w:rsidRDefault="007D489B" w:rsidP="007D489B">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D489B" w:rsidRPr="007D489B" w:rsidTr="007D489B">
              <w:trPr>
                <w:trHeight w:val="396"/>
              </w:trPr>
              <w:tc>
                <w:tcPr>
                  <w:tcW w:w="2552" w:type="dxa"/>
                </w:tcPr>
                <w:p w:rsidR="007D489B" w:rsidRPr="007D489B" w:rsidRDefault="002E423C" w:rsidP="007D489B">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7D489B" w:rsidRPr="007D489B">
                        <w:rPr>
                          <w:rFonts w:eastAsia="MS Gothic" w:hint="eastAsia"/>
                          <w:b/>
                          <w:sz w:val="20"/>
                          <w:szCs w:val="20"/>
                        </w:rPr>
                        <w:t>☐</w:t>
                      </w:r>
                    </w:sdtContent>
                  </w:sdt>
                  <w:r w:rsidR="007D489B" w:rsidRPr="007D489B">
                    <w:rPr>
                      <w:b/>
                      <w:sz w:val="20"/>
                      <w:szCs w:val="20"/>
                    </w:rPr>
                    <w:t xml:space="preserve">  Súhlasné </w:t>
                  </w:r>
                </w:p>
              </w:tc>
              <w:tc>
                <w:tcPr>
                  <w:tcW w:w="3827" w:type="dxa"/>
                </w:tcPr>
                <w:p w:rsidR="007D489B" w:rsidRPr="007D489B" w:rsidRDefault="002E423C" w:rsidP="007D489B">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7D489B" w:rsidRPr="007D489B">
                        <w:rPr>
                          <w:rFonts w:eastAsia="MS Gothic" w:hint="eastAsia"/>
                          <w:b/>
                          <w:sz w:val="20"/>
                          <w:szCs w:val="20"/>
                        </w:rPr>
                        <w:t>☐</w:t>
                      </w:r>
                    </w:sdtContent>
                  </w:sdt>
                  <w:r w:rsidR="007D489B" w:rsidRPr="007D489B">
                    <w:rPr>
                      <w:b/>
                      <w:sz w:val="20"/>
                      <w:szCs w:val="20"/>
                    </w:rPr>
                    <w:t xml:space="preserve">  Súhlasné s návrhom na dopracovanie</w:t>
                  </w:r>
                </w:p>
              </w:tc>
              <w:tc>
                <w:tcPr>
                  <w:tcW w:w="2534" w:type="dxa"/>
                </w:tcPr>
                <w:p w:rsidR="007D489B" w:rsidRPr="007D489B" w:rsidRDefault="002E423C" w:rsidP="007D489B">
                  <w:pPr>
                    <w:ind w:right="459"/>
                    <w:rPr>
                      <w:b/>
                      <w:sz w:val="20"/>
                      <w:szCs w:val="20"/>
                    </w:rPr>
                  </w:pPr>
                  <w:sdt>
                    <w:sdtPr>
                      <w:rPr>
                        <w:b/>
                        <w:sz w:val="20"/>
                        <w:szCs w:val="20"/>
                      </w:rPr>
                      <w:id w:val="-647822913"/>
                      <w14:checkbox>
                        <w14:checked w14:val="1"/>
                        <w14:checkedState w14:val="2612" w14:font="MS Gothic"/>
                        <w14:uncheckedState w14:val="2610" w14:font="MS Gothic"/>
                      </w14:checkbox>
                    </w:sdtPr>
                    <w:sdtEndPr/>
                    <w:sdtContent>
                      <w:r w:rsidR="007D489B" w:rsidRPr="007D489B">
                        <w:rPr>
                          <w:rFonts w:eastAsia="MS Gothic" w:hint="eastAsia"/>
                          <w:b/>
                          <w:sz w:val="20"/>
                          <w:szCs w:val="20"/>
                        </w:rPr>
                        <w:t>☒</w:t>
                      </w:r>
                    </w:sdtContent>
                  </w:sdt>
                  <w:r w:rsidR="007D489B" w:rsidRPr="007D489B">
                    <w:rPr>
                      <w:b/>
                      <w:sz w:val="20"/>
                      <w:szCs w:val="20"/>
                    </w:rPr>
                    <w:t xml:space="preserve">  Nesúhlasné</w:t>
                  </w:r>
                </w:p>
              </w:tc>
            </w:tr>
          </w:tbl>
          <w:p w:rsidR="007D489B" w:rsidRPr="007D489B" w:rsidRDefault="007D489B" w:rsidP="007D489B">
            <w:pPr>
              <w:jc w:val="both"/>
              <w:rPr>
                <w:b/>
                <w:sz w:val="20"/>
                <w:szCs w:val="20"/>
              </w:rPr>
            </w:pPr>
            <w:r w:rsidRPr="007D489B">
              <w:rPr>
                <w:b/>
                <w:sz w:val="20"/>
                <w:szCs w:val="20"/>
              </w:rPr>
              <w:t>Uveďte pripomienky zo stanoviska Komisie z časti II. spolu s Vaším vyhodnotením:</w:t>
            </w:r>
          </w:p>
          <w:p w:rsidR="007D489B" w:rsidRPr="007D489B" w:rsidRDefault="007D489B" w:rsidP="007D489B">
            <w:pPr>
              <w:rPr>
                <w:b/>
                <w:sz w:val="20"/>
                <w:szCs w:val="20"/>
              </w:rPr>
            </w:pPr>
          </w:p>
          <w:p w:rsidR="007D489B" w:rsidRPr="007D489B" w:rsidRDefault="007D489B" w:rsidP="007D489B">
            <w:pPr>
              <w:jc w:val="both"/>
              <w:rPr>
                <w:b/>
                <w:color w:val="000000" w:themeColor="text1"/>
                <w:sz w:val="20"/>
                <w:szCs w:val="20"/>
              </w:rPr>
            </w:pPr>
            <w:r w:rsidRPr="007D489B">
              <w:rPr>
                <w:bCs/>
                <w:color w:val="000000" w:themeColor="text1"/>
                <w:sz w:val="20"/>
                <w:szCs w:val="20"/>
                <w:lang w:eastAsia="ar-SA"/>
              </w:rPr>
              <w:t>Komisia uplatňuje k materiálu nasledovné pripomienky a odporúčania:</w:t>
            </w:r>
          </w:p>
          <w:p w:rsidR="007D489B" w:rsidRPr="007D489B" w:rsidRDefault="007D489B" w:rsidP="007D489B">
            <w:pPr>
              <w:jc w:val="both"/>
              <w:rPr>
                <w:b/>
                <w:sz w:val="20"/>
                <w:szCs w:val="20"/>
              </w:rPr>
            </w:pPr>
          </w:p>
          <w:p w:rsidR="007D489B" w:rsidRPr="007D489B" w:rsidRDefault="007D489B" w:rsidP="007D489B">
            <w:pPr>
              <w:spacing w:line="240" w:lineRule="atLeast"/>
              <w:jc w:val="both"/>
              <w:rPr>
                <w:b/>
                <w:sz w:val="20"/>
                <w:szCs w:val="20"/>
              </w:rPr>
            </w:pPr>
            <w:r w:rsidRPr="007D489B">
              <w:rPr>
                <w:b/>
                <w:sz w:val="20"/>
                <w:szCs w:val="20"/>
              </w:rPr>
              <w:lastRenderedPageBreak/>
              <w:t>K doložke vybraných vplyvov</w:t>
            </w:r>
          </w:p>
          <w:p w:rsidR="007D489B" w:rsidRPr="007D489B" w:rsidRDefault="007D489B" w:rsidP="007D489B">
            <w:pPr>
              <w:suppressAutoHyphens/>
              <w:spacing w:line="100" w:lineRule="atLeast"/>
              <w:jc w:val="both"/>
              <w:rPr>
                <w:sz w:val="20"/>
                <w:szCs w:val="20"/>
                <w:lang w:eastAsia="ar-SA"/>
              </w:rPr>
            </w:pPr>
            <w:r w:rsidRPr="007D489B">
              <w:rPr>
                <w:sz w:val="20"/>
                <w:szCs w:val="20"/>
                <w:lang w:eastAsia="ar-SA"/>
              </w:rPr>
              <w:t>V predloženej doložke vybraných vplyvov je potrebné uviesť aj povinné informácie v bode  8. Preskúmanie účelnosti, a to v súlade s časťou II. Obsahové požiadavky doložky vybraných vplyvov Jednotnej metodiky na posudzovanie vybraných vplyvov účinnej od 1. júna 2021. </w:t>
            </w:r>
          </w:p>
          <w:p w:rsidR="007D489B" w:rsidRPr="007D489B" w:rsidRDefault="007D489B" w:rsidP="007D489B">
            <w:pPr>
              <w:suppressAutoHyphens/>
              <w:spacing w:line="100" w:lineRule="atLeast"/>
              <w:jc w:val="both"/>
              <w:rPr>
                <w:sz w:val="20"/>
                <w:szCs w:val="20"/>
                <w:lang w:eastAsia="ar-SA"/>
              </w:rPr>
            </w:pPr>
          </w:p>
          <w:p w:rsidR="007D489B" w:rsidRPr="007D489B" w:rsidRDefault="007D489B" w:rsidP="007D489B">
            <w:pPr>
              <w:suppressAutoHyphens/>
              <w:spacing w:line="100" w:lineRule="atLeast"/>
              <w:jc w:val="both"/>
              <w:rPr>
                <w:sz w:val="20"/>
                <w:szCs w:val="20"/>
                <w:lang w:eastAsia="ar-SA"/>
              </w:rPr>
            </w:pPr>
            <w:r w:rsidRPr="007D489B">
              <w:rPr>
                <w:rFonts w:eastAsiaTheme="minorHAnsi"/>
                <w:sz w:val="20"/>
                <w:szCs w:val="20"/>
                <w:lang w:eastAsia="en-US"/>
              </w:rPr>
              <w:t>Vyhodnotené v bode 8 doložky vybraných vplyvov.</w:t>
            </w:r>
          </w:p>
          <w:p w:rsidR="007D489B" w:rsidRPr="007D489B" w:rsidRDefault="007D489B" w:rsidP="007D489B">
            <w:pPr>
              <w:suppressAutoHyphens/>
              <w:spacing w:line="100" w:lineRule="atLeast"/>
              <w:jc w:val="both"/>
              <w:rPr>
                <w:sz w:val="20"/>
                <w:szCs w:val="20"/>
              </w:rPr>
            </w:pPr>
          </w:p>
          <w:p w:rsidR="007D489B" w:rsidRPr="007D489B" w:rsidRDefault="007D489B" w:rsidP="007D489B">
            <w:pPr>
              <w:spacing w:line="240" w:lineRule="atLeast"/>
              <w:jc w:val="both"/>
              <w:rPr>
                <w:b/>
                <w:sz w:val="20"/>
                <w:szCs w:val="20"/>
              </w:rPr>
            </w:pPr>
            <w:r w:rsidRPr="007D489B">
              <w:rPr>
                <w:b/>
                <w:sz w:val="20"/>
                <w:szCs w:val="20"/>
              </w:rPr>
              <w:t>K vplyvom na rozpočet verejnej správy</w:t>
            </w:r>
          </w:p>
          <w:p w:rsidR="007D489B" w:rsidRPr="007D489B" w:rsidRDefault="007D489B" w:rsidP="007D489B">
            <w:pPr>
              <w:suppressAutoHyphens/>
              <w:spacing w:line="100" w:lineRule="atLeast"/>
              <w:jc w:val="both"/>
              <w:rPr>
                <w:bCs/>
                <w:iCs/>
                <w:color w:val="000000"/>
                <w:sz w:val="20"/>
                <w:szCs w:val="20"/>
                <w:lang w:eastAsia="ar-SA"/>
              </w:rPr>
            </w:pPr>
            <w:r w:rsidRPr="007D489B">
              <w:rPr>
                <w:bCs/>
                <w:iCs/>
                <w:color w:val="000000"/>
                <w:sz w:val="20"/>
                <w:szCs w:val="20"/>
                <w:lang w:eastAsia="ar-SA"/>
              </w:rPr>
              <w:t>V doložke vybraných vplyvov je označený negatívny, rozpočtovo nezabezpečený vplyv na rozpočet verejnej správy. V analýze vplyvov je v tabuľke č. 1 kvantifikovaný celkový negatívny vplyv na kapitolu MV SR v sume 1 070 000 eur v roku 2022.</w:t>
            </w:r>
          </w:p>
          <w:p w:rsidR="007D489B" w:rsidRPr="007D489B" w:rsidRDefault="007D489B" w:rsidP="007D489B">
            <w:pPr>
              <w:suppressAutoHyphens/>
              <w:spacing w:line="100" w:lineRule="atLeast"/>
              <w:jc w:val="both"/>
              <w:rPr>
                <w:bCs/>
                <w:iCs/>
                <w:color w:val="000000"/>
                <w:sz w:val="20"/>
                <w:szCs w:val="20"/>
                <w:lang w:eastAsia="ar-SA"/>
              </w:rPr>
            </w:pPr>
          </w:p>
          <w:p w:rsidR="007D489B" w:rsidRPr="007D489B" w:rsidRDefault="007D489B" w:rsidP="007D489B">
            <w:pPr>
              <w:suppressAutoHyphens/>
              <w:spacing w:line="100" w:lineRule="atLeast"/>
              <w:jc w:val="both"/>
              <w:rPr>
                <w:bCs/>
                <w:iCs/>
                <w:color w:val="000000"/>
                <w:sz w:val="20"/>
                <w:szCs w:val="20"/>
                <w:lang w:eastAsia="ar-SA"/>
              </w:rPr>
            </w:pPr>
            <w:r w:rsidRPr="007D489B">
              <w:rPr>
                <w:bCs/>
                <w:iCs/>
                <w:color w:val="000000"/>
                <w:sz w:val="20"/>
                <w:szCs w:val="20"/>
                <w:lang w:eastAsia="ar-SA"/>
              </w:rPr>
              <w:t xml:space="preserve">Komisia žiada uviesť čiastkové sumy a postup ako sa predkladateľ dopracoval k odhadovanej sume 1 070 000 eur. </w:t>
            </w:r>
          </w:p>
          <w:p w:rsidR="007D489B" w:rsidRPr="007D489B" w:rsidRDefault="007D489B" w:rsidP="007D489B">
            <w:pPr>
              <w:suppressAutoHyphens/>
              <w:spacing w:line="100" w:lineRule="atLeast"/>
              <w:jc w:val="both"/>
              <w:rPr>
                <w:bCs/>
                <w:iCs/>
                <w:color w:val="000000"/>
                <w:sz w:val="20"/>
                <w:szCs w:val="20"/>
                <w:lang w:eastAsia="ar-SA"/>
              </w:rPr>
            </w:pPr>
            <w:r w:rsidRPr="007D489B">
              <w:rPr>
                <w:bCs/>
                <w:iCs/>
                <w:color w:val="000000"/>
                <w:sz w:val="20"/>
                <w:szCs w:val="20"/>
                <w:lang w:eastAsia="ar-SA"/>
              </w:rPr>
              <w:t>V analýze vplyvov v časti 2.1.1. Financovanie návrhu predkladateľ uvádza, že „Finančné prostriedky na zabezpečenie špeciálneho spôsobu hlasovania nie sú zohľadnené v rozpočte kapitoly Ministerstva vnútra Slovenskej republiky (ďalej len „ministerstva vnútra“) rozpočtovaných na zabezpečenie spojených volieb v roku 2022. O uvedený objem výdavkov, ktorý nie je zohľadnený v rozpočte na rok 2022, požaduje ministerstvo vnútra zvýšiť limit výdavkov kapitoly ministerstva vnútra, ako aj limit záväzného ukazovateľa štátneho rozpočtu na úhradu nákladov preneseného výkonu štátnej správy na úseku volieb v rámci kategórie 640 – bežné transfery.“</w:t>
            </w:r>
          </w:p>
          <w:p w:rsidR="007D489B" w:rsidRPr="007D489B" w:rsidRDefault="007D489B" w:rsidP="007D489B">
            <w:pPr>
              <w:suppressAutoHyphens/>
              <w:spacing w:line="100" w:lineRule="atLeast"/>
              <w:jc w:val="both"/>
              <w:rPr>
                <w:bCs/>
                <w:iCs/>
                <w:color w:val="000000"/>
                <w:sz w:val="20"/>
                <w:szCs w:val="20"/>
                <w:lang w:eastAsia="ar-SA"/>
              </w:rPr>
            </w:pPr>
          </w:p>
          <w:p w:rsidR="007D489B" w:rsidRPr="007D489B" w:rsidRDefault="007D489B" w:rsidP="007D489B">
            <w:pPr>
              <w:suppressAutoHyphens/>
              <w:spacing w:line="100" w:lineRule="atLeast"/>
              <w:jc w:val="both"/>
              <w:rPr>
                <w:bCs/>
                <w:iCs/>
                <w:color w:val="000000"/>
                <w:sz w:val="20"/>
                <w:szCs w:val="20"/>
                <w:lang w:eastAsia="ar-SA"/>
              </w:rPr>
            </w:pPr>
            <w:r w:rsidRPr="007D489B">
              <w:rPr>
                <w:bCs/>
                <w:iCs/>
                <w:color w:val="000000"/>
                <w:sz w:val="20"/>
                <w:szCs w:val="20"/>
                <w:lang w:eastAsia="ar-SA"/>
              </w:rPr>
              <w:t xml:space="preserve">Všetky negatívne vplyvy na rozpočet verejnej správy vyplývajúce z návrhu zákona Komisia žiada zabezpečiť v rámci schválených limitov výdavkov dotknutého subjektu verejnej správy na príslušné rozpočtové roky bez dodatočných požiadaviek na rozpočet verejnej správy. V nadväznosti na uvedené je potrebné upraviť doložku vybraných vplyvov a analýzu vplyvov na rozpočet verejnej správy tak, aby z nich nevyplýval rozpočtovo nekrytý vplyv. Predmetné konštatovanie je potrebné uviesť v časti 2.1.1. Financovanie návrhu analýzy vplyvov na rozpočet verejnej správy. </w:t>
            </w:r>
          </w:p>
          <w:p w:rsidR="007D489B" w:rsidRPr="007D489B" w:rsidRDefault="007D489B" w:rsidP="007D489B">
            <w:pPr>
              <w:suppressAutoHyphens/>
              <w:spacing w:line="100" w:lineRule="atLeast"/>
              <w:jc w:val="both"/>
              <w:rPr>
                <w:rFonts w:ascii="Arial" w:hAnsi="Arial" w:cs="Arial"/>
                <w:bCs/>
                <w:iCs/>
                <w:color w:val="000000"/>
                <w:szCs w:val="22"/>
                <w:lang w:eastAsia="ar-SA"/>
              </w:rPr>
            </w:pPr>
          </w:p>
          <w:p w:rsidR="007D489B" w:rsidRPr="007D489B" w:rsidRDefault="007D489B" w:rsidP="007D489B">
            <w:pPr>
              <w:suppressAutoHyphens/>
              <w:spacing w:line="100" w:lineRule="atLeast"/>
              <w:jc w:val="both"/>
              <w:rPr>
                <w:bCs/>
                <w:iCs/>
                <w:sz w:val="20"/>
                <w:szCs w:val="20"/>
                <w:lang w:eastAsia="ar-SA"/>
              </w:rPr>
            </w:pPr>
            <w:r w:rsidRPr="007D489B">
              <w:rPr>
                <w:bCs/>
                <w:iCs/>
                <w:sz w:val="20"/>
                <w:szCs w:val="20"/>
                <w:lang w:eastAsia="ar-SA"/>
              </w:rPr>
              <w:t>Vyhodnotené v časti 2.1.1. Financovanie návrhu analýzy vplyvov na rozpočet verejnej správy a v časti 2.2.4.  Výpočty vplyvov na verejné financie analýzy vplyvov na rozpočet verejnej správy.</w:t>
            </w:r>
          </w:p>
          <w:p w:rsidR="007D489B" w:rsidRPr="007D489B" w:rsidRDefault="007D489B" w:rsidP="007D489B">
            <w:pPr>
              <w:jc w:val="both"/>
              <w:rPr>
                <w:b/>
                <w:sz w:val="20"/>
                <w:szCs w:val="20"/>
              </w:rPr>
            </w:pPr>
          </w:p>
          <w:p w:rsidR="007D489B" w:rsidRPr="007D489B" w:rsidRDefault="007D489B" w:rsidP="007D489B">
            <w:pPr>
              <w:suppressAutoHyphens/>
              <w:spacing w:line="100" w:lineRule="atLeast"/>
              <w:jc w:val="both"/>
              <w:rPr>
                <w:b/>
                <w:bCs/>
                <w:iCs/>
                <w:color w:val="000000"/>
                <w:sz w:val="20"/>
                <w:szCs w:val="20"/>
                <w:lang w:eastAsia="ar-SA"/>
              </w:rPr>
            </w:pPr>
            <w:r w:rsidRPr="007D489B">
              <w:rPr>
                <w:b/>
                <w:bCs/>
                <w:iCs/>
                <w:color w:val="000000"/>
                <w:sz w:val="20"/>
                <w:szCs w:val="20"/>
                <w:lang w:eastAsia="ar-SA"/>
              </w:rPr>
              <w:t>K sociálnym vplyvom</w:t>
            </w:r>
          </w:p>
          <w:p w:rsidR="007D489B" w:rsidRPr="007D489B" w:rsidRDefault="007D489B" w:rsidP="007D489B">
            <w:pPr>
              <w:suppressAutoHyphens/>
              <w:spacing w:line="214" w:lineRule="atLeast"/>
              <w:jc w:val="both"/>
              <w:rPr>
                <w:rFonts w:eastAsiaTheme="minorHAnsi"/>
                <w:sz w:val="20"/>
                <w:szCs w:val="20"/>
                <w:lang w:eastAsia="ar-SA"/>
              </w:rPr>
            </w:pPr>
            <w:r w:rsidRPr="007D489B">
              <w:rPr>
                <w:sz w:val="20"/>
                <w:szCs w:val="20"/>
                <w:lang w:eastAsia="ar-SA"/>
              </w:rPr>
              <w:t>Predkladateľ vyhodnotil sociálne vplyvy predloženého návrhu zákona ako žiadne sociálne vplyvy. Z predloženého návrhu vyplýva , že sa navrhuje vytvorenie špeciálnych podmienok na uplatnenie práva osôb, ktoré majú zákonom ustanovené obmedzenie osobnej slobody z dôvodov ochrany verejného zdravia pred ochorením COVID-19, vrátane osôb žijúcich s nimi v spoločnej domácnosti, hlasovať vo voľbách do orgánov samosprávy obcí a vo voľbách do orgánov samosprávnych krajov, ktoré sa konajú v roku 2022 v rovnaký deň a v rovnakom čase. Navrhuje sa   ustanoviť legislatívne podmienky na zabezpečenie špeciálneho spôsobu hlasovania v určenom územnom obvode oprávnenými voličmi, ktorí požiadali o špeciálny spôsob hlasovania do špeciálnej prenosnej volebnej schránky, a ktorí majú ku dňu vykonania spojených volieb nariadenú karanténu alebo izoláciu z dôvodu ochrany verejného zdravia pred ochorením COVID-19.</w:t>
            </w:r>
          </w:p>
          <w:p w:rsidR="007D489B" w:rsidRPr="007D489B" w:rsidRDefault="007D489B" w:rsidP="007D489B">
            <w:pPr>
              <w:suppressAutoHyphens/>
              <w:spacing w:line="100" w:lineRule="atLeast"/>
              <w:jc w:val="both"/>
              <w:rPr>
                <w:sz w:val="20"/>
                <w:szCs w:val="20"/>
                <w:lang w:eastAsia="ar-SA"/>
              </w:rPr>
            </w:pPr>
            <w:r w:rsidRPr="007D489B">
              <w:rPr>
                <w:sz w:val="20"/>
                <w:szCs w:val="20"/>
                <w:lang w:eastAsia="ar-SA"/>
              </w:rPr>
              <w:t>Na základe vyššie uvedeného považuje Komisia za potrebné prehodnotiť  sociálne vplyvy predloženého návrhu zákona  a zhodnotiť ich v bode 4.2 analýzy sociálnych vplyvov (prístup k zdrojom, právam, tovarom a službám). Sociálne vplyvy je potrebné označiť   v bode 9. doložky vybraných vplyvov ako pozitívne sociálne vplyvy. Zároveň je potrebné primerane upraviť informáciu o vplyvoch predloženého návrhu zákona uvedenú vo všeobecnej časti dôvodovej správy.</w:t>
            </w:r>
          </w:p>
          <w:p w:rsidR="007D489B" w:rsidRPr="007D489B" w:rsidRDefault="007D489B" w:rsidP="007D489B">
            <w:pPr>
              <w:suppressAutoHyphens/>
              <w:spacing w:line="100" w:lineRule="atLeast"/>
              <w:jc w:val="both"/>
              <w:rPr>
                <w:sz w:val="20"/>
                <w:szCs w:val="20"/>
                <w:lang w:eastAsia="ar-SA"/>
              </w:rPr>
            </w:pPr>
            <w:r w:rsidRPr="007D489B">
              <w:rPr>
                <w:sz w:val="20"/>
                <w:szCs w:val="20"/>
                <w:lang w:eastAsia="ar-SA"/>
              </w:rPr>
              <w:t>Vyhodnotené v bode 9. doložky vybraných vplyvov a v bode 4.2 a) analýzy sociálnych vplyvov.</w:t>
            </w:r>
          </w:p>
          <w:p w:rsidR="007D489B" w:rsidRPr="007D489B" w:rsidRDefault="007D489B" w:rsidP="007D489B">
            <w:pPr>
              <w:rPr>
                <w:b/>
                <w:sz w:val="20"/>
                <w:szCs w:val="20"/>
              </w:rPr>
            </w:pPr>
          </w:p>
        </w:tc>
      </w:tr>
      <w:tr w:rsidR="007D489B" w:rsidRPr="007D489B" w:rsidTr="007D489B">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7D489B" w:rsidRPr="007D489B" w:rsidRDefault="007D489B" w:rsidP="007D489B">
            <w:pPr>
              <w:numPr>
                <w:ilvl w:val="0"/>
                <w:numId w:val="1"/>
              </w:numPr>
              <w:ind w:left="450" w:hanging="425"/>
              <w:contextualSpacing/>
              <w:jc w:val="both"/>
              <w:rPr>
                <w:rFonts w:eastAsia="Calibri"/>
                <w:b/>
                <w:sz w:val="22"/>
                <w:szCs w:val="22"/>
                <w:lang w:eastAsia="en-US"/>
              </w:rPr>
            </w:pPr>
            <w:r w:rsidRPr="007D489B">
              <w:rPr>
                <w:rFonts w:eastAsia="Calibri"/>
                <w:b/>
                <w:sz w:val="22"/>
                <w:szCs w:val="22"/>
                <w:lang w:eastAsia="en-US"/>
              </w:rPr>
              <w:lastRenderedPageBreak/>
              <w:t>Stanovisko Komisie na posudzovanie vybraných vplyvov zo záverečného posúdenia č. ..........</w:t>
            </w:r>
            <w:r w:rsidRPr="007D489B">
              <w:rPr>
                <w:rFonts w:eastAsia="Calibri"/>
                <w:sz w:val="22"/>
                <w:szCs w:val="22"/>
                <w:lang w:eastAsia="en-US"/>
              </w:rPr>
              <w:t xml:space="preserve"> (v prípade, ak sa uskutočnilo v zmysle bodu 9.1. Jednotnej metodiky) </w:t>
            </w:r>
          </w:p>
        </w:tc>
      </w:tr>
      <w:tr w:rsidR="007D489B" w:rsidRPr="007D489B" w:rsidTr="007D489B">
        <w:tblPrEx>
          <w:tblBorders>
            <w:insideH w:val="single" w:sz="4" w:space="0" w:color="FFFFFF"/>
            <w:insideV w:val="single" w:sz="4" w:space="0" w:color="FFFFFF"/>
          </w:tblBorders>
        </w:tblPrEx>
        <w:tc>
          <w:tcPr>
            <w:tcW w:w="9176" w:type="dxa"/>
            <w:shd w:val="clear" w:color="auto" w:fill="FFFFFF"/>
          </w:tcPr>
          <w:p w:rsidR="007D489B" w:rsidRPr="007D489B" w:rsidRDefault="007D489B" w:rsidP="007D489B">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D489B" w:rsidRPr="007D489B" w:rsidTr="007D489B">
              <w:trPr>
                <w:trHeight w:val="396"/>
              </w:trPr>
              <w:tc>
                <w:tcPr>
                  <w:tcW w:w="2552" w:type="dxa"/>
                </w:tcPr>
                <w:p w:rsidR="007D489B" w:rsidRPr="007D489B" w:rsidRDefault="002E423C" w:rsidP="007D489B">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7D489B" w:rsidRPr="007D489B">
                        <w:rPr>
                          <w:rFonts w:eastAsia="MS Gothic" w:hint="eastAsia"/>
                          <w:b/>
                          <w:sz w:val="20"/>
                          <w:szCs w:val="20"/>
                        </w:rPr>
                        <w:t>☐</w:t>
                      </w:r>
                    </w:sdtContent>
                  </w:sdt>
                  <w:r w:rsidR="007D489B" w:rsidRPr="007D489B">
                    <w:rPr>
                      <w:b/>
                      <w:sz w:val="20"/>
                      <w:szCs w:val="20"/>
                    </w:rPr>
                    <w:t xml:space="preserve">   Súhlasné </w:t>
                  </w:r>
                </w:p>
              </w:tc>
              <w:tc>
                <w:tcPr>
                  <w:tcW w:w="3827" w:type="dxa"/>
                </w:tcPr>
                <w:p w:rsidR="007D489B" w:rsidRPr="007D489B" w:rsidRDefault="002E423C" w:rsidP="007D489B">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7D489B" w:rsidRPr="007D489B">
                        <w:rPr>
                          <w:rFonts w:eastAsia="MS Gothic" w:hint="eastAsia"/>
                          <w:b/>
                          <w:sz w:val="20"/>
                          <w:szCs w:val="20"/>
                        </w:rPr>
                        <w:t>☐</w:t>
                      </w:r>
                    </w:sdtContent>
                  </w:sdt>
                  <w:r w:rsidR="007D489B" w:rsidRPr="007D489B">
                    <w:rPr>
                      <w:b/>
                      <w:sz w:val="20"/>
                      <w:szCs w:val="20"/>
                    </w:rPr>
                    <w:t xml:space="preserve">  Súhlasné s  návrhom na dopracovanie</w:t>
                  </w:r>
                </w:p>
              </w:tc>
              <w:tc>
                <w:tcPr>
                  <w:tcW w:w="2534" w:type="dxa"/>
                </w:tcPr>
                <w:p w:rsidR="007D489B" w:rsidRPr="007D489B" w:rsidRDefault="002E423C" w:rsidP="007D489B">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7D489B" w:rsidRPr="007D489B">
                        <w:rPr>
                          <w:rFonts w:eastAsia="MS Gothic" w:hint="eastAsia"/>
                          <w:b/>
                          <w:sz w:val="20"/>
                          <w:szCs w:val="20"/>
                        </w:rPr>
                        <w:t>☐</w:t>
                      </w:r>
                    </w:sdtContent>
                  </w:sdt>
                  <w:r w:rsidR="007D489B" w:rsidRPr="007D489B">
                    <w:rPr>
                      <w:b/>
                      <w:sz w:val="20"/>
                      <w:szCs w:val="20"/>
                    </w:rPr>
                    <w:t xml:space="preserve">  Nesúhlasné</w:t>
                  </w:r>
                </w:p>
              </w:tc>
            </w:tr>
          </w:tbl>
          <w:p w:rsidR="007D489B" w:rsidRPr="007D489B" w:rsidRDefault="007D489B" w:rsidP="007D489B">
            <w:pPr>
              <w:jc w:val="both"/>
              <w:rPr>
                <w:b/>
                <w:sz w:val="20"/>
                <w:szCs w:val="20"/>
              </w:rPr>
            </w:pPr>
            <w:r w:rsidRPr="007D489B">
              <w:rPr>
                <w:b/>
                <w:sz w:val="20"/>
                <w:szCs w:val="20"/>
              </w:rPr>
              <w:t>Uveďte pripomienky zo stanoviska Komisie z časti II. spolu s Vaším vyhodnotením:</w:t>
            </w:r>
          </w:p>
          <w:p w:rsidR="007D489B" w:rsidRPr="007D489B" w:rsidRDefault="007D489B" w:rsidP="007D489B">
            <w:pPr>
              <w:rPr>
                <w:b/>
                <w:sz w:val="20"/>
                <w:szCs w:val="20"/>
              </w:rPr>
            </w:pPr>
          </w:p>
          <w:p w:rsidR="007D489B" w:rsidRPr="007D489B" w:rsidRDefault="007D489B" w:rsidP="007D489B">
            <w:pPr>
              <w:rPr>
                <w:b/>
                <w:sz w:val="20"/>
                <w:szCs w:val="20"/>
              </w:rPr>
            </w:pPr>
          </w:p>
        </w:tc>
      </w:tr>
      <w:tr w:rsidR="007D489B" w:rsidRPr="007D489B" w:rsidTr="007D489B">
        <w:tblPrEx>
          <w:tblBorders>
            <w:insideH w:val="single" w:sz="4" w:space="0" w:color="FFFFFF"/>
            <w:insideV w:val="single" w:sz="4" w:space="0" w:color="FFFFFF"/>
          </w:tblBorders>
        </w:tblPrEx>
        <w:tc>
          <w:tcPr>
            <w:tcW w:w="9176" w:type="dxa"/>
            <w:shd w:val="clear" w:color="auto" w:fill="FFFFFF"/>
          </w:tcPr>
          <w:p w:rsidR="007D489B" w:rsidRPr="007D489B" w:rsidRDefault="007D489B" w:rsidP="007D489B">
            <w:pPr>
              <w:rPr>
                <w:b/>
                <w:sz w:val="20"/>
                <w:szCs w:val="20"/>
              </w:rPr>
            </w:pPr>
          </w:p>
        </w:tc>
      </w:tr>
    </w:tbl>
    <w:p w:rsidR="007D489B" w:rsidRPr="007D489B" w:rsidRDefault="007D489B" w:rsidP="007D489B">
      <w:pPr>
        <w:spacing w:after="160" w:line="259" w:lineRule="auto"/>
        <w:rPr>
          <w:rFonts w:asciiTheme="minorHAnsi" w:eastAsiaTheme="minorHAnsi" w:hAnsiTheme="minorHAnsi" w:cstheme="minorBidi"/>
          <w:sz w:val="22"/>
          <w:szCs w:val="22"/>
          <w:lang w:eastAsia="en-US"/>
        </w:rPr>
      </w:pPr>
    </w:p>
    <w:p w:rsidR="007D489B" w:rsidRPr="007D489B" w:rsidRDefault="007D489B" w:rsidP="007D489B">
      <w:pPr>
        <w:jc w:val="center"/>
        <w:rPr>
          <w:b/>
          <w:bCs/>
          <w:sz w:val="28"/>
          <w:szCs w:val="28"/>
        </w:rPr>
      </w:pPr>
    </w:p>
    <w:p w:rsidR="007D489B" w:rsidRPr="007D489B" w:rsidRDefault="007D489B" w:rsidP="007D489B">
      <w:pPr>
        <w:jc w:val="center"/>
        <w:rPr>
          <w:b/>
          <w:bCs/>
          <w:sz w:val="28"/>
          <w:szCs w:val="28"/>
        </w:rPr>
      </w:pPr>
      <w:r w:rsidRPr="007D489B">
        <w:rPr>
          <w:b/>
          <w:bCs/>
          <w:sz w:val="28"/>
          <w:szCs w:val="28"/>
        </w:rPr>
        <w:lastRenderedPageBreak/>
        <w:t>Analýza vplyvov na rozpočet verejnej správy,</w:t>
      </w:r>
    </w:p>
    <w:p w:rsidR="007D489B" w:rsidRPr="007D489B" w:rsidRDefault="007D489B" w:rsidP="007D489B">
      <w:pPr>
        <w:jc w:val="center"/>
        <w:rPr>
          <w:b/>
          <w:bCs/>
          <w:sz w:val="28"/>
          <w:szCs w:val="28"/>
        </w:rPr>
      </w:pPr>
      <w:r w:rsidRPr="007D489B">
        <w:rPr>
          <w:b/>
          <w:bCs/>
          <w:sz w:val="28"/>
          <w:szCs w:val="28"/>
        </w:rPr>
        <w:t>na zamestnanosť vo verejnej správe a financovanie návrhu</w:t>
      </w:r>
    </w:p>
    <w:p w:rsidR="007D489B" w:rsidRPr="007D489B" w:rsidRDefault="007D489B" w:rsidP="007D489B">
      <w:pPr>
        <w:jc w:val="right"/>
        <w:rPr>
          <w:b/>
          <w:bCs/>
        </w:rPr>
      </w:pPr>
    </w:p>
    <w:p w:rsidR="007D489B" w:rsidRPr="007D489B" w:rsidRDefault="007D489B" w:rsidP="007D489B">
      <w:pPr>
        <w:rPr>
          <w:b/>
          <w:bCs/>
        </w:rPr>
      </w:pPr>
    </w:p>
    <w:p w:rsidR="007D489B" w:rsidRPr="007D489B" w:rsidRDefault="007D489B" w:rsidP="007D489B">
      <w:pPr>
        <w:rPr>
          <w:b/>
          <w:bCs/>
        </w:rPr>
      </w:pPr>
      <w:r w:rsidRPr="007D489B">
        <w:rPr>
          <w:b/>
          <w:bCs/>
        </w:rPr>
        <w:t>2.1 Zhrnutie vplyvov na rozpočet verejnej správy v návrhu</w:t>
      </w:r>
    </w:p>
    <w:p w:rsidR="007D489B" w:rsidRPr="007D489B" w:rsidRDefault="007D489B" w:rsidP="007D489B">
      <w:pPr>
        <w:jc w:val="right"/>
        <w:rPr>
          <w:sz w:val="20"/>
          <w:szCs w:val="20"/>
        </w:rPr>
      </w:pPr>
    </w:p>
    <w:p w:rsidR="007D489B" w:rsidRPr="007D489B" w:rsidRDefault="007D489B" w:rsidP="007D489B">
      <w:pPr>
        <w:jc w:val="right"/>
        <w:rPr>
          <w:sz w:val="20"/>
          <w:szCs w:val="20"/>
        </w:rPr>
      </w:pPr>
      <w:r w:rsidRPr="007D489B">
        <w:rPr>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489B" w:rsidRPr="007D489B" w:rsidTr="007D489B">
        <w:trPr>
          <w:cantSplit/>
          <w:trHeight w:val="194"/>
          <w:jc w:val="center"/>
        </w:trPr>
        <w:tc>
          <w:tcPr>
            <w:tcW w:w="4661" w:type="dxa"/>
            <w:vMerge w:val="restart"/>
            <w:shd w:val="clear" w:color="auto" w:fill="BFBFBF" w:themeFill="background1" w:themeFillShade="BF"/>
            <w:vAlign w:val="center"/>
          </w:tcPr>
          <w:p w:rsidR="007D489B" w:rsidRPr="007D489B" w:rsidRDefault="007D489B" w:rsidP="007D489B">
            <w:pPr>
              <w:jc w:val="center"/>
              <w:rPr>
                <w:b/>
                <w:bCs/>
              </w:rPr>
            </w:pPr>
            <w:bookmarkStart w:id="1" w:name="OLE_LINK1"/>
            <w:r w:rsidRPr="007D489B">
              <w:rPr>
                <w:b/>
                <w:bCs/>
              </w:rPr>
              <w:t>Vplyvy na rozpočet verejnej správy</w:t>
            </w:r>
          </w:p>
        </w:tc>
        <w:tc>
          <w:tcPr>
            <w:tcW w:w="5068" w:type="dxa"/>
            <w:gridSpan w:val="4"/>
            <w:shd w:val="clear" w:color="auto" w:fill="BFBFBF" w:themeFill="background1" w:themeFillShade="BF"/>
            <w:vAlign w:val="center"/>
          </w:tcPr>
          <w:p w:rsidR="007D489B" w:rsidRPr="007D489B" w:rsidRDefault="007D489B" w:rsidP="007D489B">
            <w:pPr>
              <w:jc w:val="center"/>
              <w:rPr>
                <w:b/>
                <w:bCs/>
              </w:rPr>
            </w:pPr>
            <w:r w:rsidRPr="007D489B">
              <w:rPr>
                <w:b/>
                <w:bCs/>
              </w:rPr>
              <w:t>Vplyv na rozpočet verejnej správy (v eurách)</w:t>
            </w:r>
          </w:p>
        </w:tc>
      </w:tr>
      <w:tr w:rsidR="007D489B" w:rsidRPr="007D489B" w:rsidTr="007D489B">
        <w:trPr>
          <w:cantSplit/>
          <w:trHeight w:val="70"/>
          <w:jc w:val="center"/>
        </w:trPr>
        <w:tc>
          <w:tcPr>
            <w:tcW w:w="4661" w:type="dxa"/>
            <w:vMerge/>
            <w:shd w:val="clear" w:color="auto" w:fill="BFBFBF" w:themeFill="background1" w:themeFillShade="BF"/>
            <w:vAlign w:val="center"/>
          </w:tcPr>
          <w:p w:rsidR="007D489B" w:rsidRPr="007D489B" w:rsidRDefault="007D489B" w:rsidP="007D489B">
            <w:pPr>
              <w:jc w:val="center"/>
              <w:rPr>
                <w:b/>
                <w:bCs/>
              </w:rPr>
            </w:pPr>
          </w:p>
        </w:tc>
        <w:tc>
          <w:tcPr>
            <w:tcW w:w="1267" w:type="dxa"/>
            <w:shd w:val="clear" w:color="auto" w:fill="BFBFBF" w:themeFill="background1" w:themeFillShade="BF"/>
            <w:vAlign w:val="center"/>
          </w:tcPr>
          <w:p w:rsidR="007D489B" w:rsidRPr="007D489B" w:rsidRDefault="007D489B" w:rsidP="007D489B">
            <w:pPr>
              <w:jc w:val="center"/>
              <w:rPr>
                <w:b/>
                <w:bCs/>
              </w:rPr>
            </w:pPr>
            <w:r w:rsidRPr="007D489B">
              <w:rPr>
                <w:b/>
                <w:bCs/>
              </w:rPr>
              <w:t>2022</w:t>
            </w:r>
          </w:p>
        </w:tc>
        <w:tc>
          <w:tcPr>
            <w:tcW w:w="1267" w:type="dxa"/>
            <w:shd w:val="clear" w:color="auto" w:fill="BFBFBF" w:themeFill="background1" w:themeFillShade="BF"/>
            <w:vAlign w:val="center"/>
          </w:tcPr>
          <w:p w:rsidR="007D489B" w:rsidRPr="007D489B" w:rsidRDefault="007D489B" w:rsidP="007D489B">
            <w:pPr>
              <w:jc w:val="center"/>
              <w:rPr>
                <w:b/>
                <w:bCs/>
              </w:rPr>
            </w:pPr>
            <w:r w:rsidRPr="007D489B">
              <w:rPr>
                <w:b/>
                <w:bCs/>
              </w:rPr>
              <w:t>2023</w:t>
            </w:r>
          </w:p>
        </w:tc>
        <w:tc>
          <w:tcPr>
            <w:tcW w:w="1267" w:type="dxa"/>
            <w:shd w:val="clear" w:color="auto" w:fill="BFBFBF" w:themeFill="background1" w:themeFillShade="BF"/>
            <w:vAlign w:val="center"/>
          </w:tcPr>
          <w:p w:rsidR="007D489B" w:rsidRPr="007D489B" w:rsidRDefault="007D489B" w:rsidP="007D489B">
            <w:pPr>
              <w:jc w:val="center"/>
              <w:rPr>
                <w:b/>
                <w:bCs/>
              </w:rPr>
            </w:pPr>
            <w:r w:rsidRPr="007D489B">
              <w:rPr>
                <w:b/>
                <w:bCs/>
              </w:rPr>
              <w:t>2024</w:t>
            </w:r>
          </w:p>
        </w:tc>
        <w:tc>
          <w:tcPr>
            <w:tcW w:w="1267" w:type="dxa"/>
            <w:shd w:val="clear" w:color="auto" w:fill="BFBFBF" w:themeFill="background1" w:themeFillShade="BF"/>
            <w:vAlign w:val="center"/>
          </w:tcPr>
          <w:p w:rsidR="007D489B" w:rsidRPr="007D489B" w:rsidRDefault="007D489B" w:rsidP="007D489B">
            <w:pPr>
              <w:jc w:val="center"/>
              <w:rPr>
                <w:b/>
                <w:bCs/>
              </w:rPr>
            </w:pPr>
            <w:r w:rsidRPr="007D489B">
              <w:rPr>
                <w:b/>
                <w:bCs/>
              </w:rPr>
              <w:t>2025</w:t>
            </w:r>
          </w:p>
        </w:tc>
      </w:tr>
      <w:tr w:rsidR="007D489B" w:rsidRPr="007D489B" w:rsidTr="007D489B">
        <w:trPr>
          <w:trHeight w:val="70"/>
          <w:jc w:val="center"/>
        </w:trPr>
        <w:tc>
          <w:tcPr>
            <w:tcW w:w="4661" w:type="dxa"/>
            <w:shd w:val="clear" w:color="auto" w:fill="C0C0C0"/>
            <w:noWrap/>
            <w:vAlign w:val="center"/>
          </w:tcPr>
          <w:p w:rsidR="007D489B" w:rsidRPr="007D489B" w:rsidRDefault="007D489B" w:rsidP="007D489B">
            <w:r w:rsidRPr="007D489B">
              <w:rPr>
                <w:b/>
                <w:bCs/>
              </w:rPr>
              <w:t>Príjmy verejnej správy celkom</w:t>
            </w:r>
          </w:p>
        </w:tc>
        <w:tc>
          <w:tcPr>
            <w:tcW w:w="1267" w:type="dxa"/>
            <w:shd w:val="clear" w:color="auto" w:fill="C0C0C0"/>
            <w:vAlign w:val="center"/>
          </w:tcPr>
          <w:p w:rsidR="007D489B" w:rsidRPr="007D489B" w:rsidRDefault="007D489B" w:rsidP="007D489B">
            <w:pPr>
              <w:jc w:val="right"/>
              <w:rPr>
                <w:b/>
                <w:bCs/>
              </w:rPr>
            </w:pPr>
            <w:r w:rsidRPr="007D489B">
              <w:rPr>
                <w:b/>
                <w:bCs/>
              </w:rPr>
              <w:t>0</w:t>
            </w:r>
          </w:p>
        </w:tc>
        <w:tc>
          <w:tcPr>
            <w:tcW w:w="1267" w:type="dxa"/>
            <w:shd w:val="clear" w:color="auto" w:fill="C0C0C0"/>
            <w:vAlign w:val="center"/>
          </w:tcPr>
          <w:p w:rsidR="007D489B" w:rsidRPr="007D489B" w:rsidRDefault="007D489B" w:rsidP="007D489B">
            <w:pPr>
              <w:jc w:val="right"/>
              <w:rPr>
                <w:b/>
                <w:bCs/>
              </w:rPr>
            </w:pPr>
            <w:r w:rsidRPr="007D489B">
              <w:rPr>
                <w:b/>
                <w:bCs/>
              </w:rPr>
              <w:t>0</w:t>
            </w:r>
          </w:p>
        </w:tc>
        <w:tc>
          <w:tcPr>
            <w:tcW w:w="1267" w:type="dxa"/>
            <w:shd w:val="clear" w:color="auto" w:fill="C0C0C0"/>
            <w:vAlign w:val="center"/>
          </w:tcPr>
          <w:p w:rsidR="007D489B" w:rsidRPr="007D489B" w:rsidRDefault="007D489B" w:rsidP="007D489B">
            <w:pPr>
              <w:jc w:val="right"/>
              <w:rPr>
                <w:b/>
                <w:bCs/>
              </w:rPr>
            </w:pPr>
            <w:r w:rsidRPr="007D489B">
              <w:rPr>
                <w:b/>
                <w:bCs/>
              </w:rPr>
              <w:t>0</w:t>
            </w:r>
          </w:p>
        </w:tc>
        <w:tc>
          <w:tcPr>
            <w:tcW w:w="1267" w:type="dxa"/>
            <w:shd w:val="clear" w:color="auto" w:fill="C0C0C0"/>
            <w:vAlign w:val="center"/>
          </w:tcPr>
          <w:p w:rsidR="007D489B" w:rsidRPr="007D489B" w:rsidRDefault="007D489B" w:rsidP="007D489B">
            <w:pPr>
              <w:jc w:val="right"/>
              <w:rPr>
                <w:b/>
                <w:bCs/>
              </w:rPr>
            </w:pPr>
            <w:r w:rsidRPr="007D489B">
              <w:rPr>
                <w:b/>
                <w:bCs/>
              </w:rPr>
              <w:t>0</w:t>
            </w:r>
          </w:p>
        </w:tc>
      </w:tr>
      <w:tr w:rsidR="007D489B" w:rsidRPr="007D489B" w:rsidTr="007D489B">
        <w:trPr>
          <w:trHeight w:val="132"/>
          <w:jc w:val="center"/>
        </w:trPr>
        <w:tc>
          <w:tcPr>
            <w:tcW w:w="4661" w:type="dxa"/>
            <w:noWrap/>
            <w:vAlign w:val="center"/>
          </w:tcPr>
          <w:p w:rsidR="007D489B" w:rsidRPr="007D489B" w:rsidRDefault="007D489B" w:rsidP="007D489B">
            <w:r w:rsidRPr="007D489B">
              <w:t>v tom: za každý subjekt verejnej správy zvlášť</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xml:space="preserve">z toho:  </w:t>
            </w:r>
          </w:p>
        </w:tc>
        <w:tc>
          <w:tcPr>
            <w:tcW w:w="1267" w:type="dxa"/>
            <w:noWrap/>
            <w:vAlign w:val="center"/>
          </w:tcPr>
          <w:p w:rsidR="007D489B" w:rsidRPr="007D489B" w:rsidRDefault="007D489B" w:rsidP="007D489B">
            <w:pPr>
              <w:jc w:val="right"/>
              <w:rPr>
                <w:b/>
                <w:bCs/>
                <w:iCs/>
              </w:rPr>
            </w:pPr>
          </w:p>
        </w:tc>
        <w:tc>
          <w:tcPr>
            <w:tcW w:w="1267" w:type="dxa"/>
            <w:noWrap/>
            <w:vAlign w:val="center"/>
          </w:tcPr>
          <w:p w:rsidR="007D489B" w:rsidRPr="007D489B" w:rsidRDefault="007D489B" w:rsidP="007D489B">
            <w:pPr>
              <w:jc w:val="right"/>
              <w:rPr>
                <w:b/>
                <w:bCs/>
                <w:iCs/>
              </w:rPr>
            </w:pPr>
          </w:p>
        </w:tc>
        <w:tc>
          <w:tcPr>
            <w:tcW w:w="1267" w:type="dxa"/>
            <w:noWrap/>
            <w:vAlign w:val="center"/>
          </w:tcPr>
          <w:p w:rsidR="007D489B" w:rsidRPr="007D489B" w:rsidRDefault="007D489B" w:rsidP="007D489B">
            <w:pPr>
              <w:jc w:val="right"/>
              <w:rPr>
                <w:b/>
                <w:bCs/>
                <w:iCs/>
              </w:rPr>
            </w:pPr>
          </w:p>
        </w:tc>
        <w:tc>
          <w:tcPr>
            <w:tcW w:w="1267" w:type="dxa"/>
            <w:noWrap/>
            <w:vAlign w:val="center"/>
          </w:tcPr>
          <w:p w:rsidR="007D489B" w:rsidRPr="007D489B" w:rsidRDefault="007D489B" w:rsidP="007D489B">
            <w:pPr>
              <w:jc w:val="right"/>
              <w:rPr>
                <w:b/>
                <w:bCs/>
                <w:iCs/>
              </w:rPr>
            </w:pPr>
          </w:p>
        </w:tc>
      </w:tr>
      <w:tr w:rsidR="007D489B" w:rsidRPr="007D489B" w:rsidTr="007D489B">
        <w:trPr>
          <w:trHeight w:val="125"/>
          <w:jc w:val="center"/>
        </w:trPr>
        <w:tc>
          <w:tcPr>
            <w:tcW w:w="4661" w:type="dxa"/>
            <w:noWrap/>
            <w:vAlign w:val="center"/>
          </w:tcPr>
          <w:p w:rsidR="007D489B" w:rsidRPr="007D489B" w:rsidRDefault="007D489B" w:rsidP="007D489B">
            <w:pPr>
              <w:rPr>
                <w:b/>
                <w:bCs/>
                <w:i/>
                <w:iCs/>
              </w:rPr>
            </w:pPr>
            <w:r w:rsidRPr="007D489B">
              <w:rPr>
                <w:b/>
                <w:bCs/>
                <w:i/>
                <w:iCs/>
              </w:rPr>
              <w:t>- vplyv na ŠR</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125"/>
          <w:jc w:val="center"/>
        </w:trPr>
        <w:tc>
          <w:tcPr>
            <w:tcW w:w="4661" w:type="dxa"/>
            <w:noWrap/>
            <w:vAlign w:val="center"/>
          </w:tcPr>
          <w:p w:rsidR="007D489B" w:rsidRPr="007D489B" w:rsidRDefault="007D489B" w:rsidP="007D489B">
            <w:pPr>
              <w:rPr>
                <w:b/>
                <w:bCs/>
                <w:i/>
                <w:iCs/>
              </w:rPr>
            </w:pPr>
            <w:r w:rsidRPr="007D489B">
              <w:rPr>
                <w:bCs/>
                <w:i/>
                <w:iCs/>
              </w:rPr>
              <w:t>Rozpočtové prostriedky</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125"/>
          <w:jc w:val="center"/>
        </w:trPr>
        <w:tc>
          <w:tcPr>
            <w:tcW w:w="4661" w:type="dxa"/>
            <w:noWrap/>
            <w:vAlign w:val="center"/>
          </w:tcPr>
          <w:p w:rsidR="007D489B" w:rsidRPr="007D489B" w:rsidRDefault="007D489B" w:rsidP="007D489B">
            <w:pPr>
              <w:rPr>
                <w:bCs/>
                <w:i/>
                <w:iCs/>
              </w:rPr>
            </w:pPr>
            <w:r w:rsidRPr="007D489B">
              <w:rPr>
                <w:bCs/>
                <w:i/>
                <w:iCs/>
              </w:rPr>
              <w:t>EÚ zdroje</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r>
      <w:tr w:rsidR="007D489B" w:rsidRPr="007D489B" w:rsidTr="007D489B">
        <w:trPr>
          <w:trHeight w:val="125"/>
          <w:jc w:val="center"/>
        </w:trPr>
        <w:tc>
          <w:tcPr>
            <w:tcW w:w="4661" w:type="dxa"/>
            <w:noWrap/>
            <w:vAlign w:val="center"/>
          </w:tcPr>
          <w:p w:rsidR="007D489B" w:rsidRPr="007D489B" w:rsidRDefault="007D489B" w:rsidP="007D489B">
            <w:pPr>
              <w:rPr>
                <w:b/>
                <w:bCs/>
                <w:i/>
                <w:iCs/>
              </w:rPr>
            </w:pPr>
            <w:r w:rsidRPr="007D489B">
              <w:rPr>
                <w:b/>
                <w:bCs/>
                <w:i/>
                <w:iCs/>
              </w:rPr>
              <w:t>- vplyv na obce</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125"/>
          <w:jc w:val="center"/>
        </w:trPr>
        <w:tc>
          <w:tcPr>
            <w:tcW w:w="4661" w:type="dxa"/>
            <w:noWrap/>
            <w:vAlign w:val="center"/>
          </w:tcPr>
          <w:p w:rsidR="007D489B" w:rsidRPr="007D489B" w:rsidRDefault="007D489B" w:rsidP="007D489B">
            <w:pPr>
              <w:rPr>
                <w:b/>
                <w:bCs/>
                <w:i/>
                <w:iCs/>
              </w:rPr>
            </w:pPr>
            <w:r w:rsidRPr="007D489B">
              <w:rPr>
                <w:b/>
                <w:bCs/>
                <w:i/>
                <w:iCs/>
              </w:rPr>
              <w:t>- vplyv na vyššie územné celky</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125"/>
          <w:jc w:val="center"/>
        </w:trPr>
        <w:tc>
          <w:tcPr>
            <w:tcW w:w="4661" w:type="dxa"/>
            <w:noWrap/>
            <w:vAlign w:val="center"/>
          </w:tcPr>
          <w:p w:rsidR="007D489B" w:rsidRPr="007D489B" w:rsidRDefault="007D489B" w:rsidP="007D489B">
            <w:pPr>
              <w:rPr>
                <w:b/>
                <w:bCs/>
                <w:i/>
                <w:iCs/>
              </w:rPr>
            </w:pPr>
            <w:r w:rsidRPr="007D489B">
              <w:rPr>
                <w:b/>
                <w:bCs/>
                <w:i/>
                <w:iCs/>
              </w:rPr>
              <w:t>- vplyv na ostatné subjekty verejnej správy</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125"/>
          <w:jc w:val="center"/>
        </w:trPr>
        <w:tc>
          <w:tcPr>
            <w:tcW w:w="4661" w:type="dxa"/>
            <w:shd w:val="clear" w:color="auto" w:fill="C0C0C0"/>
            <w:noWrap/>
            <w:vAlign w:val="center"/>
          </w:tcPr>
          <w:p w:rsidR="007D489B" w:rsidRPr="007D489B" w:rsidRDefault="007D489B" w:rsidP="007D489B">
            <w:pPr>
              <w:rPr>
                <w:b/>
                <w:bCs/>
              </w:rPr>
            </w:pPr>
            <w:r w:rsidRPr="007D489B">
              <w:rPr>
                <w:b/>
                <w:bCs/>
              </w:rPr>
              <w:t>Výdavky verejnej správy celkom</w:t>
            </w:r>
          </w:p>
        </w:tc>
        <w:tc>
          <w:tcPr>
            <w:tcW w:w="1267" w:type="dxa"/>
            <w:shd w:val="clear" w:color="auto" w:fill="C0C0C0"/>
            <w:noWrap/>
            <w:vAlign w:val="center"/>
          </w:tcPr>
          <w:p w:rsidR="007D489B" w:rsidRPr="007D489B" w:rsidRDefault="007D489B" w:rsidP="007D489B">
            <w:pPr>
              <w:jc w:val="right"/>
              <w:rPr>
                <w:b/>
                <w:bCs/>
              </w:rPr>
            </w:pPr>
            <w:r w:rsidRPr="007D489B">
              <w:rPr>
                <w:b/>
                <w:bCs/>
              </w:rPr>
              <w:t>1 070 000</w:t>
            </w:r>
          </w:p>
        </w:tc>
        <w:tc>
          <w:tcPr>
            <w:tcW w:w="1267" w:type="dxa"/>
            <w:shd w:val="clear" w:color="auto" w:fill="C0C0C0"/>
            <w:noWrap/>
            <w:vAlign w:val="center"/>
          </w:tcPr>
          <w:p w:rsidR="007D489B" w:rsidRPr="007D489B" w:rsidRDefault="007D489B" w:rsidP="007D489B">
            <w:pPr>
              <w:jc w:val="right"/>
              <w:rPr>
                <w:b/>
                <w:bCs/>
              </w:rPr>
            </w:pPr>
            <w:r w:rsidRPr="007D489B">
              <w:rPr>
                <w:b/>
                <w:bCs/>
              </w:rPr>
              <w:t>0</w:t>
            </w:r>
          </w:p>
        </w:tc>
        <w:tc>
          <w:tcPr>
            <w:tcW w:w="1267" w:type="dxa"/>
            <w:shd w:val="clear" w:color="auto" w:fill="C0C0C0"/>
            <w:noWrap/>
            <w:vAlign w:val="center"/>
          </w:tcPr>
          <w:p w:rsidR="007D489B" w:rsidRPr="007D489B" w:rsidRDefault="007D489B" w:rsidP="007D489B">
            <w:pPr>
              <w:jc w:val="right"/>
              <w:rPr>
                <w:b/>
                <w:bCs/>
              </w:rPr>
            </w:pPr>
            <w:r w:rsidRPr="007D489B">
              <w:rPr>
                <w:b/>
                <w:bCs/>
              </w:rPr>
              <w:t>0</w:t>
            </w:r>
          </w:p>
        </w:tc>
        <w:tc>
          <w:tcPr>
            <w:tcW w:w="1267" w:type="dxa"/>
            <w:shd w:val="clear" w:color="auto" w:fill="C0C0C0"/>
            <w:noWrap/>
            <w:vAlign w:val="center"/>
          </w:tcPr>
          <w:p w:rsidR="007D489B" w:rsidRPr="007D489B" w:rsidRDefault="007D489B" w:rsidP="007D489B">
            <w:pPr>
              <w:jc w:val="right"/>
              <w:rPr>
                <w:b/>
                <w:bCs/>
              </w:rPr>
            </w:pPr>
            <w:r w:rsidRPr="007D489B">
              <w:rPr>
                <w:b/>
                <w:bCs/>
              </w:rPr>
              <w:t xml:space="preserve">0   </w:t>
            </w:r>
          </w:p>
        </w:tc>
      </w:tr>
      <w:tr w:rsidR="007D489B" w:rsidRPr="007D489B" w:rsidTr="007D489B">
        <w:trPr>
          <w:trHeight w:val="70"/>
          <w:jc w:val="center"/>
        </w:trPr>
        <w:tc>
          <w:tcPr>
            <w:tcW w:w="4661" w:type="dxa"/>
            <w:noWrap/>
            <w:vAlign w:val="center"/>
          </w:tcPr>
          <w:p w:rsidR="007D489B" w:rsidRPr="007D489B" w:rsidRDefault="007D489B" w:rsidP="007D489B">
            <w:r w:rsidRPr="007D489B">
              <w:t>v tom: Ministerstvo vnútra SR</w:t>
            </w:r>
          </w:p>
        </w:tc>
        <w:tc>
          <w:tcPr>
            <w:tcW w:w="1267" w:type="dxa"/>
            <w:noWrap/>
            <w:vAlign w:val="center"/>
          </w:tcPr>
          <w:p w:rsidR="007D489B" w:rsidRPr="007D489B" w:rsidRDefault="007D489B" w:rsidP="007D489B">
            <w:pPr>
              <w:jc w:val="right"/>
            </w:pPr>
            <w:r w:rsidRPr="007D489B">
              <w:t>1 070 000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xml:space="preserve">z toho: </w:t>
            </w:r>
          </w:p>
        </w:tc>
        <w:tc>
          <w:tcPr>
            <w:tcW w:w="1267" w:type="dxa"/>
            <w:noWrap/>
            <w:vAlign w:val="center"/>
          </w:tcPr>
          <w:p w:rsidR="007D489B" w:rsidRPr="007D489B" w:rsidRDefault="007D489B" w:rsidP="007D489B">
            <w:pPr>
              <w:jc w:val="right"/>
              <w:rPr>
                <w:b/>
                <w:bCs/>
                <w:iCs/>
              </w:rPr>
            </w:pPr>
          </w:p>
        </w:tc>
        <w:tc>
          <w:tcPr>
            <w:tcW w:w="1267" w:type="dxa"/>
            <w:noWrap/>
            <w:vAlign w:val="center"/>
          </w:tcPr>
          <w:p w:rsidR="007D489B" w:rsidRPr="007D489B" w:rsidRDefault="007D489B" w:rsidP="007D489B">
            <w:pPr>
              <w:jc w:val="right"/>
              <w:rPr>
                <w:b/>
                <w:bCs/>
                <w:iCs/>
              </w:rPr>
            </w:pPr>
          </w:p>
        </w:tc>
        <w:tc>
          <w:tcPr>
            <w:tcW w:w="1267" w:type="dxa"/>
            <w:noWrap/>
            <w:vAlign w:val="center"/>
          </w:tcPr>
          <w:p w:rsidR="007D489B" w:rsidRPr="007D489B" w:rsidRDefault="007D489B" w:rsidP="007D489B">
            <w:pPr>
              <w:jc w:val="right"/>
              <w:rPr>
                <w:b/>
                <w:bCs/>
                <w:iCs/>
              </w:rPr>
            </w:pPr>
          </w:p>
        </w:tc>
        <w:tc>
          <w:tcPr>
            <w:tcW w:w="1267" w:type="dxa"/>
            <w:noWrap/>
            <w:vAlign w:val="center"/>
          </w:tcPr>
          <w:p w:rsidR="007D489B" w:rsidRPr="007D489B" w:rsidRDefault="007D489B" w:rsidP="007D489B">
            <w:pPr>
              <w:jc w:val="right"/>
              <w:rPr>
                <w:b/>
                <w:bCs/>
                <w:iCs/>
              </w:rPr>
            </w:pP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vplyv na ŠR</w:t>
            </w:r>
          </w:p>
        </w:tc>
        <w:tc>
          <w:tcPr>
            <w:tcW w:w="1267" w:type="dxa"/>
            <w:noWrap/>
            <w:vAlign w:val="center"/>
          </w:tcPr>
          <w:p w:rsidR="007D489B" w:rsidRPr="007D489B" w:rsidRDefault="007D489B" w:rsidP="007D489B">
            <w:pPr>
              <w:jc w:val="right"/>
              <w:rPr>
                <w:b/>
                <w:bCs/>
                <w:iCs/>
              </w:rPr>
            </w:pPr>
            <w:r w:rsidRPr="007D489B">
              <w:rPr>
                <w:b/>
                <w:bCs/>
                <w:iCs/>
              </w:rPr>
              <w:t>1 070 000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Cs/>
                <w:i/>
                <w:iCs/>
              </w:rPr>
              <w:t>Rozpočtové prostriedky</w:t>
            </w:r>
          </w:p>
        </w:tc>
        <w:tc>
          <w:tcPr>
            <w:tcW w:w="1267" w:type="dxa"/>
            <w:noWrap/>
            <w:vAlign w:val="center"/>
          </w:tcPr>
          <w:p w:rsidR="007D489B" w:rsidRPr="007D489B" w:rsidRDefault="007D489B" w:rsidP="007D489B">
            <w:pPr>
              <w:jc w:val="right"/>
              <w:rPr>
                <w:b/>
                <w:bCs/>
                <w:iCs/>
              </w:rPr>
            </w:pPr>
            <w:r w:rsidRPr="007D489B">
              <w:rPr>
                <w:b/>
                <w:bCs/>
                <w:iCs/>
              </w:rPr>
              <w:t>1 070 000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noWrap/>
            <w:vAlign w:val="center"/>
          </w:tcPr>
          <w:p w:rsidR="007D489B" w:rsidRPr="007D489B" w:rsidRDefault="007D489B" w:rsidP="007D489B">
            <w:pPr>
              <w:rPr>
                <w:bCs/>
                <w:i/>
                <w:iCs/>
              </w:rPr>
            </w:pPr>
            <w:r w:rsidRPr="007D489B">
              <w:rPr>
                <w:bCs/>
                <w:i/>
                <w:iCs/>
              </w:rPr>
              <w:t xml:space="preserve">    EÚ zdroje</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r>
      <w:tr w:rsidR="007D489B" w:rsidRPr="007D489B" w:rsidTr="007D489B">
        <w:trPr>
          <w:trHeight w:val="70"/>
          <w:jc w:val="center"/>
        </w:trPr>
        <w:tc>
          <w:tcPr>
            <w:tcW w:w="4661" w:type="dxa"/>
            <w:noWrap/>
            <w:vAlign w:val="center"/>
          </w:tcPr>
          <w:p w:rsidR="007D489B" w:rsidRPr="007D489B" w:rsidRDefault="007D489B" w:rsidP="007D489B">
            <w:pPr>
              <w:rPr>
                <w:bCs/>
                <w:i/>
                <w:iCs/>
              </w:rPr>
            </w:pPr>
            <w:r w:rsidRPr="007D489B">
              <w:rPr>
                <w:bCs/>
                <w:i/>
                <w:iCs/>
              </w:rPr>
              <w:t xml:space="preserve">    spolufinancovanie</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r>
      <w:tr w:rsidR="007D489B" w:rsidRPr="007D489B" w:rsidTr="007D489B">
        <w:trPr>
          <w:trHeight w:val="125"/>
          <w:jc w:val="center"/>
        </w:trPr>
        <w:tc>
          <w:tcPr>
            <w:tcW w:w="4661" w:type="dxa"/>
            <w:noWrap/>
            <w:vAlign w:val="center"/>
          </w:tcPr>
          <w:p w:rsidR="007D489B" w:rsidRPr="007D489B" w:rsidRDefault="007D489B" w:rsidP="007D489B">
            <w:pPr>
              <w:rPr>
                <w:b/>
                <w:bCs/>
                <w:i/>
                <w:iCs/>
              </w:rPr>
            </w:pPr>
            <w:r w:rsidRPr="007D489B">
              <w:rPr>
                <w:b/>
                <w:bCs/>
                <w:i/>
                <w:iCs/>
              </w:rPr>
              <w:t>- vplyv na obce</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125"/>
          <w:jc w:val="center"/>
        </w:trPr>
        <w:tc>
          <w:tcPr>
            <w:tcW w:w="4661" w:type="dxa"/>
            <w:noWrap/>
            <w:vAlign w:val="center"/>
          </w:tcPr>
          <w:p w:rsidR="007D489B" w:rsidRPr="007D489B" w:rsidRDefault="007D489B" w:rsidP="007D489B">
            <w:pPr>
              <w:rPr>
                <w:b/>
                <w:bCs/>
                <w:i/>
                <w:iCs/>
              </w:rPr>
            </w:pPr>
            <w:r w:rsidRPr="007D489B">
              <w:rPr>
                <w:b/>
                <w:bCs/>
                <w:i/>
                <w:iCs/>
              </w:rPr>
              <w:t>- vplyv na vyššie územné celky</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noWrap/>
            <w:vAlign w:val="center"/>
          </w:tcPr>
          <w:p w:rsidR="007D489B" w:rsidRPr="007D489B" w:rsidRDefault="007D489B" w:rsidP="007D489B">
            <w:pPr>
              <w:rPr>
                <w:b/>
                <w:bCs/>
              </w:rPr>
            </w:pPr>
            <w:r w:rsidRPr="007D489B">
              <w:rPr>
                <w:b/>
                <w:bCs/>
                <w:i/>
                <w:iCs/>
              </w:rPr>
              <w:t>- vplyv na ostatné subjekty verejnej správy</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shd w:val="clear" w:color="auto" w:fill="BFBFBF" w:themeFill="background1" w:themeFillShade="BF"/>
            <w:noWrap/>
            <w:vAlign w:val="center"/>
          </w:tcPr>
          <w:p w:rsidR="007D489B" w:rsidRPr="007D489B" w:rsidRDefault="007D489B" w:rsidP="007D489B">
            <w:pPr>
              <w:rPr>
                <w:b/>
                <w:bCs/>
              </w:rPr>
            </w:pPr>
            <w:r w:rsidRPr="007D489B">
              <w:rPr>
                <w:b/>
                <w:bCs/>
              </w:rPr>
              <w:t xml:space="preserve">Vplyv na počet zamestnancov </w:t>
            </w:r>
          </w:p>
        </w:tc>
        <w:tc>
          <w:tcPr>
            <w:tcW w:w="1267" w:type="dxa"/>
            <w:shd w:val="clear" w:color="auto" w:fill="BFBFBF" w:themeFill="background1" w:themeFillShade="BF"/>
            <w:noWrap/>
            <w:vAlign w:val="center"/>
          </w:tcPr>
          <w:p w:rsidR="007D489B" w:rsidRPr="007D489B" w:rsidRDefault="007D489B" w:rsidP="007D489B">
            <w:pPr>
              <w:jc w:val="right"/>
              <w:rPr>
                <w:b/>
                <w:bCs/>
              </w:rPr>
            </w:pPr>
            <w:r w:rsidRPr="007D489B">
              <w:rPr>
                <w:b/>
                <w:bCs/>
              </w:rPr>
              <w:t>0</w:t>
            </w:r>
          </w:p>
        </w:tc>
        <w:tc>
          <w:tcPr>
            <w:tcW w:w="1267" w:type="dxa"/>
            <w:shd w:val="clear" w:color="auto" w:fill="BFBFBF" w:themeFill="background1" w:themeFillShade="BF"/>
            <w:noWrap/>
            <w:vAlign w:val="center"/>
          </w:tcPr>
          <w:p w:rsidR="007D489B" w:rsidRPr="007D489B" w:rsidRDefault="007D489B" w:rsidP="007D489B">
            <w:pPr>
              <w:jc w:val="right"/>
              <w:rPr>
                <w:b/>
                <w:bCs/>
              </w:rPr>
            </w:pPr>
            <w:r w:rsidRPr="007D489B">
              <w:rPr>
                <w:b/>
                <w:bCs/>
              </w:rPr>
              <w:t>0</w:t>
            </w:r>
          </w:p>
        </w:tc>
        <w:tc>
          <w:tcPr>
            <w:tcW w:w="1267" w:type="dxa"/>
            <w:shd w:val="clear" w:color="auto" w:fill="BFBFBF" w:themeFill="background1" w:themeFillShade="BF"/>
            <w:noWrap/>
            <w:vAlign w:val="center"/>
          </w:tcPr>
          <w:p w:rsidR="007D489B" w:rsidRPr="007D489B" w:rsidRDefault="007D489B" w:rsidP="007D489B">
            <w:pPr>
              <w:jc w:val="right"/>
              <w:rPr>
                <w:b/>
                <w:bCs/>
              </w:rPr>
            </w:pPr>
            <w:r w:rsidRPr="007D489B">
              <w:rPr>
                <w:b/>
                <w:bCs/>
              </w:rPr>
              <w:t>0</w:t>
            </w:r>
          </w:p>
        </w:tc>
        <w:tc>
          <w:tcPr>
            <w:tcW w:w="1267" w:type="dxa"/>
            <w:shd w:val="clear" w:color="auto" w:fill="BFBFBF" w:themeFill="background1" w:themeFillShade="BF"/>
            <w:noWrap/>
            <w:vAlign w:val="center"/>
          </w:tcPr>
          <w:p w:rsidR="007D489B" w:rsidRPr="007D489B" w:rsidRDefault="007D489B" w:rsidP="007D489B">
            <w:pPr>
              <w:jc w:val="right"/>
              <w:rPr>
                <w:b/>
                <w:bCs/>
              </w:rPr>
            </w:pPr>
            <w:r w:rsidRPr="007D489B">
              <w:rPr>
                <w:b/>
                <w:bCs/>
              </w:rPr>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vplyv na ŠR</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vplyv na obce</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vplyv na vyššie územné celky</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vplyv na ostatné subjekty verejnej správy</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shd w:val="clear" w:color="auto" w:fill="BFBFBF" w:themeFill="background1" w:themeFillShade="BF"/>
            <w:noWrap/>
            <w:vAlign w:val="center"/>
          </w:tcPr>
          <w:p w:rsidR="007D489B" w:rsidRPr="007D489B" w:rsidRDefault="007D489B" w:rsidP="007D489B">
            <w:pPr>
              <w:rPr>
                <w:b/>
              </w:rPr>
            </w:pPr>
            <w:r w:rsidRPr="007D489B">
              <w:rPr>
                <w:b/>
              </w:rPr>
              <w:t>Vplyv na mzdové výdavky</w:t>
            </w:r>
          </w:p>
        </w:tc>
        <w:tc>
          <w:tcPr>
            <w:tcW w:w="1267" w:type="dxa"/>
            <w:shd w:val="clear" w:color="auto" w:fill="BFBFBF" w:themeFill="background1" w:themeFillShade="BF"/>
            <w:noWrap/>
            <w:vAlign w:val="center"/>
          </w:tcPr>
          <w:p w:rsidR="007D489B" w:rsidRPr="007D489B" w:rsidRDefault="007D489B" w:rsidP="007D489B">
            <w:pPr>
              <w:jc w:val="right"/>
              <w:rPr>
                <w:b/>
              </w:rPr>
            </w:pPr>
            <w:r w:rsidRPr="007D489B">
              <w:rPr>
                <w:b/>
              </w:rPr>
              <w:t>0</w:t>
            </w:r>
          </w:p>
        </w:tc>
        <w:tc>
          <w:tcPr>
            <w:tcW w:w="1267" w:type="dxa"/>
            <w:shd w:val="clear" w:color="auto" w:fill="BFBFBF" w:themeFill="background1" w:themeFillShade="BF"/>
            <w:noWrap/>
            <w:vAlign w:val="center"/>
          </w:tcPr>
          <w:p w:rsidR="007D489B" w:rsidRPr="007D489B" w:rsidRDefault="007D489B" w:rsidP="007D489B">
            <w:pPr>
              <w:jc w:val="right"/>
              <w:rPr>
                <w:b/>
              </w:rPr>
            </w:pPr>
            <w:r w:rsidRPr="007D489B">
              <w:rPr>
                <w:b/>
              </w:rPr>
              <w:t>0</w:t>
            </w:r>
          </w:p>
        </w:tc>
        <w:tc>
          <w:tcPr>
            <w:tcW w:w="1267" w:type="dxa"/>
            <w:shd w:val="clear" w:color="auto" w:fill="BFBFBF" w:themeFill="background1" w:themeFillShade="BF"/>
            <w:noWrap/>
            <w:vAlign w:val="center"/>
          </w:tcPr>
          <w:p w:rsidR="007D489B" w:rsidRPr="007D489B" w:rsidRDefault="007D489B" w:rsidP="007D489B">
            <w:pPr>
              <w:jc w:val="right"/>
              <w:rPr>
                <w:b/>
              </w:rPr>
            </w:pPr>
            <w:r w:rsidRPr="007D489B">
              <w:rPr>
                <w:b/>
              </w:rPr>
              <w:t>0</w:t>
            </w:r>
          </w:p>
        </w:tc>
        <w:tc>
          <w:tcPr>
            <w:tcW w:w="1267" w:type="dxa"/>
            <w:shd w:val="clear" w:color="auto" w:fill="BFBFBF" w:themeFill="background1" w:themeFillShade="BF"/>
            <w:noWrap/>
            <w:vAlign w:val="center"/>
          </w:tcPr>
          <w:p w:rsidR="007D489B" w:rsidRPr="007D489B" w:rsidRDefault="007D489B" w:rsidP="007D489B">
            <w:pPr>
              <w:jc w:val="right"/>
              <w:rPr>
                <w:b/>
              </w:rPr>
            </w:pPr>
            <w:r w:rsidRPr="007D489B">
              <w:rPr>
                <w:b/>
              </w:rPr>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vplyv na ŠR</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vplyv na obce</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noWrap/>
            <w:vAlign w:val="center"/>
          </w:tcPr>
          <w:p w:rsidR="007D489B" w:rsidRPr="007D489B" w:rsidRDefault="007D489B" w:rsidP="007D489B">
            <w:pPr>
              <w:rPr>
                <w:b/>
                <w:bCs/>
                <w:i/>
                <w:iCs/>
              </w:rPr>
            </w:pPr>
            <w:r w:rsidRPr="007D489B">
              <w:rPr>
                <w:b/>
                <w:bCs/>
                <w:i/>
                <w:iCs/>
              </w:rPr>
              <w:t>- vplyv na vyššie územné celky</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noWrap/>
            <w:vAlign w:val="center"/>
          </w:tcPr>
          <w:p w:rsidR="007D489B" w:rsidRPr="007D489B" w:rsidRDefault="007D489B" w:rsidP="007D489B">
            <w:pPr>
              <w:rPr>
                <w:b/>
                <w:bCs/>
              </w:rPr>
            </w:pPr>
            <w:r w:rsidRPr="007D489B">
              <w:rPr>
                <w:b/>
                <w:bCs/>
                <w:i/>
                <w:iCs/>
              </w:rPr>
              <w:t>- vplyv na ostatné subjekty verejnej správy</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c>
          <w:tcPr>
            <w:tcW w:w="1267" w:type="dxa"/>
            <w:noWrap/>
            <w:vAlign w:val="center"/>
          </w:tcPr>
          <w:p w:rsidR="007D489B" w:rsidRPr="007D489B" w:rsidRDefault="007D489B" w:rsidP="007D489B">
            <w:pPr>
              <w:jc w:val="right"/>
              <w:rPr>
                <w:b/>
                <w:bCs/>
                <w:iCs/>
              </w:rPr>
            </w:pPr>
            <w:r w:rsidRPr="007D489B">
              <w:rPr>
                <w:b/>
                <w:bCs/>
                <w:iCs/>
              </w:rPr>
              <w:t>0</w:t>
            </w:r>
          </w:p>
        </w:tc>
      </w:tr>
      <w:tr w:rsidR="007D489B" w:rsidRPr="007D489B" w:rsidTr="007D489B">
        <w:trPr>
          <w:trHeight w:val="70"/>
          <w:jc w:val="center"/>
        </w:trPr>
        <w:tc>
          <w:tcPr>
            <w:tcW w:w="4661" w:type="dxa"/>
            <w:shd w:val="clear" w:color="auto" w:fill="C0C0C0"/>
            <w:noWrap/>
            <w:vAlign w:val="center"/>
          </w:tcPr>
          <w:p w:rsidR="007D489B" w:rsidRPr="007D489B" w:rsidRDefault="007D489B" w:rsidP="007D489B">
            <w:pPr>
              <w:rPr>
                <w:b/>
                <w:bCs/>
              </w:rPr>
            </w:pPr>
            <w:r w:rsidRPr="007D489B">
              <w:rPr>
                <w:b/>
                <w:bCs/>
              </w:rPr>
              <w:t>Financovanie zabezpečené v rozpočte</w:t>
            </w:r>
          </w:p>
        </w:tc>
        <w:tc>
          <w:tcPr>
            <w:tcW w:w="1267" w:type="dxa"/>
            <w:shd w:val="clear" w:color="auto" w:fill="C0C0C0"/>
            <w:noWrap/>
            <w:vAlign w:val="center"/>
          </w:tcPr>
          <w:p w:rsidR="007D489B" w:rsidRPr="007D489B" w:rsidRDefault="007D489B" w:rsidP="007D489B">
            <w:pPr>
              <w:jc w:val="right"/>
              <w:rPr>
                <w:b/>
                <w:bCs/>
              </w:rPr>
            </w:pPr>
            <w:r w:rsidRPr="007D489B">
              <w:rPr>
                <w:b/>
                <w:bCs/>
              </w:rPr>
              <w:t>0</w:t>
            </w:r>
          </w:p>
        </w:tc>
        <w:tc>
          <w:tcPr>
            <w:tcW w:w="1267" w:type="dxa"/>
            <w:shd w:val="clear" w:color="auto" w:fill="C0C0C0"/>
            <w:noWrap/>
            <w:vAlign w:val="center"/>
          </w:tcPr>
          <w:p w:rsidR="007D489B" w:rsidRPr="007D489B" w:rsidRDefault="007D489B" w:rsidP="007D489B">
            <w:pPr>
              <w:jc w:val="right"/>
              <w:rPr>
                <w:b/>
                <w:bCs/>
              </w:rPr>
            </w:pPr>
            <w:r w:rsidRPr="007D489B">
              <w:rPr>
                <w:b/>
                <w:bCs/>
              </w:rPr>
              <w:t>0</w:t>
            </w:r>
          </w:p>
        </w:tc>
        <w:tc>
          <w:tcPr>
            <w:tcW w:w="1267" w:type="dxa"/>
            <w:shd w:val="clear" w:color="auto" w:fill="C0C0C0"/>
            <w:noWrap/>
            <w:vAlign w:val="center"/>
          </w:tcPr>
          <w:p w:rsidR="007D489B" w:rsidRPr="007D489B" w:rsidRDefault="007D489B" w:rsidP="007D489B">
            <w:pPr>
              <w:jc w:val="right"/>
              <w:rPr>
                <w:b/>
                <w:bCs/>
              </w:rPr>
            </w:pPr>
            <w:r w:rsidRPr="007D489B">
              <w:rPr>
                <w:b/>
                <w:bCs/>
              </w:rPr>
              <w:t>0</w:t>
            </w:r>
          </w:p>
        </w:tc>
        <w:tc>
          <w:tcPr>
            <w:tcW w:w="1267" w:type="dxa"/>
            <w:shd w:val="clear" w:color="auto" w:fill="C0C0C0"/>
            <w:noWrap/>
            <w:vAlign w:val="center"/>
          </w:tcPr>
          <w:p w:rsidR="007D489B" w:rsidRPr="007D489B" w:rsidRDefault="007D489B" w:rsidP="007D489B">
            <w:pPr>
              <w:jc w:val="right"/>
              <w:rPr>
                <w:b/>
                <w:bCs/>
              </w:rPr>
            </w:pPr>
            <w:r w:rsidRPr="007D489B">
              <w:rPr>
                <w:b/>
                <w:bCs/>
              </w:rPr>
              <w:t>0</w:t>
            </w:r>
          </w:p>
        </w:tc>
      </w:tr>
      <w:tr w:rsidR="007D489B" w:rsidRPr="007D489B" w:rsidTr="007D489B">
        <w:trPr>
          <w:trHeight w:val="70"/>
          <w:jc w:val="center"/>
        </w:trPr>
        <w:tc>
          <w:tcPr>
            <w:tcW w:w="4661" w:type="dxa"/>
            <w:noWrap/>
            <w:vAlign w:val="center"/>
          </w:tcPr>
          <w:p w:rsidR="007D489B" w:rsidRPr="007D489B" w:rsidRDefault="007D489B" w:rsidP="007D489B">
            <w:r w:rsidRPr="007D489B">
              <w:t>v tom: Ministerstvo vnútra SR</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c>
          <w:tcPr>
            <w:tcW w:w="1267" w:type="dxa"/>
            <w:noWrap/>
            <w:vAlign w:val="center"/>
          </w:tcPr>
          <w:p w:rsidR="007D489B" w:rsidRPr="007D489B" w:rsidRDefault="007D489B" w:rsidP="007D489B">
            <w:pPr>
              <w:jc w:val="right"/>
            </w:pPr>
            <w:r w:rsidRPr="007D489B">
              <w:t>0</w:t>
            </w:r>
          </w:p>
        </w:tc>
      </w:tr>
      <w:tr w:rsidR="007D489B" w:rsidRPr="007D489B" w:rsidTr="007D489B">
        <w:trPr>
          <w:trHeight w:val="70"/>
          <w:jc w:val="center"/>
        </w:trPr>
        <w:tc>
          <w:tcPr>
            <w:tcW w:w="4661" w:type="dxa"/>
            <w:shd w:val="clear" w:color="auto" w:fill="BFBFBF" w:themeFill="background1" w:themeFillShade="BF"/>
            <w:noWrap/>
            <w:vAlign w:val="center"/>
          </w:tcPr>
          <w:p w:rsidR="007D489B" w:rsidRPr="007D489B" w:rsidRDefault="007D489B" w:rsidP="007D489B">
            <w:pPr>
              <w:rPr>
                <w:b/>
              </w:rPr>
            </w:pPr>
            <w:r w:rsidRPr="007D489B">
              <w:rPr>
                <w:b/>
              </w:rPr>
              <w:t>Iné ako rozpočtové zdroje</w:t>
            </w:r>
          </w:p>
        </w:tc>
        <w:tc>
          <w:tcPr>
            <w:tcW w:w="1267" w:type="dxa"/>
            <w:shd w:val="clear" w:color="auto" w:fill="BFBFBF" w:themeFill="background1" w:themeFillShade="BF"/>
            <w:noWrap/>
            <w:vAlign w:val="center"/>
          </w:tcPr>
          <w:p w:rsidR="007D489B" w:rsidRPr="007D489B" w:rsidRDefault="007D489B" w:rsidP="007D489B">
            <w:pPr>
              <w:jc w:val="right"/>
              <w:rPr>
                <w:b/>
                <w:bCs/>
              </w:rPr>
            </w:pPr>
            <w:r w:rsidRPr="007D489B">
              <w:rPr>
                <w:b/>
                <w:bCs/>
              </w:rPr>
              <w:t>0</w:t>
            </w:r>
          </w:p>
        </w:tc>
        <w:tc>
          <w:tcPr>
            <w:tcW w:w="1267" w:type="dxa"/>
            <w:shd w:val="clear" w:color="auto" w:fill="BFBFBF" w:themeFill="background1" w:themeFillShade="BF"/>
            <w:noWrap/>
            <w:vAlign w:val="center"/>
          </w:tcPr>
          <w:p w:rsidR="007D489B" w:rsidRPr="007D489B" w:rsidRDefault="007D489B" w:rsidP="007D489B">
            <w:pPr>
              <w:jc w:val="right"/>
              <w:rPr>
                <w:b/>
                <w:bCs/>
              </w:rPr>
            </w:pPr>
            <w:r w:rsidRPr="007D489B">
              <w:rPr>
                <w:b/>
                <w:bCs/>
              </w:rPr>
              <w:t>0</w:t>
            </w:r>
          </w:p>
        </w:tc>
        <w:tc>
          <w:tcPr>
            <w:tcW w:w="1267" w:type="dxa"/>
            <w:shd w:val="clear" w:color="auto" w:fill="BFBFBF" w:themeFill="background1" w:themeFillShade="BF"/>
            <w:noWrap/>
            <w:vAlign w:val="center"/>
          </w:tcPr>
          <w:p w:rsidR="007D489B" w:rsidRPr="007D489B" w:rsidRDefault="007D489B" w:rsidP="007D489B">
            <w:pPr>
              <w:jc w:val="right"/>
              <w:rPr>
                <w:b/>
                <w:bCs/>
              </w:rPr>
            </w:pPr>
            <w:r w:rsidRPr="007D489B">
              <w:rPr>
                <w:b/>
                <w:bCs/>
              </w:rPr>
              <w:t>0</w:t>
            </w:r>
          </w:p>
        </w:tc>
        <w:tc>
          <w:tcPr>
            <w:tcW w:w="1267" w:type="dxa"/>
            <w:shd w:val="clear" w:color="auto" w:fill="BFBFBF" w:themeFill="background1" w:themeFillShade="BF"/>
            <w:noWrap/>
            <w:vAlign w:val="center"/>
          </w:tcPr>
          <w:p w:rsidR="007D489B" w:rsidRPr="007D489B" w:rsidRDefault="007D489B" w:rsidP="007D489B">
            <w:pPr>
              <w:jc w:val="right"/>
              <w:rPr>
                <w:b/>
                <w:bCs/>
              </w:rPr>
            </w:pPr>
            <w:r w:rsidRPr="007D489B">
              <w:rPr>
                <w:b/>
                <w:bCs/>
              </w:rPr>
              <w:t>0</w:t>
            </w:r>
          </w:p>
        </w:tc>
      </w:tr>
      <w:tr w:rsidR="007D489B" w:rsidRPr="007D489B" w:rsidTr="007D489B">
        <w:trPr>
          <w:trHeight w:val="70"/>
          <w:jc w:val="center"/>
        </w:trPr>
        <w:tc>
          <w:tcPr>
            <w:tcW w:w="4661" w:type="dxa"/>
            <w:shd w:val="clear" w:color="auto" w:fill="A6A6A6" w:themeFill="background1" w:themeFillShade="A6"/>
            <w:noWrap/>
            <w:vAlign w:val="center"/>
          </w:tcPr>
          <w:p w:rsidR="007D489B" w:rsidRPr="007D489B" w:rsidRDefault="007D489B" w:rsidP="007D489B">
            <w:pPr>
              <w:rPr>
                <w:b/>
                <w:bCs/>
              </w:rPr>
            </w:pPr>
            <w:r w:rsidRPr="007D489B">
              <w:rPr>
                <w:b/>
                <w:bCs/>
              </w:rPr>
              <w:t>Rozpočtovo nekrytý vplyv / úspora</w:t>
            </w:r>
          </w:p>
        </w:tc>
        <w:tc>
          <w:tcPr>
            <w:tcW w:w="1267" w:type="dxa"/>
            <w:shd w:val="clear" w:color="auto" w:fill="A6A6A6" w:themeFill="background1" w:themeFillShade="A6"/>
            <w:noWrap/>
            <w:vAlign w:val="center"/>
          </w:tcPr>
          <w:p w:rsidR="007D489B" w:rsidRPr="007D489B" w:rsidRDefault="007D489B" w:rsidP="007D489B">
            <w:pPr>
              <w:jc w:val="right"/>
              <w:rPr>
                <w:b/>
                <w:bCs/>
              </w:rPr>
            </w:pPr>
            <w:r w:rsidRPr="007D489B">
              <w:rPr>
                <w:b/>
                <w:bCs/>
                <w:highlight w:val="darkGray"/>
              </w:rPr>
              <w:t>1 070 000</w:t>
            </w:r>
          </w:p>
        </w:tc>
        <w:tc>
          <w:tcPr>
            <w:tcW w:w="1267" w:type="dxa"/>
            <w:shd w:val="clear" w:color="auto" w:fill="A6A6A6" w:themeFill="background1" w:themeFillShade="A6"/>
            <w:noWrap/>
            <w:vAlign w:val="center"/>
          </w:tcPr>
          <w:p w:rsidR="007D489B" w:rsidRPr="007D489B" w:rsidRDefault="007D489B" w:rsidP="007D489B">
            <w:pPr>
              <w:jc w:val="right"/>
              <w:rPr>
                <w:b/>
                <w:bCs/>
              </w:rPr>
            </w:pPr>
            <w:r w:rsidRPr="007D489B">
              <w:rPr>
                <w:b/>
                <w:bCs/>
              </w:rPr>
              <w:t>0</w:t>
            </w:r>
          </w:p>
        </w:tc>
        <w:tc>
          <w:tcPr>
            <w:tcW w:w="1267" w:type="dxa"/>
            <w:shd w:val="clear" w:color="auto" w:fill="A6A6A6" w:themeFill="background1" w:themeFillShade="A6"/>
            <w:noWrap/>
            <w:vAlign w:val="center"/>
          </w:tcPr>
          <w:p w:rsidR="007D489B" w:rsidRPr="007D489B" w:rsidRDefault="007D489B" w:rsidP="007D489B">
            <w:pPr>
              <w:jc w:val="right"/>
              <w:rPr>
                <w:b/>
                <w:bCs/>
              </w:rPr>
            </w:pPr>
            <w:r w:rsidRPr="007D489B">
              <w:rPr>
                <w:b/>
                <w:bCs/>
              </w:rPr>
              <w:t>0</w:t>
            </w:r>
          </w:p>
        </w:tc>
        <w:tc>
          <w:tcPr>
            <w:tcW w:w="1267" w:type="dxa"/>
            <w:shd w:val="clear" w:color="auto" w:fill="A6A6A6" w:themeFill="background1" w:themeFillShade="A6"/>
            <w:noWrap/>
            <w:vAlign w:val="center"/>
          </w:tcPr>
          <w:p w:rsidR="007D489B" w:rsidRPr="007D489B" w:rsidRDefault="007D489B" w:rsidP="007D489B">
            <w:pPr>
              <w:jc w:val="right"/>
              <w:rPr>
                <w:b/>
                <w:bCs/>
              </w:rPr>
            </w:pPr>
            <w:r w:rsidRPr="007D489B">
              <w:rPr>
                <w:b/>
                <w:bCs/>
              </w:rPr>
              <w:t>0</w:t>
            </w:r>
          </w:p>
        </w:tc>
      </w:tr>
      <w:bookmarkEnd w:id="1"/>
    </w:tbl>
    <w:p w:rsidR="007D489B" w:rsidRPr="007D489B" w:rsidRDefault="007D489B" w:rsidP="007D489B">
      <w:pPr>
        <w:rPr>
          <w:b/>
          <w:bCs/>
        </w:rPr>
      </w:pPr>
    </w:p>
    <w:p w:rsidR="007D489B" w:rsidRPr="007D489B" w:rsidRDefault="007D489B" w:rsidP="007D489B">
      <w:pPr>
        <w:spacing w:after="160" w:line="259" w:lineRule="auto"/>
        <w:rPr>
          <w:b/>
          <w:bCs/>
        </w:rPr>
      </w:pPr>
      <w:r w:rsidRPr="007D489B">
        <w:rPr>
          <w:b/>
          <w:bCs/>
        </w:rPr>
        <w:br w:type="page"/>
      </w:r>
    </w:p>
    <w:p w:rsidR="007D489B" w:rsidRPr="007D489B" w:rsidRDefault="007D489B" w:rsidP="007D489B">
      <w:pPr>
        <w:jc w:val="both"/>
        <w:rPr>
          <w:b/>
          <w:bCs/>
        </w:rPr>
      </w:pPr>
      <w:r w:rsidRPr="007D489B">
        <w:rPr>
          <w:b/>
          <w:bCs/>
        </w:rPr>
        <w:lastRenderedPageBreak/>
        <w:t>2.1.1. Financovanie návrhu - Návrh na riešenie úbytku príjmov alebo zvýšených výdavkov podľa § 33 ods. 1 zákona č. 523/2004 Z. z. o rozpočtových pravidlách verejnej správy:</w:t>
      </w:r>
    </w:p>
    <w:p w:rsidR="007D489B" w:rsidRPr="007D489B" w:rsidRDefault="007D489B" w:rsidP="007D489B">
      <w:pPr>
        <w:jc w:val="both"/>
        <w:rPr>
          <w:b/>
          <w:bCs/>
          <w:sz w:val="12"/>
        </w:rPr>
      </w:pPr>
    </w:p>
    <w:p w:rsidR="007D489B" w:rsidRPr="007D489B" w:rsidRDefault="007D489B" w:rsidP="007D489B">
      <w:pPr>
        <w:pBdr>
          <w:top w:val="single" w:sz="4" w:space="1" w:color="auto"/>
          <w:left w:val="single" w:sz="4" w:space="4" w:color="auto"/>
          <w:bottom w:val="single" w:sz="4" w:space="6" w:color="auto"/>
          <w:right w:val="single" w:sz="4" w:space="4" w:color="auto"/>
        </w:pBdr>
        <w:spacing w:before="120" w:after="120"/>
        <w:jc w:val="both"/>
        <w:rPr>
          <w:bCs/>
          <w:color w:val="000000" w:themeColor="text1"/>
          <w:lang w:eastAsia="en-US"/>
        </w:rPr>
      </w:pPr>
      <w:r w:rsidRPr="007D489B">
        <w:rPr>
          <w:bCs/>
          <w:lang w:eastAsia="en-US"/>
        </w:rPr>
        <w:t xml:space="preserve">Podľa § 37 zákona č. 180/2014 Z. z. o podmienkach výkonu volebného práva a o zmene a doplnení niektorých zákonov v znení neskorších predpisov </w:t>
      </w:r>
      <w:r w:rsidRPr="007D489B">
        <w:rPr>
          <w:color w:val="000000" w:themeColor="text1"/>
        </w:rPr>
        <w:t xml:space="preserve">(ďalej len “zákon </w:t>
      </w:r>
      <w:r w:rsidRPr="007D489B">
        <w:rPr>
          <w:color w:val="000000" w:themeColor="text1"/>
        </w:rPr>
        <w:br/>
        <w:t>č. 180/2014 Z. z.“)</w:t>
      </w:r>
      <w:r w:rsidRPr="007D489B">
        <w:rPr>
          <w:bCs/>
          <w:color w:val="000000" w:themeColor="text1"/>
          <w:lang w:eastAsia="en-US"/>
        </w:rPr>
        <w:t xml:space="preserve"> </w:t>
      </w:r>
      <w:r w:rsidRPr="007D489B">
        <w:rPr>
          <w:bCs/>
          <w:lang w:eastAsia="en-US"/>
        </w:rPr>
        <w:t xml:space="preserve">sa výdavky spojené s voľbami uhrádzajú zo štátneho rozpočtu. </w:t>
      </w:r>
    </w:p>
    <w:p w:rsidR="007D489B" w:rsidRPr="007D489B" w:rsidRDefault="007D489B" w:rsidP="007D489B">
      <w:pPr>
        <w:pBdr>
          <w:top w:val="single" w:sz="4" w:space="1" w:color="auto"/>
          <w:left w:val="single" w:sz="4" w:space="4" w:color="auto"/>
          <w:bottom w:val="single" w:sz="4" w:space="6" w:color="auto"/>
          <w:right w:val="single" w:sz="4" w:space="4" w:color="auto"/>
        </w:pBdr>
        <w:spacing w:before="120" w:after="120" w:line="259" w:lineRule="auto"/>
        <w:jc w:val="both"/>
        <w:rPr>
          <w:bCs/>
          <w:color w:val="FF0000"/>
          <w:lang w:eastAsia="en-US"/>
        </w:rPr>
      </w:pPr>
      <w:r w:rsidRPr="007D489B">
        <w:rPr>
          <w:rFonts w:eastAsiaTheme="minorHAnsi"/>
          <w:bCs/>
          <w:lang w:eastAsia="en-US"/>
        </w:rPr>
        <w:t xml:space="preserve">Výdavky spojené s činnosťou špeciálnej volebnej komisie (ďalej len „špeciálna komisia“) za účelom zabezpečenia špeciálneho spôsobu hlasovania oprávneným voličom vo voľbách do orgánov samosprávy obcí a vo voľbách do orgánov samosprávnych krajov, ktoré sa konajú v roku 2022 v rovnaký deň a v rovnakom čase (ďalej len „spojené voľby“) tak patria k výdavkom hradeným z prostriedkov štátneho rozpočtu. Finančné prostriedky na zabezpečenie špeciálneho spôsobu hlasovania nie sú zohľadnené v rozpočte kapitoly Ministerstva vnútra Slovenskej republiky (ďalej len „ministerstva vnútra“) rozpočtovaných na zabezpečenie spojených volieb v roku 2022. </w:t>
      </w:r>
      <w:r w:rsidRPr="007D489B">
        <w:rPr>
          <w:bCs/>
          <w:color w:val="000000" w:themeColor="text1"/>
          <w:lang w:eastAsia="en-US"/>
        </w:rPr>
        <w:t xml:space="preserve">O uvedený objem výdavkov, ktorý nie je zohľadnený v rozpočte na rok 2022, požaduje ministerstvo vnútra zvýšiť limit výdavkov kapitoly ministerstva vnútra, ako aj limit záväzného ukazovateľa štátneho rozpočtu na úhradu nákladov preneseného výkonu štátnej správy na úseku volieb v rámci kategórie 640 – bežné transfery, </w:t>
      </w:r>
      <w:r w:rsidRPr="007D489B">
        <w:rPr>
          <w:bCs/>
          <w:lang w:eastAsia="en-US"/>
        </w:rPr>
        <w:t>a to z dôvodu, že finančné vplyvy vyplývajúce z návrhu zákona  nie je možné zabezpečiť v rámci vlastných limitov výdavkov kapitoly ministerstva vnútra na rok 2022. Keďže ministerstvo vnútra nedisponuje voľnými finančnými prostriedkami na pokrytie výdavkov spojených so špeciálnym spôsobom hlasovania a s činnosťou špeciálnej volebnej komisie, rozpočtovo nekrytý objem výdavkov aj naďalej požaduje predkladateľ zabezpečiť zvýšením limitu výdavkov kapitoly ministerstva vnútra, ako aj limitu záväzného ukazovateľa štátneho rozpočtu na úhradu nákladov preneseného výkonu štátnej spravy na úseku volieb v rámci kategórie 640 – bežné transfery.</w:t>
      </w:r>
      <w:r w:rsidRPr="007D489B">
        <w:rPr>
          <w:bCs/>
          <w:color w:val="FF0000"/>
          <w:lang w:eastAsia="en-US"/>
        </w:rPr>
        <w:t xml:space="preserve"> </w:t>
      </w:r>
    </w:p>
    <w:p w:rsidR="007D489B" w:rsidRPr="007D489B" w:rsidRDefault="007D489B" w:rsidP="007D489B">
      <w:pPr>
        <w:rPr>
          <w:b/>
          <w:bCs/>
        </w:rPr>
      </w:pPr>
      <w:r w:rsidRPr="007D489B">
        <w:rPr>
          <w:b/>
          <w:bCs/>
        </w:rPr>
        <w:t>2.2. Popis a charakteristika návrhu</w:t>
      </w:r>
    </w:p>
    <w:p w:rsidR="007D489B" w:rsidRPr="007D489B" w:rsidRDefault="007D489B" w:rsidP="007D489B"/>
    <w:p w:rsidR="007D489B" w:rsidRPr="007D489B" w:rsidRDefault="007D489B" w:rsidP="007D489B">
      <w:pPr>
        <w:jc w:val="both"/>
        <w:rPr>
          <w:b/>
          <w:bCs/>
        </w:rPr>
      </w:pPr>
      <w:r w:rsidRPr="007D489B">
        <w:rPr>
          <w:b/>
          <w:bCs/>
        </w:rPr>
        <w:t>2.2.1. Popis návrhu:</w:t>
      </w:r>
    </w:p>
    <w:p w:rsidR="007D489B" w:rsidRPr="007D489B" w:rsidRDefault="007D489B" w:rsidP="007D489B"/>
    <w:p w:rsidR="007D489B" w:rsidRPr="007D489B" w:rsidRDefault="007D489B" w:rsidP="007D489B">
      <w:pPr>
        <w:jc w:val="both"/>
      </w:pPr>
      <w:r w:rsidRPr="007D489B">
        <w:t>Návrhom zákona sa pre spojené voľby zabezpečuje špeciálny spôsob hlasovania do špeciálnej prenosnej volebnej schránky v určenom územnom obvode podľa prílohy zákona oprávnenými voličmi, ktorí požiadali o špeciálny spôsob hlasovania, a ktorí majú ku dňu vykonania spojených volieb nariadenú karanténu alebo izoláciu z dôvodu ochrany verejného zdravia pred ochorením COVID-19 vrátane osôb žijúcich s nimi v spoločnej domácnosti. Vzhľadom na to, že vývoj epidemiologickej situácie nemožno vopred predpokladať, postup podľa tohto zákona sa uplatní len v prípade, ak k 30. septembru 2022 budú na základe rozhodnutia Úradu verejného zdravotníctva Slovenskej republiky osoby pozitívne na ochorenie COVID-19 a osoby, ktoré s nimi prišli do úzkeho kontaktu, podliehať izolácii alebo karanténe.</w:t>
      </w:r>
    </w:p>
    <w:p w:rsidR="007D489B" w:rsidRPr="007D489B" w:rsidRDefault="007D489B" w:rsidP="007D489B"/>
    <w:p w:rsidR="007D489B" w:rsidRPr="007D489B" w:rsidRDefault="007D489B" w:rsidP="007D489B">
      <w:pPr>
        <w:rPr>
          <w:b/>
          <w:bCs/>
        </w:rPr>
      </w:pPr>
      <w:r w:rsidRPr="007D489B">
        <w:rPr>
          <w:b/>
          <w:bCs/>
        </w:rPr>
        <w:t>2.2.2. Charakteristika návrhu:</w:t>
      </w:r>
    </w:p>
    <w:p w:rsidR="007D489B" w:rsidRPr="007D489B" w:rsidRDefault="007D489B" w:rsidP="007D489B"/>
    <w:p w:rsidR="007D489B" w:rsidRPr="007D489B" w:rsidRDefault="007D489B" w:rsidP="007D489B">
      <w:r w:rsidRPr="007D489B">
        <w:rPr>
          <w:b/>
          <w:bdr w:val="single" w:sz="4" w:space="0" w:color="auto"/>
        </w:rPr>
        <w:t xml:space="preserve">     </w:t>
      </w:r>
      <w:r w:rsidRPr="007D489B">
        <w:rPr>
          <w:b/>
        </w:rPr>
        <w:t xml:space="preserve">  </w:t>
      </w:r>
      <w:r w:rsidRPr="007D489B">
        <w:t>zmena sadzby</w:t>
      </w:r>
    </w:p>
    <w:p w:rsidR="007D489B" w:rsidRPr="007D489B" w:rsidRDefault="007D489B" w:rsidP="007D489B">
      <w:r w:rsidRPr="007D489B">
        <w:rPr>
          <w:bdr w:val="single" w:sz="4" w:space="0" w:color="auto"/>
        </w:rPr>
        <w:t xml:space="preserve">     </w:t>
      </w:r>
      <w:r w:rsidRPr="007D489B">
        <w:t xml:space="preserve">  zmena v nároku</w:t>
      </w:r>
    </w:p>
    <w:p w:rsidR="007D489B" w:rsidRPr="007D489B" w:rsidRDefault="007D489B" w:rsidP="007D489B">
      <w:r w:rsidRPr="007D489B">
        <w:rPr>
          <w:bdr w:val="single" w:sz="4" w:space="0" w:color="auto"/>
        </w:rPr>
        <w:t xml:space="preserve">x   </w:t>
      </w:r>
      <w:r w:rsidRPr="007D489B">
        <w:t xml:space="preserve">  nová služba alebo nariadenie (alebo ich zrušenie)</w:t>
      </w:r>
    </w:p>
    <w:p w:rsidR="007D489B" w:rsidRPr="007D489B" w:rsidRDefault="007D489B" w:rsidP="007D489B">
      <w:r w:rsidRPr="007D489B">
        <w:rPr>
          <w:bdr w:val="single" w:sz="4" w:space="0" w:color="auto"/>
        </w:rPr>
        <w:t xml:space="preserve">     </w:t>
      </w:r>
      <w:r w:rsidRPr="007D489B">
        <w:t xml:space="preserve">  kombinovaný návrh</w:t>
      </w:r>
    </w:p>
    <w:p w:rsidR="007D489B" w:rsidRPr="007D489B" w:rsidRDefault="007D489B" w:rsidP="007D489B">
      <w:r w:rsidRPr="007D489B">
        <w:rPr>
          <w:bdr w:val="single" w:sz="4" w:space="0" w:color="auto"/>
        </w:rPr>
        <w:t xml:space="preserve">     </w:t>
      </w:r>
      <w:r w:rsidRPr="007D489B">
        <w:t xml:space="preserve">  iné </w:t>
      </w:r>
    </w:p>
    <w:p w:rsidR="007D489B" w:rsidRPr="007D489B" w:rsidRDefault="007D489B" w:rsidP="007D489B"/>
    <w:p w:rsidR="007D489B" w:rsidRPr="007D489B" w:rsidRDefault="007D489B" w:rsidP="007D489B"/>
    <w:p w:rsidR="007D489B" w:rsidRPr="007D489B" w:rsidRDefault="007D489B" w:rsidP="007D489B">
      <w:r w:rsidRPr="007D489B">
        <w:rPr>
          <w:b/>
          <w:bCs/>
        </w:rPr>
        <w:lastRenderedPageBreak/>
        <w:t>2.2.3. Predpoklady vývoja objemu aktivít:</w:t>
      </w:r>
    </w:p>
    <w:p w:rsidR="007D489B" w:rsidRPr="007D489B" w:rsidRDefault="007D489B" w:rsidP="007D489B"/>
    <w:p w:rsidR="007D489B" w:rsidRPr="007D489B" w:rsidRDefault="007D489B" w:rsidP="007D489B">
      <w:pPr>
        <w:jc w:val="both"/>
      </w:pPr>
      <w:r w:rsidRPr="007D489B">
        <w:t>Jasne popíšte, v prípade potreby použite nižšie uvedenú tabuľku. Uveďte aj odhady základov daní a/alebo poplatkov, ak sa ich táto zmena týka.</w:t>
      </w:r>
    </w:p>
    <w:p w:rsidR="007D489B" w:rsidRPr="007D489B" w:rsidRDefault="007D489B" w:rsidP="007D489B">
      <w:pPr>
        <w:jc w:val="both"/>
      </w:pPr>
    </w:p>
    <w:p w:rsidR="007D489B" w:rsidRPr="007D489B" w:rsidRDefault="007D489B" w:rsidP="007D489B">
      <w:pPr>
        <w:jc w:val="both"/>
      </w:pPr>
    </w:p>
    <w:p w:rsidR="007D489B" w:rsidRPr="007D489B" w:rsidRDefault="007D489B" w:rsidP="007D489B">
      <w:pPr>
        <w:jc w:val="right"/>
        <w:rPr>
          <w:sz w:val="20"/>
          <w:szCs w:val="20"/>
        </w:rPr>
      </w:pPr>
      <w:r w:rsidRPr="007D489B">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489B" w:rsidRPr="007D489B" w:rsidTr="007D489B">
        <w:trPr>
          <w:cantSplit/>
          <w:trHeight w:val="70"/>
        </w:trPr>
        <w:tc>
          <w:tcPr>
            <w:tcW w:w="4530" w:type="dxa"/>
            <w:vMerge w:val="restart"/>
            <w:shd w:val="clear" w:color="auto" w:fill="BFBFBF" w:themeFill="background1" w:themeFillShade="BF"/>
            <w:vAlign w:val="center"/>
          </w:tcPr>
          <w:p w:rsidR="007D489B" w:rsidRPr="007D489B" w:rsidRDefault="007D489B" w:rsidP="007D489B">
            <w:pPr>
              <w:autoSpaceDE w:val="0"/>
              <w:autoSpaceDN w:val="0"/>
              <w:adjustRightInd w:val="0"/>
              <w:jc w:val="center"/>
              <w:rPr>
                <w:b/>
                <w:bCs/>
              </w:rPr>
            </w:pPr>
            <w:r w:rsidRPr="007D489B">
              <w:rPr>
                <w:b/>
                <w:bCs/>
              </w:rPr>
              <w:t>Objem aktivít</w:t>
            </w:r>
          </w:p>
        </w:tc>
        <w:tc>
          <w:tcPr>
            <w:tcW w:w="1134" w:type="dxa"/>
            <w:gridSpan w:val="4"/>
            <w:shd w:val="clear" w:color="auto" w:fill="BFBFBF" w:themeFill="background1" w:themeFillShade="BF"/>
            <w:vAlign w:val="center"/>
          </w:tcPr>
          <w:p w:rsidR="007D489B" w:rsidRPr="007D489B" w:rsidRDefault="007D489B" w:rsidP="007D489B">
            <w:pPr>
              <w:autoSpaceDE w:val="0"/>
              <w:autoSpaceDN w:val="0"/>
              <w:adjustRightInd w:val="0"/>
              <w:jc w:val="center"/>
              <w:rPr>
                <w:b/>
                <w:bCs/>
              </w:rPr>
            </w:pPr>
            <w:r w:rsidRPr="007D489B">
              <w:rPr>
                <w:b/>
                <w:bCs/>
              </w:rPr>
              <w:t>Odhadované objemy</w:t>
            </w:r>
          </w:p>
        </w:tc>
      </w:tr>
      <w:tr w:rsidR="007D489B" w:rsidRPr="007D489B" w:rsidTr="007D489B">
        <w:trPr>
          <w:cantSplit/>
          <w:trHeight w:val="70"/>
        </w:trPr>
        <w:tc>
          <w:tcPr>
            <w:tcW w:w="4530" w:type="dxa"/>
            <w:vMerge/>
            <w:shd w:val="clear" w:color="auto" w:fill="BFBFBF" w:themeFill="background1" w:themeFillShade="BF"/>
          </w:tcPr>
          <w:p w:rsidR="007D489B" w:rsidRPr="007D489B" w:rsidRDefault="007D489B" w:rsidP="007D489B">
            <w:pPr>
              <w:autoSpaceDE w:val="0"/>
              <w:autoSpaceDN w:val="0"/>
              <w:adjustRightInd w:val="0"/>
              <w:jc w:val="center"/>
              <w:rPr>
                <w:b/>
                <w:bCs/>
              </w:rPr>
            </w:pPr>
          </w:p>
        </w:tc>
        <w:tc>
          <w:tcPr>
            <w:tcW w:w="1134" w:type="dxa"/>
            <w:shd w:val="clear" w:color="auto" w:fill="BFBFBF" w:themeFill="background1" w:themeFillShade="BF"/>
            <w:vAlign w:val="center"/>
          </w:tcPr>
          <w:p w:rsidR="007D489B" w:rsidRPr="007D489B" w:rsidRDefault="007D489B" w:rsidP="007D489B">
            <w:pPr>
              <w:autoSpaceDE w:val="0"/>
              <w:autoSpaceDN w:val="0"/>
              <w:adjustRightInd w:val="0"/>
              <w:jc w:val="center"/>
              <w:rPr>
                <w:b/>
                <w:bCs/>
              </w:rPr>
            </w:pPr>
            <w:r w:rsidRPr="007D489B">
              <w:rPr>
                <w:b/>
                <w:bCs/>
              </w:rPr>
              <w:t>2022</w:t>
            </w:r>
          </w:p>
        </w:tc>
        <w:tc>
          <w:tcPr>
            <w:tcW w:w="1134" w:type="dxa"/>
            <w:shd w:val="clear" w:color="auto" w:fill="BFBFBF" w:themeFill="background1" w:themeFillShade="BF"/>
            <w:vAlign w:val="center"/>
          </w:tcPr>
          <w:p w:rsidR="007D489B" w:rsidRPr="007D489B" w:rsidRDefault="007D489B" w:rsidP="007D489B">
            <w:pPr>
              <w:autoSpaceDE w:val="0"/>
              <w:autoSpaceDN w:val="0"/>
              <w:adjustRightInd w:val="0"/>
              <w:jc w:val="center"/>
              <w:rPr>
                <w:b/>
                <w:bCs/>
              </w:rPr>
            </w:pPr>
            <w:r w:rsidRPr="007D489B">
              <w:rPr>
                <w:b/>
                <w:bCs/>
              </w:rPr>
              <w:t>2023</w:t>
            </w:r>
          </w:p>
        </w:tc>
        <w:tc>
          <w:tcPr>
            <w:tcW w:w="1134" w:type="dxa"/>
            <w:shd w:val="clear" w:color="auto" w:fill="BFBFBF" w:themeFill="background1" w:themeFillShade="BF"/>
            <w:vAlign w:val="center"/>
          </w:tcPr>
          <w:p w:rsidR="007D489B" w:rsidRPr="007D489B" w:rsidRDefault="007D489B" w:rsidP="007D489B">
            <w:pPr>
              <w:autoSpaceDE w:val="0"/>
              <w:autoSpaceDN w:val="0"/>
              <w:adjustRightInd w:val="0"/>
              <w:jc w:val="center"/>
              <w:rPr>
                <w:b/>
                <w:bCs/>
              </w:rPr>
            </w:pPr>
            <w:r w:rsidRPr="007D489B">
              <w:rPr>
                <w:b/>
                <w:bCs/>
              </w:rPr>
              <w:t>2024</w:t>
            </w:r>
          </w:p>
        </w:tc>
        <w:tc>
          <w:tcPr>
            <w:tcW w:w="1134" w:type="dxa"/>
            <w:shd w:val="clear" w:color="auto" w:fill="BFBFBF" w:themeFill="background1" w:themeFillShade="BF"/>
            <w:vAlign w:val="center"/>
          </w:tcPr>
          <w:p w:rsidR="007D489B" w:rsidRPr="007D489B" w:rsidRDefault="007D489B" w:rsidP="007D489B">
            <w:pPr>
              <w:autoSpaceDE w:val="0"/>
              <w:autoSpaceDN w:val="0"/>
              <w:adjustRightInd w:val="0"/>
              <w:jc w:val="center"/>
              <w:rPr>
                <w:b/>
                <w:bCs/>
              </w:rPr>
            </w:pPr>
            <w:r w:rsidRPr="007D489B">
              <w:rPr>
                <w:b/>
                <w:bCs/>
              </w:rPr>
              <w:t>2025</w:t>
            </w:r>
          </w:p>
        </w:tc>
      </w:tr>
      <w:tr w:rsidR="007D489B" w:rsidRPr="007D489B" w:rsidTr="007D489B">
        <w:trPr>
          <w:trHeight w:val="70"/>
        </w:trPr>
        <w:tc>
          <w:tcPr>
            <w:tcW w:w="4530" w:type="dxa"/>
          </w:tcPr>
          <w:p w:rsidR="007D489B" w:rsidRPr="007D489B" w:rsidRDefault="007D489B" w:rsidP="007D489B">
            <w:pPr>
              <w:autoSpaceDE w:val="0"/>
              <w:autoSpaceDN w:val="0"/>
              <w:adjustRightInd w:val="0"/>
              <w:rPr>
                <w:color w:val="000000"/>
              </w:rPr>
            </w:pPr>
            <w:r w:rsidRPr="007D489B">
              <w:rPr>
                <w:color w:val="000000"/>
              </w:rPr>
              <w:t>Indikátor ABC</w:t>
            </w:r>
          </w:p>
        </w:tc>
        <w:tc>
          <w:tcPr>
            <w:tcW w:w="1134" w:type="dxa"/>
          </w:tcPr>
          <w:p w:rsidR="007D489B" w:rsidRPr="007D489B" w:rsidRDefault="007D489B" w:rsidP="007D489B">
            <w:pPr>
              <w:autoSpaceDE w:val="0"/>
              <w:autoSpaceDN w:val="0"/>
              <w:adjustRightInd w:val="0"/>
              <w:jc w:val="right"/>
              <w:rPr>
                <w:color w:val="000000"/>
              </w:rPr>
            </w:pPr>
          </w:p>
        </w:tc>
        <w:tc>
          <w:tcPr>
            <w:tcW w:w="1134" w:type="dxa"/>
          </w:tcPr>
          <w:p w:rsidR="007D489B" w:rsidRPr="007D489B" w:rsidRDefault="007D489B" w:rsidP="007D489B">
            <w:pPr>
              <w:autoSpaceDE w:val="0"/>
              <w:autoSpaceDN w:val="0"/>
              <w:adjustRightInd w:val="0"/>
              <w:jc w:val="right"/>
              <w:rPr>
                <w:color w:val="000000"/>
              </w:rPr>
            </w:pPr>
          </w:p>
        </w:tc>
        <w:tc>
          <w:tcPr>
            <w:tcW w:w="1134" w:type="dxa"/>
          </w:tcPr>
          <w:p w:rsidR="007D489B" w:rsidRPr="007D489B" w:rsidRDefault="007D489B" w:rsidP="007D489B">
            <w:pPr>
              <w:autoSpaceDE w:val="0"/>
              <w:autoSpaceDN w:val="0"/>
              <w:adjustRightInd w:val="0"/>
              <w:jc w:val="right"/>
              <w:rPr>
                <w:color w:val="000000"/>
              </w:rPr>
            </w:pPr>
          </w:p>
        </w:tc>
        <w:tc>
          <w:tcPr>
            <w:tcW w:w="1134" w:type="dxa"/>
          </w:tcPr>
          <w:p w:rsidR="007D489B" w:rsidRPr="007D489B" w:rsidRDefault="007D489B" w:rsidP="007D489B">
            <w:pPr>
              <w:autoSpaceDE w:val="0"/>
              <w:autoSpaceDN w:val="0"/>
              <w:adjustRightInd w:val="0"/>
              <w:jc w:val="right"/>
              <w:rPr>
                <w:color w:val="000000"/>
              </w:rPr>
            </w:pPr>
          </w:p>
        </w:tc>
      </w:tr>
      <w:tr w:rsidR="007D489B" w:rsidRPr="007D489B" w:rsidTr="007D489B">
        <w:trPr>
          <w:trHeight w:val="70"/>
        </w:trPr>
        <w:tc>
          <w:tcPr>
            <w:tcW w:w="4530" w:type="dxa"/>
          </w:tcPr>
          <w:p w:rsidR="007D489B" w:rsidRPr="007D489B" w:rsidRDefault="007D489B" w:rsidP="007D489B">
            <w:pPr>
              <w:autoSpaceDE w:val="0"/>
              <w:autoSpaceDN w:val="0"/>
              <w:adjustRightInd w:val="0"/>
              <w:rPr>
                <w:color w:val="000000"/>
              </w:rPr>
            </w:pPr>
            <w:r w:rsidRPr="007D489B">
              <w:rPr>
                <w:color w:val="000000"/>
              </w:rPr>
              <w:t>Indikátor KLM</w:t>
            </w:r>
          </w:p>
        </w:tc>
        <w:tc>
          <w:tcPr>
            <w:tcW w:w="1134" w:type="dxa"/>
          </w:tcPr>
          <w:p w:rsidR="007D489B" w:rsidRPr="007D489B" w:rsidRDefault="007D489B" w:rsidP="007D489B">
            <w:pPr>
              <w:autoSpaceDE w:val="0"/>
              <w:autoSpaceDN w:val="0"/>
              <w:adjustRightInd w:val="0"/>
              <w:jc w:val="right"/>
              <w:rPr>
                <w:color w:val="000000"/>
              </w:rPr>
            </w:pPr>
          </w:p>
        </w:tc>
        <w:tc>
          <w:tcPr>
            <w:tcW w:w="1134" w:type="dxa"/>
          </w:tcPr>
          <w:p w:rsidR="007D489B" w:rsidRPr="007D489B" w:rsidRDefault="007D489B" w:rsidP="007D489B">
            <w:pPr>
              <w:autoSpaceDE w:val="0"/>
              <w:autoSpaceDN w:val="0"/>
              <w:adjustRightInd w:val="0"/>
              <w:jc w:val="right"/>
              <w:rPr>
                <w:color w:val="000000"/>
              </w:rPr>
            </w:pPr>
          </w:p>
        </w:tc>
        <w:tc>
          <w:tcPr>
            <w:tcW w:w="1134" w:type="dxa"/>
          </w:tcPr>
          <w:p w:rsidR="007D489B" w:rsidRPr="007D489B" w:rsidRDefault="007D489B" w:rsidP="007D489B">
            <w:pPr>
              <w:autoSpaceDE w:val="0"/>
              <w:autoSpaceDN w:val="0"/>
              <w:adjustRightInd w:val="0"/>
              <w:jc w:val="right"/>
              <w:rPr>
                <w:color w:val="000000"/>
              </w:rPr>
            </w:pPr>
          </w:p>
        </w:tc>
        <w:tc>
          <w:tcPr>
            <w:tcW w:w="1134" w:type="dxa"/>
          </w:tcPr>
          <w:p w:rsidR="007D489B" w:rsidRPr="007D489B" w:rsidRDefault="007D489B" w:rsidP="007D489B">
            <w:pPr>
              <w:autoSpaceDE w:val="0"/>
              <w:autoSpaceDN w:val="0"/>
              <w:adjustRightInd w:val="0"/>
              <w:jc w:val="right"/>
              <w:rPr>
                <w:color w:val="000000"/>
              </w:rPr>
            </w:pPr>
          </w:p>
        </w:tc>
      </w:tr>
      <w:tr w:rsidR="007D489B" w:rsidRPr="007D489B" w:rsidTr="007D489B">
        <w:trPr>
          <w:trHeight w:val="70"/>
        </w:trPr>
        <w:tc>
          <w:tcPr>
            <w:tcW w:w="4530" w:type="dxa"/>
          </w:tcPr>
          <w:p w:rsidR="007D489B" w:rsidRPr="007D489B" w:rsidRDefault="007D489B" w:rsidP="007D489B">
            <w:pPr>
              <w:autoSpaceDE w:val="0"/>
              <w:autoSpaceDN w:val="0"/>
              <w:adjustRightInd w:val="0"/>
              <w:rPr>
                <w:color w:val="000000"/>
              </w:rPr>
            </w:pPr>
            <w:r w:rsidRPr="007D489B">
              <w:rPr>
                <w:color w:val="000000"/>
              </w:rPr>
              <w:t>Indikátor XYZ</w:t>
            </w:r>
          </w:p>
        </w:tc>
        <w:tc>
          <w:tcPr>
            <w:tcW w:w="1134" w:type="dxa"/>
          </w:tcPr>
          <w:p w:rsidR="007D489B" w:rsidRPr="007D489B" w:rsidRDefault="007D489B" w:rsidP="007D489B">
            <w:pPr>
              <w:autoSpaceDE w:val="0"/>
              <w:autoSpaceDN w:val="0"/>
              <w:adjustRightInd w:val="0"/>
              <w:jc w:val="right"/>
              <w:rPr>
                <w:color w:val="000000"/>
              </w:rPr>
            </w:pPr>
          </w:p>
        </w:tc>
        <w:tc>
          <w:tcPr>
            <w:tcW w:w="1134" w:type="dxa"/>
          </w:tcPr>
          <w:p w:rsidR="007D489B" w:rsidRPr="007D489B" w:rsidRDefault="007D489B" w:rsidP="007D489B">
            <w:pPr>
              <w:autoSpaceDE w:val="0"/>
              <w:autoSpaceDN w:val="0"/>
              <w:adjustRightInd w:val="0"/>
              <w:jc w:val="right"/>
              <w:rPr>
                <w:color w:val="000000"/>
              </w:rPr>
            </w:pPr>
          </w:p>
        </w:tc>
        <w:tc>
          <w:tcPr>
            <w:tcW w:w="1134" w:type="dxa"/>
          </w:tcPr>
          <w:p w:rsidR="007D489B" w:rsidRPr="007D489B" w:rsidRDefault="007D489B" w:rsidP="007D489B">
            <w:pPr>
              <w:autoSpaceDE w:val="0"/>
              <w:autoSpaceDN w:val="0"/>
              <w:adjustRightInd w:val="0"/>
              <w:jc w:val="right"/>
              <w:rPr>
                <w:color w:val="000000"/>
              </w:rPr>
            </w:pPr>
          </w:p>
        </w:tc>
        <w:tc>
          <w:tcPr>
            <w:tcW w:w="1134" w:type="dxa"/>
          </w:tcPr>
          <w:p w:rsidR="007D489B" w:rsidRPr="007D489B" w:rsidRDefault="007D489B" w:rsidP="007D489B">
            <w:pPr>
              <w:autoSpaceDE w:val="0"/>
              <w:autoSpaceDN w:val="0"/>
              <w:adjustRightInd w:val="0"/>
              <w:jc w:val="right"/>
              <w:rPr>
                <w:color w:val="000000"/>
              </w:rPr>
            </w:pPr>
          </w:p>
        </w:tc>
      </w:tr>
    </w:tbl>
    <w:p w:rsidR="007D489B" w:rsidRPr="007D489B" w:rsidRDefault="007D489B" w:rsidP="007D489B"/>
    <w:p w:rsidR="007D489B" w:rsidRPr="007D489B" w:rsidRDefault="007D489B" w:rsidP="007D489B"/>
    <w:p w:rsidR="007D489B" w:rsidRPr="007D489B" w:rsidRDefault="007D489B" w:rsidP="007D489B">
      <w:pPr>
        <w:rPr>
          <w:b/>
          <w:bCs/>
        </w:rPr>
      </w:pPr>
      <w:r w:rsidRPr="007D489B">
        <w:rPr>
          <w:b/>
          <w:bCs/>
        </w:rPr>
        <w:t>2.2.4. Výpočty vplyvov na verejné financie</w:t>
      </w:r>
    </w:p>
    <w:p w:rsidR="007D489B" w:rsidRPr="007D489B" w:rsidRDefault="007D489B" w:rsidP="007D489B"/>
    <w:p w:rsidR="007D489B" w:rsidRPr="007D489B" w:rsidRDefault="007D489B" w:rsidP="007D489B">
      <w:pPr>
        <w:jc w:val="both"/>
        <w:rPr>
          <w:bCs/>
          <w:color w:val="000000" w:themeColor="text1"/>
          <w:lang w:eastAsia="en-US"/>
        </w:rPr>
      </w:pPr>
      <w:r w:rsidRPr="007D489B">
        <w:rPr>
          <w:rFonts w:eastAsiaTheme="minorHAnsi"/>
          <w:bCs/>
          <w:color w:val="000000" w:themeColor="text1"/>
          <w:lang w:eastAsia="en-US"/>
        </w:rPr>
        <w:t xml:space="preserve">Finančné prostriedky spojené so špeciálnym spôsobom hlasovania a s činnosťou špeciálnej komisie nie sú zohľadnené v rozpočte kapitoly ministerstva vnútra na rok 2022. </w:t>
      </w:r>
      <w:r w:rsidRPr="007D489B">
        <w:rPr>
          <w:bCs/>
          <w:color w:val="000000" w:themeColor="text1"/>
          <w:lang w:eastAsia="en-US"/>
        </w:rPr>
        <w:t xml:space="preserve">Rozpočtovo nekrytý objem výdavkov požaduje ministerstvo vnútra pokryť navýšením limitov výdavkov kapitoly ministerstva vnútra, ako aj navýšením limitu záväzného ukazovateľa štátneho rozpočtu na úhradu nákladov preneseného výkonu štátnej správy na úseku volieb v rámci kategórie 640 – bežné transfery z Ministerstva financií Slovenskej republiky. </w:t>
      </w:r>
    </w:p>
    <w:p w:rsidR="007D489B" w:rsidRPr="007D489B" w:rsidRDefault="007D489B" w:rsidP="007D489B">
      <w:pPr>
        <w:jc w:val="both"/>
        <w:rPr>
          <w:i/>
          <w:color w:val="FF0000"/>
        </w:rPr>
      </w:pPr>
      <w:r w:rsidRPr="007D489B">
        <w:rPr>
          <w:rFonts w:eastAsiaTheme="minorHAnsi"/>
          <w:color w:val="000000" w:themeColor="text1"/>
          <w:lang w:eastAsia="en-US"/>
        </w:rPr>
        <w:t>Spojené</w:t>
      </w:r>
      <w:r w:rsidRPr="007D489B">
        <w:rPr>
          <w:rFonts w:eastAsiaTheme="minorHAnsi"/>
          <w:lang w:eastAsia="en-US"/>
        </w:rPr>
        <w:t xml:space="preserve"> voľby </w:t>
      </w:r>
      <w:r w:rsidRPr="007D489B">
        <w:rPr>
          <w:rFonts w:eastAsiaTheme="minorHAnsi"/>
          <w:color w:val="000000" w:themeColor="text1"/>
          <w:lang w:eastAsia="en-US"/>
        </w:rPr>
        <w:t xml:space="preserve">sa konajú v roku 2022, preto sa v ďalších rokoch finančné dopady neuvádzajú. </w:t>
      </w:r>
    </w:p>
    <w:p w:rsidR="007D489B" w:rsidRPr="007D489B" w:rsidRDefault="007D489B" w:rsidP="007D489B">
      <w:pPr>
        <w:spacing w:after="160"/>
        <w:jc w:val="both"/>
        <w:rPr>
          <w:rFonts w:eastAsiaTheme="minorHAnsi"/>
          <w:color w:val="000000"/>
          <w:shd w:val="clear" w:color="auto" w:fill="FFFFFF"/>
          <w:lang w:eastAsia="en-US"/>
        </w:rPr>
      </w:pPr>
      <w:r w:rsidRPr="007D489B">
        <w:rPr>
          <w:color w:val="000000" w:themeColor="text1"/>
        </w:rPr>
        <w:t>Podľa § 218 ods. 2 zákona č. 180/2014 Z. z. obce</w:t>
      </w:r>
      <w:r w:rsidRPr="007D489B">
        <w:rPr>
          <w:color w:val="000000" w:themeColor="text1"/>
          <w:lang w:eastAsia="en-US"/>
        </w:rPr>
        <w:t xml:space="preserve"> zabezpečujú úlohy ako prenesený výkon štátnej správ</w:t>
      </w:r>
      <w:r w:rsidRPr="007D489B">
        <w:rPr>
          <w:lang w:eastAsia="en-US"/>
        </w:rPr>
        <w:t>y</w:t>
      </w:r>
      <w:r w:rsidRPr="007D489B">
        <w:rPr>
          <w:color w:val="000000" w:themeColor="text1"/>
          <w:lang w:eastAsia="en-US"/>
        </w:rPr>
        <w:t>. Na</w:t>
      </w:r>
      <w:r w:rsidRPr="007D489B">
        <w:rPr>
          <w:color w:val="000000" w:themeColor="text1"/>
        </w:rPr>
        <w:t xml:space="preserve"> úhradu výdavkov spojených s činnosťou </w:t>
      </w:r>
      <w:r w:rsidRPr="007D489B">
        <w:t>špeciálnej</w:t>
      </w:r>
      <w:r w:rsidRPr="007D489B">
        <w:rPr>
          <w:color w:val="000000" w:themeColor="text1"/>
        </w:rPr>
        <w:t xml:space="preserve"> </w:t>
      </w:r>
      <w:r w:rsidRPr="007D489B">
        <w:t>komisie</w:t>
      </w:r>
      <w:r w:rsidRPr="007D489B">
        <w:rPr>
          <w:color w:val="000000" w:themeColor="text1"/>
        </w:rPr>
        <w:t xml:space="preserve"> sa </w:t>
      </w:r>
      <w:r w:rsidRPr="007D489B">
        <w:t xml:space="preserve">obci, ktorá je sídlom špeciálnej komisie (ďalej len „určená obec“) </w:t>
      </w:r>
      <w:r w:rsidRPr="007D489B">
        <w:rPr>
          <w:color w:val="000000" w:themeColor="text1"/>
        </w:rPr>
        <w:t xml:space="preserve">poskytne dotácia z kapitoly ministerstva vnútra. </w:t>
      </w:r>
      <w:r w:rsidRPr="007D489B">
        <w:rPr>
          <w:rFonts w:eastAsiaTheme="minorHAnsi"/>
          <w:color w:val="000000"/>
          <w:shd w:val="clear" w:color="auto" w:fill="FFFFFF"/>
          <w:lang w:eastAsia="en-US"/>
        </w:rPr>
        <w:t xml:space="preserve">Výdavky spojené so špeciálnym spôsobom hlasovania a s činnosťou špeciálnej komisie, vrátane odmeny člena špeciálnej komisie </w:t>
      </w:r>
      <w:r w:rsidRPr="007D489B">
        <w:rPr>
          <w:rFonts w:eastAsiaTheme="minorHAnsi"/>
          <w:shd w:val="clear" w:color="auto" w:fill="FFFFFF"/>
          <w:lang w:eastAsia="en-US"/>
        </w:rPr>
        <w:t xml:space="preserve">a odmeny </w:t>
      </w:r>
      <w:r w:rsidRPr="007D489B">
        <w:rPr>
          <w:rFonts w:eastAsiaTheme="minorHAnsi"/>
          <w:color w:val="000000"/>
          <w:shd w:val="clear" w:color="auto" w:fill="FFFFFF"/>
          <w:lang w:eastAsia="en-US"/>
        </w:rPr>
        <w:t>vodiča zabezpečujúceho prepravu členov špeciálnej komisie</w:t>
      </w:r>
      <w:r w:rsidRPr="007D489B">
        <w:rPr>
          <w:rFonts w:eastAsiaTheme="minorHAnsi"/>
          <w:color w:val="FF0000"/>
          <w:shd w:val="clear" w:color="auto" w:fill="FFFFFF"/>
          <w:lang w:eastAsia="en-US"/>
        </w:rPr>
        <w:t xml:space="preserve"> </w:t>
      </w:r>
      <w:r w:rsidRPr="007D489B">
        <w:rPr>
          <w:rFonts w:eastAsiaTheme="minorHAnsi"/>
          <w:color w:val="000000"/>
          <w:shd w:val="clear" w:color="auto" w:fill="FFFFFF"/>
          <w:lang w:eastAsia="en-US"/>
        </w:rPr>
        <w:t xml:space="preserve">uplatnené podľa Vyhlášky Ministerstva vnútra Slovenskej republiky č. 308/2015 Z. z. o výdavkoch spojených s voľbami v znení neskorších predpisov nebudú znášať určené obce </w:t>
      </w:r>
      <w:r w:rsidRPr="007D489B">
        <w:rPr>
          <w:rFonts w:eastAsiaTheme="minorHAnsi"/>
          <w:shd w:val="clear" w:color="auto" w:fill="FFFFFF"/>
          <w:lang w:eastAsia="en-US"/>
        </w:rPr>
        <w:t>z vlastných rozpočtových zdrojov</w:t>
      </w:r>
      <w:r w:rsidRPr="007D489B">
        <w:rPr>
          <w:rFonts w:eastAsiaTheme="minorHAnsi"/>
          <w:color w:val="000000"/>
          <w:shd w:val="clear" w:color="auto" w:fill="FFFFFF"/>
          <w:lang w:eastAsia="en-US"/>
        </w:rPr>
        <w:t>, ale tieto výdavky budú na základe predloženého vyúčtovania prostriedkov štátneho rozpočtu na úhradu výdavkov spojených s konaním spojených volieb hradené zo štátneho rozpočtu.</w:t>
      </w:r>
    </w:p>
    <w:p w:rsidR="007D489B" w:rsidRPr="007D489B" w:rsidRDefault="007D489B" w:rsidP="007D489B">
      <w:pPr>
        <w:jc w:val="both"/>
        <w:rPr>
          <w:color w:val="000000" w:themeColor="text1"/>
        </w:rPr>
      </w:pPr>
    </w:p>
    <w:p w:rsidR="007D489B" w:rsidRPr="007D489B" w:rsidRDefault="007D489B" w:rsidP="007D489B">
      <w:pPr>
        <w:spacing w:before="120"/>
        <w:jc w:val="both"/>
        <w:rPr>
          <w:lang w:eastAsia="en-US"/>
        </w:rPr>
      </w:pPr>
      <w:r w:rsidRPr="007D489B">
        <w:rPr>
          <w:color w:val="000000" w:themeColor="text1"/>
          <w:lang w:eastAsia="en-US"/>
        </w:rPr>
        <w:t>Vplyv na rozpočet z titulu zabezpečenia špeciálneho spôsobu hlasovania oprávneným voličom a v súvislosti so zabezpečením činnosti špeciálnej komisie nie je možné v súčasnosti presne kvantifikovať, nakoľko výška vynaložených výdavkov závisí od stupňa vývoja pandémie v čase konania spojených volieb. Kvantifikácia dopadu na štátny rozpočet vychádza z odhadovaného počtu členov špeciálnej komisie utvorenej delegovaním politických strán, hnutí alebo koalíci</w:t>
      </w:r>
      <w:r w:rsidRPr="007D489B">
        <w:rPr>
          <w:lang w:eastAsia="en-US"/>
        </w:rPr>
        <w:t>í</w:t>
      </w:r>
      <w:r w:rsidRPr="007D489B">
        <w:rPr>
          <w:color w:val="000000" w:themeColor="text1"/>
          <w:lang w:eastAsia="en-US"/>
        </w:rPr>
        <w:t xml:space="preserve">, ktoré predložili kandidátnu listinu pre voľby do obecného zastupiteľstva v určenej obci, </w:t>
      </w:r>
      <w:r w:rsidRPr="007D489B">
        <w:rPr>
          <w:lang w:eastAsia="en-US"/>
        </w:rPr>
        <w:t xml:space="preserve">v určenom územnom obvode podľa prílohy zákona (počet delegovaných členov špeciálnej komisie nie je zákon limitovaný, zákon ustanovuje minimálnu hranicu osem členov špeciálnej komisie) s odmenou za členstvo vo výške 30 eur v predpokladanej sume </w:t>
      </w:r>
      <w:r w:rsidRPr="007D489B">
        <w:rPr>
          <w:lang w:eastAsia="en-US"/>
        </w:rPr>
        <w:br/>
        <w:t xml:space="preserve">113 400 eur, z odhadovaného počtu členov špeciálnej komisie vyslaných so špeciálnou prenosnou volebnou schránkou k oprávnenému voličovi (vytvorenie jednej alebo až štyroch dvojíc členov špeciálnej komisie vyslaných so špeciálnou prenosnou volebnou schránkou k oprávnenému voličovi závisí od stupňa pandémie v čase konania spojených volieb a s tým súvisiacim možným zvýšením počtu oprávnených voličov, ktorí požiadajú o špeciálny spôsob hlasovania v územnom obvode špeciálnej volebnej komisie) s odmenou v úhrnnej výške 200 eur v predpokladanej v sume  428 400 eur a z odhadu počtu vodičov zabezpečujúcich prepravu </w:t>
      </w:r>
      <w:r w:rsidRPr="007D489B">
        <w:rPr>
          <w:lang w:eastAsia="en-US"/>
        </w:rPr>
        <w:lastRenderedPageBreak/>
        <w:t xml:space="preserve">členov špeciálnej komisie vyslaných so špeciálnou prenosnou volebnou schránkou, s odmenou vo výške 170 eur v predpokladanej sume 214 200 eur. Potreba finančných prostriedkov ďalej zohľadňuje odhad odmeny zapisovateľa miestnej volebnej komisie a v meste zapisovateľa mestskej volebnej komisie závislej od výšky priemernej mesačnej mzdy v národnom hospodárstve za predposledný kalendárny štvrťrok pred kalendárnym štvrťrokom, v ktorom sa konajú spojené voľby v predpokladanej sume 45 000 eur a odhad ďalších výdavkov spojených s výkonom funkcie člena špeciálnej komisie (cestovné náhrady, stravovanie, občerstvenie, náhrada mzdy a platu a pod.) v predpokladanej sume 56 700 eur a so zabezpečením činnosti špeciálnej komisie (materiálne prostriedky, prepravné, hovorné, odmeny osobám na organizačnú a technickú prípravu špeciálneho spôsobu hlasovania a jeho vykonanie a pod.) v predpokladanej sume 212 300 eur.  </w:t>
      </w:r>
      <w:r w:rsidRPr="007D489B">
        <w:rPr>
          <w:rFonts w:eastAsiaTheme="minorHAnsi"/>
          <w:bCs/>
          <w:lang w:eastAsia="en-US"/>
        </w:rPr>
        <w:t>Výdavky spojené so špeciálnym spôsobom hlasovania a s činnosťou 315 špeciálnych komisií</w:t>
      </w:r>
      <w:r w:rsidRPr="007D489B">
        <w:t xml:space="preserve"> predkladateľ odhaduje v celkovej sume (kategória 640) </w:t>
      </w:r>
      <w:r w:rsidRPr="007D489B">
        <w:br/>
        <w:t>1 070 000 eur</w:t>
      </w:r>
      <w:r w:rsidRPr="007D489B">
        <w:rPr>
          <w:lang w:eastAsia="en-US"/>
        </w:rPr>
        <w:t xml:space="preserve">. </w:t>
      </w:r>
    </w:p>
    <w:p w:rsidR="007D489B" w:rsidRPr="007D489B" w:rsidRDefault="007D489B" w:rsidP="007D489B">
      <w:pPr>
        <w:jc w:val="both"/>
        <w:sectPr w:rsidR="007D489B" w:rsidRPr="007D489B" w:rsidSect="007D48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rsidR="007D489B" w:rsidRPr="007D489B" w:rsidRDefault="007D489B" w:rsidP="007D489B">
      <w:pPr>
        <w:jc w:val="right"/>
        <w:rPr>
          <w:bCs/>
        </w:rPr>
      </w:pPr>
      <w:r w:rsidRPr="007D489B">
        <w:rPr>
          <w:bCs/>
        </w:rPr>
        <w:lastRenderedPageBreak/>
        <w:t xml:space="preserve">Tabuľka č. 3 </w:t>
      </w:r>
    </w:p>
    <w:p w:rsidR="007D489B" w:rsidRPr="007D489B" w:rsidRDefault="007D489B" w:rsidP="007D489B">
      <w:pPr>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489B" w:rsidRPr="007D489B" w:rsidTr="007D489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89B" w:rsidRPr="007D489B" w:rsidRDefault="007D489B" w:rsidP="007D489B">
            <w:pPr>
              <w:jc w:val="center"/>
              <w:rPr>
                <w:b/>
                <w:bCs/>
              </w:rPr>
            </w:pPr>
            <w:r w:rsidRPr="007D489B">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489B" w:rsidRPr="007D489B" w:rsidRDefault="007D489B" w:rsidP="007D489B">
            <w:pPr>
              <w:jc w:val="center"/>
              <w:rPr>
                <w:b/>
                <w:bCs/>
              </w:rPr>
            </w:pPr>
            <w:r w:rsidRPr="007D489B">
              <w:rPr>
                <w:b/>
                <w:bCs/>
              </w:rPr>
              <w:t>poznámka</w:t>
            </w:r>
          </w:p>
        </w:tc>
      </w:tr>
      <w:tr w:rsidR="007D489B" w:rsidRPr="007D489B" w:rsidTr="007D489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489B" w:rsidRPr="007D489B" w:rsidRDefault="007D489B" w:rsidP="007D489B">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7D489B" w:rsidRPr="007D489B" w:rsidRDefault="007D489B" w:rsidP="007D489B">
            <w:pPr>
              <w:rPr>
                <w:b/>
                <w:bCs/>
                <w:color w:val="FFFFFF"/>
              </w:rPr>
            </w:pPr>
          </w:p>
        </w:tc>
      </w:tr>
      <w:tr w:rsidR="007D489B" w:rsidRPr="007D489B" w:rsidTr="007D489B">
        <w:trPr>
          <w:trHeight w:val="255"/>
        </w:trPr>
        <w:tc>
          <w:tcPr>
            <w:tcW w:w="4950" w:type="dxa"/>
            <w:tcBorders>
              <w:top w:val="nil"/>
              <w:left w:val="single" w:sz="4" w:space="0" w:color="auto"/>
              <w:bottom w:val="single" w:sz="4" w:space="0" w:color="auto"/>
              <w:right w:val="single" w:sz="4" w:space="0" w:color="auto"/>
            </w:tcBorders>
          </w:tcPr>
          <w:p w:rsidR="007D489B" w:rsidRPr="007D489B" w:rsidRDefault="007D489B" w:rsidP="007D489B">
            <w:pPr>
              <w:rPr>
                <w:b/>
                <w:bCs/>
                <w:vertAlign w:val="superscript"/>
              </w:rPr>
            </w:pPr>
            <w:r w:rsidRPr="007D489B">
              <w:rPr>
                <w:b/>
                <w:bCs/>
              </w:rPr>
              <w:t>Daňové príjmy (100)</w:t>
            </w:r>
            <w:r w:rsidRPr="007D489B">
              <w:rPr>
                <w:b/>
                <w:bCs/>
                <w:vertAlign w:val="superscript"/>
              </w:rPr>
              <w:t>1</w:t>
            </w: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300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4950" w:type="dxa"/>
            <w:tcBorders>
              <w:top w:val="nil"/>
              <w:left w:val="single" w:sz="4" w:space="0" w:color="auto"/>
              <w:bottom w:val="single" w:sz="4" w:space="0" w:color="auto"/>
              <w:right w:val="single" w:sz="4" w:space="0" w:color="auto"/>
            </w:tcBorders>
          </w:tcPr>
          <w:p w:rsidR="007D489B" w:rsidRPr="007D489B" w:rsidRDefault="007D489B" w:rsidP="007D489B">
            <w:pPr>
              <w:rPr>
                <w:b/>
                <w:bCs/>
              </w:rPr>
            </w:pPr>
            <w:r w:rsidRPr="007D489B">
              <w:rPr>
                <w:b/>
                <w:bCs/>
              </w:rPr>
              <w:t>Nedaňové príjmy (200)</w:t>
            </w:r>
            <w:r w:rsidRPr="007D489B">
              <w:rPr>
                <w:b/>
                <w:bCs/>
                <w:vertAlign w:val="superscript"/>
              </w:rPr>
              <w:t>1</w:t>
            </w: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300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4950" w:type="dxa"/>
            <w:tcBorders>
              <w:top w:val="nil"/>
              <w:left w:val="single" w:sz="4" w:space="0" w:color="auto"/>
              <w:bottom w:val="single" w:sz="4" w:space="0" w:color="auto"/>
              <w:right w:val="single" w:sz="4" w:space="0" w:color="auto"/>
            </w:tcBorders>
          </w:tcPr>
          <w:p w:rsidR="007D489B" w:rsidRPr="007D489B" w:rsidRDefault="007D489B" w:rsidP="007D489B">
            <w:pPr>
              <w:rPr>
                <w:b/>
                <w:bCs/>
              </w:rPr>
            </w:pPr>
            <w:r w:rsidRPr="007D489B">
              <w:rPr>
                <w:b/>
                <w:bCs/>
              </w:rPr>
              <w:t>Granty a transfery (300)</w:t>
            </w:r>
            <w:r w:rsidRPr="007D489B">
              <w:rPr>
                <w:b/>
                <w:bCs/>
                <w:vertAlign w:val="superscript"/>
              </w:rPr>
              <w:t>1</w:t>
            </w: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50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300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4950" w:type="dxa"/>
            <w:tcBorders>
              <w:top w:val="nil"/>
              <w:left w:val="single" w:sz="4" w:space="0" w:color="auto"/>
              <w:bottom w:val="single" w:sz="4" w:space="0" w:color="auto"/>
              <w:right w:val="single" w:sz="4" w:space="0" w:color="auto"/>
            </w:tcBorders>
          </w:tcPr>
          <w:p w:rsidR="007D489B" w:rsidRPr="007D489B" w:rsidRDefault="007D489B" w:rsidP="007D489B">
            <w:pPr>
              <w:rPr>
                <w:b/>
                <w:bCs/>
              </w:rPr>
            </w:pPr>
            <w:r w:rsidRPr="007D489B">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rPr>
            </w:pPr>
            <w:r w:rsidRPr="007D489B">
              <w:rPr>
                <w:b/>
                <w:bCs/>
              </w:rPr>
              <w:t> </w:t>
            </w:r>
          </w:p>
        </w:tc>
        <w:tc>
          <w:tcPr>
            <w:tcW w:w="150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rPr>
            </w:pPr>
            <w:r w:rsidRPr="007D489B">
              <w:rPr>
                <w:b/>
                <w:bCs/>
              </w:rPr>
              <w:t> </w:t>
            </w:r>
          </w:p>
        </w:tc>
        <w:tc>
          <w:tcPr>
            <w:tcW w:w="150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rPr>
            </w:pPr>
            <w:r w:rsidRPr="007D489B">
              <w:rPr>
                <w:b/>
                <w:bCs/>
              </w:rPr>
              <w:t> </w:t>
            </w:r>
          </w:p>
        </w:tc>
        <w:tc>
          <w:tcPr>
            <w:tcW w:w="150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rPr>
            </w:pPr>
            <w:r w:rsidRPr="007D489B">
              <w:rPr>
                <w:b/>
                <w:bCs/>
              </w:rPr>
              <w:t> </w:t>
            </w:r>
          </w:p>
        </w:tc>
        <w:tc>
          <w:tcPr>
            <w:tcW w:w="300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4950" w:type="dxa"/>
            <w:tcBorders>
              <w:top w:val="nil"/>
              <w:left w:val="single" w:sz="4" w:space="0" w:color="auto"/>
              <w:bottom w:val="single" w:sz="4" w:space="0" w:color="auto"/>
              <w:right w:val="single" w:sz="4" w:space="0" w:color="auto"/>
            </w:tcBorders>
          </w:tcPr>
          <w:p w:rsidR="007D489B" w:rsidRPr="007D489B" w:rsidRDefault="007D489B" w:rsidP="007D489B">
            <w:pPr>
              <w:rPr>
                <w:b/>
                <w:bCs/>
              </w:rPr>
            </w:pPr>
            <w:r w:rsidRPr="007D489B">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rPr>
            </w:pPr>
            <w:r w:rsidRPr="007D489B">
              <w:rPr>
                <w:b/>
                <w:bCs/>
              </w:rPr>
              <w:t> </w:t>
            </w:r>
          </w:p>
        </w:tc>
        <w:tc>
          <w:tcPr>
            <w:tcW w:w="150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rPr>
            </w:pPr>
            <w:r w:rsidRPr="007D489B">
              <w:rPr>
                <w:b/>
                <w:bCs/>
              </w:rPr>
              <w:t> </w:t>
            </w:r>
          </w:p>
        </w:tc>
        <w:tc>
          <w:tcPr>
            <w:tcW w:w="150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rPr>
            </w:pPr>
            <w:r w:rsidRPr="007D489B">
              <w:rPr>
                <w:b/>
                <w:bCs/>
              </w:rPr>
              <w:t> </w:t>
            </w:r>
          </w:p>
        </w:tc>
        <w:tc>
          <w:tcPr>
            <w:tcW w:w="150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rPr>
            </w:pPr>
            <w:r w:rsidRPr="007D489B">
              <w:rPr>
                <w:b/>
                <w:bCs/>
              </w:rPr>
              <w:t> </w:t>
            </w:r>
          </w:p>
        </w:tc>
        <w:tc>
          <w:tcPr>
            <w:tcW w:w="300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489B" w:rsidRPr="007D489B" w:rsidRDefault="007D489B" w:rsidP="007D489B">
            <w:pPr>
              <w:rPr>
                <w:b/>
                <w:bCs/>
              </w:rPr>
            </w:pPr>
            <w:r w:rsidRPr="007D489B">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489B" w:rsidRPr="007D489B" w:rsidRDefault="007D489B" w:rsidP="007D489B">
            <w:r w:rsidRPr="007D489B">
              <w:t> </w:t>
            </w:r>
          </w:p>
        </w:tc>
      </w:tr>
    </w:tbl>
    <w:p w:rsidR="007D489B" w:rsidRPr="007D489B" w:rsidRDefault="007D489B" w:rsidP="007D489B">
      <w:pPr>
        <w:jc w:val="both"/>
        <w:rPr>
          <w:bCs/>
          <w:sz w:val="20"/>
          <w:szCs w:val="20"/>
        </w:rPr>
      </w:pPr>
      <w:r w:rsidRPr="007D489B">
        <w:rPr>
          <w:bCs/>
          <w:sz w:val="20"/>
          <w:szCs w:val="20"/>
        </w:rPr>
        <w:t>1 –  príjmy rozpísať až do položiek platnej ekonomickej klasifikácie</w:t>
      </w:r>
    </w:p>
    <w:p w:rsidR="007D489B" w:rsidRPr="007D489B" w:rsidRDefault="007D489B" w:rsidP="007D489B">
      <w:pPr>
        <w:jc w:val="both"/>
        <w:rPr>
          <w:bCs/>
          <w:szCs w:val="20"/>
        </w:rPr>
      </w:pPr>
    </w:p>
    <w:p w:rsidR="007D489B" w:rsidRPr="007D489B" w:rsidRDefault="007D489B" w:rsidP="007D489B">
      <w:pPr>
        <w:jc w:val="both"/>
        <w:rPr>
          <w:b/>
          <w:bCs/>
          <w:szCs w:val="20"/>
        </w:rPr>
      </w:pPr>
      <w:r w:rsidRPr="007D489B">
        <w:rPr>
          <w:b/>
          <w:bCs/>
          <w:szCs w:val="20"/>
        </w:rPr>
        <w:t>Poznámka:</w:t>
      </w:r>
    </w:p>
    <w:p w:rsidR="007D489B" w:rsidRPr="007D489B" w:rsidRDefault="007D489B" w:rsidP="007D489B">
      <w:pPr>
        <w:jc w:val="both"/>
        <w:rPr>
          <w:bCs/>
          <w:szCs w:val="20"/>
        </w:rPr>
      </w:pPr>
      <w:r w:rsidRPr="007D489B">
        <w:rPr>
          <w:bCs/>
          <w:szCs w:val="20"/>
        </w:rPr>
        <w:t>Ak sa vplyv týka viacerých subjektov verejnej správy, vypĺňa sa samostatná tabuľka za každý subjekt.</w:t>
      </w:r>
    </w:p>
    <w:p w:rsidR="007D489B" w:rsidRPr="007D489B" w:rsidRDefault="007D489B" w:rsidP="007D489B">
      <w:pPr>
        <w:ind w:right="-578"/>
        <w:jc w:val="right"/>
        <w:rPr>
          <w:bCs/>
        </w:rPr>
      </w:pPr>
      <w:r w:rsidRPr="007D489B">
        <w:rPr>
          <w:bCs/>
        </w:rPr>
        <w:t xml:space="preserve"> </w:t>
      </w: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578"/>
        <w:jc w:val="right"/>
        <w:rPr>
          <w:bCs/>
        </w:rPr>
      </w:pPr>
    </w:p>
    <w:p w:rsidR="007D489B" w:rsidRPr="007D489B" w:rsidRDefault="007D489B" w:rsidP="007D489B">
      <w:pPr>
        <w:ind w:right="-32"/>
        <w:jc w:val="right"/>
        <w:rPr>
          <w:bCs/>
        </w:rPr>
      </w:pPr>
      <w:r w:rsidRPr="007D489B">
        <w:rPr>
          <w:bCs/>
        </w:rPr>
        <w:lastRenderedPageBreak/>
        <w:t xml:space="preserve">Tabuľka č. 4 </w:t>
      </w:r>
    </w:p>
    <w:p w:rsidR="007D489B" w:rsidRPr="007D489B" w:rsidRDefault="007D489B" w:rsidP="007D489B">
      <w:pPr>
        <w:jc w:val="both"/>
        <w:rPr>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489B" w:rsidRPr="007D489B" w:rsidTr="007D489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489B" w:rsidRPr="007D489B" w:rsidRDefault="007D489B" w:rsidP="007D489B">
            <w:pPr>
              <w:jc w:val="center"/>
              <w:rPr>
                <w:b/>
                <w:bCs/>
                <w:sz w:val="20"/>
                <w:szCs w:val="20"/>
              </w:rPr>
            </w:pPr>
            <w:r w:rsidRPr="007D489B">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sz w:val="20"/>
                <w:szCs w:val="20"/>
              </w:rPr>
            </w:pPr>
            <w:r w:rsidRPr="007D489B">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489B" w:rsidRPr="007D489B" w:rsidRDefault="007D489B" w:rsidP="007D489B">
            <w:pPr>
              <w:jc w:val="center"/>
              <w:rPr>
                <w:b/>
                <w:bCs/>
              </w:rPr>
            </w:pPr>
            <w:r w:rsidRPr="007D489B">
              <w:rPr>
                <w:b/>
                <w:bCs/>
              </w:rPr>
              <w:t>poznámka</w:t>
            </w:r>
          </w:p>
        </w:tc>
      </w:tr>
      <w:tr w:rsidR="007D489B" w:rsidRPr="007D489B" w:rsidTr="007D489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489B" w:rsidRPr="007D489B" w:rsidRDefault="007D489B" w:rsidP="007D489B">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sz w:val="20"/>
                <w:szCs w:val="20"/>
              </w:rPr>
            </w:pPr>
            <w:r w:rsidRPr="007D489B">
              <w:rPr>
                <w:b/>
                <w:bCs/>
                <w:sz w:val="20"/>
                <w:szCs w:val="20"/>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sz w:val="20"/>
                <w:szCs w:val="20"/>
              </w:rPr>
            </w:pPr>
            <w:r w:rsidRPr="007D489B">
              <w:rPr>
                <w:b/>
                <w:bCs/>
                <w:sz w:val="20"/>
                <w:szCs w:val="20"/>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sz w:val="20"/>
                <w:szCs w:val="20"/>
              </w:rPr>
            </w:pPr>
            <w:r w:rsidRPr="007D489B">
              <w:rPr>
                <w:b/>
                <w:bCs/>
                <w:sz w:val="20"/>
                <w:szCs w:val="20"/>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7D489B" w:rsidRPr="007D489B" w:rsidRDefault="007D489B" w:rsidP="007D489B">
            <w:pPr>
              <w:rPr>
                <w:b/>
                <w:bCs/>
                <w:color w:val="FFFFFF"/>
              </w:rPr>
            </w:pPr>
          </w:p>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tcPr>
          <w:p w:rsidR="007D489B" w:rsidRPr="007D489B" w:rsidRDefault="007D489B" w:rsidP="007D489B">
            <w:pPr>
              <w:rPr>
                <w:b/>
                <w:bCs/>
                <w:sz w:val="20"/>
                <w:szCs w:val="20"/>
              </w:rPr>
            </w:pPr>
            <w:r w:rsidRPr="007D489B">
              <w:rPr>
                <w:b/>
                <w:bCs/>
                <w:sz w:val="20"/>
                <w:szCs w:val="20"/>
              </w:rPr>
              <w:t>Bežné výdavky (600)</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b/>
                <w:bCs/>
                <w:sz w:val="20"/>
                <w:szCs w:val="20"/>
              </w:rPr>
            </w:pPr>
            <w:r w:rsidRPr="007D489B">
              <w:rPr>
                <w:b/>
                <w:bCs/>
                <w:sz w:val="20"/>
                <w:szCs w:val="20"/>
              </w:rPr>
              <w:t>1 070 000</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b/>
                <w:bCs/>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b/>
                <w:bCs/>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tcPr>
          <w:p w:rsidR="007D489B" w:rsidRPr="007D489B" w:rsidRDefault="007D489B" w:rsidP="007D489B">
            <w:pPr>
              <w:rPr>
                <w:sz w:val="20"/>
                <w:szCs w:val="20"/>
              </w:rPr>
            </w:pPr>
            <w:r w:rsidRPr="007D489B">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pP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tcPr>
          <w:p w:rsidR="007D489B" w:rsidRPr="007D489B" w:rsidRDefault="007D489B" w:rsidP="007D489B">
            <w:pPr>
              <w:rPr>
                <w:sz w:val="20"/>
                <w:szCs w:val="20"/>
                <w:vertAlign w:val="superscript"/>
              </w:rPr>
            </w:pPr>
            <w:r w:rsidRPr="007D489B">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pP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tcPr>
          <w:p w:rsidR="007D489B" w:rsidRPr="007D489B" w:rsidRDefault="007D489B" w:rsidP="007D489B">
            <w:pPr>
              <w:rPr>
                <w:sz w:val="20"/>
                <w:szCs w:val="20"/>
                <w:vertAlign w:val="superscript"/>
              </w:rPr>
            </w:pPr>
            <w:r w:rsidRPr="007D489B">
              <w:rPr>
                <w:sz w:val="20"/>
                <w:szCs w:val="20"/>
              </w:rPr>
              <w:t xml:space="preserve">  Tovary a služby (630)</w:t>
            </w:r>
            <w:r w:rsidRPr="007D489B">
              <w:rPr>
                <w:sz w:val="20"/>
                <w:szCs w:val="20"/>
                <w:vertAlign w:val="superscript"/>
              </w:rPr>
              <w:t>2</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pP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tcPr>
          <w:p w:rsidR="007D489B" w:rsidRPr="007D489B" w:rsidRDefault="007D489B" w:rsidP="007D489B">
            <w:pPr>
              <w:rPr>
                <w:sz w:val="20"/>
                <w:szCs w:val="20"/>
              </w:rPr>
            </w:pPr>
            <w:r w:rsidRPr="007D489B">
              <w:rPr>
                <w:sz w:val="20"/>
                <w:szCs w:val="20"/>
              </w:rPr>
              <w:t xml:space="preserve">  Bežné transfery (640)</w:t>
            </w:r>
            <w:r w:rsidRPr="007D489B">
              <w:rPr>
                <w:sz w:val="20"/>
                <w:szCs w:val="20"/>
                <w:vertAlign w:val="superscript"/>
              </w:rPr>
              <w:t>2</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r w:rsidRPr="007D489B">
              <w:rPr>
                <w:sz w:val="20"/>
                <w:szCs w:val="20"/>
              </w:rPr>
              <w:t>1 070 000</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pP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vAlign w:val="center"/>
          </w:tcPr>
          <w:p w:rsidR="007D489B" w:rsidRPr="007D489B" w:rsidRDefault="007D489B" w:rsidP="007D489B">
            <w:pPr>
              <w:rPr>
                <w:sz w:val="20"/>
                <w:szCs w:val="20"/>
              </w:rPr>
            </w:pPr>
            <w:r w:rsidRPr="007D489B">
              <w:rPr>
                <w:sz w:val="20"/>
                <w:szCs w:val="20"/>
              </w:rPr>
              <w:t xml:space="preserve">  Splácanie úrokov a ostatné platby súvisiace s </w:t>
            </w:r>
            <w:r w:rsidRPr="007D489B">
              <w:rPr>
                <w:rFonts w:asciiTheme="minorHAnsi" w:eastAsiaTheme="minorHAnsi" w:hAnsiTheme="minorHAnsi" w:cstheme="minorBidi"/>
                <w:sz w:val="22"/>
                <w:szCs w:val="22"/>
                <w:lang w:eastAsia="en-US"/>
              </w:rPr>
              <w:t xml:space="preserve"> </w:t>
            </w:r>
            <w:r w:rsidRPr="007D489B">
              <w:rPr>
                <w:sz w:val="20"/>
                <w:szCs w:val="20"/>
              </w:rPr>
              <w:t>úverom, pôžičkou, návratnou finančnou výpomocou a finančným prenájmom (650)</w:t>
            </w:r>
            <w:r w:rsidRPr="007D489B">
              <w:rPr>
                <w:sz w:val="20"/>
                <w:szCs w:val="20"/>
                <w:vertAlign w:val="superscript"/>
              </w:rPr>
              <w:t>2</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pP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tcPr>
          <w:p w:rsidR="007D489B" w:rsidRPr="007D489B" w:rsidRDefault="007D489B" w:rsidP="007D489B">
            <w:pPr>
              <w:rPr>
                <w:b/>
                <w:bCs/>
                <w:sz w:val="20"/>
                <w:szCs w:val="20"/>
              </w:rPr>
            </w:pPr>
            <w:r w:rsidRPr="007D489B">
              <w:rPr>
                <w:b/>
                <w:bCs/>
                <w:sz w:val="20"/>
                <w:szCs w:val="20"/>
              </w:rPr>
              <w:t>Kapitálové výdavky (700)</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b/>
                <w:bCs/>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b/>
                <w:bCs/>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b/>
                <w:bCs/>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tcPr>
          <w:p w:rsidR="007D489B" w:rsidRPr="007D489B" w:rsidRDefault="007D489B" w:rsidP="007D489B">
            <w:pPr>
              <w:rPr>
                <w:sz w:val="20"/>
                <w:szCs w:val="20"/>
              </w:rPr>
            </w:pPr>
            <w:r w:rsidRPr="007D489B">
              <w:rPr>
                <w:sz w:val="20"/>
                <w:szCs w:val="20"/>
              </w:rPr>
              <w:t xml:space="preserve">  Obstarávanie kapitálových aktív (710)</w:t>
            </w:r>
            <w:r w:rsidRPr="007D489B">
              <w:rPr>
                <w:sz w:val="20"/>
                <w:szCs w:val="20"/>
                <w:vertAlign w:val="superscript"/>
              </w:rPr>
              <w:t>2</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pP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tcPr>
          <w:p w:rsidR="007D489B" w:rsidRPr="007D489B" w:rsidRDefault="007D489B" w:rsidP="007D489B">
            <w:pPr>
              <w:rPr>
                <w:sz w:val="20"/>
                <w:szCs w:val="20"/>
              </w:rPr>
            </w:pPr>
            <w:r w:rsidRPr="007D489B">
              <w:rPr>
                <w:sz w:val="20"/>
                <w:szCs w:val="20"/>
              </w:rPr>
              <w:t xml:space="preserve">  Kapitálové transfery (720)</w:t>
            </w:r>
            <w:r w:rsidRPr="007D489B">
              <w:rPr>
                <w:sz w:val="20"/>
                <w:szCs w:val="20"/>
                <w:vertAlign w:val="superscript"/>
              </w:rPr>
              <w:t>2</w:t>
            </w: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rPr>
                <w:sz w:val="20"/>
                <w:szCs w:val="20"/>
              </w:rPr>
            </w:pPr>
          </w:p>
        </w:tc>
        <w:tc>
          <w:tcPr>
            <w:tcW w:w="1540" w:type="dxa"/>
            <w:tcBorders>
              <w:top w:val="nil"/>
              <w:left w:val="nil"/>
              <w:bottom w:val="single" w:sz="4" w:space="0" w:color="auto"/>
              <w:right w:val="single" w:sz="4" w:space="0" w:color="auto"/>
            </w:tcBorders>
          </w:tcPr>
          <w:p w:rsidR="007D489B" w:rsidRPr="007D489B" w:rsidRDefault="007D489B" w:rsidP="007D489B">
            <w:pPr>
              <w:jc w:val="center"/>
            </w:pP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7070" w:type="dxa"/>
            <w:tcBorders>
              <w:top w:val="nil"/>
              <w:left w:val="single" w:sz="4" w:space="0" w:color="auto"/>
              <w:bottom w:val="single" w:sz="4" w:space="0" w:color="auto"/>
              <w:right w:val="single" w:sz="4" w:space="0" w:color="auto"/>
            </w:tcBorders>
          </w:tcPr>
          <w:p w:rsidR="007D489B" w:rsidRPr="007D489B" w:rsidRDefault="007D489B" w:rsidP="007D489B">
            <w:pPr>
              <w:rPr>
                <w:b/>
                <w:bCs/>
                <w:sz w:val="20"/>
                <w:szCs w:val="20"/>
              </w:rPr>
            </w:pPr>
            <w:r w:rsidRPr="007D489B">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sz w:val="20"/>
                <w:szCs w:val="20"/>
              </w:rPr>
            </w:pPr>
            <w:r w:rsidRPr="007D489B">
              <w:rPr>
                <w:b/>
                <w:bCs/>
                <w:sz w:val="20"/>
                <w:szCs w:val="20"/>
              </w:rPr>
              <w:t> </w:t>
            </w:r>
          </w:p>
        </w:tc>
        <w:tc>
          <w:tcPr>
            <w:tcW w:w="154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sz w:val="20"/>
                <w:szCs w:val="20"/>
              </w:rPr>
            </w:pPr>
            <w:r w:rsidRPr="007D489B">
              <w:rPr>
                <w:b/>
                <w:bCs/>
                <w:sz w:val="20"/>
                <w:szCs w:val="20"/>
              </w:rPr>
              <w:t> </w:t>
            </w:r>
          </w:p>
        </w:tc>
        <w:tc>
          <w:tcPr>
            <w:tcW w:w="154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sz w:val="20"/>
                <w:szCs w:val="20"/>
              </w:rPr>
            </w:pPr>
            <w:r w:rsidRPr="007D489B">
              <w:rPr>
                <w:b/>
                <w:bCs/>
                <w:sz w:val="20"/>
                <w:szCs w:val="20"/>
              </w:rPr>
              <w:t> </w:t>
            </w:r>
          </w:p>
        </w:tc>
        <w:tc>
          <w:tcPr>
            <w:tcW w:w="1540" w:type="dxa"/>
            <w:tcBorders>
              <w:top w:val="nil"/>
              <w:left w:val="nil"/>
              <w:bottom w:val="single" w:sz="4" w:space="0" w:color="auto"/>
              <w:right w:val="single" w:sz="4" w:space="0" w:color="auto"/>
            </w:tcBorders>
            <w:shd w:val="clear" w:color="auto" w:fill="FFFF99"/>
          </w:tcPr>
          <w:p w:rsidR="007D489B" w:rsidRPr="007D489B" w:rsidRDefault="007D489B" w:rsidP="007D489B">
            <w:pPr>
              <w:jc w:val="center"/>
              <w:rPr>
                <w:b/>
                <w:bCs/>
              </w:rPr>
            </w:pPr>
            <w:r w:rsidRPr="007D489B">
              <w:rPr>
                <w:b/>
                <w:bCs/>
              </w:rPr>
              <w:t> </w:t>
            </w:r>
          </w:p>
        </w:tc>
        <w:tc>
          <w:tcPr>
            <w:tcW w:w="2220" w:type="dxa"/>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489B" w:rsidRPr="007D489B" w:rsidRDefault="007D489B" w:rsidP="007D489B">
            <w:pPr>
              <w:rPr>
                <w:b/>
                <w:bCs/>
                <w:sz w:val="20"/>
                <w:szCs w:val="20"/>
              </w:rPr>
            </w:pPr>
            <w:r w:rsidRPr="007D489B">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sz w:val="20"/>
                <w:szCs w:val="20"/>
              </w:rPr>
            </w:pPr>
            <w:r w:rsidRPr="007D489B">
              <w:rPr>
                <w:b/>
                <w:bCs/>
                <w:sz w:val="20"/>
                <w:szCs w:val="20"/>
              </w:rPr>
              <w:t>1 070 000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sz w:val="20"/>
                <w:szCs w:val="20"/>
              </w:rPr>
            </w:pPr>
            <w:r w:rsidRPr="007D489B">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sz w:val="20"/>
                <w:szCs w:val="20"/>
              </w:rPr>
            </w:pPr>
            <w:r w:rsidRPr="007D489B">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sz w:val="2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489B" w:rsidRPr="007D489B" w:rsidRDefault="007D489B" w:rsidP="007D489B">
            <w:r w:rsidRPr="007D489B">
              <w:t> </w:t>
            </w:r>
          </w:p>
        </w:tc>
      </w:tr>
    </w:tbl>
    <w:p w:rsidR="007D489B" w:rsidRPr="007D489B" w:rsidRDefault="007D489B" w:rsidP="007D489B">
      <w:pPr>
        <w:jc w:val="both"/>
        <w:rPr>
          <w:bCs/>
          <w:sz w:val="20"/>
          <w:szCs w:val="20"/>
        </w:rPr>
      </w:pPr>
      <w:r w:rsidRPr="007D489B">
        <w:rPr>
          <w:bCs/>
          <w:sz w:val="20"/>
          <w:szCs w:val="20"/>
        </w:rPr>
        <w:t>2 –  výdavky rozpísať až do položiek platnej ekonomickej klasifikácie</w:t>
      </w:r>
    </w:p>
    <w:p w:rsidR="007D489B" w:rsidRPr="007D489B" w:rsidRDefault="007D489B" w:rsidP="007D489B">
      <w:pPr>
        <w:jc w:val="both"/>
        <w:rPr>
          <w:bCs/>
          <w:szCs w:val="20"/>
        </w:rPr>
      </w:pPr>
    </w:p>
    <w:p w:rsidR="007D489B" w:rsidRPr="007D489B" w:rsidRDefault="007D489B" w:rsidP="007D489B">
      <w:pPr>
        <w:jc w:val="both"/>
        <w:rPr>
          <w:b/>
          <w:bCs/>
          <w:sz w:val="20"/>
          <w:szCs w:val="20"/>
        </w:rPr>
      </w:pPr>
      <w:r w:rsidRPr="007D489B">
        <w:rPr>
          <w:b/>
          <w:bCs/>
          <w:szCs w:val="20"/>
        </w:rPr>
        <w:t>Poznámka:</w:t>
      </w:r>
    </w:p>
    <w:p w:rsidR="007D489B" w:rsidRPr="007D489B" w:rsidRDefault="007D489B" w:rsidP="007D489B">
      <w:pPr>
        <w:jc w:val="both"/>
        <w:rPr>
          <w:bCs/>
          <w:sz w:val="20"/>
          <w:szCs w:val="20"/>
        </w:rPr>
      </w:pPr>
      <w:r w:rsidRPr="007D489B">
        <w:rPr>
          <w:bCs/>
          <w:szCs w:val="20"/>
        </w:rPr>
        <w:t>Ak sa vplyv týka viacerých subjektov verejnej správy, vypĺňa sa samostatná tabuľka za každý subjekt.</w:t>
      </w: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both"/>
        <w:rPr>
          <w:bCs/>
          <w:sz w:val="20"/>
          <w:szCs w:val="20"/>
        </w:rPr>
      </w:pPr>
    </w:p>
    <w:p w:rsidR="007D489B" w:rsidRPr="007D489B" w:rsidRDefault="007D489B" w:rsidP="007D489B">
      <w:pPr>
        <w:jc w:val="right"/>
        <w:rPr>
          <w:bCs/>
        </w:rPr>
      </w:pPr>
      <w:r w:rsidRPr="007D489B">
        <w:rPr>
          <w:bCs/>
        </w:rPr>
        <w:t xml:space="preserve">                 Tabuľka č. 5 </w:t>
      </w:r>
    </w:p>
    <w:p w:rsidR="007D489B" w:rsidRPr="007D489B" w:rsidRDefault="007D489B" w:rsidP="007D489B">
      <w:pPr>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489B" w:rsidRPr="007D489B" w:rsidTr="007D489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89B" w:rsidRPr="007D489B" w:rsidRDefault="007D489B" w:rsidP="007D489B">
            <w:pPr>
              <w:jc w:val="center"/>
              <w:rPr>
                <w:b/>
                <w:bCs/>
              </w:rPr>
            </w:pPr>
            <w:r w:rsidRPr="007D489B">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489B" w:rsidRPr="007D489B" w:rsidRDefault="007D489B" w:rsidP="007D489B">
            <w:pPr>
              <w:jc w:val="center"/>
              <w:rPr>
                <w:b/>
                <w:bCs/>
              </w:rPr>
            </w:pPr>
            <w:r w:rsidRPr="007D489B">
              <w:rPr>
                <w:b/>
                <w:bCs/>
              </w:rPr>
              <w:t>poznámka</w:t>
            </w:r>
          </w:p>
        </w:tc>
      </w:tr>
      <w:tr w:rsidR="007D489B" w:rsidRPr="007D489B" w:rsidTr="007D489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89B" w:rsidRPr="007D489B" w:rsidRDefault="007D489B" w:rsidP="007D489B">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89B" w:rsidRPr="007D489B" w:rsidRDefault="007D489B" w:rsidP="007D489B">
            <w:pPr>
              <w:rPr>
                <w:b/>
                <w:bCs/>
                <w:color w:val="FFFFFF"/>
              </w:rPr>
            </w:pPr>
          </w:p>
        </w:tc>
      </w:tr>
      <w:tr w:rsidR="007D489B" w:rsidRPr="007D489B" w:rsidTr="007D489B">
        <w:trPr>
          <w:trHeight w:val="255"/>
        </w:trPr>
        <w:tc>
          <w:tcPr>
            <w:tcW w:w="6188" w:type="dxa"/>
            <w:tcBorders>
              <w:top w:val="nil"/>
              <w:left w:val="single" w:sz="4" w:space="0" w:color="auto"/>
              <w:bottom w:val="single" w:sz="4" w:space="0" w:color="auto"/>
              <w:right w:val="single" w:sz="4" w:space="0" w:color="auto"/>
            </w:tcBorders>
          </w:tcPr>
          <w:p w:rsidR="007D489B" w:rsidRPr="007D489B" w:rsidRDefault="007D489B" w:rsidP="007D489B">
            <w:pPr>
              <w:rPr>
                <w:b/>
                <w:bCs/>
              </w:rPr>
            </w:pPr>
            <w:r w:rsidRPr="007D489B">
              <w:rPr>
                <w:b/>
                <w:bCs/>
              </w:rPr>
              <w:t>Počet zamestnancov celkom</w:t>
            </w:r>
          </w:p>
        </w:tc>
        <w:tc>
          <w:tcPr>
            <w:tcW w:w="1698"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788"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2418" w:type="dxa"/>
            <w:gridSpan w:val="2"/>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722"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620" w:type="dxa"/>
            <w:gridSpan w:val="2"/>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6188" w:type="dxa"/>
            <w:tcBorders>
              <w:top w:val="nil"/>
              <w:left w:val="single" w:sz="4" w:space="0" w:color="auto"/>
              <w:bottom w:val="single" w:sz="4" w:space="0" w:color="auto"/>
              <w:right w:val="single" w:sz="4" w:space="0" w:color="auto"/>
            </w:tcBorders>
          </w:tcPr>
          <w:p w:rsidR="007D489B" w:rsidRPr="007D489B" w:rsidRDefault="007D489B" w:rsidP="007D489B">
            <w:pPr>
              <w:rPr>
                <w:b/>
                <w:bCs/>
              </w:rPr>
            </w:pPr>
            <w:r w:rsidRPr="007D489B">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7D489B" w:rsidRPr="007D489B" w:rsidRDefault="007D489B" w:rsidP="007D489B">
            <w:pPr>
              <w:jc w:val="center"/>
              <w:rPr>
                <w:b/>
                <w:bCs/>
              </w:rPr>
            </w:pPr>
          </w:p>
        </w:tc>
        <w:tc>
          <w:tcPr>
            <w:tcW w:w="1788" w:type="dxa"/>
            <w:tcBorders>
              <w:top w:val="single" w:sz="4" w:space="0" w:color="auto"/>
              <w:left w:val="nil"/>
              <w:bottom w:val="single" w:sz="4" w:space="0" w:color="auto"/>
              <w:right w:val="single" w:sz="4" w:space="0" w:color="auto"/>
            </w:tcBorders>
          </w:tcPr>
          <w:p w:rsidR="007D489B" w:rsidRPr="007D489B" w:rsidRDefault="007D489B" w:rsidP="007D489B">
            <w:pPr>
              <w:jc w:val="center"/>
              <w:rPr>
                <w:b/>
                <w:bCs/>
              </w:rPr>
            </w:pPr>
          </w:p>
        </w:tc>
        <w:tc>
          <w:tcPr>
            <w:tcW w:w="2418" w:type="dxa"/>
            <w:gridSpan w:val="2"/>
            <w:tcBorders>
              <w:top w:val="single" w:sz="4" w:space="0" w:color="auto"/>
              <w:left w:val="nil"/>
              <w:bottom w:val="single" w:sz="4" w:space="0" w:color="auto"/>
              <w:right w:val="single" w:sz="4" w:space="0" w:color="auto"/>
            </w:tcBorders>
          </w:tcPr>
          <w:p w:rsidR="007D489B" w:rsidRPr="007D489B" w:rsidRDefault="007D489B" w:rsidP="007D489B">
            <w:pPr>
              <w:jc w:val="center"/>
              <w:rPr>
                <w:b/>
                <w:bCs/>
              </w:rPr>
            </w:pPr>
          </w:p>
        </w:tc>
        <w:tc>
          <w:tcPr>
            <w:tcW w:w="1722" w:type="dxa"/>
            <w:tcBorders>
              <w:top w:val="single" w:sz="4" w:space="0" w:color="auto"/>
              <w:left w:val="nil"/>
              <w:bottom w:val="single" w:sz="4" w:space="0" w:color="auto"/>
              <w:right w:val="single" w:sz="4" w:space="0" w:color="auto"/>
            </w:tcBorders>
          </w:tcPr>
          <w:p w:rsidR="007D489B" w:rsidRPr="007D489B" w:rsidRDefault="007D489B" w:rsidP="007D489B">
            <w:pPr>
              <w:jc w:val="center"/>
              <w:rPr>
                <w:b/>
                <w:bCs/>
              </w:rPr>
            </w:pPr>
          </w:p>
        </w:tc>
        <w:tc>
          <w:tcPr>
            <w:tcW w:w="1620" w:type="dxa"/>
            <w:gridSpan w:val="2"/>
            <w:tcBorders>
              <w:top w:val="nil"/>
              <w:left w:val="nil"/>
              <w:bottom w:val="single" w:sz="4" w:space="0" w:color="auto"/>
              <w:right w:val="single" w:sz="4" w:space="0" w:color="auto"/>
            </w:tcBorders>
            <w:noWrap/>
            <w:vAlign w:val="bottom"/>
          </w:tcPr>
          <w:p w:rsidR="007D489B" w:rsidRPr="007D489B" w:rsidRDefault="007D489B" w:rsidP="007D489B"/>
        </w:tc>
      </w:tr>
      <w:tr w:rsidR="007D489B" w:rsidRPr="007D489B" w:rsidTr="007D489B">
        <w:trPr>
          <w:trHeight w:val="255"/>
        </w:trPr>
        <w:tc>
          <w:tcPr>
            <w:tcW w:w="6188" w:type="dxa"/>
            <w:tcBorders>
              <w:top w:val="nil"/>
              <w:left w:val="single" w:sz="4" w:space="0" w:color="auto"/>
              <w:bottom w:val="single" w:sz="4" w:space="0" w:color="auto"/>
              <w:right w:val="single" w:sz="4" w:space="0" w:color="auto"/>
            </w:tcBorders>
          </w:tcPr>
          <w:p w:rsidR="007D489B" w:rsidRPr="007D489B" w:rsidRDefault="007D489B" w:rsidP="007D489B">
            <w:pPr>
              <w:rPr>
                <w:b/>
                <w:bCs/>
              </w:rPr>
            </w:pPr>
            <w:r w:rsidRPr="007D489B">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7D489B" w:rsidRPr="007D489B" w:rsidRDefault="007D489B" w:rsidP="007D489B">
            <w:pPr>
              <w:jc w:val="center"/>
              <w:rPr>
                <w:b/>
                <w:bCs/>
              </w:rPr>
            </w:pPr>
          </w:p>
        </w:tc>
        <w:tc>
          <w:tcPr>
            <w:tcW w:w="1788" w:type="dxa"/>
            <w:tcBorders>
              <w:top w:val="single" w:sz="4" w:space="0" w:color="auto"/>
              <w:left w:val="nil"/>
              <w:bottom w:val="single" w:sz="4" w:space="0" w:color="auto"/>
              <w:right w:val="single" w:sz="4" w:space="0" w:color="auto"/>
            </w:tcBorders>
          </w:tcPr>
          <w:p w:rsidR="007D489B" w:rsidRPr="007D489B" w:rsidRDefault="007D489B" w:rsidP="007D489B">
            <w:pPr>
              <w:jc w:val="center"/>
              <w:rPr>
                <w:b/>
                <w:bCs/>
              </w:rPr>
            </w:pPr>
          </w:p>
        </w:tc>
        <w:tc>
          <w:tcPr>
            <w:tcW w:w="2418" w:type="dxa"/>
            <w:gridSpan w:val="2"/>
            <w:tcBorders>
              <w:top w:val="single" w:sz="4" w:space="0" w:color="auto"/>
              <w:left w:val="nil"/>
              <w:bottom w:val="single" w:sz="4" w:space="0" w:color="auto"/>
              <w:right w:val="single" w:sz="4" w:space="0" w:color="auto"/>
            </w:tcBorders>
          </w:tcPr>
          <w:p w:rsidR="007D489B" w:rsidRPr="007D489B" w:rsidRDefault="007D489B" w:rsidP="007D489B">
            <w:pPr>
              <w:jc w:val="center"/>
              <w:rPr>
                <w:b/>
                <w:bCs/>
              </w:rPr>
            </w:pPr>
          </w:p>
        </w:tc>
        <w:tc>
          <w:tcPr>
            <w:tcW w:w="1722" w:type="dxa"/>
            <w:tcBorders>
              <w:top w:val="single" w:sz="4" w:space="0" w:color="auto"/>
              <w:left w:val="nil"/>
              <w:bottom w:val="single" w:sz="4" w:space="0" w:color="auto"/>
              <w:right w:val="single" w:sz="4" w:space="0" w:color="auto"/>
            </w:tcBorders>
          </w:tcPr>
          <w:p w:rsidR="007D489B" w:rsidRPr="007D489B" w:rsidRDefault="007D489B" w:rsidP="007D489B">
            <w:pPr>
              <w:jc w:val="center"/>
              <w:rPr>
                <w:b/>
                <w:bCs/>
              </w:rPr>
            </w:pPr>
          </w:p>
        </w:tc>
        <w:tc>
          <w:tcPr>
            <w:tcW w:w="1620" w:type="dxa"/>
            <w:gridSpan w:val="2"/>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6188" w:type="dxa"/>
            <w:tcBorders>
              <w:top w:val="nil"/>
              <w:left w:val="single" w:sz="4" w:space="0" w:color="auto"/>
              <w:bottom w:val="single" w:sz="4" w:space="0" w:color="auto"/>
              <w:right w:val="single" w:sz="4" w:space="0" w:color="auto"/>
            </w:tcBorders>
          </w:tcPr>
          <w:p w:rsidR="007D489B" w:rsidRPr="007D489B" w:rsidRDefault="007D489B" w:rsidP="007D489B">
            <w:r w:rsidRPr="007D489B">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7D489B" w:rsidRPr="007D489B" w:rsidRDefault="007D489B" w:rsidP="007D489B">
            <w:pPr>
              <w:jc w:val="center"/>
            </w:pPr>
            <w:r w:rsidRPr="007D489B">
              <w:t> </w:t>
            </w:r>
          </w:p>
        </w:tc>
        <w:tc>
          <w:tcPr>
            <w:tcW w:w="1788" w:type="dxa"/>
            <w:tcBorders>
              <w:top w:val="single" w:sz="4" w:space="0" w:color="auto"/>
              <w:left w:val="nil"/>
              <w:bottom w:val="single" w:sz="4" w:space="0" w:color="auto"/>
              <w:right w:val="single" w:sz="4" w:space="0" w:color="auto"/>
            </w:tcBorders>
          </w:tcPr>
          <w:p w:rsidR="007D489B" w:rsidRPr="007D489B" w:rsidRDefault="007D489B" w:rsidP="007D489B">
            <w:pPr>
              <w:jc w:val="center"/>
            </w:pPr>
            <w:r w:rsidRPr="007D489B">
              <w:t> </w:t>
            </w:r>
          </w:p>
        </w:tc>
        <w:tc>
          <w:tcPr>
            <w:tcW w:w="2418" w:type="dxa"/>
            <w:gridSpan w:val="2"/>
            <w:tcBorders>
              <w:top w:val="single" w:sz="4" w:space="0" w:color="auto"/>
              <w:left w:val="nil"/>
              <w:bottom w:val="single" w:sz="4" w:space="0" w:color="auto"/>
              <w:right w:val="single" w:sz="4" w:space="0" w:color="auto"/>
            </w:tcBorders>
          </w:tcPr>
          <w:p w:rsidR="007D489B" w:rsidRPr="007D489B" w:rsidRDefault="007D489B" w:rsidP="007D489B">
            <w:pPr>
              <w:jc w:val="center"/>
            </w:pPr>
            <w:r w:rsidRPr="007D489B">
              <w:t> </w:t>
            </w:r>
          </w:p>
        </w:tc>
        <w:tc>
          <w:tcPr>
            <w:tcW w:w="1722" w:type="dxa"/>
            <w:tcBorders>
              <w:top w:val="single" w:sz="4" w:space="0" w:color="auto"/>
              <w:left w:val="nil"/>
              <w:bottom w:val="single" w:sz="4" w:space="0" w:color="auto"/>
              <w:right w:val="single" w:sz="4" w:space="0" w:color="auto"/>
            </w:tcBorders>
          </w:tcPr>
          <w:p w:rsidR="007D489B" w:rsidRPr="007D489B" w:rsidRDefault="007D489B" w:rsidP="007D489B">
            <w:pPr>
              <w:jc w:val="center"/>
            </w:pPr>
            <w:r w:rsidRPr="007D489B">
              <w:t> </w:t>
            </w:r>
          </w:p>
        </w:tc>
        <w:tc>
          <w:tcPr>
            <w:tcW w:w="1620" w:type="dxa"/>
            <w:gridSpan w:val="2"/>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489B" w:rsidRPr="007D489B" w:rsidRDefault="007D489B" w:rsidP="007D489B">
            <w:pPr>
              <w:rPr>
                <w:b/>
                <w:bCs/>
              </w:rPr>
            </w:pPr>
            <w:r w:rsidRPr="007D489B">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489B" w:rsidRPr="007D489B" w:rsidRDefault="007D489B" w:rsidP="007D489B">
            <w:pPr>
              <w:jc w:val="center"/>
              <w:rPr>
                <w:b/>
                <w:bCs/>
              </w:rPr>
            </w:pPr>
            <w:r w:rsidRPr="007D489B">
              <w:rPr>
                <w:b/>
                <w:bCs/>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489B" w:rsidRPr="007D489B" w:rsidRDefault="007D489B" w:rsidP="007D489B">
            <w:pPr>
              <w:rPr>
                <w:b/>
                <w:bCs/>
              </w:rPr>
            </w:pPr>
            <w:r w:rsidRPr="007D489B">
              <w:rPr>
                <w:b/>
                <w:bCs/>
              </w:rPr>
              <w:t> </w:t>
            </w:r>
          </w:p>
        </w:tc>
      </w:tr>
      <w:tr w:rsidR="007D489B" w:rsidRPr="007D489B" w:rsidTr="007D489B">
        <w:trPr>
          <w:trHeight w:val="255"/>
        </w:trPr>
        <w:tc>
          <w:tcPr>
            <w:tcW w:w="6188" w:type="dxa"/>
            <w:tcBorders>
              <w:top w:val="nil"/>
              <w:left w:val="single" w:sz="4" w:space="0" w:color="auto"/>
              <w:bottom w:val="single" w:sz="4" w:space="0" w:color="auto"/>
              <w:right w:val="single" w:sz="4" w:space="0" w:color="auto"/>
            </w:tcBorders>
          </w:tcPr>
          <w:p w:rsidR="007D489B" w:rsidRPr="007D489B" w:rsidRDefault="007D489B" w:rsidP="007D489B">
            <w:pPr>
              <w:rPr>
                <w:b/>
                <w:bCs/>
              </w:rPr>
            </w:pPr>
            <w:r w:rsidRPr="007D489B">
              <w:rPr>
                <w:b/>
                <w:bCs/>
              </w:rPr>
              <w:t>Mzdy, platy, služobné príjmy a ostatné osobné vyrovnania (610)</w:t>
            </w:r>
          </w:p>
        </w:tc>
        <w:tc>
          <w:tcPr>
            <w:tcW w:w="1698"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788"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2418" w:type="dxa"/>
            <w:gridSpan w:val="2"/>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722"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620" w:type="dxa"/>
            <w:gridSpan w:val="2"/>
            <w:tcBorders>
              <w:top w:val="nil"/>
              <w:left w:val="nil"/>
              <w:bottom w:val="single" w:sz="4" w:space="0" w:color="auto"/>
              <w:right w:val="single" w:sz="4" w:space="0" w:color="auto"/>
            </w:tcBorders>
            <w:noWrap/>
            <w:vAlign w:val="bottom"/>
          </w:tcPr>
          <w:p w:rsidR="007D489B" w:rsidRPr="007D489B" w:rsidRDefault="007D489B" w:rsidP="007D489B">
            <w:pPr>
              <w:rPr>
                <w:b/>
                <w:bCs/>
              </w:rPr>
            </w:pPr>
            <w:r w:rsidRPr="007D489B">
              <w:rPr>
                <w:b/>
                <w:bCs/>
              </w:rPr>
              <w:t> </w:t>
            </w:r>
          </w:p>
        </w:tc>
      </w:tr>
      <w:tr w:rsidR="007D489B" w:rsidRPr="007D489B" w:rsidTr="007D489B">
        <w:trPr>
          <w:trHeight w:val="255"/>
        </w:trPr>
        <w:tc>
          <w:tcPr>
            <w:tcW w:w="6188" w:type="dxa"/>
            <w:tcBorders>
              <w:top w:val="nil"/>
              <w:left w:val="single" w:sz="4" w:space="0" w:color="auto"/>
              <w:bottom w:val="single" w:sz="4" w:space="0" w:color="auto"/>
              <w:right w:val="single" w:sz="4" w:space="0" w:color="auto"/>
            </w:tcBorders>
          </w:tcPr>
          <w:p w:rsidR="007D489B" w:rsidRPr="007D489B" w:rsidRDefault="007D489B" w:rsidP="007D489B">
            <w:r w:rsidRPr="007D489B">
              <w:rPr>
                <w:b/>
                <w:bCs/>
              </w:rPr>
              <w:t xml:space="preserve">   z toho vplyv na ŠR</w:t>
            </w:r>
          </w:p>
        </w:tc>
        <w:tc>
          <w:tcPr>
            <w:tcW w:w="1698" w:type="dxa"/>
            <w:tcBorders>
              <w:top w:val="nil"/>
              <w:left w:val="nil"/>
              <w:bottom w:val="single" w:sz="4" w:space="0" w:color="auto"/>
              <w:right w:val="single" w:sz="4" w:space="0" w:color="auto"/>
            </w:tcBorders>
          </w:tcPr>
          <w:p w:rsidR="007D489B" w:rsidRPr="007D489B" w:rsidRDefault="007D489B" w:rsidP="007D489B">
            <w:pPr>
              <w:jc w:val="center"/>
            </w:pPr>
          </w:p>
        </w:tc>
        <w:tc>
          <w:tcPr>
            <w:tcW w:w="1788" w:type="dxa"/>
            <w:tcBorders>
              <w:top w:val="nil"/>
              <w:left w:val="nil"/>
              <w:bottom w:val="single" w:sz="4" w:space="0" w:color="auto"/>
              <w:right w:val="single" w:sz="4" w:space="0" w:color="auto"/>
            </w:tcBorders>
          </w:tcPr>
          <w:p w:rsidR="007D489B" w:rsidRPr="007D489B" w:rsidRDefault="007D489B" w:rsidP="007D489B">
            <w:pPr>
              <w:jc w:val="center"/>
            </w:pPr>
          </w:p>
        </w:tc>
        <w:tc>
          <w:tcPr>
            <w:tcW w:w="2418" w:type="dxa"/>
            <w:gridSpan w:val="2"/>
            <w:tcBorders>
              <w:top w:val="nil"/>
              <w:left w:val="nil"/>
              <w:bottom w:val="single" w:sz="4" w:space="0" w:color="auto"/>
              <w:right w:val="single" w:sz="4" w:space="0" w:color="auto"/>
            </w:tcBorders>
          </w:tcPr>
          <w:p w:rsidR="007D489B" w:rsidRPr="007D489B" w:rsidRDefault="007D489B" w:rsidP="007D489B">
            <w:pPr>
              <w:jc w:val="center"/>
            </w:pPr>
          </w:p>
        </w:tc>
        <w:tc>
          <w:tcPr>
            <w:tcW w:w="1722" w:type="dxa"/>
            <w:tcBorders>
              <w:top w:val="nil"/>
              <w:left w:val="nil"/>
              <w:bottom w:val="single" w:sz="4" w:space="0" w:color="auto"/>
              <w:right w:val="single" w:sz="4" w:space="0" w:color="auto"/>
            </w:tcBorders>
          </w:tcPr>
          <w:p w:rsidR="007D489B" w:rsidRPr="007D489B" w:rsidRDefault="007D489B" w:rsidP="007D489B">
            <w:pPr>
              <w:jc w:val="center"/>
            </w:pPr>
          </w:p>
        </w:tc>
        <w:tc>
          <w:tcPr>
            <w:tcW w:w="1620" w:type="dxa"/>
            <w:gridSpan w:val="2"/>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6188" w:type="dxa"/>
            <w:tcBorders>
              <w:top w:val="nil"/>
              <w:left w:val="single" w:sz="4" w:space="0" w:color="auto"/>
              <w:bottom w:val="single" w:sz="4" w:space="0" w:color="auto"/>
              <w:right w:val="single" w:sz="4" w:space="0" w:color="auto"/>
            </w:tcBorders>
          </w:tcPr>
          <w:p w:rsidR="007D489B" w:rsidRPr="007D489B" w:rsidRDefault="007D489B" w:rsidP="007D489B">
            <w:pPr>
              <w:rPr>
                <w:b/>
                <w:bCs/>
              </w:rPr>
            </w:pPr>
            <w:r w:rsidRPr="007D489B">
              <w:rPr>
                <w:b/>
                <w:bCs/>
              </w:rPr>
              <w:t>Poistné a príspevok do poisťovní (620)</w:t>
            </w:r>
          </w:p>
        </w:tc>
        <w:tc>
          <w:tcPr>
            <w:tcW w:w="1698"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788"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2418" w:type="dxa"/>
            <w:gridSpan w:val="2"/>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722" w:type="dxa"/>
            <w:tcBorders>
              <w:top w:val="nil"/>
              <w:left w:val="nil"/>
              <w:bottom w:val="single" w:sz="4" w:space="0" w:color="auto"/>
              <w:right w:val="single" w:sz="4" w:space="0" w:color="auto"/>
            </w:tcBorders>
          </w:tcPr>
          <w:p w:rsidR="007D489B" w:rsidRPr="007D489B" w:rsidRDefault="007D489B" w:rsidP="007D489B">
            <w:pPr>
              <w:jc w:val="center"/>
              <w:rPr>
                <w:b/>
                <w:bCs/>
              </w:rPr>
            </w:pPr>
          </w:p>
        </w:tc>
        <w:tc>
          <w:tcPr>
            <w:tcW w:w="1620" w:type="dxa"/>
            <w:gridSpan w:val="2"/>
            <w:tcBorders>
              <w:top w:val="nil"/>
              <w:left w:val="nil"/>
              <w:bottom w:val="single" w:sz="4" w:space="0" w:color="auto"/>
              <w:right w:val="single" w:sz="4" w:space="0" w:color="auto"/>
            </w:tcBorders>
            <w:noWrap/>
            <w:vAlign w:val="bottom"/>
          </w:tcPr>
          <w:p w:rsidR="007D489B" w:rsidRPr="007D489B" w:rsidRDefault="007D489B" w:rsidP="007D489B">
            <w:pPr>
              <w:rPr>
                <w:b/>
                <w:bCs/>
              </w:rPr>
            </w:pPr>
            <w:r w:rsidRPr="007D489B">
              <w:rPr>
                <w:b/>
                <w:bCs/>
              </w:rPr>
              <w:t> </w:t>
            </w:r>
          </w:p>
        </w:tc>
      </w:tr>
      <w:tr w:rsidR="007D489B" w:rsidRPr="007D489B" w:rsidTr="007D489B">
        <w:trPr>
          <w:trHeight w:val="255"/>
        </w:trPr>
        <w:tc>
          <w:tcPr>
            <w:tcW w:w="6188" w:type="dxa"/>
            <w:tcBorders>
              <w:top w:val="nil"/>
              <w:left w:val="single" w:sz="4" w:space="0" w:color="auto"/>
              <w:bottom w:val="single" w:sz="4" w:space="0" w:color="auto"/>
              <w:right w:val="single" w:sz="4" w:space="0" w:color="auto"/>
            </w:tcBorders>
          </w:tcPr>
          <w:p w:rsidR="007D489B" w:rsidRPr="007D489B" w:rsidRDefault="007D489B" w:rsidP="007D489B">
            <w:r w:rsidRPr="007D489B">
              <w:rPr>
                <w:b/>
                <w:bCs/>
              </w:rPr>
              <w:t xml:space="preserve">   z toho vplyv na ŠR</w:t>
            </w:r>
          </w:p>
        </w:tc>
        <w:tc>
          <w:tcPr>
            <w:tcW w:w="1698" w:type="dxa"/>
            <w:tcBorders>
              <w:top w:val="nil"/>
              <w:left w:val="nil"/>
              <w:bottom w:val="single" w:sz="4" w:space="0" w:color="auto"/>
              <w:right w:val="single" w:sz="4" w:space="0" w:color="auto"/>
            </w:tcBorders>
          </w:tcPr>
          <w:p w:rsidR="007D489B" w:rsidRPr="007D489B" w:rsidRDefault="007D489B" w:rsidP="007D489B">
            <w:pPr>
              <w:jc w:val="center"/>
            </w:pPr>
          </w:p>
        </w:tc>
        <w:tc>
          <w:tcPr>
            <w:tcW w:w="1788" w:type="dxa"/>
            <w:tcBorders>
              <w:top w:val="nil"/>
              <w:left w:val="nil"/>
              <w:bottom w:val="single" w:sz="4" w:space="0" w:color="auto"/>
              <w:right w:val="single" w:sz="4" w:space="0" w:color="auto"/>
            </w:tcBorders>
          </w:tcPr>
          <w:p w:rsidR="007D489B" w:rsidRPr="007D489B" w:rsidRDefault="007D489B" w:rsidP="007D489B">
            <w:pPr>
              <w:jc w:val="center"/>
            </w:pPr>
          </w:p>
        </w:tc>
        <w:tc>
          <w:tcPr>
            <w:tcW w:w="2418" w:type="dxa"/>
            <w:gridSpan w:val="2"/>
            <w:tcBorders>
              <w:top w:val="nil"/>
              <w:left w:val="nil"/>
              <w:bottom w:val="single" w:sz="4" w:space="0" w:color="auto"/>
              <w:right w:val="single" w:sz="4" w:space="0" w:color="auto"/>
            </w:tcBorders>
          </w:tcPr>
          <w:p w:rsidR="007D489B" w:rsidRPr="007D489B" w:rsidRDefault="007D489B" w:rsidP="007D489B">
            <w:pPr>
              <w:jc w:val="center"/>
            </w:pPr>
          </w:p>
        </w:tc>
        <w:tc>
          <w:tcPr>
            <w:tcW w:w="1722" w:type="dxa"/>
            <w:tcBorders>
              <w:top w:val="nil"/>
              <w:left w:val="nil"/>
              <w:bottom w:val="single" w:sz="4" w:space="0" w:color="auto"/>
              <w:right w:val="single" w:sz="4" w:space="0" w:color="auto"/>
            </w:tcBorders>
          </w:tcPr>
          <w:p w:rsidR="007D489B" w:rsidRPr="007D489B" w:rsidRDefault="007D489B" w:rsidP="007D489B">
            <w:pPr>
              <w:jc w:val="center"/>
            </w:pPr>
          </w:p>
        </w:tc>
        <w:tc>
          <w:tcPr>
            <w:tcW w:w="1620" w:type="dxa"/>
            <w:gridSpan w:val="2"/>
            <w:tcBorders>
              <w:top w:val="nil"/>
              <w:left w:val="nil"/>
              <w:bottom w:val="single" w:sz="4" w:space="0" w:color="auto"/>
              <w:right w:val="single" w:sz="4" w:space="0" w:color="auto"/>
            </w:tcBorders>
            <w:noWrap/>
            <w:vAlign w:val="bottom"/>
          </w:tcPr>
          <w:p w:rsidR="007D489B" w:rsidRPr="007D489B" w:rsidRDefault="007D489B" w:rsidP="007D489B">
            <w:r w:rsidRPr="007D489B">
              <w:t> </w:t>
            </w:r>
          </w:p>
        </w:tc>
      </w:tr>
      <w:tr w:rsidR="007D489B" w:rsidRPr="007D489B" w:rsidTr="007D489B">
        <w:trPr>
          <w:trHeight w:val="255"/>
        </w:trPr>
        <w:tc>
          <w:tcPr>
            <w:tcW w:w="6188" w:type="dxa"/>
            <w:tcBorders>
              <w:top w:val="nil"/>
              <w:left w:val="nil"/>
              <w:bottom w:val="nil"/>
              <w:right w:val="nil"/>
            </w:tcBorders>
            <w:noWrap/>
            <w:vAlign w:val="bottom"/>
          </w:tcPr>
          <w:p w:rsidR="007D489B" w:rsidRPr="007D489B" w:rsidRDefault="007D489B" w:rsidP="007D489B"/>
        </w:tc>
        <w:tc>
          <w:tcPr>
            <w:tcW w:w="1698" w:type="dxa"/>
            <w:tcBorders>
              <w:top w:val="nil"/>
              <w:left w:val="nil"/>
              <w:bottom w:val="nil"/>
              <w:right w:val="nil"/>
            </w:tcBorders>
            <w:noWrap/>
            <w:vAlign w:val="bottom"/>
          </w:tcPr>
          <w:p w:rsidR="007D489B" w:rsidRPr="007D489B" w:rsidRDefault="007D489B" w:rsidP="007D489B"/>
        </w:tc>
        <w:tc>
          <w:tcPr>
            <w:tcW w:w="1788" w:type="dxa"/>
            <w:tcBorders>
              <w:top w:val="nil"/>
              <w:left w:val="nil"/>
              <w:bottom w:val="nil"/>
              <w:right w:val="nil"/>
            </w:tcBorders>
            <w:noWrap/>
            <w:vAlign w:val="bottom"/>
          </w:tcPr>
          <w:p w:rsidR="007D489B" w:rsidRPr="007D489B" w:rsidRDefault="007D489B" w:rsidP="007D489B"/>
        </w:tc>
        <w:tc>
          <w:tcPr>
            <w:tcW w:w="2418" w:type="dxa"/>
            <w:gridSpan w:val="2"/>
            <w:tcBorders>
              <w:top w:val="nil"/>
              <w:left w:val="nil"/>
              <w:bottom w:val="nil"/>
              <w:right w:val="nil"/>
            </w:tcBorders>
            <w:noWrap/>
            <w:vAlign w:val="bottom"/>
          </w:tcPr>
          <w:p w:rsidR="007D489B" w:rsidRPr="007D489B" w:rsidRDefault="007D489B" w:rsidP="007D489B"/>
        </w:tc>
        <w:tc>
          <w:tcPr>
            <w:tcW w:w="1722" w:type="dxa"/>
            <w:tcBorders>
              <w:top w:val="nil"/>
              <w:left w:val="nil"/>
              <w:bottom w:val="nil"/>
              <w:right w:val="nil"/>
            </w:tcBorders>
            <w:noWrap/>
            <w:vAlign w:val="bottom"/>
          </w:tcPr>
          <w:p w:rsidR="007D489B" w:rsidRPr="007D489B" w:rsidRDefault="007D489B" w:rsidP="007D489B"/>
        </w:tc>
        <w:tc>
          <w:tcPr>
            <w:tcW w:w="1620" w:type="dxa"/>
            <w:gridSpan w:val="2"/>
            <w:tcBorders>
              <w:top w:val="nil"/>
              <w:left w:val="nil"/>
              <w:bottom w:val="nil"/>
              <w:right w:val="nil"/>
            </w:tcBorders>
            <w:noWrap/>
            <w:vAlign w:val="bottom"/>
          </w:tcPr>
          <w:p w:rsidR="007D489B" w:rsidRPr="007D489B" w:rsidRDefault="007D489B" w:rsidP="007D489B"/>
        </w:tc>
      </w:tr>
      <w:tr w:rsidR="007D489B" w:rsidRPr="007D489B" w:rsidTr="007D489B">
        <w:trPr>
          <w:trHeight w:val="255"/>
        </w:trPr>
        <w:tc>
          <w:tcPr>
            <w:tcW w:w="6188" w:type="dxa"/>
            <w:tcBorders>
              <w:top w:val="nil"/>
              <w:left w:val="nil"/>
              <w:bottom w:val="nil"/>
              <w:right w:val="nil"/>
            </w:tcBorders>
          </w:tcPr>
          <w:p w:rsidR="007D489B" w:rsidRPr="007D489B" w:rsidRDefault="007D489B" w:rsidP="007D489B">
            <w:pPr>
              <w:rPr>
                <w:b/>
                <w:bCs/>
              </w:rPr>
            </w:pPr>
            <w:r w:rsidRPr="007D489B">
              <w:rPr>
                <w:b/>
                <w:bCs/>
              </w:rPr>
              <w:t>Poznámky:</w:t>
            </w:r>
          </w:p>
        </w:tc>
        <w:tc>
          <w:tcPr>
            <w:tcW w:w="1698" w:type="dxa"/>
            <w:tcBorders>
              <w:top w:val="nil"/>
              <w:left w:val="nil"/>
              <w:bottom w:val="nil"/>
              <w:right w:val="nil"/>
            </w:tcBorders>
            <w:noWrap/>
            <w:vAlign w:val="bottom"/>
          </w:tcPr>
          <w:p w:rsidR="007D489B" w:rsidRPr="007D489B" w:rsidRDefault="007D489B" w:rsidP="007D489B"/>
        </w:tc>
        <w:tc>
          <w:tcPr>
            <w:tcW w:w="1788" w:type="dxa"/>
            <w:tcBorders>
              <w:top w:val="nil"/>
              <w:left w:val="nil"/>
              <w:bottom w:val="nil"/>
              <w:right w:val="nil"/>
            </w:tcBorders>
            <w:noWrap/>
            <w:vAlign w:val="bottom"/>
          </w:tcPr>
          <w:p w:rsidR="007D489B" w:rsidRPr="007D489B" w:rsidRDefault="007D489B" w:rsidP="007D489B"/>
        </w:tc>
        <w:tc>
          <w:tcPr>
            <w:tcW w:w="2418" w:type="dxa"/>
            <w:gridSpan w:val="2"/>
            <w:tcBorders>
              <w:top w:val="nil"/>
              <w:left w:val="nil"/>
              <w:bottom w:val="nil"/>
              <w:right w:val="nil"/>
            </w:tcBorders>
            <w:noWrap/>
            <w:vAlign w:val="bottom"/>
          </w:tcPr>
          <w:p w:rsidR="007D489B" w:rsidRPr="007D489B" w:rsidRDefault="007D489B" w:rsidP="007D489B"/>
        </w:tc>
        <w:tc>
          <w:tcPr>
            <w:tcW w:w="1722" w:type="dxa"/>
            <w:tcBorders>
              <w:top w:val="nil"/>
              <w:left w:val="nil"/>
              <w:bottom w:val="nil"/>
              <w:right w:val="nil"/>
            </w:tcBorders>
            <w:noWrap/>
            <w:vAlign w:val="bottom"/>
          </w:tcPr>
          <w:p w:rsidR="007D489B" w:rsidRPr="007D489B" w:rsidRDefault="007D489B" w:rsidP="007D489B"/>
        </w:tc>
        <w:tc>
          <w:tcPr>
            <w:tcW w:w="1620" w:type="dxa"/>
            <w:gridSpan w:val="2"/>
            <w:tcBorders>
              <w:top w:val="nil"/>
              <w:left w:val="nil"/>
              <w:bottom w:val="nil"/>
              <w:right w:val="nil"/>
            </w:tcBorders>
            <w:noWrap/>
            <w:vAlign w:val="bottom"/>
          </w:tcPr>
          <w:p w:rsidR="007D489B" w:rsidRPr="007D489B" w:rsidRDefault="007D489B" w:rsidP="007D489B"/>
        </w:tc>
      </w:tr>
      <w:tr w:rsidR="007D489B" w:rsidRPr="007D489B" w:rsidTr="007D489B">
        <w:trPr>
          <w:trHeight w:val="255"/>
        </w:trPr>
        <w:tc>
          <w:tcPr>
            <w:tcW w:w="13814" w:type="dxa"/>
            <w:gridSpan w:val="6"/>
            <w:tcBorders>
              <w:top w:val="nil"/>
              <w:left w:val="nil"/>
              <w:bottom w:val="nil"/>
              <w:right w:val="nil"/>
            </w:tcBorders>
            <w:noWrap/>
          </w:tcPr>
          <w:p w:rsidR="007D489B" w:rsidRPr="007D489B" w:rsidRDefault="007D489B" w:rsidP="007D489B">
            <w:pPr>
              <w:rPr>
                <w:bCs/>
                <w:szCs w:val="20"/>
              </w:rPr>
            </w:pPr>
          </w:p>
        </w:tc>
        <w:tc>
          <w:tcPr>
            <w:tcW w:w="1620" w:type="dxa"/>
            <w:gridSpan w:val="2"/>
            <w:tcBorders>
              <w:top w:val="nil"/>
              <w:left w:val="nil"/>
              <w:bottom w:val="nil"/>
              <w:right w:val="nil"/>
            </w:tcBorders>
            <w:noWrap/>
            <w:vAlign w:val="bottom"/>
          </w:tcPr>
          <w:p w:rsidR="007D489B" w:rsidRPr="007D489B" w:rsidRDefault="007D489B" w:rsidP="007D489B"/>
        </w:tc>
      </w:tr>
      <w:tr w:rsidR="007D489B" w:rsidRPr="007D489B" w:rsidTr="007D489B">
        <w:trPr>
          <w:trHeight w:val="255"/>
        </w:trPr>
        <w:tc>
          <w:tcPr>
            <w:tcW w:w="10394" w:type="dxa"/>
            <w:gridSpan w:val="4"/>
            <w:tcBorders>
              <w:top w:val="nil"/>
              <w:left w:val="nil"/>
              <w:bottom w:val="nil"/>
              <w:right w:val="nil"/>
            </w:tcBorders>
            <w:noWrap/>
            <w:vAlign w:val="bottom"/>
          </w:tcPr>
          <w:p w:rsidR="007D489B" w:rsidRPr="007D489B" w:rsidRDefault="007D489B" w:rsidP="007D489B">
            <w:r w:rsidRPr="007D489B">
              <w:rPr>
                <w:rFonts w:eastAsiaTheme="minorHAnsi"/>
                <w:bCs/>
                <w:lang w:eastAsia="en-US"/>
              </w:rPr>
              <w:t>Z predloženého materiálu nevyplývajú zvýšené nároky na počty zamestnancov zainteresovaných subjektov verejnej správy podieľajúcich sa na realizácií spojených volieb. Nadväzne na uvedené sa tabuľka č. 5 nevypĺňa.</w:t>
            </w:r>
          </w:p>
        </w:tc>
        <w:tc>
          <w:tcPr>
            <w:tcW w:w="1698" w:type="dxa"/>
            <w:tcBorders>
              <w:top w:val="nil"/>
              <w:left w:val="nil"/>
              <w:bottom w:val="nil"/>
              <w:right w:val="nil"/>
            </w:tcBorders>
            <w:noWrap/>
            <w:vAlign w:val="bottom"/>
          </w:tcPr>
          <w:p w:rsidR="007D489B" w:rsidRPr="007D489B" w:rsidRDefault="007D489B" w:rsidP="007D489B"/>
        </w:tc>
        <w:tc>
          <w:tcPr>
            <w:tcW w:w="2352" w:type="dxa"/>
            <w:gridSpan w:val="2"/>
            <w:tcBorders>
              <w:top w:val="nil"/>
              <w:left w:val="nil"/>
              <w:bottom w:val="nil"/>
              <w:right w:val="nil"/>
            </w:tcBorders>
            <w:noWrap/>
            <w:vAlign w:val="bottom"/>
          </w:tcPr>
          <w:p w:rsidR="007D489B" w:rsidRPr="007D489B" w:rsidRDefault="007D489B" w:rsidP="007D489B"/>
        </w:tc>
        <w:tc>
          <w:tcPr>
            <w:tcW w:w="990" w:type="dxa"/>
            <w:tcBorders>
              <w:top w:val="nil"/>
              <w:left w:val="nil"/>
              <w:bottom w:val="nil"/>
              <w:right w:val="nil"/>
            </w:tcBorders>
            <w:noWrap/>
            <w:vAlign w:val="bottom"/>
          </w:tcPr>
          <w:p w:rsidR="007D489B" w:rsidRPr="007D489B" w:rsidRDefault="007D489B" w:rsidP="007D489B"/>
        </w:tc>
      </w:tr>
    </w:tbl>
    <w:p w:rsidR="007D489B" w:rsidRPr="007D489B" w:rsidRDefault="007D489B" w:rsidP="007D489B">
      <w:pPr>
        <w:rPr>
          <w:b/>
          <w:bCs/>
        </w:rPr>
        <w:sectPr w:rsidR="007D489B" w:rsidRPr="007D489B">
          <w:pgSz w:w="16838" w:h="11906" w:orient="landscape"/>
          <w:pgMar w:top="1418" w:right="1418" w:bottom="1418" w:left="1418" w:header="709" w:footer="709"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7D489B" w:rsidRPr="007D489B" w:rsidTr="007D489B">
        <w:trPr>
          <w:trHeight w:val="534"/>
          <w:jc w:val="center"/>
        </w:trPr>
        <w:tc>
          <w:tcPr>
            <w:tcW w:w="5000" w:type="pct"/>
            <w:gridSpan w:val="3"/>
            <w:tcBorders>
              <w:bottom w:val="single" w:sz="4" w:space="0" w:color="auto"/>
            </w:tcBorders>
            <w:shd w:val="clear" w:color="auto" w:fill="808080" w:themeFill="background1" w:themeFillShade="80"/>
          </w:tcPr>
          <w:p w:rsidR="007D489B" w:rsidRPr="007D489B" w:rsidRDefault="007D489B" w:rsidP="007D489B">
            <w:pPr>
              <w:jc w:val="center"/>
              <w:rPr>
                <w:rFonts w:eastAsia="Calibri"/>
                <w:b/>
                <w:sz w:val="22"/>
                <w:szCs w:val="22"/>
              </w:rPr>
            </w:pPr>
            <w:r w:rsidRPr="007D489B">
              <w:rPr>
                <w:rFonts w:eastAsia="Calibri"/>
                <w:b/>
                <w:sz w:val="28"/>
                <w:szCs w:val="22"/>
              </w:rPr>
              <w:lastRenderedPageBreak/>
              <w:t>Analýza sociálnych vplyvov</w:t>
            </w:r>
          </w:p>
          <w:p w:rsidR="007D489B" w:rsidRPr="007D489B" w:rsidRDefault="007D489B" w:rsidP="007D489B">
            <w:pPr>
              <w:jc w:val="center"/>
              <w:rPr>
                <w:rFonts w:eastAsia="Calibri"/>
                <w:b/>
                <w:szCs w:val="22"/>
              </w:rPr>
            </w:pPr>
            <w:r w:rsidRPr="007D489B">
              <w:rPr>
                <w:rFonts w:eastAsia="Calibri"/>
                <w:b/>
                <w:szCs w:val="22"/>
              </w:rPr>
              <w:t>Vplyvy na hospodárenie domácností, prístup k zdrojom, právam, tovarom a službám, sociálnu inklúziu, rovnosť príležitostí a rovnosť žien a mužov a vplyvy na zamestnanosť</w:t>
            </w:r>
          </w:p>
          <w:p w:rsidR="007D489B" w:rsidRPr="007D489B" w:rsidRDefault="007D489B" w:rsidP="007D489B">
            <w:pPr>
              <w:jc w:val="both"/>
              <w:rPr>
                <w:rFonts w:eastAsia="Calibri"/>
                <w:b/>
                <w:sz w:val="22"/>
                <w:szCs w:val="22"/>
              </w:rPr>
            </w:pPr>
            <w:r w:rsidRPr="007D489B">
              <w:rPr>
                <w:rFonts w:eastAsia="Calibri"/>
                <w:b/>
                <w:sz w:val="18"/>
                <w:szCs w:val="22"/>
              </w:rPr>
              <w:t>(</w:t>
            </w:r>
            <w:r w:rsidRPr="007D489B">
              <w:rPr>
                <w:rFonts w:eastAsia="Calibri"/>
                <w:sz w:val="18"/>
                <w:szCs w:val="22"/>
              </w:rPr>
              <w:t>Ak v niektorej z hodnotených oblastí sociálnych vplyvov (bodov 4.1 až 4.4) nebol identifikovaný vplyv, uveďte v príslušnom riadku analýzy poznámku „Bez vplyvu.“.)</w:t>
            </w:r>
          </w:p>
        </w:tc>
      </w:tr>
      <w:tr w:rsidR="007D489B" w:rsidRPr="007D489B" w:rsidTr="007D489B">
        <w:trPr>
          <w:jc w:val="center"/>
        </w:trPr>
        <w:tc>
          <w:tcPr>
            <w:tcW w:w="5000" w:type="pct"/>
            <w:gridSpan w:val="3"/>
            <w:tcBorders>
              <w:bottom w:val="single" w:sz="4" w:space="0" w:color="auto"/>
            </w:tcBorders>
            <w:shd w:val="clear" w:color="auto" w:fill="A6A6A6" w:themeFill="background1" w:themeFillShade="A6"/>
          </w:tcPr>
          <w:p w:rsidR="007D489B" w:rsidRPr="007D489B" w:rsidRDefault="007D489B" w:rsidP="007D489B">
            <w:pPr>
              <w:rPr>
                <w:rFonts w:eastAsia="Calibri"/>
                <w:b/>
                <w:szCs w:val="22"/>
              </w:rPr>
            </w:pPr>
            <w:r w:rsidRPr="007D489B">
              <w:rPr>
                <w:rFonts w:eastAsia="Calibri"/>
                <w:b/>
                <w:sz w:val="22"/>
                <w:szCs w:val="22"/>
              </w:rPr>
              <w:t xml:space="preserve">4.1 </w:t>
            </w:r>
            <w:r w:rsidRPr="007D489B">
              <w:rPr>
                <w:rFonts w:eastAsia="Calibri"/>
                <w:b/>
                <w:szCs w:val="22"/>
              </w:rPr>
              <w:t>Identifikujte, popíšte a kvantifikujte vplyv na hospodárenie domácností a špecifikujte ovplyvnené skupiny domácností, ktoré budú pozitívne/negatívne ovplyvnené.</w:t>
            </w:r>
          </w:p>
        </w:tc>
      </w:tr>
      <w:tr w:rsidR="007D489B" w:rsidRPr="007D489B" w:rsidTr="007D489B">
        <w:trPr>
          <w:jc w:val="center"/>
        </w:trPr>
        <w:tc>
          <w:tcPr>
            <w:tcW w:w="5000" w:type="pct"/>
            <w:gridSpan w:val="3"/>
            <w:tcBorders>
              <w:bottom w:val="single" w:sz="4" w:space="0" w:color="auto"/>
            </w:tcBorders>
            <w:shd w:val="clear" w:color="auto" w:fill="F2F2F2"/>
          </w:tcPr>
          <w:p w:rsidR="007D489B" w:rsidRPr="007D489B" w:rsidRDefault="007D489B" w:rsidP="007D489B">
            <w:pPr>
              <w:rPr>
                <w:rFonts w:eastAsia="Calibri"/>
                <w:i/>
                <w:sz w:val="20"/>
                <w:szCs w:val="22"/>
              </w:rPr>
            </w:pPr>
            <w:r w:rsidRPr="007D489B">
              <w:rPr>
                <w:rFonts w:eastAsia="Calibri"/>
                <w:i/>
                <w:sz w:val="20"/>
                <w:szCs w:val="22"/>
              </w:rPr>
              <w:t xml:space="preserve">Vedie návrh k zvýšeniu alebo zníženiu príjmov alebo výdavkov domácností? </w:t>
            </w:r>
          </w:p>
          <w:p w:rsidR="007D489B" w:rsidRPr="007D489B" w:rsidRDefault="007D489B" w:rsidP="007D489B">
            <w:pPr>
              <w:rPr>
                <w:rFonts w:eastAsia="Calibri"/>
                <w:i/>
                <w:sz w:val="20"/>
                <w:szCs w:val="22"/>
              </w:rPr>
            </w:pPr>
            <w:r w:rsidRPr="007D489B">
              <w:rPr>
                <w:rFonts w:eastAsia="Calibri"/>
                <w:i/>
                <w:sz w:val="20"/>
                <w:szCs w:val="22"/>
              </w:rPr>
              <w:t xml:space="preserve">Ktoré skupiny domácností/obyvateľstva sú takto ovplyvnené a akým spôsobom? </w:t>
            </w:r>
          </w:p>
          <w:p w:rsidR="007D489B" w:rsidRPr="007D489B" w:rsidRDefault="007D489B" w:rsidP="007D489B">
            <w:pPr>
              <w:rPr>
                <w:rFonts w:eastAsia="Calibri"/>
                <w:i/>
                <w:sz w:val="20"/>
                <w:szCs w:val="22"/>
              </w:rPr>
            </w:pPr>
            <w:r w:rsidRPr="007D489B">
              <w:rPr>
                <w:rFonts w:eastAsia="Calibri"/>
                <w:i/>
                <w:sz w:val="20"/>
                <w:szCs w:val="22"/>
              </w:rPr>
              <w:t>Sú medzi potenciálne ovplyvnenými skupinami skupiny v riziku chudoby alebo sociálneho vylúčenia?</w:t>
            </w:r>
          </w:p>
          <w:p w:rsidR="007D489B" w:rsidRPr="007D489B" w:rsidRDefault="007D489B" w:rsidP="007D489B">
            <w:pPr>
              <w:rPr>
                <w:rFonts w:eastAsia="Calibri"/>
                <w:b/>
                <w:sz w:val="18"/>
                <w:szCs w:val="22"/>
              </w:rPr>
            </w:pPr>
            <w:r w:rsidRPr="007D489B">
              <w:rPr>
                <w:rFonts w:eastAsia="Calibri"/>
                <w:b/>
                <w:sz w:val="18"/>
                <w:szCs w:val="22"/>
              </w:rPr>
              <w:t>(V prípade vyššieho počtu hodnotených opatrení doplňte podľa potreby do tabuľky pred bod 4.2 ďalšie sekcie - 4.1.1 Pozitívny vplyv/4.1.2 Negatívny vplyv).</w:t>
            </w:r>
          </w:p>
        </w:tc>
      </w:tr>
      <w:tr w:rsidR="007D489B" w:rsidRPr="007D489B" w:rsidTr="007D489B">
        <w:trPr>
          <w:trHeight w:val="170"/>
          <w:jc w:val="center"/>
        </w:trPr>
        <w:tc>
          <w:tcPr>
            <w:tcW w:w="129" w:type="pct"/>
            <w:tcBorders>
              <w:top w:val="single" w:sz="4" w:space="0" w:color="auto"/>
              <w:bottom w:val="single" w:sz="4" w:space="0" w:color="auto"/>
            </w:tcBorders>
            <w:shd w:val="clear" w:color="auto" w:fill="DDDDDD"/>
            <w:vAlign w:val="center"/>
          </w:tcPr>
          <w:p w:rsidR="007D489B" w:rsidRPr="007D489B" w:rsidRDefault="007D489B" w:rsidP="007D489B">
            <w:pPr>
              <w:jc w:val="center"/>
              <w:rPr>
                <w:rFonts w:eastAsia="Calibri"/>
                <w:i/>
                <w:sz w:val="18"/>
                <w:szCs w:val="18"/>
              </w:rPr>
            </w:pPr>
            <w:r w:rsidRPr="007D489B">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7D489B" w:rsidRPr="007D489B" w:rsidRDefault="007D489B" w:rsidP="007D489B">
            <w:pPr>
              <w:jc w:val="center"/>
              <w:rPr>
                <w:rFonts w:eastAsia="Calibri"/>
                <w:b/>
                <w:sz w:val="20"/>
                <w:szCs w:val="20"/>
              </w:rPr>
            </w:pPr>
            <w:r w:rsidRPr="007D489B">
              <w:rPr>
                <w:rFonts w:eastAsia="Calibri"/>
                <w:b/>
                <w:i/>
                <w:sz w:val="20"/>
                <w:szCs w:val="20"/>
              </w:rPr>
              <w:t>4.1.1 Pozitívny vplyv</w:t>
            </w:r>
          </w:p>
        </w:tc>
      </w:tr>
      <w:tr w:rsidR="007D489B" w:rsidRPr="007D489B" w:rsidTr="007D489B">
        <w:trPr>
          <w:trHeight w:val="759"/>
          <w:jc w:val="center"/>
        </w:trPr>
        <w:tc>
          <w:tcPr>
            <w:tcW w:w="129" w:type="pct"/>
            <w:tcBorders>
              <w:top w:val="single" w:sz="4" w:space="0" w:color="auto"/>
              <w:bottom w:val="single" w:sz="4" w:space="0" w:color="auto"/>
            </w:tcBorders>
            <w:shd w:val="clear" w:color="auto" w:fill="auto"/>
            <w:vAlign w:val="center"/>
          </w:tcPr>
          <w:p w:rsidR="007D489B" w:rsidRPr="007D489B" w:rsidRDefault="007D489B" w:rsidP="007D489B">
            <w:pPr>
              <w:contextualSpacing/>
              <w:jc w:val="center"/>
              <w:rPr>
                <w:rFonts w:eastAsia="Calibri"/>
                <w:i/>
                <w:sz w:val="18"/>
                <w:szCs w:val="18"/>
              </w:rPr>
            </w:pPr>
            <w:r w:rsidRPr="007D489B">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rsidR="007D489B" w:rsidRPr="007D489B" w:rsidRDefault="007D489B" w:rsidP="007D489B">
            <w:pPr>
              <w:jc w:val="both"/>
              <w:rPr>
                <w:rFonts w:eastAsia="Calibri"/>
                <w:i/>
                <w:sz w:val="20"/>
                <w:szCs w:val="20"/>
              </w:rPr>
            </w:pPr>
            <w:r w:rsidRPr="007D489B">
              <w:rPr>
                <w:rFonts w:eastAsia="Calibri"/>
                <w:b/>
                <w:i/>
                <w:sz w:val="20"/>
                <w:szCs w:val="20"/>
              </w:rPr>
              <w:t xml:space="preserve">Popíšte </w:t>
            </w:r>
            <w:r w:rsidRPr="007D489B">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7D489B" w:rsidRPr="007D489B" w:rsidRDefault="007D489B" w:rsidP="007D489B">
            <w:pPr>
              <w:contextualSpacing/>
              <w:rPr>
                <w:rFonts w:eastAsia="Calibri"/>
                <w:sz w:val="20"/>
                <w:szCs w:val="20"/>
              </w:rPr>
            </w:pPr>
          </w:p>
        </w:tc>
      </w:tr>
      <w:tr w:rsidR="007D489B" w:rsidRPr="007D489B" w:rsidTr="007D489B">
        <w:trPr>
          <w:trHeight w:val="397"/>
          <w:jc w:val="center"/>
        </w:trPr>
        <w:tc>
          <w:tcPr>
            <w:tcW w:w="129" w:type="pct"/>
            <w:vMerge w:val="restart"/>
            <w:tcBorders>
              <w:top w:val="single"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c)</w:t>
            </w:r>
          </w:p>
        </w:tc>
        <w:tc>
          <w:tcPr>
            <w:tcW w:w="1642" w:type="pct"/>
            <w:tcBorders>
              <w:top w:val="single" w:sz="4" w:space="0" w:color="auto"/>
            </w:tcBorders>
            <w:shd w:val="clear" w:color="auto" w:fill="auto"/>
          </w:tcPr>
          <w:p w:rsidR="007D489B" w:rsidRPr="007D489B" w:rsidRDefault="007D489B" w:rsidP="007D489B">
            <w:pPr>
              <w:rPr>
                <w:rFonts w:eastAsia="Calibri"/>
                <w:i/>
                <w:sz w:val="20"/>
                <w:szCs w:val="20"/>
              </w:rPr>
            </w:pPr>
            <w:r w:rsidRPr="007D489B">
              <w:rPr>
                <w:rFonts w:eastAsia="Calibri"/>
                <w:b/>
                <w:i/>
                <w:sz w:val="20"/>
                <w:szCs w:val="20"/>
              </w:rPr>
              <w:t xml:space="preserve">Špecifikujte </w:t>
            </w:r>
            <w:r w:rsidRPr="007D489B">
              <w:rPr>
                <w:rFonts w:eastAsia="Calibri"/>
                <w:i/>
                <w:sz w:val="20"/>
                <w:szCs w:val="20"/>
              </w:rPr>
              <w:t>ovplyvnené skupiny:</w:t>
            </w:r>
          </w:p>
        </w:tc>
        <w:tc>
          <w:tcPr>
            <w:tcW w:w="3229" w:type="pct"/>
            <w:tcBorders>
              <w:top w:val="single" w:sz="4" w:space="0" w:color="auto"/>
            </w:tcBorders>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1</w:t>
            </w:r>
          </w:p>
        </w:tc>
      </w:tr>
      <w:tr w:rsidR="007D489B" w:rsidRPr="007D489B" w:rsidTr="007D489B">
        <w:trPr>
          <w:trHeight w:val="397"/>
          <w:jc w:val="center"/>
        </w:trPr>
        <w:tc>
          <w:tcPr>
            <w:tcW w:w="129" w:type="pct"/>
            <w:vMerge/>
            <w:shd w:val="clear" w:color="auto" w:fill="auto"/>
            <w:vAlign w:val="center"/>
          </w:tcPr>
          <w:p w:rsidR="007D489B" w:rsidRPr="007D489B" w:rsidRDefault="007D489B" w:rsidP="007D489B">
            <w:pPr>
              <w:jc w:val="center"/>
              <w:rPr>
                <w:rFonts w:eastAsia="Calibri"/>
                <w:i/>
                <w:sz w:val="18"/>
                <w:szCs w:val="18"/>
              </w:rPr>
            </w:pPr>
          </w:p>
        </w:tc>
        <w:tc>
          <w:tcPr>
            <w:tcW w:w="1642" w:type="pct"/>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3</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2</w:t>
            </w:r>
          </w:p>
        </w:tc>
      </w:tr>
      <w:tr w:rsidR="007D489B" w:rsidRPr="007D489B" w:rsidTr="007D489B">
        <w:trPr>
          <w:trHeight w:val="454"/>
          <w:jc w:val="center"/>
        </w:trPr>
        <w:tc>
          <w:tcPr>
            <w:tcW w:w="129" w:type="pct"/>
            <w:tcBorders>
              <w:top w:val="dotted" w:sz="4" w:space="0" w:color="auto"/>
            </w:tcBorders>
            <w:shd w:val="clear" w:color="auto" w:fill="F2F2F2"/>
            <w:vAlign w:val="center"/>
          </w:tcPr>
          <w:p w:rsidR="007D489B" w:rsidRPr="007D489B" w:rsidRDefault="007D489B" w:rsidP="007D489B">
            <w:pPr>
              <w:jc w:val="center"/>
              <w:rPr>
                <w:rFonts w:eastAsia="Calibri"/>
                <w:i/>
                <w:sz w:val="18"/>
                <w:szCs w:val="18"/>
              </w:rPr>
            </w:pPr>
            <w:r w:rsidRPr="007D489B">
              <w:rPr>
                <w:rFonts w:eastAsia="Calibri"/>
                <w:i/>
                <w:sz w:val="18"/>
                <w:szCs w:val="18"/>
              </w:rPr>
              <w:t>d)</w:t>
            </w:r>
          </w:p>
        </w:tc>
        <w:tc>
          <w:tcPr>
            <w:tcW w:w="4871" w:type="pct"/>
            <w:gridSpan w:val="2"/>
            <w:tcBorders>
              <w:top w:val="dotted" w:sz="4" w:space="0" w:color="auto"/>
            </w:tcBorders>
            <w:shd w:val="clear" w:color="auto" w:fill="F2F2F2"/>
            <w:vAlign w:val="center"/>
          </w:tcPr>
          <w:p w:rsidR="007D489B" w:rsidRPr="007D489B" w:rsidRDefault="007D489B" w:rsidP="007D489B">
            <w:pPr>
              <w:rPr>
                <w:rFonts w:eastAsia="Calibri"/>
                <w:sz w:val="20"/>
                <w:szCs w:val="20"/>
              </w:rPr>
            </w:pPr>
            <w:r w:rsidRPr="007D489B">
              <w:rPr>
                <w:rFonts w:eastAsia="Calibri"/>
                <w:b/>
                <w:i/>
                <w:sz w:val="20"/>
                <w:szCs w:val="20"/>
              </w:rPr>
              <w:t>Kvantifikujte</w:t>
            </w:r>
            <w:r w:rsidRPr="007D489B">
              <w:rPr>
                <w:rFonts w:eastAsia="Calibri"/>
                <w:i/>
                <w:sz w:val="20"/>
                <w:szCs w:val="20"/>
              </w:rPr>
              <w:t xml:space="preserve"> rast príjmov alebo pokles výdavkov </w:t>
            </w:r>
            <w:r w:rsidRPr="007D489B">
              <w:rPr>
                <w:rFonts w:eastAsia="Calibri"/>
                <w:b/>
                <w:i/>
                <w:sz w:val="20"/>
                <w:szCs w:val="20"/>
              </w:rPr>
              <w:t>za jednotlivé</w:t>
            </w:r>
            <w:r w:rsidRPr="007D489B">
              <w:rPr>
                <w:rFonts w:eastAsia="Calibri"/>
                <w:i/>
                <w:sz w:val="20"/>
                <w:szCs w:val="20"/>
              </w:rPr>
              <w:t xml:space="preserve"> </w:t>
            </w:r>
            <w:r w:rsidRPr="007D489B">
              <w:rPr>
                <w:rFonts w:eastAsia="Calibri"/>
                <w:b/>
                <w:i/>
                <w:sz w:val="20"/>
                <w:szCs w:val="20"/>
              </w:rPr>
              <w:t>ovplyvnené</w:t>
            </w:r>
            <w:r w:rsidRPr="007D489B">
              <w:rPr>
                <w:rFonts w:eastAsia="Calibri"/>
                <w:i/>
                <w:sz w:val="20"/>
                <w:szCs w:val="20"/>
              </w:rPr>
              <w:t xml:space="preserve"> </w:t>
            </w:r>
            <w:r w:rsidRPr="007D489B">
              <w:rPr>
                <w:rFonts w:eastAsia="Calibri"/>
                <w:b/>
                <w:i/>
                <w:sz w:val="20"/>
                <w:szCs w:val="20"/>
              </w:rPr>
              <w:t>skupiny</w:t>
            </w:r>
            <w:r w:rsidRPr="007D489B">
              <w:rPr>
                <w:rFonts w:eastAsia="Calibri"/>
                <w:i/>
                <w:sz w:val="20"/>
                <w:szCs w:val="20"/>
              </w:rPr>
              <w:t xml:space="preserve"> domácností / skupiny jednotlivcov a počet obyvateľstva/domácností ovplyvnených predkladaným návrhom.</w:t>
            </w:r>
          </w:p>
        </w:tc>
      </w:tr>
      <w:tr w:rsidR="007D489B" w:rsidRPr="007D489B" w:rsidTr="007D489B">
        <w:trPr>
          <w:trHeight w:val="680"/>
          <w:jc w:val="center"/>
        </w:trPr>
        <w:tc>
          <w:tcPr>
            <w:tcW w:w="129" w:type="pct"/>
            <w:vMerge w:val="restart"/>
            <w:tcBorders>
              <w:top w:val="dotted"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e)</w:t>
            </w:r>
          </w:p>
        </w:tc>
        <w:tc>
          <w:tcPr>
            <w:tcW w:w="1642" w:type="pct"/>
            <w:tcBorders>
              <w:top w:val="dotted" w:sz="4" w:space="0" w:color="auto"/>
            </w:tcBorders>
            <w:shd w:val="clear" w:color="auto" w:fill="auto"/>
          </w:tcPr>
          <w:p w:rsidR="007D489B" w:rsidRPr="007D489B" w:rsidRDefault="007D489B" w:rsidP="007D489B">
            <w:pPr>
              <w:numPr>
                <w:ilvl w:val="0"/>
                <w:numId w:val="2"/>
              </w:numPr>
              <w:spacing w:after="160" w:line="259" w:lineRule="auto"/>
              <w:contextualSpacing/>
              <w:jc w:val="both"/>
              <w:rPr>
                <w:rFonts w:eastAsia="Calibri"/>
                <w:i/>
                <w:sz w:val="18"/>
                <w:szCs w:val="20"/>
              </w:rPr>
            </w:pPr>
            <w:r w:rsidRPr="007D489B">
              <w:rPr>
                <w:rFonts w:eastAsia="Calibri"/>
                <w:i/>
                <w:sz w:val="18"/>
                <w:szCs w:val="20"/>
              </w:rPr>
              <w:t>priemerný rast príjmov/ pokles výdavkov v skupine v eurách a/alebo v % / obdobie:</w:t>
            </w:r>
          </w:p>
          <w:p w:rsidR="007D489B" w:rsidRPr="007D489B" w:rsidRDefault="007D489B" w:rsidP="007D489B">
            <w:pPr>
              <w:numPr>
                <w:ilvl w:val="0"/>
                <w:numId w:val="2"/>
              </w:numPr>
              <w:spacing w:after="160" w:line="259" w:lineRule="auto"/>
              <w:contextualSpacing/>
              <w:jc w:val="both"/>
              <w:rPr>
                <w:rFonts w:eastAsia="Calibri"/>
                <w:i/>
                <w:sz w:val="20"/>
                <w:szCs w:val="20"/>
              </w:rPr>
            </w:pPr>
            <w:r w:rsidRPr="007D489B">
              <w:rPr>
                <w:rFonts w:eastAsia="Calibri"/>
                <w:i/>
                <w:sz w:val="18"/>
                <w:szCs w:val="20"/>
              </w:rPr>
              <w:t>veľkosť skupiny (počet obyvateľov):</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1</w:t>
            </w:r>
          </w:p>
        </w:tc>
      </w:tr>
      <w:tr w:rsidR="007D489B" w:rsidRPr="007D489B" w:rsidTr="007D489B">
        <w:trPr>
          <w:trHeight w:val="680"/>
          <w:jc w:val="center"/>
        </w:trPr>
        <w:tc>
          <w:tcPr>
            <w:tcW w:w="129" w:type="pct"/>
            <w:vMerge/>
            <w:shd w:val="clear" w:color="auto" w:fill="auto"/>
            <w:vAlign w:val="center"/>
          </w:tcPr>
          <w:p w:rsidR="007D489B" w:rsidRPr="007D489B" w:rsidRDefault="007D489B" w:rsidP="007D489B">
            <w:pPr>
              <w:jc w:val="center"/>
              <w:rPr>
                <w:rFonts w:eastAsia="Calibri"/>
                <w:i/>
                <w:sz w:val="18"/>
                <w:szCs w:val="18"/>
              </w:rPr>
            </w:pPr>
          </w:p>
        </w:tc>
        <w:tc>
          <w:tcPr>
            <w:tcW w:w="1642" w:type="pct"/>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3</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2</w:t>
            </w:r>
          </w:p>
        </w:tc>
      </w:tr>
      <w:tr w:rsidR="007D489B" w:rsidRPr="007D489B" w:rsidTr="007D489B">
        <w:trPr>
          <w:trHeight w:val="397"/>
          <w:jc w:val="center"/>
        </w:trPr>
        <w:tc>
          <w:tcPr>
            <w:tcW w:w="129" w:type="pct"/>
            <w:tcBorders>
              <w:top w:val="dotted"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f)</w:t>
            </w:r>
          </w:p>
        </w:tc>
        <w:tc>
          <w:tcPr>
            <w:tcW w:w="1642" w:type="pct"/>
            <w:tcBorders>
              <w:top w:val="dotted" w:sz="4" w:space="0" w:color="auto"/>
            </w:tcBorders>
            <w:shd w:val="clear" w:color="auto" w:fill="auto"/>
          </w:tcPr>
          <w:p w:rsidR="007D489B" w:rsidRPr="007D489B" w:rsidRDefault="007D489B" w:rsidP="007D489B">
            <w:pPr>
              <w:rPr>
                <w:rFonts w:eastAsia="Calibri"/>
                <w:i/>
                <w:sz w:val="20"/>
                <w:szCs w:val="20"/>
              </w:rPr>
            </w:pPr>
            <w:r w:rsidRPr="007D489B">
              <w:rPr>
                <w:rFonts w:eastAsia="Calibri"/>
                <w:i/>
                <w:sz w:val="20"/>
                <w:szCs w:val="20"/>
              </w:rPr>
              <w:t>Dôvod chýbajúcej kvantifikácie:</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p>
        </w:tc>
      </w:tr>
      <w:tr w:rsidR="007D489B" w:rsidRPr="007D489B" w:rsidTr="007D489B">
        <w:trPr>
          <w:trHeight w:val="170"/>
          <w:jc w:val="center"/>
        </w:trPr>
        <w:tc>
          <w:tcPr>
            <w:tcW w:w="129" w:type="pct"/>
            <w:tcBorders>
              <w:top w:val="nil"/>
              <w:bottom w:val="single" w:sz="4" w:space="0" w:color="auto"/>
            </w:tcBorders>
            <w:shd w:val="clear" w:color="auto" w:fill="F2F2F2"/>
            <w:vAlign w:val="center"/>
          </w:tcPr>
          <w:p w:rsidR="007D489B" w:rsidRPr="007D489B" w:rsidRDefault="007D489B" w:rsidP="007D489B">
            <w:pPr>
              <w:jc w:val="center"/>
              <w:rPr>
                <w:rFonts w:eastAsia="Calibri"/>
                <w:i/>
                <w:sz w:val="18"/>
                <w:szCs w:val="18"/>
              </w:rPr>
            </w:pPr>
            <w:r w:rsidRPr="007D489B">
              <w:rPr>
                <w:rFonts w:eastAsia="Calibri"/>
                <w:i/>
                <w:sz w:val="18"/>
                <w:szCs w:val="18"/>
              </w:rPr>
              <w:t>g)</w:t>
            </w:r>
          </w:p>
        </w:tc>
        <w:tc>
          <w:tcPr>
            <w:tcW w:w="4871" w:type="pct"/>
            <w:gridSpan w:val="2"/>
            <w:tcBorders>
              <w:top w:val="nil"/>
              <w:bottom w:val="single" w:sz="4" w:space="0" w:color="auto"/>
            </w:tcBorders>
            <w:shd w:val="clear" w:color="auto" w:fill="F2F2F2"/>
            <w:vAlign w:val="center"/>
          </w:tcPr>
          <w:p w:rsidR="007D489B" w:rsidRPr="007D489B" w:rsidRDefault="007D489B" w:rsidP="007D489B">
            <w:pPr>
              <w:rPr>
                <w:rFonts w:eastAsia="Calibri"/>
                <w:b/>
                <w:i/>
                <w:sz w:val="20"/>
                <w:szCs w:val="20"/>
              </w:rPr>
            </w:pPr>
            <w:r w:rsidRPr="007D489B">
              <w:rPr>
                <w:rFonts w:eastAsia="Calibri"/>
                <w:b/>
                <w:i/>
                <w:sz w:val="20"/>
                <w:szCs w:val="20"/>
              </w:rPr>
              <w:t>4.1.1.1</w:t>
            </w:r>
            <w:r w:rsidRPr="007D489B">
              <w:rPr>
                <w:rFonts w:eastAsia="Calibri"/>
                <w:i/>
                <w:sz w:val="20"/>
                <w:szCs w:val="20"/>
              </w:rPr>
              <w:t xml:space="preserve"> </w:t>
            </w:r>
            <w:r w:rsidRPr="007D489B">
              <w:rPr>
                <w:rFonts w:eastAsia="Calibri"/>
                <w:b/>
                <w:i/>
                <w:sz w:val="20"/>
                <w:szCs w:val="20"/>
              </w:rPr>
              <w:t>Z toho pozitívny vplyv na skupiny v riziku chudoby alebo sociálneho vylúčenia</w:t>
            </w:r>
          </w:p>
          <w:p w:rsidR="007D489B" w:rsidRPr="007D489B" w:rsidRDefault="007D489B" w:rsidP="007D489B">
            <w:pPr>
              <w:rPr>
                <w:rFonts w:eastAsia="Calibri"/>
                <w:b/>
                <w:sz w:val="20"/>
                <w:szCs w:val="20"/>
              </w:rPr>
            </w:pPr>
            <w:r w:rsidRPr="007D489B">
              <w:rPr>
                <w:rFonts w:eastAsia="Calibri"/>
                <w:i/>
                <w:sz w:val="18"/>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7D489B" w:rsidRPr="007D489B" w:rsidTr="007D489B">
        <w:trPr>
          <w:trHeight w:val="759"/>
          <w:jc w:val="center"/>
        </w:trPr>
        <w:tc>
          <w:tcPr>
            <w:tcW w:w="129" w:type="pct"/>
            <w:tcBorders>
              <w:top w:val="single" w:sz="4" w:space="0" w:color="auto"/>
              <w:bottom w:val="single"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h)</w:t>
            </w:r>
          </w:p>
        </w:tc>
        <w:tc>
          <w:tcPr>
            <w:tcW w:w="1642" w:type="pct"/>
            <w:tcBorders>
              <w:top w:val="single" w:sz="4" w:space="0" w:color="auto"/>
              <w:bottom w:val="single" w:sz="4" w:space="0" w:color="auto"/>
            </w:tcBorders>
            <w:shd w:val="clear" w:color="auto" w:fill="auto"/>
          </w:tcPr>
          <w:p w:rsidR="007D489B" w:rsidRPr="007D489B" w:rsidRDefault="007D489B" w:rsidP="007D489B">
            <w:pPr>
              <w:jc w:val="both"/>
              <w:rPr>
                <w:rFonts w:eastAsia="Calibri"/>
                <w:i/>
                <w:sz w:val="20"/>
                <w:szCs w:val="20"/>
              </w:rPr>
            </w:pPr>
            <w:r w:rsidRPr="007D489B">
              <w:rPr>
                <w:rFonts w:eastAsia="Calibri"/>
                <w:b/>
                <w:i/>
                <w:sz w:val="20"/>
                <w:szCs w:val="20"/>
              </w:rPr>
              <w:t xml:space="preserve">Popíšte </w:t>
            </w:r>
            <w:r w:rsidRPr="007D489B">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7D489B" w:rsidRPr="007D489B" w:rsidRDefault="007D489B" w:rsidP="007D489B">
            <w:pPr>
              <w:rPr>
                <w:rFonts w:eastAsia="Calibri"/>
                <w:sz w:val="20"/>
                <w:szCs w:val="20"/>
              </w:rPr>
            </w:pPr>
          </w:p>
        </w:tc>
      </w:tr>
      <w:tr w:rsidR="007D489B" w:rsidRPr="007D489B" w:rsidTr="007D489B">
        <w:trPr>
          <w:trHeight w:val="397"/>
          <w:jc w:val="center"/>
        </w:trPr>
        <w:tc>
          <w:tcPr>
            <w:tcW w:w="129" w:type="pct"/>
            <w:vMerge w:val="restart"/>
            <w:tcBorders>
              <w:top w:val="single"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i)</w:t>
            </w:r>
          </w:p>
        </w:tc>
        <w:tc>
          <w:tcPr>
            <w:tcW w:w="1642" w:type="pct"/>
            <w:tcBorders>
              <w:top w:val="single" w:sz="4" w:space="0" w:color="auto"/>
            </w:tcBorders>
            <w:shd w:val="clear" w:color="auto" w:fill="auto"/>
          </w:tcPr>
          <w:p w:rsidR="007D489B" w:rsidRPr="007D489B" w:rsidRDefault="007D489B" w:rsidP="007D489B">
            <w:pPr>
              <w:rPr>
                <w:rFonts w:eastAsia="Calibri"/>
                <w:i/>
                <w:sz w:val="20"/>
                <w:szCs w:val="20"/>
              </w:rPr>
            </w:pPr>
            <w:r w:rsidRPr="007D489B">
              <w:rPr>
                <w:rFonts w:eastAsia="Calibri"/>
                <w:b/>
                <w:i/>
                <w:sz w:val="20"/>
                <w:szCs w:val="20"/>
              </w:rPr>
              <w:t xml:space="preserve">Špecifikujte </w:t>
            </w:r>
            <w:r w:rsidRPr="007D489B">
              <w:rPr>
                <w:rFonts w:eastAsia="Calibri"/>
                <w:i/>
                <w:sz w:val="20"/>
                <w:szCs w:val="20"/>
              </w:rPr>
              <w:t>ovplyvnené skupiny:</w:t>
            </w:r>
          </w:p>
        </w:tc>
        <w:tc>
          <w:tcPr>
            <w:tcW w:w="3229" w:type="pct"/>
            <w:tcBorders>
              <w:top w:val="single" w:sz="4" w:space="0" w:color="auto"/>
            </w:tcBorders>
            <w:shd w:val="clear" w:color="auto" w:fill="auto"/>
          </w:tcPr>
          <w:p w:rsidR="007D489B" w:rsidRPr="007D489B" w:rsidRDefault="007D489B" w:rsidP="007D489B">
            <w:pPr>
              <w:rPr>
                <w:rFonts w:eastAsia="Calibri"/>
                <w:i/>
                <w:sz w:val="18"/>
                <w:szCs w:val="20"/>
              </w:rPr>
            </w:pPr>
            <w:r w:rsidRPr="007D489B">
              <w:rPr>
                <w:rFonts w:eastAsia="Calibri"/>
                <w:i/>
                <w:sz w:val="18"/>
                <w:szCs w:val="20"/>
              </w:rPr>
              <w:t>Ovplyvnená skupina č. 1</w:t>
            </w:r>
          </w:p>
        </w:tc>
      </w:tr>
      <w:tr w:rsidR="007D489B" w:rsidRPr="007D489B" w:rsidTr="007D489B">
        <w:trPr>
          <w:trHeight w:val="397"/>
          <w:jc w:val="center"/>
        </w:trPr>
        <w:tc>
          <w:tcPr>
            <w:tcW w:w="129" w:type="pct"/>
            <w:vMerge/>
            <w:shd w:val="clear" w:color="auto" w:fill="auto"/>
            <w:vAlign w:val="center"/>
          </w:tcPr>
          <w:p w:rsidR="007D489B" w:rsidRPr="007D489B" w:rsidRDefault="007D489B" w:rsidP="007D489B">
            <w:pPr>
              <w:jc w:val="center"/>
              <w:rPr>
                <w:rFonts w:eastAsia="Calibri"/>
                <w:i/>
                <w:sz w:val="18"/>
                <w:szCs w:val="18"/>
              </w:rPr>
            </w:pPr>
          </w:p>
        </w:tc>
        <w:tc>
          <w:tcPr>
            <w:tcW w:w="1642" w:type="pct"/>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3</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2</w:t>
            </w:r>
          </w:p>
        </w:tc>
      </w:tr>
      <w:tr w:rsidR="007D489B" w:rsidRPr="007D489B" w:rsidTr="007D489B">
        <w:trPr>
          <w:trHeight w:val="397"/>
          <w:jc w:val="center"/>
        </w:trPr>
        <w:tc>
          <w:tcPr>
            <w:tcW w:w="129" w:type="pct"/>
            <w:tcBorders>
              <w:top w:val="dotted" w:sz="4" w:space="0" w:color="auto"/>
            </w:tcBorders>
            <w:shd w:val="clear" w:color="auto" w:fill="F2F2F2"/>
            <w:vAlign w:val="center"/>
          </w:tcPr>
          <w:p w:rsidR="007D489B" w:rsidRPr="007D489B" w:rsidRDefault="007D489B" w:rsidP="007D489B">
            <w:pPr>
              <w:jc w:val="center"/>
              <w:rPr>
                <w:rFonts w:eastAsia="Calibri"/>
                <w:sz w:val="18"/>
                <w:szCs w:val="18"/>
              </w:rPr>
            </w:pPr>
            <w:r w:rsidRPr="007D489B">
              <w:rPr>
                <w:rFonts w:eastAsia="Calibri"/>
                <w:i/>
                <w:sz w:val="18"/>
                <w:szCs w:val="18"/>
              </w:rPr>
              <w:t>j</w:t>
            </w:r>
            <w:r w:rsidRPr="007D489B">
              <w:rPr>
                <w:rFonts w:eastAsia="Calibri"/>
                <w:sz w:val="18"/>
                <w:szCs w:val="18"/>
              </w:rPr>
              <w:t>)</w:t>
            </w:r>
          </w:p>
        </w:tc>
        <w:tc>
          <w:tcPr>
            <w:tcW w:w="4871" w:type="pct"/>
            <w:gridSpan w:val="2"/>
            <w:tcBorders>
              <w:top w:val="dotted" w:sz="4" w:space="0" w:color="auto"/>
            </w:tcBorders>
            <w:shd w:val="clear" w:color="auto" w:fill="F2F2F2"/>
          </w:tcPr>
          <w:p w:rsidR="007D489B" w:rsidRPr="007D489B" w:rsidRDefault="007D489B" w:rsidP="007D489B">
            <w:pPr>
              <w:rPr>
                <w:rFonts w:eastAsia="Calibri"/>
                <w:i/>
                <w:sz w:val="20"/>
                <w:szCs w:val="20"/>
              </w:rPr>
            </w:pPr>
            <w:r w:rsidRPr="007D489B">
              <w:rPr>
                <w:rFonts w:eastAsia="Calibri"/>
                <w:b/>
                <w:i/>
                <w:sz w:val="20"/>
                <w:szCs w:val="20"/>
              </w:rPr>
              <w:t xml:space="preserve">Kvantifikujte </w:t>
            </w:r>
            <w:r w:rsidRPr="007D489B">
              <w:rPr>
                <w:rFonts w:eastAsia="Calibri"/>
                <w:i/>
                <w:sz w:val="20"/>
                <w:szCs w:val="20"/>
              </w:rPr>
              <w:t xml:space="preserve">rast príjmov alebo pokles výdavkov </w:t>
            </w:r>
            <w:r w:rsidRPr="007D489B">
              <w:rPr>
                <w:rFonts w:eastAsia="Calibri"/>
                <w:b/>
                <w:i/>
                <w:sz w:val="20"/>
                <w:szCs w:val="20"/>
              </w:rPr>
              <w:t>za jednotlivé ovplyvnené skupiny</w:t>
            </w:r>
            <w:r w:rsidRPr="007D489B">
              <w:rPr>
                <w:rFonts w:eastAsia="Calibri"/>
                <w:i/>
                <w:sz w:val="20"/>
                <w:szCs w:val="20"/>
              </w:rPr>
              <w:t xml:space="preserve"> domácností / skupiny jednotlivcov a počet obyvateľstva/domácností ovplyvnených predkladaným návrhom.</w:t>
            </w:r>
          </w:p>
        </w:tc>
      </w:tr>
      <w:tr w:rsidR="007D489B" w:rsidRPr="007D489B" w:rsidTr="007D489B">
        <w:trPr>
          <w:trHeight w:val="680"/>
          <w:jc w:val="center"/>
        </w:trPr>
        <w:tc>
          <w:tcPr>
            <w:tcW w:w="129" w:type="pct"/>
            <w:vMerge w:val="restart"/>
            <w:tcBorders>
              <w:top w:val="dotted"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k)</w:t>
            </w:r>
          </w:p>
        </w:tc>
        <w:tc>
          <w:tcPr>
            <w:tcW w:w="1642" w:type="pct"/>
            <w:tcBorders>
              <w:top w:val="dotted" w:sz="4" w:space="0" w:color="auto"/>
            </w:tcBorders>
            <w:shd w:val="clear" w:color="auto" w:fill="auto"/>
          </w:tcPr>
          <w:p w:rsidR="007D489B" w:rsidRPr="007D489B" w:rsidRDefault="007D489B" w:rsidP="007D489B">
            <w:pPr>
              <w:numPr>
                <w:ilvl w:val="0"/>
                <w:numId w:val="2"/>
              </w:numPr>
              <w:spacing w:after="160" w:line="259" w:lineRule="auto"/>
              <w:contextualSpacing/>
              <w:rPr>
                <w:rFonts w:eastAsia="Calibri"/>
                <w:i/>
                <w:sz w:val="18"/>
                <w:szCs w:val="20"/>
              </w:rPr>
            </w:pPr>
            <w:r w:rsidRPr="007D489B">
              <w:rPr>
                <w:rFonts w:eastAsia="Calibri"/>
                <w:i/>
                <w:sz w:val="18"/>
                <w:szCs w:val="20"/>
              </w:rPr>
              <w:t>priemerný rast príjmov/ pokles výdavkov v skupine v eurách a/alebo v % / obdobie:</w:t>
            </w:r>
          </w:p>
          <w:p w:rsidR="007D489B" w:rsidRPr="007D489B" w:rsidRDefault="007D489B" w:rsidP="007D489B">
            <w:pPr>
              <w:numPr>
                <w:ilvl w:val="0"/>
                <w:numId w:val="2"/>
              </w:numPr>
              <w:spacing w:after="160" w:line="259" w:lineRule="auto"/>
              <w:contextualSpacing/>
              <w:rPr>
                <w:rFonts w:eastAsia="Calibri"/>
                <w:i/>
                <w:sz w:val="20"/>
                <w:szCs w:val="20"/>
              </w:rPr>
            </w:pPr>
            <w:r w:rsidRPr="007D489B">
              <w:rPr>
                <w:rFonts w:eastAsia="Calibri"/>
                <w:i/>
                <w:sz w:val="18"/>
                <w:szCs w:val="20"/>
              </w:rPr>
              <w:t>veľkosť skupiny (počet obyvateľov):</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1</w:t>
            </w:r>
          </w:p>
        </w:tc>
      </w:tr>
      <w:tr w:rsidR="007D489B" w:rsidRPr="007D489B" w:rsidTr="007D489B">
        <w:trPr>
          <w:trHeight w:val="680"/>
          <w:jc w:val="center"/>
        </w:trPr>
        <w:tc>
          <w:tcPr>
            <w:tcW w:w="129" w:type="pct"/>
            <w:vMerge/>
            <w:shd w:val="clear" w:color="auto" w:fill="auto"/>
            <w:vAlign w:val="center"/>
          </w:tcPr>
          <w:p w:rsidR="007D489B" w:rsidRPr="007D489B" w:rsidRDefault="007D489B" w:rsidP="007D489B">
            <w:pPr>
              <w:jc w:val="center"/>
              <w:rPr>
                <w:rFonts w:eastAsia="Calibri"/>
                <w:i/>
                <w:sz w:val="18"/>
                <w:szCs w:val="18"/>
              </w:rPr>
            </w:pPr>
          </w:p>
        </w:tc>
        <w:tc>
          <w:tcPr>
            <w:tcW w:w="1642" w:type="pct"/>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3</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2</w:t>
            </w:r>
          </w:p>
        </w:tc>
      </w:tr>
      <w:tr w:rsidR="007D489B" w:rsidRPr="007D489B" w:rsidTr="007D489B">
        <w:trPr>
          <w:trHeight w:val="350"/>
          <w:jc w:val="center"/>
        </w:trPr>
        <w:tc>
          <w:tcPr>
            <w:tcW w:w="129" w:type="pct"/>
            <w:tcBorders>
              <w:top w:val="dotted" w:sz="4" w:space="0" w:color="auto"/>
              <w:bottom w:val="single"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l)</w:t>
            </w:r>
          </w:p>
        </w:tc>
        <w:tc>
          <w:tcPr>
            <w:tcW w:w="1642" w:type="pct"/>
            <w:tcBorders>
              <w:top w:val="dotted" w:sz="4" w:space="0" w:color="auto"/>
              <w:bottom w:val="single" w:sz="4" w:space="0" w:color="auto"/>
            </w:tcBorders>
            <w:shd w:val="clear" w:color="auto" w:fill="auto"/>
          </w:tcPr>
          <w:p w:rsidR="007D489B" w:rsidRPr="007D489B" w:rsidRDefault="007D489B" w:rsidP="007D489B">
            <w:pPr>
              <w:rPr>
                <w:rFonts w:eastAsia="Calibri"/>
                <w:i/>
                <w:sz w:val="20"/>
                <w:szCs w:val="20"/>
              </w:rPr>
            </w:pPr>
            <w:r w:rsidRPr="007D489B">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7D489B" w:rsidRPr="007D489B" w:rsidRDefault="007D489B" w:rsidP="007D489B">
            <w:pPr>
              <w:rPr>
                <w:rFonts w:eastAsia="Calibri"/>
                <w:sz w:val="20"/>
                <w:szCs w:val="20"/>
              </w:rPr>
            </w:pPr>
          </w:p>
        </w:tc>
      </w:tr>
      <w:tr w:rsidR="007D489B" w:rsidRPr="007D489B" w:rsidTr="007D489B">
        <w:trPr>
          <w:trHeight w:val="170"/>
          <w:jc w:val="center"/>
        </w:trPr>
        <w:tc>
          <w:tcPr>
            <w:tcW w:w="129" w:type="pct"/>
            <w:tcBorders>
              <w:top w:val="single" w:sz="4" w:space="0" w:color="auto"/>
              <w:bottom w:val="single" w:sz="4" w:space="0" w:color="auto"/>
            </w:tcBorders>
            <w:shd w:val="clear" w:color="auto" w:fill="DDDDDD"/>
            <w:vAlign w:val="center"/>
          </w:tcPr>
          <w:p w:rsidR="007D489B" w:rsidRPr="007D489B" w:rsidRDefault="007D489B" w:rsidP="007D489B">
            <w:pPr>
              <w:jc w:val="center"/>
              <w:rPr>
                <w:rFonts w:eastAsia="Calibri"/>
                <w:i/>
                <w:sz w:val="18"/>
                <w:szCs w:val="18"/>
              </w:rPr>
            </w:pPr>
            <w:r w:rsidRPr="007D489B">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7D489B" w:rsidRPr="007D489B" w:rsidRDefault="007D489B" w:rsidP="007D489B">
            <w:pPr>
              <w:jc w:val="center"/>
              <w:rPr>
                <w:rFonts w:eastAsia="Calibri"/>
                <w:b/>
                <w:color w:val="0070C0"/>
                <w:sz w:val="20"/>
                <w:szCs w:val="20"/>
              </w:rPr>
            </w:pPr>
            <w:r w:rsidRPr="007D489B">
              <w:rPr>
                <w:rFonts w:eastAsia="Calibri"/>
                <w:b/>
                <w:i/>
                <w:sz w:val="20"/>
                <w:szCs w:val="20"/>
              </w:rPr>
              <w:t>4.1.2 Negatívny vplyv</w:t>
            </w:r>
          </w:p>
        </w:tc>
      </w:tr>
      <w:tr w:rsidR="007D489B" w:rsidRPr="007D489B" w:rsidTr="007D489B">
        <w:trPr>
          <w:trHeight w:val="759"/>
          <w:jc w:val="center"/>
        </w:trPr>
        <w:tc>
          <w:tcPr>
            <w:tcW w:w="129" w:type="pct"/>
            <w:tcBorders>
              <w:top w:val="single" w:sz="4" w:space="0" w:color="auto"/>
              <w:bottom w:val="single" w:sz="4" w:space="0" w:color="auto"/>
            </w:tcBorders>
            <w:shd w:val="clear" w:color="auto" w:fill="auto"/>
            <w:vAlign w:val="center"/>
          </w:tcPr>
          <w:p w:rsidR="007D489B" w:rsidRPr="007D489B" w:rsidRDefault="007D489B" w:rsidP="007D489B">
            <w:pPr>
              <w:contextualSpacing/>
              <w:jc w:val="center"/>
              <w:rPr>
                <w:rFonts w:eastAsia="Calibri"/>
                <w:i/>
                <w:sz w:val="18"/>
                <w:szCs w:val="18"/>
              </w:rPr>
            </w:pPr>
            <w:r w:rsidRPr="007D489B">
              <w:rPr>
                <w:rFonts w:eastAsia="Calibri"/>
                <w:i/>
                <w:sz w:val="18"/>
                <w:szCs w:val="18"/>
              </w:rPr>
              <w:t>b)</w:t>
            </w:r>
          </w:p>
          <w:p w:rsidR="007D489B" w:rsidRPr="007D489B" w:rsidRDefault="007D489B" w:rsidP="007D489B">
            <w:pPr>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rsidR="007D489B" w:rsidRPr="007D489B" w:rsidRDefault="007D489B" w:rsidP="007D489B">
            <w:pPr>
              <w:jc w:val="both"/>
              <w:rPr>
                <w:rFonts w:eastAsia="Calibri"/>
                <w:i/>
                <w:sz w:val="20"/>
                <w:szCs w:val="20"/>
              </w:rPr>
            </w:pPr>
            <w:r w:rsidRPr="007D489B">
              <w:rPr>
                <w:rFonts w:eastAsia="Calibri"/>
                <w:b/>
                <w:i/>
                <w:sz w:val="20"/>
                <w:szCs w:val="20"/>
              </w:rPr>
              <w:t xml:space="preserve">Popíšte </w:t>
            </w:r>
            <w:r w:rsidRPr="007D489B">
              <w:rPr>
                <w:rFonts w:eastAsia="Calibri"/>
                <w:i/>
                <w:sz w:val="20"/>
                <w:szCs w:val="20"/>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7D489B" w:rsidRPr="007D489B" w:rsidRDefault="007D489B" w:rsidP="007D489B">
            <w:pPr>
              <w:contextualSpacing/>
              <w:rPr>
                <w:rFonts w:eastAsia="Calibri"/>
                <w:sz w:val="20"/>
                <w:szCs w:val="20"/>
              </w:rPr>
            </w:pPr>
          </w:p>
        </w:tc>
      </w:tr>
      <w:tr w:rsidR="007D489B" w:rsidRPr="007D489B" w:rsidTr="007D489B">
        <w:trPr>
          <w:trHeight w:val="397"/>
          <w:jc w:val="center"/>
        </w:trPr>
        <w:tc>
          <w:tcPr>
            <w:tcW w:w="129" w:type="pct"/>
            <w:vMerge w:val="restart"/>
            <w:tcBorders>
              <w:top w:val="single"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c)</w:t>
            </w:r>
          </w:p>
        </w:tc>
        <w:tc>
          <w:tcPr>
            <w:tcW w:w="1642" w:type="pct"/>
            <w:tcBorders>
              <w:top w:val="single" w:sz="4" w:space="0" w:color="auto"/>
            </w:tcBorders>
            <w:shd w:val="clear" w:color="auto" w:fill="auto"/>
          </w:tcPr>
          <w:p w:rsidR="007D489B" w:rsidRPr="007D489B" w:rsidRDefault="007D489B" w:rsidP="007D489B">
            <w:pPr>
              <w:rPr>
                <w:rFonts w:eastAsia="Calibri"/>
                <w:i/>
                <w:sz w:val="20"/>
                <w:szCs w:val="20"/>
              </w:rPr>
            </w:pPr>
            <w:r w:rsidRPr="007D489B">
              <w:rPr>
                <w:rFonts w:eastAsia="Calibri"/>
                <w:b/>
                <w:i/>
                <w:sz w:val="20"/>
                <w:szCs w:val="20"/>
              </w:rPr>
              <w:t>Špecifikujte</w:t>
            </w:r>
            <w:r w:rsidRPr="007D489B">
              <w:rPr>
                <w:rFonts w:eastAsia="Calibri"/>
                <w:i/>
                <w:sz w:val="20"/>
                <w:szCs w:val="20"/>
              </w:rPr>
              <w:t xml:space="preserve"> ovplyvnené skupiny:</w:t>
            </w:r>
          </w:p>
        </w:tc>
        <w:tc>
          <w:tcPr>
            <w:tcW w:w="3229" w:type="pct"/>
            <w:tcBorders>
              <w:top w:val="single" w:sz="4" w:space="0" w:color="auto"/>
            </w:tcBorders>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1</w:t>
            </w:r>
          </w:p>
        </w:tc>
      </w:tr>
      <w:tr w:rsidR="007D489B" w:rsidRPr="007D489B" w:rsidTr="007D489B">
        <w:trPr>
          <w:trHeight w:val="397"/>
          <w:jc w:val="center"/>
        </w:trPr>
        <w:tc>
          <w:tcPr>
            <w:tcW w:w="129" w:type="pct"/>
            <w:vMerge/>
            <w:tcBorders>
              <w:bottom w:val="single" w:sz="4" w:space="0" w:color="auto"/>
            </w:tcBorders>
            <w:shd w:val="clear" w:color="auto" w:fill="auto"/>
            <w:vAlign w:val="center"/>
          </w:tcPr>
          <w:p w:rsidR="007D489B" w:rsidRPr="007D489B" w:rsidRDefault="007D489B" w:rsidP="007D489B">
            <w:pPr>
              <w:jc w:val="center"/>
              <w:rPr>
                <w:rFonts w:eastAsia="Calibri"/>
                <w:i/>
                <w:sz w:val="18"/>
                <w:szCs w:val="18"/>
              </w:rPr>
            </w:pPr>
          </w:p>
        </w:tc>
        <w:tc>
          <w:tcPr>
            <w:tcW w:w="1642" w:type="pct"/>
            <w:tcBorders>
              <w:bottom w:val="single" w:sz="4" w:space="0" w:color="auto"/>
            </w:tcBorders>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3</w:t>
            </w:r>
          </w:p>
        </w:tc>
        <w:tc>
          <w:tcPr>
            <w:tcW w:w="3229" w:type="pct"/>
            <w:tcBorders>
              <w:top w:val="dotted" w:sz="4" w:space="0" w:color="auto"/>
              <w:bottom w:val="single"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2</w:t>
            </w:r>
          </w:p>
        </w:tc>
      </w:tr>
      <w:tr w:rsidR="007D489B" w:rsidRPr="007D489B" w:rsidTr="007D489B">
        <w:trPr>
          <w:trHeight w:val="397"/>
          <w:jc w:val="center"/>
        </w:trPr>
        <w:tc>
          <w:tcPr>
            <w:tcW w:w="129" w:type="pct"/>
            <w:tcBorders>
              <w:top w:val="single" w:sz="4" w:space="0" w:color="auto"/>
            </w:tcBorders>
            <w:shd w:val="clear" w:color="auto" w:fill="F2F2F2"/>
            <w:vAlign w:val="center"/>
          </w:tcPr>
          <w:p w:rsidR="007D489B" w:rsidRPr="007D489B" w:rsidRDefault="007D489B" w:rsidP="007D489B">
            <w:pPr>
              <w:jc w:val="center"/>
              <w:rPr>
                <w:rFonts w:eastAsia="Calibri"/>
                <w:i/>
                <w:sz w:val="18"/>
                <w:szCs w:val="18"/>
              </w:rPr>
            </w:pPr>
            <w:r w:rsidRPr="007D489B">
              <w:rPr>
                <w:rFonts w:eastAsia="Calibri"/>
                <w:i/>
                <w:sz w:val="18"/>
                <w:szCs w:val="18"/>
              </w:rPr>
              <w:lastRenderedPageBreak/>
              <w:t>d)</w:t>
            </w:r>
          </w:p>
        </w:tc>
        <w:tc>
          <w:tcPr>
            <w:tcW w:w="4871" w:type="pct"/>
            <w:gridSpan w:val="2"/>
            <w:tcBorders>
              <w:top w:val="single" w:sz="4" w:space="0" w:color="auto"/>
            </w:tcBorders>
            <w:shd w:val="clear" w:color="auto" w:fill="F2F2F2"/>
            <w:vAlign w:val="center"/>
          </w:tcPr>
          <w:p w:rsidR="007D489B" w:rsidRPr="007D489B" w:rsidRDefault="007D489B" w:rsidP="007D489B">
            <w:pPr>
              <w:rPr>
                <w:rFonts w:eastAsia="Calibri"/>
                <w:sz w:val="20"/>
                <w:szCs w:val="20"/>
              </w:rPr>
            </w:pPr>
            <w:r w:rsidRPr="007D489B">
              <w:rPr>
                <w:rFonts w:eastAsia="Calibri"/>
                <w:b/>
                <w:i/>
                <w:sz w:val="20"/>
                <w:szCs w:val="20"/>
              </w:rPr>
              <w:t>Kvantifikujte</w:t>
            </w:r>
            <w:r w:rsidRPr="007D489B">
              <w:rPr>
                <w:rFonts w:eastAsia="Calibri"/>
                <w:i/>
                <w:sz w:val="20"/>
                <w:szCs w:val="20"/>
              </w:rPr>
              <w:t xml:space="preserve"> pokles príjmov alebo rast výdavkov </w:t>
            </w:r>
            <w:r w:rsidRPr="007D489B">
              <w:rPr>
                <w:rFonts w:eastAsia="Calibri"/>
                <w:b/>
                <w:i/>
                <w:sz w:val="20"/>
                <w:szCs w:val="20"/>
              </w:rPr>
              <w:t>za jednotlivé</w:t>
            </w:r>
            <w:r w:rsidRPr="007D489B">
              <w:rPr>
                <w:rFonts w:eastAsia="Calibri"/>
                <w:i/>
                <w:sz w:val="20"/>
                <w:szCs w:val="20"/>
              </w:rPr>
              <w:t xml:space="preserve"> </w:t>
            </w:r>
            <w:r w:rsidRPr="007D489B">
              <w:rPr>
                <w:rFonts w:eastAsia="Calibri"/>
                <w:b/>
                <w:i/>
                <w:sz w:val="20"/>
                <w:szCs w:val="20"/>
              </w:rPr>
              <w:t>ovplyvnené</w:t>
            </w:r>
            <w:r w:rsidRPr="007D489B">
              <w:rPr>
                <w:rFonts w:eastAsia="Calibri"/>
                <w:i/>
                <w:sz w:val="20"/>
                <w:szCs w:val="20"/>
              </w:rPr>
              <w:t xml:space="preserve"> </w:t>
            </w:r>
            <w:r w:rsidRPr="007D489B">
              <w:rPr>
                <w:rFonts w:eastAsia="Calibri"/>
                <w:b/>
                <w:i/>
                <w:sz w:val="20"/>
                <w:szCs w:val="20"/>
              </w:rPr>
              <w:t>skupiny</w:t>
            </w:r>
            <w:r w:rsidRPr="007D489B">
              <w:rPr>
                <w:rFonts w:eastAsia="Calibri"/>
                <w:i/>
                <w:sz w:val="20"/>
                <w:szCs w:val="20"/>
              </w:rPr>
              <w:t xml:space="preserve"> domácností / skupiny jednotlivcov a počet obyvateľstva/domácností ovplyvnených predkladaným návrhom.</w:t>
            </w:r>
          </w:p>
        </w:tc>
      </w:tr>
      <w:tr w:rsidR="007D489B" w:rsidRPr="007D489B" w:rsidTr="007D489B">
        <w:trPr>
          <w:trHeight w:val="680"/>
          <w:jc w:val="center"/>
        </w:trPr>
        <w:tc>
          <w:tcPr>
            <w:tcW w:w="129" w:type="pct"/>
            <w:vMerge w:val="restart"/>
            <w:tcBorders>
              <w:top w:val="dotted"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e)</w:t>
            </w:r>
          </w:p>
        </w:tc>
        <w:tc>
          <w:tcPr>
            <w:tcW w:w="1642" w:type="pct"/>
            <w:tcBorders>
              <w:top w:val="dotted" w:sz="4" w:space="0" w:color="auto"/>
            </w:tcBorders>
            <w:shd w:val="clear" w:color="auto" w:fill="auto"/>
          </w:tcPr>
          <w:p w:rsidR="007D489B" w:rsidRPr="007D489B" w:rsidRDefault="007D489B" w:rsidP="007D489B">
            <w:pPr>
              <w:numPr>
                <w:ilvl w:val="0"/>
                <w:numId w:val="2"/>
              </w:numPr>
              <w:spacing w:after="160" w:line="259" w:lineRule="auto"/>
              <w:contextualSpacing/>
              <w:jc w:val="both"/>
              <w:rPr>
                <w:rFonts w:eastAsia="Calibri"/>
                <w:i/>
                <w:sz w:val="18"/>
                <w:szCs w:val="20"/>
              </w:rPr>
            </w:pPr>
            <w:r w:rsidRPr="007D489B">
              <w:rPr>
                <w:rFonts w:eastAsia="Calibri"/>
                <w:i/>
                <w:sz w:val="18"/>
                <w:szCs w:val="20"/>
              </w:rPr>
              <w:t>priemerný pokles príjmov/ rast výdavkov v skupine v eurách a/alebo v % / obdobie:</w:t>
            </w:r>
          </w:p>
          <w:p w:rsidR="007D489B" w:rsidRPr="007D489B" w:rsidRDefault="007D489B" w:rsidP="007D489B">
            <w:pPr>
              <w:numPr>
                <w:ilvl w:val="0"/>
                <w:numId w:val="2"/>
              </w:numPr>
              <w:spacing w:after="160" w:line="259" w:lineRule="auto"/>
              <w:contextualSpacing/>
              <w:jc w:val="both"/>
              <w:rPr>
                <w:rFonts w:eastAsia="Calibri"/>
                <w:i/>
                <w:sz w:val="18"/>
                <w:szCs w:val="20"/>
              </w:rPr>
            </w:pPr>
            <w:r w:rsidRPr="007D489B">
              <w:rPr>
                <w:rFonts w:eastAsia="Calibri"/>
                <w:i/>
                <w:sz w:val="18"/>
                <w:szCs w:val="20"/>
              </w:rPr>
              <w:t>veľkosť skupiny (počet obyvateľov):</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1</w:t>
            </w:r>
          </w:p>
        </w:tc>
      </w:tr>
      <w:tr w:rsidR="007D489B" w:rsidRPr="007D489B" w:rsidTr="007D489B">
        <w:trPr>
          <w:trHeight w:val="680"/>
          <w:jc w:val="center"/>
        </w:trPr>
        <w:tc>
          <w:tcPr>
            <w:tcW w:w="129" w:type="pct"/>
            <w:vMerge/>
            <w:shd w:val="clear" w:color="auto" w:fill="auto"/>
            <w:vAlign w:val="center"/>
          </w:tcPr>
          <w:p w:rsidR="007D489B" w:rsidRPr="007D489B" w:rsidRDefault="007D489B" w:rsidP="007D489B">
            <w:pPr>
              <w:jc w:val="center"/>
              <w:rPr>
                <w:rFonts w:eastAsia="Calibri"/>
                <w:i/>
                <w:sz w:val="18"/>
                <w:szCs w:val="18"/>
              </w:rPr>
            </w:pPr>
          </w:p>
        </w:tc>
        <w:tc>
          <w:tcPr>
            <w:tcW w:w="1642" w:type="pct"/>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3</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2</w:t>
            </w:r>
          </w:p>
        </w:tc>
      </w:tr>
      <w:tr w:rsidR="007D489B" w:rsidRPr="007D489B" w:rsidTr="007D489B">
        <w:trPr>
          <w:trHeight w:val="397"/>
          <w:jc w:val="center"/>
        </w:trPr>
        <w:tc>
          <w:tcPr>
            <w:tcW w:w="129" w:type="pct"/>
            <w:tcBorders>
              <w:top w:val="dotted"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f)</w:t>
            </w:r>
          </w:p>
        </w:tc>
        <w:tc>
          <w:tcPr>
            <w:tcW w:w="1642" w:type="pct"/>
            <w:tcBorders>
              <w:top w:val="dotted" w:sz="4" w:space="0" w:color="auto"/>
            </w:tcBorders>
            <w:shd w:val="clear" w:color="auto" w:fill="auto"/>
          </w:tcPr>
          <w:p w:rsidR="007D489B" w:rsidRPr="007D489B" w:rsidRDefault="007D489B" w:rsidP="007D489B">
            <w:pPr>
              <w:rPr>
                <w:rFonts w:eastAsia="Calibri"/>
                <w:i/>
                <w:sz w:val="20"/>
                <w:szCs w:val="20"/>
              </w:rPr>
            </w:pPr>
            <w:r w:rsidRPr="007D489B">
              <w:rPr>
                <w:rFonts w:eastAsia="Calibri"/>
                <w:i/>
                <w:sz w:val="20"/>
                <w:szCs w:val="20"/>
              </w:rPr>
              <w:t>Dôvod chýbajúcej kvantifikácie:</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p>
        </w:tc>
      </w:tr>
      <w:tr w:rsidR="007D489B" w:rsidRPr="007D489B" w:rsidTr="007D489B">
        <w:trPr>
          <w:trHeight w:val="227"/>
          <w:jc w:val="center"/>
        </w:trPr>
        <w:tc>
          <w:tcPr>
            <w:tcW w:w="129" w:type="pct"/>
            <w:tcBorders>
              <w:top w:val="nil"/>
              <w:bottom w:val="single" w:sz="4" w:space="0" w:color="auto"/>
            </w:tcBorders>
            <w:shd w:val="clear" w:color="auto" w:fill="F2F2F2"/>
            <w:vAlign w:val="center"/>
          </w:tcPr>
          <w:p w:rsidR="007D489B" w:rsidRPr="007D489B" w:rsidRDefault="007D489B" w:rsidP="007D489B">
            <w:pPr>
              <w:jc w:val="center"/>
              <w:rPr>
                <w:rFonts w:eastAsia="Calibri"/>
                <w:i/>
                <w:sz w:val="18"/>
                <w:szCs w:val="18"/>
              </w:rPr>
            </w:pPr>
            <w:r w:rsidRPr="007D489B">
              <w:rPr>
                <w:rFonts w:eastAsia="Calibri"/>
                <w:i/>
                <w:sz w:val="18"/>
                <w:szCs w:val="18"/>
              </w:rPr>
              <w:t>g)</w:t>
            </w:r>
          </w:p>
        </w:tc>
        <w:tc>
          <w:tcPr>
            <w:tcW w:w="4871" w:type="pct"/>
            <w:gridSpan w:val="2"/>
            <w:tcBorders>
              <w:top w:val="nil"/>
              <w:bottom w:val="single" w:sz="4" w:space="0" w:color="auto"/>
            </w:tcBorders>
            <w:shd w:val="clear" w:color="auto" w:fill="F2F2F2"/>
          </w:tcPr>
          <w:p w:rsidR="007D489B" w:rsidRPr="007D489B" w:rsidRDefault="007D489B" w:rsidP="007D489B">
            <w:pPr>
              <w:rPr>
                <w:rFonts w:eastAsia="Calibri"/>
                <w:i/>
                <w:sz w:val="20"/>
                <w:szCs w:val="20"/>
              </w:rPr>
            </w:pPr>
            <w:r w:rsidRPr="007D489B">
              <w:rPr>
                <w:rFonts w:eastAsia="Calibri"/>
                <w:b/>
                <w:i/>
                <w:sz w:val="20"/>
                <w:szCs w:val="20"/>
              </w:rPr>
              <w:t>4.1.2.1</w:t>
            </w:r>
            <w:r w:rsidRPr="007D489B">
              <w:rPr>
                <w:rFonts w:eastAsia="Calibri"/>
                <w:i/>
                <w:sz w:val="20"/>
                <w:szCs w:val="20"/>
              </w:rPr>
              <w:t xml:space="preserve"> </w:t>
            </w:r>
            <w:r w:rsidRPr="007D489B">
              <w:rPr>
                <w:rFonts w:eastAsia="Calibri"/>
                <w:b/>
                <w:i/>
                <w:sz w:val="20"/>
                <w:szCs w:val="20"/>
              </w:rPr>
              <w:t>Z toho negatívny vplyv na skupiny v riziku chudoby alebo sociálneho vylúčenia</w:t>
            </w:r>
          </w:p>
          <w:p w:rsidR="007D489B" w:rsidRPr="007D489B" w:rsidRDefault="007D489B" w:rsidP="007D489B">
            <w:pPr>
              <w:rPr>
                <w:rFonts w:eastAsia="Calibri"/>
                <w:b/>
                <w:sz w:val="20"/>
                <w:szCs w:val="20"/>
              </w:rPr>
            </w:pPr>
            <w:r w:rsidRPr="007D489B">
              <w:rPr>
                <w:rFonts w:eastAsia="Calibri"/>
                <w:i/>
                <w:sz w:val="20"/>
                <w:szCs w:val="20"/>
              </w:rPr>
              <w:t>(</w:t>
            </w:r>
            <w:r w:rsidRPr="007D489B">
              <w:rPr>
                <w:rFonts w:eastAsia="Calibri"/>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7D489B">
              <w:rPr>
                <w:rFonts w:eastAsia="Calibri"/>
                <w:i/>
                <w:sz w:val="20"/>
                <w:szCs w:val="20"/>
              </w:rPr>
              <w:t>)</w:t>
            </w:r>
          </w:p>
        </w:tc>
      </w:tr>
      <w:tr w:rsidR="007D489B" w:rsidRPr="007D489B" w:rsidTr="007D489B">
        <w:trPr>
          <w:trHeight w:val="759"/>
          <w:jc w:val="center"/>
        </w:trPr>
        <w:tc>
          <w:tcPr>
            <w:tcW w:w="129" w:type="pct"/>
            <w:tcBorders>
              <w:top w:val="single" w:sz="4" w:space="0" w:color="auto"/>
              <w:bottom w:val="single"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h)</w:t>
            </w:r>
          </w:p>
        </w:tc>
        <w:tc>
          <w:tcPr>
            <w:tcW w:w="1642" w:type="pct"/>
            <w:tcBorders>
              <w:top w:val="single" w:sz="4" w:space="0" w:color="auto"/>
              <w:bottom w:val="single" w:sz="4" w:space="0" w:color="auto"/>
            </w:tcBorders>
            <w:shd w:val="clear" w:color="auto" w:fill="auto"/>
          </w:tcPr>
          <w:p w:rsidR="007D489B" w:rsidRPr="007D489B" w:rsidRDefault="007D489B" w:rsidP="007D489B">
            <w:pPr>
              <w:jc w:val="both"/>
              <w:rPr>
                <w:rFonts w:eastAsia="Calibri"/>
                <w:i/>
                <w:sz w:val="20"/>
                <w:szCs w:val="20"/>
              </w:rPr>
            </w:pPr>
            <w:r w:rsidRPr="007D489B">
              <w:rPr>
                <w:rFonts w:eastAsia="Calibri"/>
                <w:b/>
                <w:i/>
                <w:sz w:val="20"/>
                <w:szCs w:val="20"/>
              </w:rPr>
              <w:t>Popíšte</w:t>
            </w:r>
            <w:r w:rsidRPr="007D489B">
              <w:rPr>
                <w:rFonts w:eastAsia="Calibri"/>
                <w:i/>
                <w:sz w:val="20"/>
                <w:szCs w:val="20"/>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7D489B" w:rsidRPr="007D489B" w:rsidRDefault="007D489B" w:rsidP="007D489B">
            <w:pPr>
              <w:rPr>
                <w:rFonts w:eastAsia="Calibri"/>
                <w:sz w:val="20"/>
                <w:szCs w:val="20"/>
              </w:rPr>
            </w:pPr>
          </w:p>
        </w:tc>
      </w:tr>
      <w:tr w:rsidR="007D489B" w:rsidRPr="007D489B" w:rsidTr="007D489B">
        <w:trPr>
          <w:trHeight w:val="397"/>
          <w:jc w:val="center"/>
        </w:trPr>
        <w:tc>
          <w:tcPr>
            <w:tcW w:w="129" w:type="pct"/>
            <w:vMerge w:val="restart"/>
            <w:tcBorders>
              <w:top w:val="single"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i)</w:t>
            </w:r>
          </w:p>
        </w:tc>
        <w:tc>
          <w:tcPr>
            <w:tcW w:w="1642" w:type="pct"/>
            <w:tcBorders>
              <w:top w:val="single" w:sz="4" w:space="0" w:color="auto"/>
            </w:tcBorders>
            <w:shd w:val="clear" w:color="auto" w:fill="auto"/>
          </w:tcPr>
          <w:p w:rsidR="007D489B" w:rsidRPr="007D489B" w:rsidRDefault="007D489B" w:rsidP="007D489B">
            <w:pPr>
              <w:rPr>
                <w:rFonts w:eastAsia="Calibri"/>
                <w:i/>
                <w:sz w:val="20"/>
                <w:szCs w:val="20"/>
              </w:rPr>
            </w:pPr>
            <w:r w:rsidRPr="007D489B">
              <w:rPr>
                <w:rFonts w:eastAsia="Calibri"/>
                <w:b/>
                <w:i/>
                <w:sz w:val="20"/>
                <w:szCs w:val="20"/>
              </w:rPr>
              <w:t xml:space="preserve">Špecifikujte </w:t>
            </w:r>
            <w:r w:rsidRPr="007D489B">
              <w:rPr>
                <w:rFonts w:eastAsia="Calibri"/>
                <w:i/>
                <w:sz w:val="20"/>
                <w:szCs w:val="20"/>
              </w:rPr>
              <w:t>ovplyvnené skupiny:</w:t>
            </w:r>
          </w:p>
        </w:tc>
        <w:tc>
          <w:tcPr>
            <w:tcW w:w="3229" w:type="pct"/>
            <w:tcBorders>
              <w:top w:val="single" w:sz="4" w:space="0" w:color="auto"/>
            </w:tcBorders>
            <w:shd w:val="clear" w:color="auto" w:fill="auto"/>
          </w:tcPr>
          <w:p w:rsidR="007D489B" w:rsidRPr="007D489B" w:rsidRDefault="007D489B" w:rsidP="007D489B">
            <w:pPr>
              <w:rPr>
                <w:rFonts w:eastAsia="Calibri"/>
                <w:i/>
                <w:sz w:val="18"/>
                <w:szCs w:val="20"/>
              </w:rPr>
            </w:pPr>
            <w:r w:rsidRPr="007D489B">
              <w:rPr>
                <w:rFonts w:eastAsia="Calibri"/>
                <w:i/>
                <w:sz w:val="18"/>
                <w:szCs w:val="20"/>
              </w:rPr>
              <w:t>Ovplyvnená skupina č. 1</w:t>
            </w:r>
          </w:p>
        </w:tc>
      </w:tr>
      <w:tr w:rsidR="007D489B" w:rsidRPr="007D489B" w:rsidTr="007D489B">
        <w:trPr>
          <w:trHeight w:val="397"/>
          <w:jc w:val="center"/>
        </w:trPr>
        <w:tc>
          <w:tcPr>
            <w:tcW w:w="129" w:type="pct"/>
            <w:vMerge/>
            <w:shd w:val="clear" w:color="auto" w:fill="auto"/>
            <w:vAlign w:val="center"/>
          </w:tcPr>
          <w:p w:rsidR="007D489B" w:rsidRPr="007D489B" w:rsidRDefault="007D489B" w:rsidP="007D489B">
            <w:pPr>
              <w:jc w:val="center"/>
              <w:rPr>
                <w:rFonts w:eastAsia="Calibri"/>
                <w:i/>
                <w:sz w:val="18"/>
                <w:szCs w:val="18"/>
              </w:rPr>
            </w:pPr>
          </w:p>
        </w:tc>
        <w:tc>
          <w:tcPr>
            <w:tcW w:w="1642" w:type="pct"/>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3</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2</w:t>
            </w:r>
          </w:p>
        </w:tc>
      </w:tr>
      <w:tr w:rsidR="007D489B" w:rsidRPr="007D489B" w:rsidTr="007D489B">
        <w:trPr>
          <w:trHeight w:val="454"/>
          <w:jc w:val="center"/>
        </w:trPr>
        <w:tc>
          <w:tcPr>
            <w:tcW w:w="129" w:type="pct"/>
            <w:tcBorders>
              <w:top w:val="dotted" w:sz="4" w:space="0" w:color="auto"/>
            </w:tcBorders>
            <w:shd w:val="clear" w:color="auto" w:fill="F2F2F2"/>
            <w:vAlign w:val="center"/>
          </w:tcPr>
          <w:p w:rsidR="007D489B" w:rsidRPr="007D489B" w:rsidRDefault="007D489B" w:rsidP="007D489B">
            <w:pPr>
              <w:jc w:val="center"/>
              <w:rPr>
                <w:rFonts w:eastAsia="Calibri"/>
                <w:sz w:val="18"/>
                <w:szCs w:val="18"/>
              </w:rPr>
            </w:pPr>
            <w:r w:rsidRPr="007D489B">
              <w:rPr>
                <w:rFonts w:eastAsia="Calibri"/>
                <w:i/>
                <w:sz w:val="18"/>
                <w:szCs w:val="18"/>
              </w:rPr>
              <w:t>j</w:t>
            </w:r>
            <w:r w:rsidRPr="007D489B">
              <w:rPr>
                <w:rFonts w:eastAsia="Calibri"/>
                <w:sz w:val="18"/>
                <w:szCs w:val="18"/>
              </w:rPr>
              <w:t>)</w:t>
            </w:r>
          </w:p>
        </w:tc>
        <w:tc>
          <w:tcPr>
            <w:tcW w:w="4871" w:type="pct"/>
            <w:gridSpan w:val="2"/>
            <w:tcBorders>
              <w:top w:val="dotted" w:sz="4" w:space="0" w:color="auto"/>
            </w:tcBorders>
            <w:shd w:val="clear" w:color="auto" w:fill="F2F2F2"/>
            <w:vAlign w:val="center"/>
          </w:tcPr>
          <w:p w:rsidR="007D489B" w:rsidRPr="007D489B" w:rsidRDefault="007D489B" w:rsidP="007D489B">
            <w:pPr>
              <w:rPr>
                <w:rFonts w:eastAsia="Calibri"/>
                <w:i/>
                <w:sz w:val="20"/>
                <w:szCs w:val="20"/>
              </w:rPr>
            </w:pPr>
            <w:r w:rsidRPr="007D489B">
              <w:rPr>
                <w:rFonts w:eastAsia="Calibri"/>
                <w:b/>
                <w:i/>
                <w:sz w:val="20"/>
                <w:szCs w:val="20"/>
              </w:rPr>
              <w:t>Kvantifikujte</w:t>
            </w:r>
            <w:r w:rsidRPr="007D489B">
              <w:rPr>
                <w:rFonts w:eastAsia="Calibri"/>
                <w:i/>
                <w:sz w:val="20"/>
                <w:szCs w:val="20"/>
              </w:rPr>
              <w:t xml:space="preserve"> pokles príjmov alebo rast výdavkov </w:t>
            </w:r>
            <w:r w:rsidRPr="007D489B">
              <w:rPr>
                <w:rFonts w:eastAsia="Calibri"/>
                <w:b/>
                <w:i/>
                <w:sz w:val="20"/>
                <w:szCs w:val="20"/>
              </w:rPr>
              <w:t>za jednotlivé ovplyvnené skupiny</w:t>
            </w:r>
            <w:r w:rsidRPr="007D489B">
              <w:rPr>
                <w:rFonts w:eastAsia="Calibri"/>
                <w:i/>
                <w:sz w:val="20"/>
                <w:szCs w:val="20"/>
              </w:rPr>
              <w:t xml:space="preserve"> domácností / skupiny jednotlivcov a počet obyvateľstva/domácností ovplyvnených predkladaným návrhom.</w:t>
            </w:r>
          </w:p>
        </w:tc>
      </w:tr>
      <w:tr w:rsidR="007D489B" w:rsidRPr="007D489B" w:rsidTr="007D489B">
        <w:trPr>
          <w:trHeight w:val="680"/>
          <w:jc w:val="center"/>
        </w:trPr>
        <w:tc>
          <w:tcPr>
            <w:tcW w:w="129" w:type="pct"/>
            <w:vMerge w:val="restart"/>
            <w:tcBorders>
              <w:top w:val="dotted"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k)</w:t>
            </w:r>
          </w:p>
        </w:tc>
        <w:tc>
          <w:tcPr>
            <w:tcW w:w="1642" w:type="pct"/>
            <w:tcBorders>
              <w:top w:val="dotted" w:sz="4" w:space="0" w:color="auto"/>
            </w:tcBorders>
            <w:shd w:val="clear" w:color="auto" w:fill="auto"/>
          </w:tcPr>
          <w:p w:rsidR="007D489B" w:rsidRPr="007D489B" w:rsidRDefault="007D489B" w:rsidP="007D489B">
            <w:pPr>
              <w:numPr>
                <w:ilvl w:val="0"/>
                <w:numId w:val="2"/>
              </w:numPr>
              <w:spacing w:after="160" w:line="259" w:lineRule="auto"/>
              <w:contextualSpacing/>
              <w:rPr>
                <w:rFonts w:eastAsia="Calibri"/>
                <w:i/>
                <w:sz w:val="18"/>
                <w:szCs w:val="20"/>
              </w:rPr>
            </w:pPr>
            <w:r w:rsidRPr="007D489B">
              <w:rPr>
                <w:rFonts w:eastAsia="Calibri"/>
                <w:i/>
                <w:sz w:val="18"/>
                <w:szCs w:val="20"/>
              </w:rPr>
              <w:t>priemerný pokles príjmov/ rast výdavkov v skupine v eurách a/alebo v % / obdobie:</w:t>
            </w:r>
          </w:p>
          <w:p w:rsidR="007D489B" w:rsidRPr="007D489B" w:rsidRDefault="007D489B" w:rsidP="007D489B">
            <w:pPr>
              <w:numPr>
                <w:ilvl w:val="0"/>
                <w:numId w:val="2"/>
              </w:numPr>
              <w:spacing w:after="160" w:line="259" w:lineRule="auto"/>
              <w:contextualSpacing/>
              <w:rPr>
                <w:rFonts w:eastAsia="Calibri"/>
                <w:i/>
                <w:sz w:val="20"/>
                <w:szCs w:val="20"/>
              </w:rPr>
            </w:pPr>
            <w:r w:rsidRPr="007D489B">
              <w:rPr>
                <w:rFonts w:eastAsia="Calibri"/>
                <w:i/>
                <w:sz w:val="18"/>
                <w:szCs w:val="20"/>
              </w:rPr>
              <w:t>veľkosť skupiny (počet obyvateľov):</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1</w:t>
            </w:r>
          </w:p>
        </w:tc>
      </w:tr>
      <w:tr w:rsidR="007D489B" w:rsidRPr="007D489B" w:rsidTr="007D489B">
        <w:trPr>
          <w:trHeight w:val="680"/>
          <w:jc w:val="center"/>
        </w:trPr>
        <w:tc>
          <w:tcPr>
            <w:tcW w:w="129" w:type="pct"/>
            <w:vMerge/>
            <w:shd w:val="clear" w:color="auto" w:fill="auto"/>
            <w:vAlign w:val="center"/>
          </w:tcPr>
          <w:p w:rsidR="007D489B" w:rsidRPr="007D489B" w:rsidRDefault="007D489B" w:rsidP="007D489B">
            <w:pPr>
              <w:jc w:val="center"/>
              <w:rPr>
                <w:rFonts w:eastAsia="Calibri"/>
                <w:i/>
                <w:sz w:val="18"/>
                <w:szCs w:val="18"/>
              </w:rPr>
            </w:pPr>
          </w:p>
        </w:tc>
        <w:tc>
          <w:tcPr>
            <w:tcW w:w="1642" w:type="pct"/>
            <w:shd w:val="clear" w:color="auto" w:fill="auto"/>
          </w:tcPr>
          <w:p w:rsidR="007D489B" w:rsidRPr="007D489B" w:rsidRDefault="007D489B" w:rsidP="007D489B">
            <w:pPr>
              <w:rPr>
                <w:rFonts w:eastAsia="Calibri"/>
                <w:i/>
                <w:sz w:val="20"/>
                <w:szCs w:val="20"/>
              </w:rPr>
            </w:pPr>
            <w:r w:rsidRPr="007D489B">
              <w:rPr>
                <w:rFonts w:eastAsia="Calibri"/>
                <w:i/>
                <w:sz w:val="18"/>
                <w:szCs w:val="20"/>
              </w:rPr>
              <w:t>Ovplyvnená skupina č. 3</w:t>
            </w:r>
          </w:p>
        </w:tc>
        <w:tc>
          <w:tcPr>
            <w:tcW w:w="3229" w:type="pct"/>
            <w:tcBorders>
              <w:top w:val="dotted" w:sz="4" w:space="0" w:color="auto"/>
            </w:tcBorders>
            <w:shd w:val="clear" w:color="auto" w:fill="auto"/>
          </w:tcPr>
          <w:p w:rsidR="007D489B" w:rsidRPr="007D489B" w:rsidRDefault="007D489B" w:rsidP="007D489B">
            <w:pPr>
              <w:rPr>
                <w:rFonts w:eastAsia="Calibri"/>
                <w:sz w:val="20"/>
                <w:szCs w:val="20"/>
              </w:rPr>
            </w:pPr>
            <w:r w:rsidRPr="007D489B">
              <w:rPr>
                <w:rFonts w:eastAsia="Calibri"/>
                <w:i/>
                <w:sz w:val="18"/>
                <w:szCs w:val="20"/>
              </w:rPr>
              <w:t>Ovplyvnená skupina č. 2</w:t>
            </w:r>
          </w:p>
        </w:tc>
      </w:tr>
      <w:tr w:rsidR="007D489B" w:rsidRPr="007D489B" w:rsidTr="007D489B">
        <w:trPr>
          <w:trHeight w:val="454"/>
          <w:jc w:val="center"/>
        </w:trPr>
        <w:tc>
          <w:tcPr>
            <w:tcW w:w="129" w:type="pct"/>
            <w:tcBorders>
              <w:top w:val="dotted" w:sz="4" w:space="0" w:color="auto"/>
              <w:bottom w:val="single" w:sz="4" w:space="0" w:color="auto"/>
            </w:tcBorders>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l)</w:t>
            </w:r>
          </w:p>
        </w:tc>
        <w:tc>
          <w:tcPr>
            <w:tcW w:w="1642" w:type="pct"/>
            <w:tcBorders>
              <w:top w:val="dotted" w:sz="4" w:space="0" w:color="auto"/>
              <w:bottom w:val="single" w:sz="4" w:space="0" w:color="auto"/>
            </w:tcBorders>
            <w:shd w:val="clear" w:color="auto" w:fill="auto"/>
          </w:tcPr>
          <w:p w:rsidR="007D489B" w:rsidRPr="007D489B" w:rsidRDefault="007D489B" w:rsidP="007D489B">
            <w:pPr>
              <w:rPr>
                <w:rFonts w:eastAsia="Calibri"/>
                <w:i/>
                <w:sz w:val="20"/>
                <w:szCs w:val="20"/>
              </w:rPr>
            </w:pPr>
            <w:r w:rsidRPr="007D489B">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7D489B" w:rsidRPr="007D489B" w:rsidRDefault="007D489B" w:rsidP="007D489B">
            <w:pPr>
              <w:rPr>
                <w:rFonts w:eastAsia="Calibri"/>
                <w:sz w:val="20"/>
                <w:szCs w:val="20"/>
              </w:rPr>
            </w:pPr>
          </w:p>
        </w:tc>
      </w:tr>
    </w:tbl>
    <w:p w:rsidR="007D489B" w:rsidRPr="007D489B" w:rsidRDefault="007D489B" w:rsidP="007D489B">
      <w:pPr>
        <w:spacing w:after="160" w:line="259" w:lineRule="auto"/>
        <w:rPr>
          <w:rFonts w:asciiTheme="minorHAnsi" w:eastAsiaTheme="minorHAnsi" w:hAnsiTheme="minorHAnsi" w:cstheme="minorBidi"/>
          <w:sz w:val="22"/>
          <w:szCs w:val="22"/>
          <w:lang w:eastAsia="en-US"/>
        </w:rPr>
      </w:pPr>
      <w:r w:rsidRPr="007D489B">
        <w:rPr>
          <w:rFonts w:asciiTheme="minorHAnsi" w:eastAsiaTheme="minorHAnsi" w:hAnsiTheme="minorHAnsi" w:cstheme="minorBidi"/>
          <w:sz w:val="22"/>
          <w:szCs w:val="22"/>
          <w:lang w:eastAsia="en-US"/>
        </w:rPr>
        <w:br w:type="page"/>
      </w:r>
    </w:p>
    <w:p w:rsidR="007D489B" w:rsidRPr="007D489B" w:rsidRDefault="007D489B" w:rsidP="007D489B">
      <w:pPr>
        <w:spacing w:after="160" w:line="259" w:lineRule="auto"/>
        <w:rPr>
          <w:rFonts w:asciiTheme="minorHAnsi" w:eastAsiaTheme="minorHAnsi" w:hAnsiTheme="minorHAnsi" w:cstheme="minorBidi"/>
          <w:sz w:val="22"/>
          <w:szCs w:val="22"/>
          <w:lang w:eastAsia="en-US"/>
        </w:rPr>
        <w:sectPr w:rsidR="007D489B" w:rsidRPr="007D489B" w:rsidSect="007D489B">
          <w:headerReference w:type="default" r:id="rId13"/>
          <w:footerReference w:type="default" r:id="rId14"/>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7D489B" w:rsidRPr="007D489B" w:rsidTr="007D489B">
        <w:trPr>
          <w:trHeight w:val="339"/>
          <w:jc w:val="center"/>
        </w:trPr>
        <w:tc>
          <w:tcPr>
            <w:tcW w:w="4998" w:type="pct"/>
            <w:gridSpan w:val="4"/>
            <w:tcBorders>
              <w:bottom w:val="single" w:sz="4" w:space="0" w:color="auto"/>
            </w:tcBorders>
            <w:shd w:val="clear" w:color="auto" w:fill="D9D9D9"/>
          </w:tcPr>
          <w:p w:rsidR="007D489B" w:rsidRPr="007D489B" w:rsidRDefault="007D489B" w:rsidP="007D489B">
            <w:pPr>
              <w:rPr>
                <w:rFonts w:eastAsia="Calibri"/>
                <w:b/>
              </w:rPr>
            </w:pPr>
            <w:r w:rsidRPr="007D489B">
              <w:rPr>
                <w:rFonts w:eastAsia="Calibri"/>
                <w:b/>
              </w:rPr>
              <w:lastRenderedPageBreak/>
              <w:t>4.2 Identifikujte, popíšte a kvantifikujte vplyvy na prístup k zdrojom, právam, tovarom a službám u jednotlivých ovplyvnených skupín obyvateľstva a vplyv na sociálnu inklúziu.</w:t>
            </w:r>
          </w:p>
        </w:tc>
      </w:tr>
      <w:tr w:rsidR="007D489B" w:rsidRPr="007D489B" w:rsidTr="007D489B">
        <w:trPr>
          <w:trHeight w:val="290"/>
          <w:jc w:val="center"/>
        </w:trPr>
        <w:tc>
          <w:tcPr>
            <w:tcW w:w="4998" w:type="pct"/>
            <w:gridSpan w:val="4"/>
            <w:tcBorders>
              <w:bottom w:val="single" w:sz="4" w:space="0" w:color="auto"/>
            </w:tcBorders>
            <w:shd w:val="clear" w:color="auto" w:fill="F2F2F2"/>
            <w:vAlign w:val="center"/>
          </w:tcPr>
          <w:p w:rsidR="007D489B" w:rsidRPr="007D489B" w:rsidRDefault="007D489B" w:rsidP="007D489B">
            <w:pPr>
              <w:jc w:val="both"/>
              <w:rPr>
                <w:rFonts w:eastAsia="Calibri"/>
                <w:i/>
                <w:sz w:val="20"/>
              </w:rPr>
            </w:pPr>
            <w:r w:rsidRPr="007D489B">
              <w:rPr>
                <w:rFonts w:eastAsia="Calibri"/>
                <w:i/>
                <w:sz w:val="20"/>
              </w:rPr>
              <w:t xml:space="preserve">Má návrh vplyv na prístup k zdrojom, právam, tovarom a službám? </w:t>
            </w:r>
          </w:p>
          <w:p w:rsidR="007D489B" w:rsidRPr="007D489B" w:rsidRDefault="007D489B" w:rsidP="007D489B">
            <w:pPr>
              <w:jc w:val="both"/>
              <w:rPr>
                <w:rFonts w:ascii="Calibri" w:eastAsia="Calibri" w:hAnsi="Calibri"/>
                <w:i/>
              </w:rPr>
            </w:pPr>
            <w:r w:rsidRPr="007D489B">
              <w:rPr>
                <w:rFonts w:eastAsia="Calibri"/>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7D489B" w:rsidRPr="007D489B" w:rsidTr="007D489B">
        <w:tblPrEx>
          <w:tblBorders>
            <w:top w:val="none" w:sz="0" w:space="0" w:color="auto"/>
            <w:bottom w:val="none" w:sz="0" w:space="0" w:color="auto"/>
          </w:tblBorders>
        </w:tblPrEx>
        <w:trPr>
          <w:trHeight w:val="557"/>
          <w:jc w:val="center"/>
        </w:trPr>
        <w:tc>
          <w:tcPr>
            <w:tcW w:w="180" w:type="pct"/>
            <w:shd w:val="clear" w:color="auto" w:fill="auto"/>
            <w:vAlign w:val="center"/>
          </w:tcPr>
          <w:p w:rsidR="007D489B" w:rsidRPr="007D489B" w:rsidRDefault="007D489B" w:rsidP="007D489B">
            <w:pPr>
              <w:jc w:val="center"/>
              <w:rPr>
                <w:rFonts w:eastAsia="Calibri"/>
                <w:i/>
                <w:sz w:val="18"/>
                <w:szCs w:val="18"/>
              </w:rPr>
            </w:pPr>
            <w:r w:rsidRPr="007D489B">
              <w:rPr>
                <w:rFonts w:eastAsia="Calibri"/>
                <w:i/>
                <w:sz w:val="18"/>
                <w:szCs w:val="18"/>
              </w:rPr>
              <w:t>a)</w:t>
            </w:r>
          </w:p>
        </w:tc>
        <w:tc>
          <w:tcPr>
            <w:tcW w:w="1893" w:type="pct"/>
            <w:gridSpan w:val="2"/>
            <w:shd w:val="clear" w:color="auto" w:fill="auto"/>
          </w:tcPr>
          <w:p w:rsidR="007D489B" w:rsidRPr="007D489B" w:rsidRDefault="007D489B" w:rsidP="007D489B">
            <w:pPr>
              <w:jc w:val="both"/>
              <w:rPr>
                <w:rFonts w:eastAsia="Calibri"/>
                <w:i/>
                <w:sz w:val="18"/>
                <w:szCs w:val="18"/>
              </w:rPr>
            </w:pPr>
            <w:r w:rsidRPr="007D489B">
              <w:rPr>
                <w:rFonts w:eastAsia="Calibri"/>
                <w:i/>
                <w:sz w:val="18"/>
                <w:szCs w:val="18"/>
              </w:rPr>
              <w:t>Rozumie sa najmä na prístup k:</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 xml:space="preserve">sociálnej ochrane, sociálno-právnej ochrane, sociálnym službám (vrátane služieb starostlivosti o deti, starších ľudí a ľudí so    zdravotným postihnutím), </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kvalitnej práci, ochrane zdravia, dôstojnosti a bezpečnosti pri práci pre zamestnancov a existujúcim zamestnaneckým právam,</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 xml:space="preserve">pomoci pri úhrade výdavkov súvisiacich so zdravotným postihnutím, </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zamestnaniu, na trh práce (napr. uľahčenie zosúladenia rodinných a pracovných povinností, služby zamestnanosti), k školeniam, odbornému vzdelávaniu a príprave na trh práce,</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 xml:space="preserve">zdravotnej starostlivosti vrátane cenovo dostupných pomôcok pre občanov so zdravotným postihnutím, </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k formálnemu i neformálnemu vzdelávaniu a celo</w:t>
            </w:r>
            <w:r w:rsidRPr="007D489B">
              <w:rPr>
                <w:rFonts w:eastAsia="Calibri"/>
                <w:i/>
                <w:sz w:val="18"/>
                <w:szCs w:val="18"/>
              </w:rPr>
              <w:softHyphen/>
              <w:t xml:space="preserve">životnému vzdelávaniu, </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bývaniu a súvisiacim základným komunálnym službám,</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doprave,</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ďalším službám najmä službám všeobecného záujmu a tovarom,</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spravodlivosti, právnej ochrane, právnym službám,</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informáciám,</w:t>
            </w:r>
          </w:p>
          <w:p w:rsidR="007D489B" w:rsidRPr="007D489B" w:rsidRDefault="007D489B" w:rsidP="007D489B">
            <w:pPr>
              <w:numPr>
                <w:ilvl w:val="0"/>
                <w:numId w:val="11"/>
              </w:numPr>
              <w:spacing w:after="160" w:line="259" w:lineRule="auto"/>
              <w:ind w:left="170" w:hanging="170"/>
              <w:jc w:val="both"/>
              <w:rPr>
                <w:rFonts w:ascii="Calibri" w:eastAsia="Calibri" w:hAnsi="Calibri"/>
                <w:i/>
                <w:sz w:val="20"/>
                <w:szCs w:val="20"/>
              </w:rPr>
            </w:pPr>
            <w:r w:rsidRPr="007D489B">
              <w:rPr>
                <w:rFonts w:eastAsia="Calibri"/>
                <w:i/>
                <w:sz w:val="18"/>
                <w:szCs w:val="18"/>
              </w:rPr>
              <w:t>k iným právam (napr. politickým).</w:t>
            </w:r>
          </w:p>
        </w:tc>
        <w:tc>
          <w:tcPr>
            <w:tcW w:w="2926" w:type="pct"/>
            <w:shd w:val="clear" w:color="auto" w:fill="auto"/>
          </w:tcPr>
          <w:p w:rsidR="007D489B" w:rsidRPr="007D489B" w:rsidRDefault="007D489B" w:rsidP="007D489B">
            <w:pPr>
              <w:rPr>
                <w:rFonts w:eastAsia="Calibri"/>
                <w:sz w:val="20"/>
                <w:szCs w:val="20"/>
              </w:rPr>
            </w:pPr>
            <w:r w:rsidRPr="007D489B">
              <w:rPr>
                <w:rFonts w:eastAsia="Calibri"/>
                <w:sz w:val="20"/>
                <w:szCs w:val="20"/>
              </w:rPr>
              <w:t xml:space="preserve">Zákonom sa vytvárajú podmienky na uplatnenie volebného práva prostredníctvom špeciálneho spôsobu hlasovania  pre osoby,  ktoré by pre zákonom ustanovené obmedzenie osobnej slobody, z dôvodu ochrany verejného zdravia mali prekážku výkonu volebného práva  v spojených voľbách.   </w:t>
            </w:r>
          </w:p>
          <w:p w:rsidR="007D489B" w:rsidRPr="007D489B" w:rsidRDefault="007D489B" w:rsidP="007D489B">
            <w:pPr>
              <w:rPr>
                <w:rFonts w:eastAsia="Calibri"/>
                <w:sz w:val="20"/>
                <w:szCs w:val="20"/>
              </w:rPr>
            </w:pPr>
          </w:p>
        </w:tc>
      </w:tr>
      <w:tr w:rsidR="007D489B" w:rsidRPr="007D489B" w:rsidTr="007D489B">
        <w:trPr>
          <w:jc w:val="center"/>
        </w:trPr>
        <w:tc>
          <w:tcPr>
            <w:tcW w:w="180" w:type="pct"/>
            <w:tcBorders>
              <w:bottom w:val="single" w:sz="4" w:space="0" w:color="auto"/>
            </w:tcBorders>
            <w:shd w:val="clear" w:color="auto" w:fill="F2F2F2"/>
            <w:vAlign w:val="center"/>
          </w:tcPr>
          <w:p w:rsidR="007D489B" w:rsidRPr="007D489B" w:rsidRDefault="007D489B" w:rsidP="007D489B">
            <w:pPr>
              <w:rPr>
                <w:rFonts w:eastAsia="Calibri"/>
                <w:i/>
                <w:sz w:val="18"/>
                <w:szCs w:val="22"/>
              </w:rPr>
            </w:pPr>
            <w:r w:rsidRPr="007D489B">
              <w:rPr>
                <w:rFonts w:eastAsia="Calibri"/>
                <w:i/>
                <w:sz w:val="18"/>
                <w:szCs w:val="22"/>
              </w:rPr>
              <w:t>b)</w:t>
            </w:r>
          </w:p>
        </w:tc>
        <w:tc>
          <w:tcPr>
            <w:tcW w:w="4819" w:type="pct"/>
            <w:gridSpan w:val="3"/>
            <w:tcBorders>
              <w:bottom w:val="single" w:sz="4" w:space="0" w:color="auto"/>
            </w:tcBorders>
            <w:shd w:val="clear" w:color="auto" w:fill="F2F2F2"/>
          </w:tcPr>
          <w:p w:rsidR="007D489B" w:rsidRPr="007D489B" w:rsidRDefault="007D489B" w:rsidP="007D489B">
            <w:pPr>
              <w:jc w:val="both"/>
              <w:rPr>
                <w:rFonts w:eastAsia="Calibri"/>
                <w:i/>
                <w:sz w:val="20"/>
                <w:szCs w:val="20"/>
              </w:rPr>
            </w:pPr>
            <w:r w:rsidRPr="007D489B">
              <w:rPr>
                <w:rFonts w:eastAsia="Calibri"/>
                <w:i/>
                <w:sz w:val="20"/>
                <w:szCs w:val="20"/>
              </w:rPr>
              <w:t xml:space="preserve">Má návrh významný vplyv na niektorú zo zraniteľných skupín obyvateľstva alebo skupín v riziku chudoby alebo sociálneho vylúčenia? </w:t>
            </w:r>
          </w:p>
          <w:p w:rsidR="007D489B" w:rsidRPr="007D489B" w:rsidRDefault="007D489B" w:rsidP="007D489B">
            <w:pPr>
              <w:jc w:val="both"/>
              <w:rPr>
                <w:rFonts w:ascii="Calibri" w:eastAsia="Calibri" w:hAnsi="Calibri"/>
                <w:i/>
                <w:sz w:val="22"/>
                <w:szCs w:val="22"/>
              </w:rPr>
            </w:pPr>
            <w:r w:rsidRPr="007D489B">
              <w:rPr>
                <w:rFonts w:eastAsia="Calibri"/>
                <w:i/>
                <w:sz w:val="20"/>
                <w:szCs w:val="20"/>
              </w:rPr>
              <w:t xml:space="preserve">Špecifikujte ovplyvnené skupiny v riziku chudoby a sociálneho vylúčenia a popíšte vplyv na </w:t>
            </w:r>
            <w:proofErr w:type="spellStart"/>
            <w:r w:rsidRPr="007D489B">
              <w:rPr>
                <w:rFonts w:eastAsia="Calibri"/>
                <w:i/>
                <w:sz w:val="20"/>
                <w:szCs w:val="20"/>
              </w:rPr>
              <w:t>ne</w:t>
            </w:r>
            <w:proofErr w:type="spellEnd"/>
            <w:r w:rsidRPr="007D489B">
              <w:rPr>
                <w:rFonts w:eastAsia="Calibri"/>
                <w:i/>
                <w:sz w:val="20"/>
                <w:szCs w:val="20"/>
              </w:rPr>
              <w:t>. Je tento vplyv väčší ako vplyv na iné skupiny či subjekty? Uveďte veľkosť jednotlivých ovplyvnených skupín.</w:t>
            </w:r>
          </w:p>
        </w:tc>
      </w:tr>
      <w:tr w:rsidR="007D489B" w:rsidRPr="007D489B" w:rsidTr="007D489B">
        <w:tblPrEx>
          <w:tblBorders>
            <w:top w:val="none" w:sz="0" w:space="0" w:color="auto"/>
          </w:tblBorders>
        </w:tblPrEx>
        <w:trPr>
          <w:trHeight w:val="677"/>
          <w:jc w:val="center"/>
        </w:trPr>
        <w:tc>
          <w:tcPr>
            <w:tcW w:w="179" w:type="pct"/>
            <w:shd w:val="clear" w:color="auto" w:fill="auto"/>
            <w:vAlign w:val="center"/>
          </w:tcPr>
          <w:p w:rsidR="007D489B" w:rsidRPr="007D489B" w:rsidRDefault="007D489B" w:rsidP="007D489B">
            <w:pPr>
              <w:rPr>
                <w:rFonts w:eastAsia="Calibri"/>
                <w:i/>
                <w:sz w:val="18"/>
                <w:szCs w:val="18"/>
              </w:rPr>
            </w:pPr>
            <w:r w:rsidRPr="007D489B">
              <w:rPr>
                <w:rFonts w:eastAsia="Calibri"/>
                <w:i/>
                <w:sz w:val="18"/>
                <w:szCs w:val="18"/>
              </w:rPr>
              <w:t>c)</w:t>
            </w:r>
          </w:p>
        </w:tc>
        <w:tc>
          <w:tcPr>
            <w:tcW w:w="1849" w:type="pct"/>
            <w:shd w:val="clear" w:color="auto" w:fill="auto"/>
          </w:tcPr>
          <w:p w:rsidR="007D489B" w:rsidRPr="007D489B" w:rsidRDefault="007D489B" w:rsidP="007D489B">
            <w:pPr>
              <w:jc w:val="both"/>
              <w:rPr>
                <w:rFonts w:eastAsia="Calibri"/>
                <w:i/>
                <w:sz w:val="18"/>
                <w:szCs w:val="18"/>
              </w:rPr>
            </w:pPr>
            <w:r w:rsidRPr="007D489B">
              <w:rPr>
                <w:rFonts w:eastAsia="Calibri"/>
                <w:i/>
                <w:sz w:val="18"/>
                <w:szCs w:val="18"/>
              </w:rPr>
              <w:t>Zraniteľné skupiny alebo skupiny v riziku chudoby alebo sociálneho vylúčenia sú napr.:</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nezamestnaní, najmä dlhodobo nezamestnaní, mladí nezamestnaní a nezamestnaní nad 50 rokov,</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deti (0 – 17),</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mladí ľudia (18 – 25 rokov),</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lastRenderedPageBreak/>
              <w:t>starší ľudia, napr. ľudia vo veku nad 65 rokov alebo dôchodcovia,</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ľudia so zdravotným postihnutím,</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 xml:space="preserve">marginalizované rómske komunity </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domácnosti s 3 a viac deťmi,</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jednorodičovské domácnosti s deťmi (neúplné rodiny, ktoré tvoria najmä osamelé matky s deťmi),</w:t>
            </w:r>
          </w:p>
          <w:p w:rsidR="007D489B" w:rsidRPr="007D489B" w:rsidRDefault="007D489B" w:rsidP="007D489B">
            <w:pPr>
              <w:numPr>
                <w:ilvl w:val="0"/>
                <w:numId w:val="11"/>
              </w:numPr>
              <w:spacing w:after="160" w:line="259" w:lineRule="auto"/>
              <w:ind w:left="170" w:hanging="170"/>
              <w:jc w:val="both"/>
              <w:rPr>
                <w:rFonts w:eastAsia="Calibri"/>
                <w:i/>
                <w:sz w:val="18"/>
                <w:szCs w:val="18"/>
              </w:rPr>
            </w:pPr>
            <w:r w:rsidRPr="007D489B">
              <w:rPr>
                <w:rFonts w:eastAsia="Calibri"/>
                <w:i/>
                <w:sz w:val="18"/>
                <w:szCs w:val="18"/>
              </w:rPr>
              <w:t>príslušníci tretích krajín, azylanti, žiadatelia o azyl,</w:t>
            </w:r>
          </w:p>
          <w:p w:rsidR="007D489B" w:rsidRPr="007D489B" w:rsidRDefault="007D489B" w:rsidP="007D489B">
            <w:pPr>
              <w:numPr>
                <w:ilvl w:val="0"/>
                <w:numId w:val="11"/>
              </w:numPr>
              <w:spacing w:after="160" w:line="259" w:lineRule="auto"/>
              <w:ind w:left="170" w:hanging="170"/>
              <w:jc w:val="both"/>
              <w:rPr>
                <w:rFonts w:eastAsia="Calibri"/>
                <w:sz w:val="20"/>
                <w:szCs w:val="22"/>
              </w:rPr>
            </w:pPr>
            <w:r w:rsidRPr="007D489B">
              <w:rPr>
                <w:rFonts w:eastAsia="Calibri"/>
                <w:i/>
                <w:sz w:val="18"/>
                <w:szCs w:val="18"/>
              </w:rPr>
              <w:t>iné zraniteľné skupiny, ako sú napr. bezdomovci, ľudia opúšťajúci detské domovy alebo iné inštitucionálne zariadenia</w:t>
            </w:r>
          </w:p>
        </w:tc>
        <w:tc>
          <w:tcPr>
            <w:tcW w:w="2972" w:type="pct"/>
            <w:gridSpan w:val="2"/>
            <w:shd w:val="clear" w:color="auto" w:fill="auto"/>
          </w:tcPr>
          <w:p w:rsidR="007D489B" w:rsidRPr="007D489B" w:rsidRDefault="007D489B" w:rsidP="007D489B">
            <w:pPr>
              <w:rPr>
                <w:rFonts w:eastAsia="Calibri"/>
                <w:sz w:val="20"/>
                <w:szCs w:val="22"/>
              </w:rPr>
            </w:pPr>
          </w:p>
        </w:tc>
      </w:tr>
    </w:tbl>
    <w:p w:rsidR="007D489B" w:rsidRPr="007D489B" w:rsidRDefault="007D489B" w:rsidP="007D489B">
      <w:pPr>
        <w:spacing w:after="160" w:line="259" w:lineRule="auto"/>
        <w:rPr>
          <w:rFonts w:asciiTheme="minorHAnsi" w:eastAsiaTheme="minorHAnsi" w:hAnsiTheme="minorHAnsi" w:cstheme="minorBidi"/>
          <w:sz w:val="22"/>
          <w:szCs w:val="22"/>
          <w:lang w:eastAsia="en-US"/>
        </w:rPr>
        <w:sectPr w:rsidR="007D489B" w:rsidRPr="007D489B" w:rsidSect="007D489B">
          <w:headerReference w:type="default" r:id="rId15"/>
          <w:footerReference w:type="default" r:id="rId16"/>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7D489B" w:rsidRPr="007D489B" w:rsidTr="007D489B">
        <w:trPr>
          <w:jc w:val="center"/>
        </w:trPr>
        <w:tc>
          <w:tcPr>
            <w:tcW w:w="5000" w:type="pct"/>
            <w:gridSpan w:val="3"/>
            <w:shd w:val="clear" w:color="auto" w:fill="D9D9D9"/>
          </w:tcPr>
          <w:p w:rsidR="007D489B" w:rsidRPr="007D489B" w:rsidRDefault="007D489B" w:rsidP="007D489B">
            <w:pPr>
              <w:rPr>
                <w:rFonts w:eastAsia="Calibri"/>
                <w:b/>
                <w:lang w:eastAsia="en-US"/>
              </w:rPr>
            </w:pPr>
            <w:r w:rsidRPr="007D489B">
              <w:rPr>
                <w:rFonts w:eastAsia="Calibri"/>
                <w:b/>
                <w:lang w:eastAsia="en-US"/>
              </w:rPr>
              <w:lastRenderedPageBreak/>
              <w:t>4.3 Identifikujte a popíšte vplyv na rovnosť príležitostí.</w:t>
            </w:r>
          </w:p>
          <w:p w:rsidR="007D489B" w:rsidRPr="007D489B" w:rsidRDefault="007D489B" w:rsidP="007D489B">
            <w:pPr>
              <w:jc w:val="both"/>
              <w:rPr>
                <w:rFonts w:ascii="Calibri" w:eastAsia="Calibri" w:hAnsi="Calibri"/>
                <w:lang w:eastAsia="en-US"/>
              </w:rPr>
            </w:pPr>
            <w:r w:rsidRPr="007D489B">
              <w:rPr>
                <w:rFonts w:eastAsia="Calibri"/>
                <w:b/>
                <w:lang w:eastAsia="en-US"/>
              </w:rPr>
              <w:t>Identifikujte, popíšte a kvantifikujte vplyv na rovnosť žien a mužov.</w:t>
            </w:r>
          </w:p>
        </w:tc>
      </w:tr>
      <w:tr w:rsidR="007D489B" w:rsidRPr="007D489B" w:rsidTr="007D489B">
        <w:trPr>
          <w:jc w:val="center"/>
        </w:trPr>
        <w:tc>
          <w:tcPr>
            <w:tcW w:w="132" w:type="pct"/>
            <w:tcBorders>
              <w:bottom w:val="single" w:sz="4" w:space="0" w:color="auto"/>
            </w:tcBorders>
            <w:shd w:val="clear" w:color="auto" w:fill="F2F2F2"/>
            <w:vAlign w:val="center"/>
          </w:tcPr>
          <w:p w:rsidR="007D489B" w:rsidRPr="007D489B" w:rsidRDefault="007D489B" w:rsidP="007D489B">
            <w:pPr>
              <w:rPr>
                <w:rFonts w:eastAsia="Calibri"/>
                <w:i/>
                <w:lang w:eastAsia="en-US"/>
              </w:rPr>
            </w:pPr>
            <w:r w:rsidRPr="007D489B">
              <w:rPr>
                <w:rFonts w:eastAsia="Calibri"/>
                <w:i/>
                <w:sz w:val="18"/>
                <w:lang w:eastAsia="en-US"/>
              </w:rPr>
              <w:t>a)</w:t>
            </w:r>
          </w:p>
        </w:tc>
        <w:tc>
          <w:tcPr>
            <w:tcW w:w="4868" w:type="pct"/>
            <w:gridSpan w:val="2"/>
            <w:tcBorders>
              <w:bottom w:val="single" w:sz="4" w:space="0" w:color="auto"/>
            </w:tcBorders>
            <w:shd w:val="clear" w:color="auto" w:fill="F2F2F2"/>
          </w:tcPr>
          <w:p w:rsidR="007D489B" w:rsidRPr="007D489B" w:rsidRDefault="007D489B" w:rsidP="007D489B">
            <w:pPr>
              <w:jc w:val="both"/>
              <w:rPr>
                <w:rFonts w:eastAsia="Calibri"/>
                <w:i/>
                <w:lang w:eastAsia="en-US"/>
              </w:rPr>
            </w:pPr>
            <w:r w:rsidRPr="007D489B">
              <w:rPr>
                <w:rFonts w:eastAsia="Calibri"/>
                <w:i/>
                <w:sz w:val="20"/>
                <w:lang w:eastAsia="en-US"/>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7D489B" w:rsidRPr="007D489B" w:rsidTr="007D489B">
        <w:trPr>
          <w:trHeight w:val="928"/>
          <w:jc w:val="center"/>
        </w:trPr>
        <w:tc>
          <w:tcPr>
            <w:tcW w:w="132" w:type="pct"/>
            <w:tcBorders>
              <w:top w:val="nil"/>
              <w:bottom w:val="nil"/>
            </w:tcBorders>
            <w:shd w:val="clear" w:color="auto" w:fill="auto"/>
          </w:tcPr>
          <w:p w:rsidR="007D489B" w:rsidRPr="007D489B" w:rsidRDefault="007D489B" w:rsidP="007D489B">
            <w:pPr>
              <w:rPr>
                <w:rFonts w:eastAsia="Calibri"/>
                <w:sz w:val="20"/>
                <w:szCs w:val="22"/>
                <w:lang w:eastAsia="en-US"/>
              </w:rPr>
            </w:pPr>
          </w:p>
          <w:p w:rsidR="007D489B" w:rsidRPr="007D489B" w:rsidRDefault="007D489B" w:rsidP="007D489B">
            <w:pPr>
              <w:rPr>
                <w:rFonts w:eastAsia="Calibri"/>
                <w:i/>
                <w:sz w:val="20"/>
                <w:szCs w:val="22"/>
                <w:lang w:eastAsia="en-US"/>
              </w:rPr>
            </w:pPr>
          </w:p>
          <w:p w:rsidR="007D489B" w:rsidRPr="007D489B" w:rsidRDefault="007D489B" w:rsidP="007D489B">
            <w:pPr>
              <w:rPr>
                <w:rFonts w:eastAsia="Calibri"/>
                <w:i/>
                <w:sz w:val="20"/>
                <w:szCs w:val="22"/>
                <w:lang w:eastAsia="en-US"/>
              </w:rPr>
            </w:pPr>
          </w:p>
          <w:p w:rsidR="007D489B" w:rsidRPr="007D489B" w:rsidRDefault="007D489B" w:rsidP="007D489B">
            <w:pPr>
              <w:rPr>
                <w:rFonts w:eastAsia="Calibri"/>
                <w:i/>
                <w:sz w:val="18"/>
                <w:szCs w:val="22"/>
                <w:lang w:eastAsia="en-US"/>
              </w:rPr>
            </w:pPr>
            <w:r w:rsidRPr="007D489B">
              <w:rPr>
                <w:rFonts w:eastAsia="Calibri"/>
                <w:i/>
                <w:sz w:val="18"/>
                <w:szCs w:val="22"/>
                <w:lang w:eastAsia="en-US"/>
              </w:rPr>
              <w:t>b)</w:t>
            </w:r>
          </w:p>
          <w:p w:rsidR="007D489B" w:rsidRPr="007D489B" w:rsidRDefault="007D489B" w:rsidP="007D489B">
            <w:pPr>
              <w:rPr>
                <w:rFonts w:eastAsia="Calibri"/>
                <w:i/>
                <w:sz w:val="20"/>
                <w:szCs w:val="22"/>
                <w:lang w:eastAsia="en-US"/>
              </w:rPr>
            </w:pPr>
          </w:p>
          <w:p w:rsidR="007D489B" w:rsidRPr="007D489B" w:rsidRDefault="007D489B" w:rsidP="007D489B">
            <w:pPr>
              <w:rPr>
                <w:rFonts w:eastAsia="Calibri"/>
                <w:i/>
                <w:sz w:val="20"/>
                <w:szCs w:val="22"/>
                <w:lang w:eastAsia="en-US"/>
              </w:rPr>
            </w:pPr>
          </w:p>
          <w:p w:rsidR="007D489B" w:rsidRPr="007D489B" w:rsidRDefault="007D489B" w:rsidP="007D489B">
            <w:pPr>
              <w:rPr>
                <w:rFonts w:eastAsia="Calibri"/>
                <w:i/>
                <w:sz w:val="20"/>
                <w:szCs w:val="22"/>
                <w:lang w:eastAsia="en-US"/>
              </w:rPr>
            </w:pPr>
          </w:p>
        </w:tc>
        <w:tc>
          <w:tcPr>
            <w:tcW w:w="4868" w:type="pct"/>
            <w:gridSpan w:val="2"/>
            <w:tcBorders>
              <w:top w:val="nil"/>
              <w:bottom w:val="nil"/>
            </w:tcBorders>
            <w:shd w:val="clear" w:color="auto" w:fill="auto"/>
          </w:tcPr>
          <w:p w:rsidR="007D489B" w:rsidRPr="007D489B" w:rsidRDefault="007D489B" w:rsidP="007D489B">
            <w:pPr>
              <w:spacing w:after="160" w:line="259" w:lineRule="auto"/>
              <w:rPr>
                <w:rFonts w:eastAsia="Calibri"/>
                <w:i/>
                <w:sz w:val="20"/>
                <w:szCs w:val="22"/>
                <w:lang w:eastAsia="en-US"/>
              </w:rPr>
            </w:pPr>
          </w:p>
          <w:p w:rsidR="007D489B" w:rsidRPr="007D489B" w:rsidRDefault="007D489B" w:rsidP="007D489B">
            <w:pPr>
              <w:rPr>
                <w:rFonts w:eastAsia="Calibri"/>
                <w:i/>
                <w:sz w:val="20"/>
                <w:szCs w:val="22"/>
                <w:lang w:eastAsia="en-US"/>
              </w:rPr>
            </w:pPr>
          </w:p>
        </w:tc>
      </w:tr>
      <w:tr w:rsidR="007D489B" w:rsidRPr="007D489B" w:rsidTr="007D489B">
        <w:trPr>
          <w:trHeight w:val="345"/>
          <w:jc w:val="center"/>
        </w:trPr>
        <w:tc>
          <w:tcPr>
            <w:tcW w:w="132" w:type="pct"/>
            <w:tcBorders>
              <w:bottom w:val="single" w:sz="4" w:space="0" w:color="auto"/>
            </w:tcBorders>
            <w:shd w:val="clear" w:color="auto" w:fill="F2F2F2"/>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c)</w:t>
            </w:r>
          </w:p>
        </w:tc>
        <w:tc>
          <w:tcPr>
            <w:tcW w:w="4868" w:type="pct"/>
            <w:gridSpan w:val="2"/>
            <w:tcBorders>
              <w:bottom w:val="single" w:sz="4" w:space="0" w:color="auto"/>
            </w:tcBorders>
            <w:shd w:val="clear" w:color="auto" w:fill="F2F2F2"/>
            <w:vAlign w:val="center"/>
          </w:tcPr>
          <w:p w:rsidR="007D489B" w:rsidRPr="007D489B" w:rsidRDefault="007D489B" w:rsidP="007D489B">
            <w:pPr>
              <w:rPr>
                <w:rFonts w:eastAsia="Calibri"/>
                <w:i/>
                <w:sz w:val="20"/>
                <w:szCs w:val="20"/>
                <w:lang w:eastAsia="en-US"/>
              </w:rPr>
            </w:pPr>
            <w:r w:rsidRPr="007D489B">
              <w:rPr>
                <w:rFonts w:eastAsia="Calibri"/>
                <w:i/>
                <w:sz w:val="20"/>
                <w:szCs w:val="20"/>
                <w:lang w:eastAsia="en-US"/>
              </w:rPr>
              <w:t xml:space="preserve">4.3.2 Môže návrh viesť k zväčšovaniu nerovností medzi ženami a mužmi? </w:t>
            </w:r>
            <w:r w:rsidRPr="007D489B">
              <w:rPr>
                <w:rFonts w:eastAsia="Calibri"/>
                <w:i/>
                <w:sz w:val="20"/>
                <w:lang w:eastAsia="en-US"/>
              </w:rPr>
              <w:t xml:space="preserve">Podporuje návrh rovnosť príležitostí? </w:t>
            </w:r>
            <w:r w:rsidRPr="007D489B">
              <w:rPr>
                <w:rFonts w:eastAsia="Calibri"/>
                <w:i/>
                <w:sz w:val="20"/>
                <w:szCs w:val="20"/>
                <w:lang w:eastAsia="en-US"/>
              </w:rPr>
              <w:t>Má návrh odlišný vplyv na ženy a mužov? Popíšte vplyvy.</w:t>
            </w:r>
          </w:p>
        </w:tc>
      </w:tr>
      <w:tr w:rsidR="007D489B" w:rsidRPr="007D489B" w:rsidTr="007D489B">
        <w:tblPrEx>
          <w:tblBorders>
            <w:top w:val="none" w:sz="0" w:space="0" w:color="auto"/>
            <w:bottom w:val="none" w:sz="0" w:space="0" w:color="auto"/>
          </w:tblBorders>
        </w:tblPrEx>
        <w:trPr>
          <w:trHeight w:val="372"/>
          <w:jc w:val="center"/>
        </w:trPr>
        <w:tc>
          <w:tcPr>
            <w:tcW w:w="132" w:type="pct"/>
            <w:shd w:val="clear" w:color="auto" w:fill="auto"/>
            <w:vAlign w:val="center"/>
          </w:tcPr>
          <w:p w:rsidR="007D489B" w:rsidRPr="007D489B" w:rsidRDefault="007D489B" w:rsidP="007D489B">
            <w:pPr>
              <w:rPr>
                <w:rFonts w:eastAsia="Calibri"/>
                <w:i/>
                <w:sz w:val="18"/>
                <w:szCs w:val="18"/>
              </w:rPr>
            </w:pPr>
            <w:r w:rsidRPr="007D489B">
              <w:rPr>
                <w:rFonts w:eastAsia="Calibri"/>
                <w:i/>
                <w:sz w:val="18"/>
                <w:szCs w:val="18"/>
              </w:rPr>
              <w:t>d)</w:t>
            </w:r>
          </w:p>
        </w:tc>
        <w:tc>
          <w:tcPr>
            <w:tcW w:w="1880" w:type="pct"/>
            <w:shd w:val="clear" w:color="auto" w:fill="auto"/>
          </w:tcPr>
          <w:p w:rsidR="007D489B" w:rsidRPr="007D489B" w:rsidRDefault="007D489B" w:rsidP="007D489B">
            <w:pPr>
              <w:jc w:val="both"/>
              <w:rPr>
                <w:rFonts w:eastAsia="Calibri"/>
                <w:i/>
                <w:sz w:val="18"/>
                <w:szCs w:val="18"/>
                <w:lang w:eastAsia="en-US"/>
              </w:rPr>
            </w:pPr>
            <w:r w:rsidRPr="007D489B">
              <w:rPr>
                <w:rFonts w:eastAsia="Calibri"/>
                <w:i/>
                <w:sz w:val="18"/>
                <w:szCs w:val="18"/>
                <w:lang w:eastAsia="en-US"/>
              </w:rPr>
              <w:t>Popíšte riziká návrhu, ktoré môžu viesť k zväčšovaniu nerovností:</w:t>
            </w:r>
          </w:p>
        </w:tc>
        <w:tc>
          <w:tcPr>
            <w:tcW w:w="2988" w:type="pct"/>
            <w:shd w:val="clear" w:color="auto" w:fill="auto"/>
          </w:tcPr>
          <w:p w:rsidR="007D489B" w:rsidRPr="007D489B" w:rsidRDefault="007D489B" w:rsidP="007D489B">
            <w:pPr>
              <w:jc w:val="both"/>
              <w:rPr>
                <w:rFonts w:eastAsia="Calibri"/>
                <w:sz w:val="20"/>
                <w:szCs w:val="22"/>
                <w:lang w:eastAsia="en-US"/>
              </w:rPr>
            </w:pPr>
          </w:p>
        </w:tc>
      </w:tr>
      <w:tr w:rsidR="007D489B" w:rsidRPr="007D489B" w:rsidTr="007D489B">
        <w:tblPrEx>
          <w:tblBorders>
            <w:top w:val="none" w:sz="0" w:space="0" w:color="auto"/>
            <w:bottom w:val="none" w:sz="0" w:space="0" w:color="auto"/>
          </w:tblBorders>
        </w:tblPrEx>
        <w:trPr>
          <w:trHeight w:val="371"/>
          <w:jc w:val="center"/>
        </w:trPr>
        <w:tc>
          <w:tcPr>
            <w:tcW w:w="132" w:type="pct"/>
            <w:shd w:val="clear" w:color="auto" w:fill="auto"/>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e)</w:t>
            </w:r>
          </w:p>
        </w:tc>
        <w:tc>
          <w:tcPr>
            <w:tcW w:w="1880" w:type="pct"/>
            <w:shd w:val="clear" w:color="auto" w:fill="auto"/>
          </w:tcPr>
          <w:p w:rsidR="007D489B" w:rsidRPr="007D489B" w:rsidRDefault="007D489B" w:rsidP="007D489B">
            <w:pPr>
              <w:jc w:val="both"/>
              <w:rPr>
                <w:rFonts w:eastAsia="Calibri"/>
                <w:i/>
                <w:sz w:val="18"/>
                <w:szCs w:val="18"/>
                <w:lang w:eastAsia="en-US"/>
              </w:rPr>
            </w:pPr>
            <w:r w:rsidRPr="007D489B">
              <w:rPr>
                <w:rFonts w:eastAsia="Calibri"/>
                <w:i/>
                <w:sz w:val="18"/>
                <w:szCs w:val="18"/>
                <w:lang w:eastAsia="en-US"/>
              </w:rPr>
              <w:t>Popíšte pozitívne vplyvy návrhu na dosahovanie rovnosti žien a mužov, rovnosti príležitostí žien a mužov, prípadne vplyvy na ženy a mužov, ak sú odlišné:</w:t>
            </w:r>
          </w:p>
        </w:tc>
        <w:tc>
          <w:tcPr>
            <w:tcW w:w="2988" w:type="pct"/>
            <w:shd w:val="clear" w:color="auto" w:fill="auto"/>
          </w:tcPr>
          <w:p w:rsidR="007D489B" w:rsidRPr="007D489B" w:rsidRDefault="007D489B" w:rsidP="007D489B">
            <w:pPr>
              <w:jc w:val="both"/>
              <w:rPr>
                <w:rFonts w:eastAsia="Calibri"/>
                <w:i/>
                <w:sz w:val="18"/>
                <w:szCs w:val="18"/>
                <w:lang w:eastAsia="en-US"/>
              </w:rPr>
            </w:pPr>
          </w:p>
        </w:tc>
      </w:tr>
      <w:tr w:rsidR="007D489B" w:rsidRPr="007D489B" w:rsidTr="007D489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f)</w:t>
            </w:r>
          </w:p>
        </w:tc>
        <w:tc>
          <w:tcPr>
            <w:tcW w:w="1880" w:type="pct"/>
            <w:tcBorders>
              <w:bottom w:val="single" w:sz="4" w:space="0" w:color="auto"/>
            </w:tcBorders>
            <w:shd w:val="clear" w:color="auto" w:fill="auto"/>
          </w:tcPr>
          <w:p w:rsidR="007D489B" w:rsidRPr="007D489B" w:rsidRDefault="007D489B" w:rsidP="007D489B">
            <w:pPr>
              <w:jc w:val="both"/>
              <w:rPr>
                <w:rFonts w:eastAsia="Calibri"/>
                <w:i/>
                <w:sz w:val="18"/>
                <w:szCs w:val="18"/>
                <w:lang w:eastAsia="en-US"/>
              </w:rPr>
            </w:pPr>
            <w:r w:rsidRPr="007D489B">
              <w:rPr>
                <w:rFonts w:eastAsia="Calibri"/>
                <w:i/>
                <w:sz w:val="18"/>
                <w:szCs w:val="18"/>
                <w:lang w:eastAsia="en-US"/>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7D489B" w:rsidRPr="007D489B" w:rsidRDefault="007D489B" w:rsidP="007D489B">
            <w:pPr>
              <w:jc w:val="both"/>
              <w:rPr>
                <w:rFonts w:eastAsia="Calibri"/>
                <w:i/>
                <w:sz w:val="18"/>
                <w:szCs w:val="18"/>
                <w:lang w:eastAsia="en-US"/>
              </w:rPr>
            </w:pPr>
          </w:p>
        </w:tc>
      </w:tr>
      <w:tr w:rsidR="007D489B" w:rsidRPr="007D489B" w:rsidTr="007D489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g)</w:t>
            </w:r>
          </w:p>
        </w:tc>
        <w:tc>
          <w:tcPr>
            <w:tcW w:w="1880" w:type="pct"/>
            <w:tcBorders>
              <w:top w:val="single" w:sz="4" w:space="0" w:color="auto"/>
              <w:bottom w:val="single" w:sz="4" w:space="0" w:color="auto"/>
            </w:tcBorders>
            <w:shd w:val="clear" w:color="auto" w:fill="auto"/>
          </w:tcPr>
          <w:p w:rsidR="007D489B" w:rsidRPr="007D489B" w:rsidRDefault="007D489B" w:rsidP="007D489B">
            <w:pPr>
              <w:jc w:val="both"/>
              <w:rPr>
                <w:rFonts w:eastAsia="Calibri"/>
                <w:i/>
                <w:sz w:val="18"/>
                <w:szCs w:val="18"/>
                <w:lang w:eastAsia="en-US"/>
              </w:rPr>
            </w:pPr>
            <w:r w:rsidRPr="007D489B">
              <w:rPr>
                <w:rFonts w:eastAsia="Calibri"/>
                <w:i/>
                <w:sz w:val="18"/>
                <w:szCs w:val="18"/>
                <w:lang w:eastAsia="en-US"/>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7D489B" w:rsidRPr="007D489B" w:rsidRDefault="007D489B" w:rsidP="007D489B">
            <w:pPr>
              <w:jc w:val="both"/>
              <w:rPr>
                <w:color w:val="000000"/>
                <w:sz w:val="27"/>
                <w:szCs w:val="27"/>
                <w:lang w:eastAsia="en-US"/>
              </w:rPr>
            </w:pPr>
            <w:r w:rsidRPr="007D489B">
              <w:rPr>
                <w:rFonts w:eastAsia="Calibri"/>
                <w:i/>
                <w:sz w:val="18"/>
                <w:szCs w:val="18"/>
                <w:lang w:eastAsia="en-US"/>
              </w:rPr>
              <w:t xml:space="preserve">V ktorých oblastiach podpory rovnosti žien a mužov návrh odstraňuje prekážky a/alebo podporuje rovnosť žien a mužov? </w:t>
            </w:r>
            <w:r w:rsidRPr="007D489B">
              <w:rPr>
                <w:i/>
                <w:iCs/>
                <w:color w:val="000000"/>
                <w:sz w:val="18"/>
                <w:szCs w:val="18"/>
                <w:lang w:eastAsia="en-US"/>
              </w:rPr>
              <w:t>Medzi oblasti podpory rovnosti žien a mužov okrem iného patria:</w:t>
            </w:r>
          </w:p>
          <w:p w:rsidR="007D489B" w:rsidRPr="007D489B" w:rsidRDefault="007D489B" w:rsidP="007D489B">
            <w:pPr>
              <w:numPr>
                <w:ilvl w:val="0"/>
                <w:numId w:val="12"/>
              </w:numPr>
              <w:spacing w:after="160" w:line="259" w:lineRule="auto"/>
              <w:ind w:left="170" w:hanging="170"/>
              <w:jc w:val="both"/>
              <w:rPr>
                <w:rFonts w:eastAsia="Calibri"/>
                <w:i/>
                <w:sz w:val="18"/>
                <w:szCs w:val="18"/>
              </w:rPr>
            </w:pPr>
            <w:r w:rsidRPr="007D489B">
              <w:rPr>
                <w:rFonts w:eastAsia="Calibri"/>
                <w:i/>
                <w:sz w:val="18"/>
                <w:szCs w:val="18"/>
              </w:rPr>
              <w:t>podpora slobodného výberu povolania a ekonomickej činnosti</w:t>
            </w:r>
          </w:p>
          <w:p w:rsidR="007D489B" w:rsidRPr="007D489B" w:rsidRDefault="007D489B" w:rsidP="007D489B">
            <w:pPr>
              <w:numPr>
                <w:ilvl w:val="0"/>
                <w:numId w:val="12"/>
              </w:numPr>
              <w:spacing w:after="160" w:line="259" w:lineRule="auto"/>
              <w:ind w:left="170" w:hanging="170"/>
              <w:jc w:val="both"/>
              <w:rPr>
                <w:rFonts w:eastAsia="Calibri"/>
                <w:i/>
                <w:sz w:val="18"/>
                <w:szCs w:val="18"/>
              </w:rPr>
            </w:pPr>
            <w:r w:rsidRPr="007D489B">
              <w:rPr>
                <w:rFonts w:eastAsia="Calibri"/>
                <w:i/>
                <w:sz w:val="18"/>
                <w:szCs w:val="18"/>
              </w:rPr>
              <w:t xml:space="preserve">podpora vyrovnávania ekonomickej nezávislosti, </w:t>
            </w:r>
          </w:p>
          <w:p w:rsidR="007D489B" w:rsidRPr="007D489B" w:rsidRDefault="007D489B" w:rsidP="007D489B">
            <w:pPr>
              <w:numPr>
                <w:ilvl w:val="0"/>
                <w:numId w:val="12"/>
              </w:numPr>
              <w:spacing w:after="160" w:line="259" w:lineRule="auto"/>
              <w:ind w:left="170" w:hanging="170"/>
              <w:jc w:val="both"/>
              <w:rPr>
                <w:rFonts w:eastAsia="Calibri"/>
                <w:i/>
                <w:sz w:val="18"/>
                <w:szCs w:val="18"/>
              </w:rPr>
            </w:pPr>
            <w:r w:rsidRPr="007D489B">
              <w:rPr>
                <w:rFonts w:eastAsia="Calibri"/>
                <w:i/>
                <w:sz w:val="18"/>
                <w:szCs w:val="18"/>
              </w:rPr>
              <w:t xml:space="preserve">zosúladenie pracovného, súkromného a rodinného života, </w:t>
            </w:r>
          </w:p>
          <w:p w:rsidR="007D489B" w:rsidRPr="007D489B" w:rsidRDefault="007D489B" w:rsidP="007D489B">
            <w:pPr>
              <w:numPr>
                <w:ilvl w:val="0"/>
                <w:numId w:val="12"/>
              </w:numPr>
              <w:spacing w:after="160" w:line="259" w:lineRule="auto"/>
              <w:ind w:left="170" w:hanging="170"/>
              <w:jc w:val="both"/>
              <w:rPr>
                <w:rFonts w:eastAsia="Calibri"/>
                <w:i/>
                <w:sz w:val="18"/>
                <w:szCs w:val="18"/>
              </w:rPr>
            </w:pPr>
            <w:r w:rsidRPr="007D489B">
              <w:rPr>
                <w:rFonts w:eastAsia="Calibri"/>
                <w:i/>
                <w:sz w:val="18"/>
                <w:szCs w:val="18"/>
              </w:rPr>
              <w:t xml:space="preserve">podpora rovnosti príležitostí pri participácii na rozhodovaní, </w:t>
            </w:r>
          </w:p>
          <w:p w:rsidR="007D489B" w:rsidRPr="007D489B" w:rsidRDefault="007D489B" w:rsidP="007D489B">
            <w:pPr>
              <w:numPr>
                <w:ilvl w:val="0"/>
                <w:numId w:val="12"/>
              </w:numPr>
              <w:spacing w:after="160" w:line="259" w:lineRule="auto"/>
              <w:ind w:left="170" w:hanging="170"/>
              <w:jc w:val="both"/>
              <w:rPr>
                <w:rFonts w:eastAsia="Calibri"/>
                <w:i/>
                <w:sz w:val="18"/>
                <w:szCs w:val="18"/>
              </w:rPr>
            </w:pPr>
            <w:r w:rsidRPr="007D489B">
              <w:rPr>
                <w:rFonts w:eastAsia="Calibri"/>
                <w:i/>
                <w:sz w:val="18"/>
                <w:szCs w:val="18"/>
              </w:rPr>
              <w:t xml:space="preserve">boj proti domácemu násiliu,  násiliu na ženách  a obchodovaniu s ľuďmi, </w:t>
            </w:r>
          </w:p>
          <w:p w:rsidR="007D489B" w:rsidRPr="007D489B" w:rsidRDefault="007D489B" w:rsidP="007D489B">
            <w:pPr>
              <w:numPr>
                <w:ilvl w:val="0"/>
                <w:numId w:val="12"/>
              </w:numPr>
              <w:spacing w:after="160" w:line="259" w:lineRule="auto"/>
              <w:ind w:left="170" w:hanging="170"/>
              <w:jc w:val="both"/>
              <w:rPr>
                <w:rFonts w:eastAsia="Calibri"/>
                <w:i/>
                <w:sz w:val="18"/>
                <w:szCs w:val="18"/>
              </w:rPr>
            </w:pPr>
            <w:r w:rsidRPr="007D489B">
              <w:rPr>
                <w:rFonts w:eastAsia="Calibri"/>
                <w:i/>
                <w:sz w:val="18"/>
                <w:szCs w:val="18"/>
              </w:rPr>
              <w:t>podpora vnímania osobnej starostlivosti o dieťa za rovnocennú s ekonomickou činnosťou a podpora neviditeľnej práce v domácnosti ako takej,</w:t>
            </w:r>
          </w:p>
          <w:p w:rsidR="007D489B" w:rsidRPr="007D489B" w:rsidRDefault="007D489B" w:rsidP="007D489B">
            <w:pPr>
              <w:numPr>
                <w:ilvl w:val="0"/>
                <w:numId w:val="12"/>
              </w:numPr>
              <w:spacing w:after="160" w:line="259" w:lineRule="auto"/>
              <w:ind w:left="170" w:hanging="170"/>
              <w:jc w:val="both"/>
              <w:rPr>
                <w:rFonts w:eastAsia="Calibri"/>
                <w:i/>
                <w:sz w:val="18"/>
                <w:szCs w:val="18"/>
                <w:lang w:eastAsia="en-US"/>
              </w:rPr>
            </w:pPr>
            <w:r w:rsidRPr="007D489B">
              <w:rPr>
                <w:rFonts w:eastAsia="Calibri"/>
                <w:i/>
                <w:sz w:val="18"/>
                <w:szCs w:val="18"/>
              </w:rPr>
              <w:lastRenderedPageBreak/>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7D489B" w:rsidRPr="007D489B" w:rsidRDefault="007D489B" w:rsidP="007D489B">
            <w:pPr>
              <w:rPr>
                <w:rFonts w:eastAsia="Calibri"/>
                <w:sz w:val="20"/>
                <w:szCs w:val="22"/>
                <w:lang w:eastAsia="en-US"/>
              </w:rPr>
            </w:pPr>
          </w:p>
        </w:tc>
      </w:tr>
    </w:tbl>
    <w:p w:rsidR="007D489B" w:rsidRPr="007D489B" w:rsidRDefault="007D489B" w:rsidP="007D489B">
      <w:pPr>
        <w:rPr>
          <w:rFonts w:eastAsia="Calibri"/>
          <w:b/>
          <w:szCs w:val="22"/>
        </w:rPr>
        <w:sectPr w:rsidR="007D489B" w:rsidRPr="007D489B" w:rsidSect="007D489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7D489B" w:rsidRPr="007D489B" w:rsidTr="007D489B">
        <w:trPr>
          <w:jc w:val="center"/>
        </w:trPr>
        <w:tc>
          <w:tcPr>
            <w:tcW w:w="5000" w:type="pct"/>
            <w:gridSpan w:val="3"/>
            <w:shd w:val="clear" w:color="auto" w:fill="D9D9D9"/>
          </w:tcPr>
          <w:p w:rsidR="007D489B" w:rsidRPr="007D489B" w:rsidRDefault="007D489B" w:rsidP="007D489B">
            <w:pPr>
              <w:rPr>
                <w:rFonts w:eastAsia="Calibri"/>
                <w:b/>
                <w:szCs w:val="22"/>
              </w:rPr>
            </w:pPr>
            <w:r w:rsidRPr="007D489B">
              <w:rPr>
                <w:rFonts w:eastAsia="Calibri"/>
                <w:b/>
                <w:szCs w:val="22"/>
              </w:rPr>
              <w:lastRenderedPageBreak/>
              <w:t>4.4 Identifikujte, popíšte a kvantifikujte vplyvy na zamestnanosť a na trh práce.</w:t>
            </w:r>
          </w:p>
          <w:p w:rsidR="007D489B" w:rsidRPr="007D489B" w:rsidRDefault="007D489B" w:rsidP="007D489B">
            <w:pPr>
              <w:jc w:val="both"/>
              <w:rPr>
                <w:rFonts w:eastAsia="Calibri"/>
                <w:i/>
                <w:sz w:val="22"/>
                <w:szCs w:val="22"/>
              </w:rPr>
            </w:pPr>
            <w:r w:rsidRPr="007D489B">
              <w:rPr>
                <w:rFonts w:eastAsia="Calibri"/>
                <w:i/>
                <w:sz w:val="22"/>
                <w:szCs w:val="22"/>
              </w:rPr>
              <w:t xml:space="preserve">V prípade kladnej odpovede pripojte </w:t>
            </w:r>
            <w:r w:rsidRPr="007D489B">
              <w:rPr>
                <w:rFonts w:eastAsia="Calibri"/>
                <w:b/>
                <w:i/>
                <w:sz w:val="22"/>
                <w:szCs w:val="22"/>
              </w:rPr>
              <w:t>odôvodnenie</w:t>
            </w:r>
            <w:r w:rsidRPr="007D489B">
              <w:rPr>
                <w:rFonts w:eastAsia="Calibri"/>
                <w:i/>
                <w:sz w:val="22"/>
                <w:szCs w:val="22"/>
              </w:rPr>
              <w:t xml:space="preserve"> v súlade s Metodickým postupom pre analýzu sociálnych vplyvov.</w:t>
            </w:r>
          </w:p>
        </w:tc>
      </w:tr>
      <w:tr w:rsidR="007D489B" w:rsidRPr="007D489B" w:rsidTr="007D489B">
        <w:trPr>
          <w:trHeight w:val="287"/>
          <w:jc w:val="center"/>
        </w:trPr>
        <w:tc>
          <w:tcPr>
            <w:tcW w:w="129" w:type="pct"/>
            <w:tcBorders>
              <w:top w:val="nil"/>
              <w:bottom w:val="single" w:sz="4" w:space="0" w:color="auto"/>
            </w:tcBorders>
            <w:shd w:val="clear" w:color="auto" w:fill="F2F2F2"/>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a)</w:t>
            </w:r>
          </w:p>
        </w:tc>
        <w:tc>
          <w:tcPr>
            <w:tcW w:w="4871" w:type="pct"/>
            <w:gridSpan w:val="2"/>
            <w:tcBorders>
              <w:top w:val="nil"/>
              <w:bottom w:val="single" w:sz="4" w:space="0" w:color="auto"/>
            </w:tcBorders>
            <w:shd w:val="clear" w:color="auto" w:fill="F2F2F2"/>
            <w:vAlign w:val="center"/>
          </w:tcPr>
          <w:p w:rsidR="007D489B" w:rsidRPr="007D489B" w:rsidRDefault="007D489B" w:rsidP="007D489B">
            <w:pPr>
              <w:rPr>
                <w:rFonts w:eastAsia="Calibri"/>
                <w:i/>
                <w:sz w:val="20"/>
                <w:szCs w:val="20"/>
                <w:lang w:eastAsia="en-US"/>
              </w:rPr>
            </w:pPr>
            <w:r w:rsidRPr="007D489B">
              <w:rPr>
                <w:rFonts w:eastAsia="Calibri"/>
                <w:i/>
                <w:sz w:val="20"/>
                <w:szCs w:val="20"/>
                <w:lang w:eastAsia="en-US"/>
              </w:rPr>
              <w:t>Uľahčuje návrh vznik nových pracovných miest? Ak áno, ako? Ak je to možné, doplňte kvantifikáciu.</w:t>
            </w:r>
          </w:p>
        </w:tc>
      </w:tr>
      <w:tr w:rsidR="007D489B" w:rsidRPr="007D489B" w:rsidTr="007D489B">
        <w:trPr>
          <w:trHeight w:val="567"/>
          <w:jc w:val="center"/>
        </w:trPr>
        <w:tc>
          <w:tcPr>
            <w:tcW w:w="129" w:type="pct"/>
            <w:tcBorders>
              <w:top w:val="nil"/>
              <w:bottom w:val="single" w:sz="4" w:space="0" w:color="auto"/>
            </w:tcBorders>
            <w:shd w:val="clear" w:color="auto" w:fill="FFFFFF"/>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b)</w:t>
            </w:r>
          </w:p>
        </w:tc>
        <w:tc>
          <w:tcPr>
            <w:tcW w:w="1838" w:type="pct"/>
            <w:tcBorders>
              <w:top w:val="nil"/>
              <w:bottom w:val="single" w:sz="4" w:space="0" w:color="auto"/>
            </w:tcBorders>
            <w:shd w:val="clear" w:color="auto" w:fill="FFFFFF"/>
          </w:tcPr>
          <w:p w:rsidR="007D489B" w:rsidRPr="007D489B" w:rsidRDefault="007D489B" w:rsidP="007D489B">
            <w:pPr>
              <w:jc w:val="both"/>
              <w:rPr>
                <w:rFonts w:eastAsia="Calibri"/>
                <w:i/>
                <w:sz w:val="18"/>
                <w:szCs w:val="18"/>
                <w:lang w:eastAsia="en-US"/>
              </w:rPr>
            </w:pPr>
            <w:r w:rsidRPr="007D489B">
              <w:rPr>
                <w:rFonts w:eastAsia="Calibri"/>
                <w:i/>
                <w:sz w:val="18"/>
                <w:szCs w:val="18"/>
                <w:lang w:eastAsia="en-US"/>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7D489B" w:rsidRPr="007D489B" w:rsidRDefault="007D489B" w:rsidP="007D489B">
            <w:pPr>
              <w:rPr>
                <w:rFonts w:eastAsia="Calibri"/>
                <w:sz w:val="20"/>
                <w:szCs w:val="18"/>
                <w:lang w:eastAsia="en-US"/>
              </w:rPr>
            </w:pPr>
          </w:p>
        </w:tc>
      </w:tr>
      <w:tr w:rsidR="007D489B" w:rsidRPr="007D489B" w:rsidTr="007D489B">
        <w:trPr>
          <w:trHeight w:val="270"/>
          <w:jc w:val="center"/>
        </w:trPr>
        <w:tc>
          <w:tcPr>
            <w:tcW w:w="129" w:type="pct"/>
            <w:tcBorders>
              <w:bottom w:val="single" w:sz="4" w:space="0" w:color="auto"/>
            </w:tcBorders>
            <w:shd w:val="clear" w:color="auto" w:fill="F2F2F2"/>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c)</w:t>
            </w:r>
          </w:p>
        </w:tc>
        <w:tc>
          <w:tcPr>
            <w:tcW w:w="4871" w:type="pct"/>
            <w:gridSpan w:val="2"/>
            <w:tcBorders>
              <w:bottom w:val="single" w:sz="4" w:space="0" w:color="auto"/>
            </w:tcBorders>
            <w:shd w:val="clear" w:color="auto" w:fill="F2F2F2"/>
            <w:vAlign w:val="center"/>
          </w:tcPr>
          <w:p w:rsidR="007D489B" w:rsidRPr="007D489B" w:rsidRDefault="007D489B" w:rsidP="007D489B">
            <w:pPr>
              <w:rPr>
                <w:rFonts w:eastAsia="Calibri"/>
                <w:i/>
                <w:sz w:val="20"/>
                <w:szCs w:val="20"/>
                <w:lang w:eastAsia="en-US"/>
              </w:rPr>
            </w:pPr>
            <w:r w:rsidRPr="007D489B">
              <w:rPr>
                <w:rFonts w:eastAsia="Calibri"/>
                <w:i/>
                <w:sz w:val="20"/>
                <w:szCs w:val="20"/>
                <w:lang w:eastAsia="en-US"/>
              </w:rPr>
              <w:t>Vedie návrh k zániku pracovných miest?</w:t>
            </w:r>
            <w:r w:rsidRPr="007D489B">
              <w:rPr>
                <w:rFonts w:eastAsia="Calibri"/>
                <w:sz w:val="20"/>
                <w:szCs w:val="20"/>
                <w:lang w:eastAsia="en-US"/>
              </w:rPr>
              <w:t xml:space="preserve"> </w:t>
            </w:r>
            <w:r w:rsidRPr="007D489B">
              <w:rPr>
                <w:rFonts w:eastAsia="Calibri"/>
                <w:i/>
                <w:sz w:val="20"/>
                <w:szCs w:val="20"/>
                <w:lang w:eastAsia="en-US"/>
              </w:rPr>
              <w:t>Ak áno, ako a akých? Ak je to možné, doplňte kvantifikáciu</w:t>
            </w:r>
          </w:p>
        </w:tc>
      </w:tr>
      <w:tr w:rsidR="007D489B" w:rsidRPr="007D489B" w:rsidTr="007D489B">
        <w:trPr>
          <w:trHeight w:val="454"/>
          <w:jc w:val="center"/>
        </w:trPr>
        <w:tc>
          <w:tcPr>
            <w:tcW w:w="129" w:type="pct"/>
            <w:tcBorders>
              <w:bottom w:val="single" w:sz="4" w:space="0" w:color="auto"/>
            </w:tcBorders>
            <w:shd w:val="clear" w:color="auto" w:fill="FFFFFF"/>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d)</w:t>
            </w:r>
          </w:p>
        </w:tc>
        <w:tc>
          <w:tcPr>
            <w:tcW w:w="1838" w:type="pct"/>
            <w:tcBorders>
              <w:bottom w:val="single" w:sz="4" w:space="0" w:color="auto"/>
            </w:tcBorders>
            <w:shd w:val="clear" w:color="auto" w:fill="FFFFFF"/>
          </w:tcPr>
          <w:p w:rsidR="007D489B" w:rsidRPr="007D489B" w:rsidRDefault="007D489B" w:rsidP="007D489B">
            <w:pPr>
              <w:jc w:val="both"/>
              <w:rPr>
                <w:rFonts w:eastAsia="Calibri"/>
                <w:i/>
                <w:sz w:val="18"/>
                <w:szCs w:val="18"/>
                <w:lang w:eastAsia="en-US"/>
              </w:rPr>
            </w:pPr>
            <w:r w:rsidRPr="007D489B">
              <w:rPr>
                <w:rFonts w:eastAsia="Calibri"/>
                <w:i/>
                <w:sz w:val="18"/>
                <w:szCs w:val="18"/>
                <w:lang w:eastAsia="en-US"/>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7D489B" w:rsidRPr="007D489B" w:rsidRDefault="007D489B" w:rsidP="007D489B">
            <w:pPr>
              <w:rPr>
                <w:rFonts w:eastAsia="Calibri"/>
                <w:sz w:val="20"/>
                <w:szCs w:val="18"/>
                <w:lang w:eastAsia="en-US"/>
              </w:rPr>
            </w:pPr>
          </w:p>
        </w:tc>
      </w:tr>
      <w:tr w:rsidR="007D489B" w:rsidRPr="007D489B" w:rsidTr="007D489B">
        <w:trPr>
          <w:trHeight w:val="248"/>
          <w:jc w:val="center"/>
        </w:trPr>
        <w:tc>
          <w:tcPr>
            <w:tcW w:w="129" w:type="pct"/>
            <w:tcBorders>
              <w:bottom w:val="single" w:sz="4" w:space="0" w:color="auto"/>
            </w:tcBorders>
            <w:shd w:val="clear" w:color="auto" w:fill="F2F2F2"/>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e)</w:t>
            </w:r>
          </w:p>
        </w:tc>
        <w:tc>
          <w:tcPr>
            <w:tcW w:w="4871" w:type="pct"/>
            <w:gridSpan w:val="2"/>
            <w:tcBorders>
              <w:bottom w:val="single" w:sz="4" w:space="0" w:color="auto"/>
            </w:tcBorders>
            <w:shd w:val="clear" w:color="auto" w:fill="F2F2F2"/>
            <w:vAlign w:val="center"/>
          </w:tcPr>
          <w:p w:rsidR="007D489B" w:rsidRPr="007D489B" w:rsidRDefault="007D489B" w:rsidP="007D489B">
            <w:pPr>
              <w:rPr>
                <w:rFonts w:eastAsia="Calibri"/>
                <w:sz w:val="20"/>
                <w:szCs w:val="20"/>
                <w:lang w:eastAsia="en-US"/>
              </w:rPr>
            </w:pPr>
            <w:r w:rsidRPr="007D489B">
              <w:rPr>
                <w:rFonts w:eastAsia="Calibri"/>
                <w:i/>
                <w:sz w:val="20"/>
                <w:szCs w:val="20"/>
                <w:lang w:eastAsia="en-US"/>
              </w:rPr>
              <w:t>Ovplyvňuje návrh dopyt po práci? Ak áno, ako?</w:t>
            </w:r>
          </w:p>
        </w:tc>
      </w:tr>
      <w:tr w:rsidR="007D489B" w:rsidRPr="007D489B" w:rsidTr="007D489B">
        <w:trPr>
          <w:trHeight w:val="209"/>
          <w:jc w:val="center"/>
        </w:trPr>
        <w:tc>
          <w:tcPr>
            <w:tcW w:w="129" w:type="pct"/>
            <w:tcBorders>
              <w:bottom w:val="single" w:sz="4" w:space="0" w:color="auto"/>
            </w:tcBorders>
            <w:shd w:val="clear" w:color="auto" w:fill="FFFFFF"/>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f)</w:t>
            </w:r>
          </w:p>
        </w:tc>
        <w:tc>
          <w:tcPr>
            <w:tcW w:w="1838" w:type="pct"/>
            <w:tcBorders>
              <w:bottom w:val="single" w:sz="4" w:space="0" w:color="auto"/>
            </w:tcBorders>
            <w:shd w:val="clear" w:color="auto" w:fill="FFFFFF"/>
          </w:tcPr>
          <w:p w:rsidR="007D489B" w:rsidRPr="007D489B" w:rsidRDefault="007D489B" w:rsidP="007D489B">
            <w:pPr>
              <w:jc w:val="both"/>
              <w:rPr>
                <w:rFonts w:eastAsia="Calibri"/>
                <w:i/>
                <w:sz w:val="18"/>
                <w:szCs w:val="18"/>
                <w:lang w:eastAsia="en-US"/>
              </w:rPr>
            </w:pPr>
            <w:r w:rsidRPr="007D489B">
              <w:rPr>
                <w:rFonts w:eastAsia="Calibri"/>
                <w:i/>
                <w:sz w:val="18"/>
                <w:szCs w:val="18"/>
                <w:lang w:eastAsia="en-US"/>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7D489B" w:rsidRPr="007D489B" w:rsidRDefault="007D489B" w:rsidP="007D489B">
            <w:pPr>
              <w:rPr>
                <w:rFonts w:eastAsia="Calibri"/>
                <w:sz w:val="20"/>
                <w:szCs w:val="18"/>
                <w:lang w:eastAsia="en-US"/>
              </w:rPr>
            </w:pPr>
          </w:p>
        </w:tc>
      </w:tr>
      <w:tr w:rsidR="007D489B" w:rsidRPr="007D489B" w:rsidTr="007D489B">
        <w:trPr>
          <w:trHeight w:val="208"/>
          <w:jc w:val="center"/>
        </w:trPr>
        <w:tc>
          <w:tcPr>
            <w:tcW w:w="129" w:type="pct"/>
            <w:tcBorders>
              <w:bottom w:val="single" w:sz="4" w:space="0" w:color="auto"/>
            </w:tcBorders>
            <w:shd w:val="clear" w:color="auto" w:fill="F2F2F2"/>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g)</w:t>
            </w:r>
          </w:p>
        </w:tc>
        <w:tc>
          <w:tcPr>
            <w:tcW w:w="4871" w:type="pct"/>
            <w:gridSpan w:val="2"/>
            <w:tcBorders>
              <w:bottom w:val="single" w:sz="4" w:space="0" w:color="auto"/>
            </w:tcBorders>
            <w:shd w:val="clear" w:color="auto" w:fill="F2F2F2"/>
            <w:vAlign w:val="center"/>
          </w:tcPr>
          <w:p w:rsidR="007D489B" w:rsidRPr="007D489B" w:rsidRDefault="007D489B" w:rsidP="007D489B">
            <w:pPr>
              <w:rPr>
                <w:rFonts w:eastAsia="Calibri"/>
                <w:sz w:val="20"/>
                <w:szCs w:val="20"/>
                <w:lang w:eastAsia="en-US"/>
              </w:rPr>
            </w:pPr>
            <w:r w:rsidRPr="007D489B">
              <w:rPr>
                <w:rFonts w:eastAsia="Calibri"/>
                <w:i/>
                <w:sz w:val="20"/>
                <w:szCs w:val="20"/>
                <w:lang w:eastAsia="en-US"/>
              </w:rPr>
              <w:t>Má návrh dosah na fungovanie trhu práce?</w:t>
            </w:r>
            <w:r w:rsidRPr="007D489B">
              <w:rPr>
                <w:rFonts w:eastAsia="Calibri"/>
                <w:sz w:val="20"/>
                <w:szCs w:val="20"/>
                <w:lang w:eastAsia="en-US"/>
              </w:rPr>
              <w:t xml:space="preserve"> </w:t>
            </w:r>
            <w:r w:rsidRPr="007D489B">
              <w:rPr>
                <w:rFonts w:eastAsia="Calibri"/>
                <w:i/>
                <w:sz w:val="20"/>
                <w:szCs w:val="20"/>
                <w:lang w:eastAsia="en-US"/>
              </w:rPr>
              <w:t>Ak áno, aký?</w:t>
            </w:r>
          </w:p>
        </w:tc>
      </w:tr>
      <w:tr w:rsidR="007D489B" w:rsidRPr="007D489B" w:rsidTr="007D489B">
        <w:trPr>
          <w:trHeight w:val="794"/>
          <w:jc w:val="center"/>
        </w:trPr>
        <w:tc>
          <w:tcPr>
            <w:tcW w:w="129" w:type="pct"/>
            <w:tcBorders>
              <w:bottom w:val="single" w:sz="4" w:space="0" w:color="auto"/>
            </w:tcBorders>
            <w:shd w:val="clear" w:color="auto" w:fill="FFFFFF"/>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h)</w:t>
            </w:r>
          </w:p>
        </w:tc>
        <w:tc>
          <w:tcPr>
            <w:tcW w:w="1838" w:type="pct"/>
            <w:tcBorders>
              <w:bottom w:val="single" w:sz="4" w:space="0" w:color="auto"/>
            </w:tcBorders>
            <w:shd w:val="clear" w:color="auto" w:fill="FFFFFF"/>
          </w:tcPr>
          <w:p w:rsidR="007D489B" w:rsidRPr="007D489B" w:rsidRDefault="007D489B" w:rsidP="007D489B">
            <w:pPr>
              <w:jc w:val="both"/>
              <w:rPr>
                <w:rFonts w:eastAsia="Calibri"/>
                <w:i/>
                <w:sz w:val="18"/>
                <w:szCs w:val="18"/>
                <w:lang w:eastAsia="en-US"/>
              </w:rPr>
            </w:pPr>
            <w:r w:rsidRPr="007D489B">
              <w:rPr>
                <w:rFonts w:eastAsia="Calibri"/>
                <w:i/>
                <w:sz w:val="18"/>
                <w:szCs w:val="18"/>
                <w:lang w:eastAsia="en-US"/>
              </w:rPr>
              <w:t>Týka sa makroekonomických dosahov ako je napr. participácia na trhu práce, dlhodobá nezamestnanosť, regionálne rozdiely v mierach zamestnanosti.</w:t>
            </w:r>
            <w:r w:rsidRPr="007D489B">
              <w:rPr>
                <w:rFonts w:eastAsia="Calibri"/>
                <w:sz w:val="18"/>
                <w:szCs w:val="18"/>
                <w:lang w:eastAsia="en-US"/>
              </w:rPr>
              <w:t xml:space="preserve"> </w:t>
            </w:r>
            <w:r w:rsidRPr="007D489B">
              <w:rPr>
                <w:rFonts w:eastAsia="Calibri"/>
                <w:i/>
                <w:sz w:val="18"/>
                <w:szCs w:val="18"/>
                <w:lang w:eastAsia="en-US"/>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7D489B" w:rsidRPr="007D489B" w:rsidRDefault="007D489B" w:rsidP="007D489B">
            <w:pPr>
              <w:rPr>
                <w:rFonts w:eastAsia="Calibri"/>
                <w:sz w:val="20"/>
                <w:szCs w:val="18"/>
                <w:lang w:eastAsia="en-US"/>
              </w:rPr>
            </w:pPr>
          </w:p>
        </w:tc>
      </w:tr>
      <w:tr w:rsidR="007D489B" w:rsidRPr="007D489B" w:rsidTr="007D489B">
        <w:trPr>
          <w:trHeight w:val="324"/>
          <w:jc w:val="center"/>
        </w:trPr>
        <w:tc>
          <w:tcPr>
            <w:tcW w:w="129" w:type="pct"/>
            <w:tcBorders>
              <w:bottom w:val="single" w:sz="4" w:space="0" w:color="auto"/>
            </w:tcBorders>
            <w:shd w:val="clear" w:color="auto" w:fill="F2F2F2"/>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i)</w:t>
            </w:r>
          </w:p>
        </w:tc>
        <w:tc>
          <w:tcPr>
            <w:tcW w:w="4871" w:type="pct"/>
            <w:gridSpan w:val="2"/>
            <w:tcBorders>
              <w:bottom w:val="single" w:sz="4" w:space="0" w:color="auto"/>
            </w:tcBorders>
            <w:shd w:val="clear" w:color="auto" w:fill="F2F2F2"/>
            <w:vAlign w:val="center"/>
          </w:tcPr>
          <w:p w:rsidR="007D489B" w:rsidRPr="007D489B" w:rsidRDefault="007D489B" w:rsidP="007D489B">
            <w:pPr>
              <w:rPr>
                <w:rFonts w:eastAsia="Calibri"/>
                <w:sz w:val="20"/>
                <w:szCs w:val="20"/>
                <w:lang w:eastAsia="en-US"/>
              </w:rPr>
            </w:pPr>
            <w:r w:rsidRPr="007D489B">
              <w:rPr>
                <w:rFonts w:eastAsia="Calibri"/>
                <w:i/>
                <w:sz w:val="20"/>
                <w:szCs w:val="20"/>
                <w:lang w:eastAsia="en-US"/>
              </w:rPr>
              <w:t>Má návrh špecifické negatívne dôsledky pre isté skupiny profesií, skupín zamestnancov či živnostníkov?</w:t>
            </w:r>
            <w:r w:rsidRPr="007D489B">
              <w:rPr>
                <w:rFonts w:eastAsia="Calibri"/>
                <w:sz w:val="20"/>
                <w:szCs w:val="20"/>
                <w:lang w:eastAsia="en-US"/>
              </w:rPr>
              <w:t xml:space="preserve"> </w:t>
            </w:r>
            <w:r w:rsidRPr="007D489B">
              <w:rPr>
                <w:rFonts w:eastAsia="Calibri"/>
                <w:i/>
                <w:sz w:val="20"/>
                <w:szCs w:val="20"/>
                <w:lang w:eastAsia="en-US"/>
              </w:rPr>
              <w:t>Ak áno, aké a pre ktoré skupiny?</w:t>
            </w:r>
          </w:p>
        </w:tc>
      </w:tr>
      <w:tr w:rsidR="007D489B" w:rsidRPr="007D489B" w:rsidTr="007D489B">
        <w:trPr>
          <w:trHeight w:val="216"/>
          <w:jc w:val="center"/>
        </w:trPr>
        <w:tc>
          <w:tcPr>
            <w:tcW w:w="129" w:type="pct"/>
            <w:tcBorders>
              <w:bottom w:val="single" w:sz="4" w:space="0" w:color="auto"/>
            </w:tcBorders>
            <w:shd w:val="clear" w:color="auto" w:fill="FFFFFF"/>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j)</w:t>
            </w:r>
          </w:p>
        </w:tc>
        <w:tc>
          <w:tcPr>
            <w:tcW w:w="1838" w:type="pct"/>
            <w:tcBorders>
              <w:bottom w:val="single" w:sz="4" w:space="0" w:color="auto"/>
            </w:tcBorders>
            <w:shd w:val="clear" w:color="auto" w:fill="FFFFFF"/>
          </w:tcPr>
          <w:p w:rsidR="007D489B" w:rsidRPr="007D489B" w:rsidRDefault="007D489B" w:rsidP="007D489B">
            <w:pPr>
              <w:rPr>
                <w:rFonts w:eastAsia="Calibri"/>
                <w:i/>
                <w:sz w:val="18"/>
                <w:szCs w:val="18"/>
                <w:lang w:eastAsia="en-US"/>
              </w:rPr>
            </w:pPr>
            <w:r w:rsidRPr="007D489B">
              <w:rPr>
                <w:rFonts w:eastAsia="Calibri"/>
                <w:i/>
                <w:sz w:val="18"/>
                <w:szCs w:val="18"/>
                <w:lang w:eastAsia="en-US"/>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7D489B" w:rsidRPr="007D489B" w:rsidRDefault="007D489B" w:rsidP="007D489B">
            <w:pPr>
              <w:rPr>
                <w:rFonts w:eastAsia="Calibri"/>
                <w:sz w:val="20"/>
                <w:szCs w:val="18"/>
                <w:lang w:eastAsia="en-US"/>
              </w:rPr>
            </w:pPr>
          </w:p>
        </w:tc>
      </w:tr>
      <w:tr w:rsidR="007D489B" w:rsidRPr="007D489B" w:rsidTr="007D489B">
        <w:trPr>
          <w:trHeight w:val="219"/>
          <w:jc w:val="center"/>
        </w:trPr>
        <w:tc>
          <w:tcPr>
            <w:tcW w:w="129" w:type="pct"/>
            <w:tcBorders>
              <w:bottom w:val="single" w:sz="4" w:space="0" w:color="auto"/>
            </w:tcBorders>
            <w:shd w:val="clear" w:color="auto" w:fill="F2F2F2"/>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k)</w:t>
            </w:r>
          </w:p>
        </w:tc>
        <w:tc>
          <w:tcPr>
            <w:tcW w:w="4871" w:type="pct"/>
            <w:gridSpan w:val="2"/>
            <w:tcBorders>
              <w:bottom w:val="single" w:sz="4" w:space="0" w:color="auto"/>
            </w:tcBorders>
            <w:shd w:val="clear" w:color="auto" w:fill="F2F2F2"/>
            <w:vAlign w:val="center"/>
          </w:tcPr>
          <w:p w:rsidR="007D489B" w:rsidRPr="007D489B" w:rsidRDefault="007D489B" w:rsidP="007D489B">
            <w:pPr>
              <w:rPr>
                <w:rFonts w:eastAsia="Calibri"/>
                <w:sz w:val="20"/>
                <w:szCs w:val="20"/>
                <w:lang w:eastAsia="en-US"/>
              </w:rPr>
            </w:pPr>
            <w:r w:rsidRPr="007D489B">
              <w:rPr>
                <w:rFonts w:eastAsia="Calibri"/>
                <w:i/>
                <w:sz w:val="20"/>
                <w:szCs w:val="20"/>
                <w:lang w:eastAsia="en-US"/>
              </w:rPr>
              <w:t>Ovplyvňuje návrh špecifické vekové skupiny zamestnancov? Ak áno, aké? Akým spôsobom?</w:t>
            </w:r>
          </w:p>
        </w:tc>
      </w:tr>
      <w:tr w:rsidR="007D489B" w:rsidRPr="007D489B" w:rsidTr="007D489B">
        <w:trPr>
          <w:trHeight w:val="497"/>
          <w:jc w:val="center"/>
        </w:trPr>
        <w:tc>
          <w:tcPr>
            <w:tcW w:w="129" w:type="pct"/>
            <w:tcBorders>
              <w:bottom w:val="single" w:sz="4" w:space="0" w:color="auto"/>
            </w:tcBorders>
            <w:shd w:val="clear" w:color="auto" w:fill="FFFFFF"/>
            <w:vAlign w:val="center"/>
          </w:tcPr>
          <w:p w:rsidR="007D489B" w:rsidRPr="007D489B" w:rsidRDefault="007D489B" w:rsidP="007D489B">
            <w:pPr>
              <w:rPr>
                <w:rFonts w:eastAsia="Calibri"/>
                <w:i/>
                <w:sz w:val="18"/>
                <w:szCs w:val="18"/>
                <w:lang w:eastAsia="en-US"/>
              </w:rPr>
            </w:pPr>
            <w:r w:rsidRPr="007D489B">
              <w:rPr>
                <w:rFonts w:eastAsia="Calibri"/>
                <w:i/>
                <w:sz w:val="18"/>
                <w:szCs w:val="18"/>
                <w:lang w:eastAsia="en-US"/>
              </w:rPr>
              <w:t>l)</w:t>
            </w:r>
          </w:p>
        </w:tc>
        <w:tc>
          <w:tcPr>
            <w:tcW w:w="1838" w:type="pct"/>
            <w:tcBorders>
              <w:bottom w:val="single" w:sz="4" w:space="0" w:color="auto"/>
            </w:tcBorders>
            <w:shd w:val="clear" w:color="auto" w:fill="FFFFFF"/>
          </w:tcPr>
          <w:p w:rsidR="007D489B" w:rsidRPr="007D489B" w:rsidRDefault="007D489B" w:rsidP="007D489B">
            <w:pPr>
              <w:jc w:val="both"/>
              <w:rPr>
                <w:rFonts w:eastAsia="Calibri"/>
                <w:i/>
                <w:sz w:val="18"/>
                <w:szCs w:val="18"/>
                <w:lang w:eastAsia="en-US"/>
              </w:rPr>
            </w:pPr>
            <w:r w:rsidRPr="007D489B">
              <w:rPr>
                <w:rFonts w:eastAsia="Calibri"/>
                <w:i/>
                <w:sz w:val="18"/>
                <w:szCs w:val="18"/>
                <w:lang w:eastAsia="en-US"/>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7D489B" w:rsidRPr="007D489B" w:rsidRDefault="007D489B" w:rsidP="007D489B">
            <w:pPr>
              <w:rPr>
                <w:rFonts w:eastAsia="Calibri"/>
                <w:sz w:val="20"/>
                <w:szCs w:val="18"/>
                <w:lang w:eastAsia="en-US"/>
              </w:rPr>
            </w:pPr>
          </w:p>
        </w:tc>
      </w:tr>
    </w:tbl>
    <w:p w:rsidR="007D489B" w:rsidRPr="007D489B" w:rsidRDefault="007D489B" w:rsidP="007D489B">
      <w:pPr>
        <w:outlineLvl w:val="0"/>
      </w:pPr>
    </w:p>
    <w:p w:rsidR="007D489B" w:rsidRDefault="007D489B" w:rsidP="007D489B"/>
    <w:p w:rsidR="002C2DA9" w:rsidRDefault="002C2DA9"/>
    <w:p w:rsidR="007D489B" w:rsidRDefault="007D489B" w:rsidP="007D489B">
      <w:pPr>
        <w:spacing w:after="200" w:line="276" w:lineRule="auto"/>
        <w:jc w:val="center"/>
        <w:rPr>
          <w:b/>
          <w:bCs/>
        </w:rPr>
      </w:pPr>
    </w:p>
    <w:p w:rsidR="007D489B" w:rsidRDefault="007D489B" w:rsidP="007D489B">
      <w:pPr>
        <w:spacing w:after="200" w:line="276" w:lineRule="auto"/>
        <w:jc w:val="center"/>
        <w:rPr>
          <w:b/>
          <w:bCs/>
        </w:rPr>
      </w:pPr>
    </w:p>
    <w:p w:rsidR="007D489B" w:rsidRDefault="007D489B" w:rsidP="007D489B">
      <w:pPr>
        <w:spacing w:after="200" w:line="276" w:lineRule="auto"/>
        <w:jc w:val="center"/>
        <w:rPr>
          <w:b/>
          <w:bCs/>
        </w:rPr>
      </w:pPr>
    </w:p>
    <w:p w:rsidR="007D489B" w:rsidRDefault="007D489B" w:rsidP="007D489B">
      <w:pPr>
        <w:spacing w:after="200" w:line="276" w:lineRule="auto"/>
        <w:jc w:val="center"/>
        <w:rPr>
          <w:b/>
          <w:bCs/>
        </w:rPr>
      </w:pPr>
    </w:p>
    <w:p w:rsidR="007D489B" w:rsidRDefault="007D489B" w:rsidP="007D489B">
      <w:pPr>
        <w:spacing w:after="200" w:line="276" w:lineRule="auto"/>
        <w:jc w:val="center"/>
        <w:rPr>
          <w:b/>
          <w:bCs/>
        </w:rPr>
      </w:pPr>
    </w:p>
    <w:p w:rsidR="007D489B" w:rsidRDefault="007D489B" w:rsidP="007D489B">
      <w:pPr>
        <w:spacing w:after="200" w:line="276" w:lineRule="auto"/>
        <w:jc w:val="center"/>
        <w:rPr>
          <w:b/>
          <w:bCs/>
        </w:rPr>
      </w:pPr>
    </w:p>
    <w:p w:rsidR="007D489B" w:rsidRDefault="007D489B" w:rsidP="007D489B">
      <w:pPr>
        <w:spacing w:after="200" w:line="276" w:lineRule="auto"/>
        <w:jc w:val="center"/>
        <w:rPr>
          <w:b/>
          <w:bCs/>
        </w:rPr>
      </w:pPr>
    </w:p>
    <w:p w:rsidR="007D489B" w:rsidRPr="007D489B" w:rsidRDefault="007D489B" w:rsidP="007D489B">
      <w:pPr>
        <w:spacing w:after="200" w:line="276" w:lineRule="auto"/>
        <w:jc w:val="center"/>
        <w:rPr>
          <w:b/>
          <w:bCs/>
        </w:rPr>
      </w:pPr>
      <w:r w:rsidRPr="007D489B">
        <w:rPr>
          <w:b/>
          <w:bCs/>
        </w:rPr>
        <w:lastRenderedPageBreak/>
        <w:t>DOLOŽKA ZLUČITEĽNOSTI</w:t>
      </w:r>
    </w:p>
    <w:p w:rsidR="007D489B" w:rsidRPr="007D489B" w:rsidRDefault="007D489B" w:rsidP="007D489B">
      <w:pPr>
        <w:spacing w:after="360"/>
        <w:jc w:val="center"/>
        <w:rPr>
          <w:b/>
          <w:bCs/>
        </w:rPr>
      </w:pPr>
      <w:r w:rsidRPr="007D489B">
        <w:rPr>
          <w:b/>
          <w:bCs/>
        </w:rPr>
        <w:t>návrhu zákona s právom Európskej únie</w:t>
      </w:r>
    </w:p>
    <w:p w:rsidR="007D489B" w:rsidRPr="007D489B" w:rsidRDefault="007D489B" w:rsidP="007D489B">
      <w:pPr>
        <w:spacing w:after="240"/>
        <w:jc w:val="both"/>
      </w:pPr>
      <w:r w:rsidRPr="007D489B">
        <w:t>1.</w:t>
      </w:r>
      <w:r w:rsidRPr="007D489B">
        <w:rPr>
          <w:b/>
          <w:bCs/>
        </w:rPr>
        <w:t xml:space="preserve"> Navrhovateľ zákona</w:t>
      </w:r>
      <w:r w:rsidRPr="007D489B">
        <w:t>: Ministerstvo vnútra Slovenskej republiky</w:t>
      </w:r>
    </w:p>
    <w:p w:rsidR="007D489B" w:rsidRPr="007D489B" w:rsidRDefault="007D489B" w:rsidP="007D489B">
      <w:pPr>
        <w:spacing w:after="240"/>
        <w:jc w:val="both"/>
      </w:pPr>
      <w:r w:rsidRPr="007D489B">
        <w:t>2.</w:t>
      </w:r>
      <w:r w:rsidRPr="007D489B">
        <w:rPr>
          <w:b/>
          <w:bCs/>
        </w:rPr>
        <w:t xml:space="preserve"> Názov návrhu zákona</w:t>
      </w:r>
      <w:r w:rsidRPr="007D489B">
        <w:t xml:space="preserve">: </w:t>
      </w:r>
      <w:r w:rsidRPr="007D489B">
        <w:rPr>
          <w:rFonts w:eastAsiaTheme="minorHAnsi"/>
          <w:lang w:eastAsia="en-US"/>
        </w:rPr>
        <w:t xml:space="preserve">Návrh zákona o špeciálnom spôsobe hlasovania vo voľbách do orgánov samosprávy obcí a vo voľbách do orgánov samosprávnych krajov, ktoré sa konajú v roku 2022 v rovnaký deň a v rovnakom čase a ktorým sa menia a dopĺňajú niektoré zákony </w:t>
      </w:r>
    </w:p>
    <w:p w:rsidR="007D489B" w:rsidRPr="007D489B" w:rsidRDefault="007D489B" w:rsidP="007D489B">
      <w:pPr>
        <w:spacing w:after="240"/>
        <w:jc w:val="both"/>
      </w:pPr>
      <w:r w:rsidRPr="007D489B">
        <w:t>3. </w:t>
      </w:r>
      <w:r w:rsidRPr="007D489B">
        <w:rPr>
          <w:b/>
          <w:bCs/>
        </w:rPr>
        <w:t>Predmet návrhu zákona</w:t>
      </w:r>
      <w:r w:rsidRPr="007D489B">
        <w:rPr>
          <w:bCs/>
        </w:rPr>
        <w:t xml:space="preserve"> </w:t>
      </w:r>
      <w:r w:rsidRPr="007D489B">
        <w:t>je upravený v práve Európskej únie:</w:t>
      </w:r>
    </w:p>
    <w:p w:rsidR="007D489B" w:rsidRPr="007D489B" w:rsidRDefault="007D489B" w:rsidP="007D489B">
      <w:pPr>
        <w:numPr>
          <w:ilvl w:val="0"/>
          <w:numId w:val="16"/>
        </w:numPr>
        <w:tabs>
          <w:tab w:val="left" w:pos="709"/>
          <w:tab w:val="left" w:pos="1068"/>
        </w:tabs>
        <w:spacing w:after="240" w:line="259" w:lineRule="auto"/>
        <w:ind w:left="714" w:hanging="357"/>
        <w:jc w:val="both"/>
        <w:rPr>
          <w:rFonts w:eastAsiaTheme="minorHAnsi"/>
          <w:lang w:eastAsia="en-US"/>
        </w:rPr>
      </w:pPr>
      <w:r w:rsidRPr="007D489B">
        <w:rPr>
          <w:rFonts w:eastAsiaTheme="minorHAnsi"/>
          <w:lang w:eastAsia="en-US"/>
        </w:rPr>
        <w:t>v primárnom práve</w:t>
      </w:r>
    </w:p>
    <w:p w:rsidR="007D489B" w:rsidRPr="007D489B" w:rsidRDefault="007D489B" w:rsidP="007D489B">
      <w:pPr>
        <w:numPr>
          <w:ilvl w:val="0"/>
          <w:numId w:val="18"/>
        </w:numPr>
        <w:tabs>
          <w:tab w:val="left" w:pos="709"/>
          <w:tab w:val="left" w:pos="1068"/>
        </w:tabs>
        <w:spacing w:after="240" w:line="259" w:lineRule="auto"/>
        <w:jc w:val="both"/>
        <w:rPr>
          <w:rFonts w:eastAsiaTheme="minorHAnsi"/>
          <w:lang w:eastAsia="en-US"/>
        </w:rPr>
      </w:pPr>
      <w:r w:rsidRPr="007D489B">
        <w:rPr>
          <w:rFonts w:eastAsiaTheme="minorHAnsi"/>
          <w:lang w:eastAsia="en-US"/>
        </w:rPr>
        <w:t>čl. 20 a 22 Zmluvy o fungovaní Európskej únie,</w:t>
      </w:r>
    </w:p>
    <w:p w:rsidR="007D489B" w:rsidRPr="007D489B" w:rsidRDefault="007D489B" w:rsidP="007D489B">
      <w:pPr>
        <w:numPr>
          <w:ilvl w:val="0"/>
          <w:numId w:val="16"/>
        </w:numPr>
        <w:tabs>
          <w:tab w:val="left" w:pos="709"/>
          <w:tab w:val="left" w:pos="1068"/>
        </w:tabs>
        <w:spacing w:after="240" w:line="259" w:lineRule="auto"/>
        <w:ind w:left="714" w:hanging="357"/>
        <w:rPr>
          <w:rFonts w:eastAsiaTheme="minorHAnsi"/>
          <w:lang w:eastAsia="en-US"/>
        </w:rPr>
      </w:pPr>
      <w:r w:rsidRPr="007D489B">
        <w:rPr>
          <w:rFonts w:eastAsiaTheme="minorHAnsi"/>
          <w:lang w:eastAsia="en-US"/>
        </w:rPr>
        <w:t>v sekundárnom práve</w:t>
      </w:r>
    </w:p>
    <w:p w:rsidR="007D489B" w:rsidRPr="007D489B" w:rsidRDefault="007D489B" w:rsidP="007D489B">
      <w:pPr>
        <w:numPr>
          <w:ilvl w:val="0"/>
          <w:numId w:val="17"/>
        </w:numPr>
        <w:spacing w:after="240" w:line="259" w:lineRule="auto"/>
        <w:ind w:right="-142"/>
        <w:jc w:val="both"/>
        <w:rPr>
          <w:rFonts w:eastAsiaTheme="minorHAnsi"/>
          <w:shd w:val="clear" w:color="auto" w:fill="FFFFFF"/>
          <w:lang w:eastAsia="en-US"/>
        </w:rPr>
      </w:pPr>
      <w:r w:rsidRPr="007D489B">
        <w:rPr>
          <w:rFonts w:eastAsiaTheme="minorHAnsi"/>
          <w:shd w:val="clear" w:color="auto" w:fill="FFFFFF"/>
          <w:lang w:eastAsia="en-US"/>
        </w:rPr>
        <w:t xml:space="preserve">smernica Rady 94/80/ES z 19. decembra 1994, ktorou sa ustanovujú podrobnosti uplatňovania volebného práva občanov únie v komunálnych voľbách v členskom štáte, ktorého nie sú štátnymi príslušníkmi (Ú. v. ES L 368, 31.12.1994, Mimoriadne vydanie Ú. v. EÚ, kap. 20/zv. 001) v platnom znení, gestor: Ministerstvo vnútra </w:t>
      </w:r>
      <w:r w:rsidRPr="007D489B">
        <w:t>Slovenskej republiky</w:t>
      </w:r>
      <w:r w:rsidRPr="007D489B">
        <w:rPr>
          <w:rFonts w:eastAsiaTheme="minorHAnsi"/>
          <w:shd w:val="clear" w:color="auto" w:fill="FFFFFF"/>
          <w:lang w:eastAsia="en-US"/>
        </w:rPr>
        <w:t>,</w:t>
      </w:r>
    </w:p>
    <w:p w:rsidR="007D489B" w:rsidRPr="007D489B" w:rsidRDefault="007D489B" w:rsidP="007D489B">
      <w:pPr>
        <w:numPr>
          <w:ilvl w:val="0"/>
          <w:numId w:val="16"/>
        </w:numPr>
        <w:tabs>
          <w:tab w:val="left" w:pos="993"/>
          <w:tab w:val="left" w:pos="1068"/>
        </w:tabs>
        <w:spacing w:after="240" w:line="259" w:lineRule="auto"/>
        <w:ind w:left="993" w:hanging="636"/>
        <w:jc w:val="both"/>
        <w:rPr>
          <w:rFonts w:eastAsiaTheme="minorHAnsi"/>
          <w:lang w:eastAsia="en-US"/>
        </w:rPr>
      </w:pPr>
      <w:r w:rsidRPr="007D489B">
        <w:rPr>
          <w:rFonts w:eastAsiaTheme="minorHAnsi"/>
          <w:lang w:eastAsia="en-US"/>
        </w:rPr>
        <w:t xml:space="preserve">v judikatúre Súdneho dvora Európskej únie – bezpredmetné  </w:t>
      </w:r>
    </w:p>
    <w:p w:rsidR="007D489B" w:rsidRPr="007D489B" w:rsidRDefault="007D489B" w:rsidP="007D489B">
      <w:pPr>
        <w:spacing w:after="120"/>
        <w:ind w:left="357" w:hanging="357"/>
        <w:rPr>
          <w:b/>
        </w:rPr>
      </w:pPr>
      <w:r w:rsidRPr="007D489B">
        <w:t>4.</w:t>
      </w:r>
      <w:r w:rsidRPr="007D489B">
        <w:rPr>
          <w:b/>
        </w:rPr>
        <w:t xml:space="preserve"> Záväzky Slovenskej republiky vo vzťahu k Európskej únii: </w:t>
      </w:r>
    </w:p>
    <w:p w:rsidR="007D489B" w:rsidRPr="007D489B" w:rsidRDefault="007D489B" w:rsidP="007D489B">
      <w:pPr>
        <w:numPr>
          <w:ilvl w:val="0"/>
          <w:numId w:val="15"/>
        </w:numPr>
        <w:autoSpaceDE w:val="0"/>
        <w:autoSpaceDN w:val="0"/>
        <w:adjustRightInd w:val="0"/>
        <w:spacing w:after="120" w:line="259" w:lineRule="auto"/>
        <w:ind w:left="924" w:hanging="357"/>
        <w:jc w:val="both"/>
        <w:rPr>
          <w:rFonts w:eastAsiaTheme="minorHAnsi"/>
          <w:shd w:val="clear" w:color="auto" w:fill="FFFFFF"/>
          <w:lang w:eastAsia="en-US"/>
        </w:rPr>
      </w:pPr>
      <w:r w:rsidRPr="007D489B">
        <w:rPr>
          <w:lang w:eastAsia="cs-CZ"/>
        </w:rPr>
        <w:t>lehota na prebranie príslušného právneho aktu Európskej únie, príp. aj osobitnú lehotu účinnosti jeho ustanovení –</w:t>
      </w:r>
      <w:r w:rsidRPr="007D489B">
        <w:t xml:space="preserve"> </w:t>
      </w:r>
      <w:r w:rsidRPr="007D489B">
        <w:rPr>
          <w:rFonts w:eastAsiaTheme="minorHAnsi"/>
          <w:shd w:val="clear" w:color="auto" w:fill="FFFFFF"/>
          <w:lang w:eastAsia="en-US"/>
        </w:rPr>
        <w:t>smernicu Rady 94/80/ES v platnom znení bola Slovenská republika povinná transponovať do 1. mája 2004,</w:t>
      </w:r>
    </w:p>
    <w:p w:rsidR="007D489B" w:rsidRPr="007D489B" w:rsidRDefault="007D489B" w:rsidP="007D489B">
      <w:pPr>
        <w:numPr>
          <w:ilvl w:val="0"/>
          <w:numId w:val="15"/>
        </w:numPr>
        <w:autoSpaceDE w:val="0"/>
        <w:autoSpaceDN w:val="0"/>
        <w:adjustRightInd w:val="0"/>
        <w:spacing w:after="120" w:line="259" w:lineRule="auto"/>
        <w:ind w:left="924" w:hanging="357"/>
        <w:jc w:val="both"/>
      </w:pPr>
      <w:r w:rsidRPr="007D489B">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bezpredmetné, </w:t>
      </w:r>
    </w:p>
    <w:p w:rsidR="007D489B" w:rsidRPr="007D489B" w:rsidRDefault="007D489B" w:rsidP="007D489B">
      <w:pPr>
        <w:numPr>
          <w:ilvl w:val="0"/>
          <w:numId w:val="15"/>
        </w:numPr>
        <w:autoSpaceDE w:val="0"/>
        <w:autoSpaceDN w:val="0"/>
        <w:adjustRightInd w:val="0"/>
        <w:spacing w:after="240" w:line="259" w:lineRule="auto"/>
        <w:ind w:left="924" w:hanging="357"/>
        <w:jc w:val="both"/>
        <w:rPr>
          <w:rFonts w:eastAsiaTheme="minorHAnsi"/>
          <w:shd w:val="clear" w:color="auto" w:fill="FFFFFF"/>
          <w:lang w:eastAsia="en-US"/>
        </w:rPr>
      </w:pPr>
      <w:r w:rsidRPr="007D489B">
        <w:t xml:space="preserve">informácia o právnych predpisoch, v ktorých sú uvádzané právne akty Európskej únie už prebrané, spolu s uvedením rozsahu ich prebrania, príp. potreby prijatia ďalších úprav – </w:t>
      </w:r>
      <w:r w:rsidRPr="007D489B">
        <w:rPr>
          <w:rFonts w:eastAsiaTheme="minorHAnsi"/>
          <w:shd w:val="clear" w:color="auto" w:fill="FFFFFF"/>
          <w:lang w:eastAsia="en-US"/>
        </w:rPr>
        <w:t xml:space="preserve">smernica Rady 94/80/ES v platnom znení bola úplne prebratá do zákona č. 180/2014 Z. z. o podmienkach výkonu volebného práva a o zmene a doplnení niektorých zákonov v znení neskorších predpisov. </w:t>
      </w:r>
    </w:p>
    <w:p w:rsidR="007D489B" w:rsidRDefault="007D489B" w:rsidP="007D489B">
      <w:pPr>
        <w:spacing w:after="240"/>
      </w:pPr>
      <w:r w:rsidRPr="007D489B">
        <w:t xml:space="preserve">5. </w:t>
      </w:r>
      <w:r w:rsidRPr="007D489B">
        <w:rPr>
          <w:b/>
        </w:rPr>
        <w:t xml:space="preserve">Návrh zákona je zlučiteľný s právom Európskej únie: </w:t>
      </w:r>
      <w:r w:rsidRPr="007D489B">
        <w:t>úplne</w:t>
      </w:r>
    </w:p>
    <w:p w:rsidR="007D489B" w:rsidRDefault="007D489B" w:rsidP="007D489B">
      <w:pPr>
        <w:spacing w:after="240"/>
      </w:pPr>
    </w:p>
    <w:p w:rsidR="007D489B" w:rsidRDefault="007D489B" w:rsidP="007D489B">
      <w:pPr>
        <w:spacing w:after="240"/>
      </w:pPr>
    </w:p>
    <w:p w:rsidR="007D489B" w:rsidRPr="00855F4C" w:rsidRDefault="007D489B" w:rsidP="007D489B">
      <w:pPr>
        <w:spacing w:after="240"/>
        <w:jc w:val="both"/>
        <w:rPr>
          <w:b/>
        </w:rPr>
      </w:pPr>
      <w:r w:rsidRPr="00647281">
        <w:rPr>
          <w:b/>
        </w:rPr>
        <w:lastRenderedPageBreak/>
        <w:t>B. Osobitná časť</w:t>
      </w:r>
    </w:p>
    <w:p w:rsidR="007D489B" w:rsidRPr="00647281" w:rsidRDefault="007D489B" w:rsidP="007D489B">
      <w:pPr>
        <w:spacing w:after="240"/>
        <w:jc w:val="both"/>
        <w:rPr>
          <w:b/>
        </w:rPr>
      </w:pPr>
      <w:r w:rsidRPr="00647281">
        <w:rPr>
          <w:b/>
        </w:rPr>
        <w:t>K čl. I</w:t>
      </w:r>
    </w:p>
    <w:p w:rsidR="007D489B" w:rsidRPr="00647281" w:rsidRDefault="007D489B" w:rsidP="007D489B">
      <w:pPr>
        <w:spacing w:after="240"/>
        <w:jc w:val="both"/>
        <w:rPr>
          <w:b/>
          <w:shd w:val="clear" w:color="auto" w:fill="FFFFFF"/>
        </w:rPr>
      </w:pPr>
      <w:r w:rsidRPr="00647281">
        <w:rPr>
          <w:b/>
          <w:shd w:val="clear" w:color="auto" w:fill="FFFFFF"/>
        </w:rPr>
        <w:t>K § 1</w:t>
      </w:r>
    </w:p>
    <w:p w:rsidR="007D489B" w:rsidRDefault="007D489B" w:rsidP="007D489B">
      <w:pPr>
        <w:spacing w:after="240"/>
        <w:jc w:val="both"/>
        <w:rPr>
          <w:shd w:val="clear" w:color="auto" w:fill="FFFFFF"/>
        </w:rPr>
      </w:pPr>
      <w:r w:rsidRPr="00647281">
        <w:rPr>
          <w:shd w:val="clear" w:color="auto" w:fill="FFFFFF"/>
        </w:rPr>
        <w:t xml:space="preserve">Ustanovuje sa, že zákon upravuje spôsob hlasovania výlučne pre voľby do orgánov samosprávy obcí a voľby do orgánov samosprávy krajov, ktoré vyhlási predseda Národnej rady Slovenskej republiky v roku 2022 a ktoré sa budú konať </w:t>
      </w:r>
      <w:r>
        <w:rPr>
          <w:shd w:val="clear" w:color="auto" w:fill="FFFFFF"/>
        </w:rPr>
        <w:t>v rovnaký deň a v rovnakom čase</w:t>
      </w:r>
      <w:r w:rsidRPr="00647281">
        <w:rPr>
          <w:shd w:val="clear" w:color="auto" w:fill="FFFFFF"/>
        </w:rPr>
        <w:t xml:space="preserve"> a výlučne pre tých voličov, ktorým ku dňu konania týchto volieb bola nariadená izolácia alebo karanténa z dôvod</w:t>
      </w:r>
      <w:r>
        <w:rPr>
          <w:shd w:val="clear" w:color="auto" w:fill="FFFFFF"/>
        </w:rPr>
        <w:t>u</w:t>
      </w:r>
      <w:r w:rsidRPr="00647281">
        <w:rPr>
          <w:shd w:val="clear" w:color="auto" w:fill="FFFFFF"/>
        </w:rPr>
        <w:t xml:space="preserve"> ochrany verejného zdravia pred ochorením COVID-19 a pre osoby s nimi žijúce v jednej domácnosti (ďalej len „oprávnený volič“).</w:t>
      </w:r>
    </w:p>
    <w:p w:rsidR="007D489B" w:rsidRPr="000925AC" w:rsidRDefault="007D489B" w:rsidP="007D489B">
      <w:pPr>
        <w:spacing w:after="240"/>
        <w:jc w:val="both"/>
        <w:rPr>
          <w:bCs/>
        </w:rPr>
      </w:pPr>
      <w:r w:rsidRPr="00647281">
        <w:rPr>
          <w:bCs/>
        </w:rPr>
        <w:t xml:space="preserve">Ustanovenie obsahuje klauzulu o uplatnení postupu podľa tohto zákona len v tom v prípade, ak ku dňu 30. septembra 2022 bude </w:t>
      </w:r>
      <w:r>
        <w:rPr>
          <w:bCs/>
        </w:rPr>
        <w:t>vyhláškou</w:t>
      </w:r>
      <w:r w:rsidRPr="00647281">
        <w:rPr>
          <w:bCs/>
        </w:rPr>
        <w:t xml:space="preserve"> </w:t>
      </w:r>
      <w:r>
        <w:rPr>
          <w:bCs/>
        </w:rPr>
        <w:t xml:space="preserve">Úradu verejného zdravotníctva Slovenskej republiky osobám pozitívnym na ochorenie COVID-19, resp. osobám, ktoré s nimi prišli do úzkeho kontaktu, nariadená izolácia alebo karanténa. </w:t>
      </w:r>
      <w:r w:rsidRPr="00647281">
        <w:rPr>
          <w:bCs/>
        </w:rPr>
        <w:t xml:space="preserve">Ak by totiž v prípade priaznivej epidemiologickej situácie v období </w:t>
      </w:r>
      <w:r>
        <w:rPr>
          <w:bCs/>
        </w:rPr>
        <w:t xml:space="preserve">bezprostredne </w:t>
      </w:r>
      <w:r w:rsidRPr="00647281">
        <w:rPr>
          <w:bCs/>
        </w:rPr>
        <w:t xml:space="preserve">predchádzajúcom spojeným voľbám na základe </w:t>
      </w:r>
      <w:r>
        <w:rPr>
          <w:bCs/>
        </w:rPr>
        <w:t>vyhlášky</w:t>
      </w:r>
      <w:r w:rsidRPr="00647281">
        <w:rPr>
          <w:bCs/>
        </w:rPr>
        <w:t xml:space="preserve"> úradu vyššie uvedené osoby nepodliehali izolácii či karanténe, pominul by tým dôvod na realizáciu špeciálneho spôsobu hlasovania, nakoľko tieto osoby by už nemali podľa volebného zákona prekážku vo výkone volebného práva </w:t>
      </w:r>
      <w:r>
        <w:rPr>
          <w:bCs/>
        </w:rPr>
        <w:t>z dôvodu</w:t>
      </w:r>
      <w:r w:rsidRPr="00647281">
        <w:rPr>
          <w:bCs/>
        </w:rPr>
        <w:t xml:space="preserve"> ochrany verejného zdravia. </w:t>
      </w:r>
    </w:p>
    <w:p w:rsidR="007D489B" w:rsidRPr="00647281" w:rsidRDefault="007D489B" w:rsidP="007D489B">
      <w:pPr>
        <w:spacing w:after="240"/>
        <w:jc w:val="both"/>
        <w:rPr>
          <w:b/>
        </w:rPr>
      </w:pPr>
      <w:r w:rsidRPr="00647281">
        <w:rPr>
          <w:b/>
        </w:rPr>
        <w:t>K § 2</w:t>
      </w:r>
    </w:p>
    <w:p w:rsidR="007D489B" w:rsidRPr="000925AC" w:rsidRDefault="007D489B" w:rsidP="007D489B">
      <w:pPr>
        <w:spacing w:after="240"/>
        <w:jc w:val="both"/>
      </w:pPr>
      <w:r>
        <w:t>Ustanovuje sa</w:t>
      </w:r>
      <w:r w:rsidRPr="00647281">
        <w:t>, kto je podľa tohto zákona oprávneným voličom</w:t>
      </w:r>
      <w:r>
        <w:t>.</w:t>
      </w:r>
    </w:p>
    <w:p w:rsidR="007D489B" w:rsidRPr="00647281" w:rsidRDefault="007D489B" w:rsidP="007D489B">
      <w:pPr>
        <w:spacing w:after="240"/>
        <w:jc w:val="both"/>
      </w:pPr>
      <w:r w:rsidRPr="00647281">
        <w:t>Ustanovuje sa, že pri využití špeciálneho spôsobu hlasovania</w:t>
      </w:r>
      <w:r>
        <w:t xml:space="preserve"> na základe žiadosti</w:t>
      </w:r>
      <w:r w:rsidRPr="00647281">
        <w:t xml:space="preserve"> sa prekážka práva voliť osôb, ktoré majú </w:t>
      </w:r>
      <w:r w:rsidRPr="00647281">
        <w:rPr>
          <w:shd w:val="clear" w:color="auto" w:fill="FFFFFF"/>
        </w:rPr>
        <w:t>zákonom ustanovené obme</w:t>
      </w:r>
      <w:r>
        <w:rPr>
          <w:shd w:val="clear" w:color="auto" w:fill="FFFFFF"/>
        </w:rPr>
        <w:t>dzenie osobnej slobody z dôvodu</w:t>
      </w:r>
      <w:r w:rsidRPr="00647281">
        <w:rPr>
          <w:shd w:val="clear" w:color="auto" w:fill="FFFFFF"/>
        </w:rPr>
        <w:t xml:space="preserve"> ochrany verejného zdravia </w:t>
      </w:r>
      <w:r w:rsidRPr="00647281">
        <w:t>pred ochorením COVID-19</w:t>
      </w:r>
      <w:r>
        <w:t>, nevzťahuje</w:t>
      </w:r>
      <w:r w:rsidRPr="00647281">
        <w:t xml:space="preserve"> na oprávneného voliča, ktorému bola nar</w:t>
      </w:r>
      <w:r>
        <w:t>iadená izolácia alebo karanténa</w:t>
      </w:r>
      <w:r w:rsidRPr="00647281">
        <w:t>. Takýto volič má právo hlasovať do špeciálnej prenosnej volebnej schránky, ktorú mu na požiadanie doručí špeciálna volebná komisia. Týmto spôsobom môžu hlasovať aj osoby, s ktorými tento volič ž</w:t>
      </w:r>
      <w:r>
        <w:t>ije v spoločnej domácnosti, ak o špeciálny spôsob hlasovania požiadajú, čím</w:t>
      </w:r>
      <w:r w:rsidRPr="00647281">
        <w:t xml:space="preserve"> sa </w:t>
      </w:r>
      <w:r>
        <w:t>zabezpečujú</w:t>
      </w:r>
      <w:r w:rsidRPr="00647281">
        <w:t xml:space="preserve"> lepšie možnosti ochrany verejného zdravia.</w:t>
      </w:r>
    </w:p>
    <w:p w:rsidR="007D489B" w:rsidRPr="00647281" w:rsidRDefault="007D489B" w:rsidP="007D489B">
      <w:pPr>
        <w:spacing w:after="240"/>
        <w:jc w:val="both"/>
        <w:rPr>
          <w:b/>
        </w:rPr>
      </w:pPr>
      <w:r>
        <w:rPr>
          <w:b/>
        </w:rPr>
        <w:t>K § 3</w:t>
      </w:r>
    </w:p>
    <w:p w:rsidR="007D489B" w:rsidRPr="00AD7C82" w:rsidRDefault="007D489B" w:rsidP="007D489B">
      <w:pPr>
        <w:spacing w:after="240"/>
        <w:jc w:val="both"/>
      </w:pPr>
      <w:r w:rsidRPr="00647281">
        <w:t>Na zabezpečenie špeciálneho spôsobu hlasovania sa navrhujú zriadiť špeciálne volebné obvody. Zoznam obcí patriacich do územia jednotlivých špeciálnych volebných o</w:t>
      </w:r>
      <w:r>
        <w:t>bvodov je uvedený v prílohe</w:t>
      </w:r>
      <w:r w:rsidRPr="00647281">
        <w:t xml:space="preserve"> zákona. Ich vytvoreniu predchádzala komunikácia s okresnými úradmi, mestami a obcami s cieľom vytvoriť optimálne územie, v rámci ktorého by pôsobila jedna alebo až</w:t>
      </w:r>
      <w:r>
        <w:t xml:space="preserve"> </w:t>
      </w:r>
      <w:r w:rsidRPr="00647281">
        <w:t>štyri dvojice členov špeciálnej volebnej komisie v závislosti od počtu oprá</w:t>
      </w:r>
      <w:r>
        <w:t>vnených voličov, ktorí požiadajú</w:t>
      </w:r>
      <w:r w:rsidRPr="00647281">
        <w:t xml:space="preserve"> o špeciálny spôsob hlasovania.</w:t>
      </w:r>
    </w:p>
    <w:p w:rsidR="007D489B" w:rsidRPr="00855F4C" w:rsidRDefault="007D489B" w:rsidP="007D489B">
      <w:pPr>
        <w:spacing w:after="240"/>
        <w:jc w:val="both"/>
        <w:rPr>
          <w:b/>
        </w:rPr>
      </w:pPr>
      <w:r>
        <w:rPr>
          <w:b/>
        </w:rPr>
        <w:t>K § 4</w:t>
      </w:r>
    </w:p>
    <w:p w:rsidR="007D489B" w:rsidRPr="00647281" w:rsidRDefault="007D489B" w:rsidP="007D489B">
      <w:pPr>
        <w:spacing w:after="240"/>
        <w:jc w:val="both"/>
      </w:pPr>
      <w:r w:rsidRPr="00647281">
        <w:t xml:space="preserve">Na zabezpečenie špeciálneho spôsobu hlasovania v určenom územnom obvode sa navrhuje  zriadiť špeciálna volebná komisia. Sídlom tejto komisie je obec alebo mesto, ktoré je ustanovené v prílohe zákona. Navrhuje sa, aby špeciálna volebná komisia mala najmenej osem členov, pričom členov môžu delegovať politické strany, politické hnutia, alebo koalície, ktoré predložili kandidátnu listinu pre voľby do obecného zastupiteľstva v obci, ktorá je sídlom </w:t>
      </w:r>
      <w:r w:rsidRPr="00647281">
        <w:lastRenderedPageBreak/>
        <w:t xml:space="preserve">špeciálnej volebnej komisie. Zároveň sa priamo zákonom zakotvuje lehota, dokedy môžu oprávnené subjekty nominovať svojho zástupcu do uvedenej komisie. Spôsob delegovania a podmienky členstva sa ustanovujú v zhode s volebným zákonom. Podobne, ako ustanovuje volebný zákon, ak počet členov špeciálnej volebnej komisie nedosiahne alebo klesne pod číslo osem, chýbajúcich členov vymenuje starosta obce, ktorá je sídlom špeciálnej volebnej komisie (ďalej len „starosta určenej obce“). Vzhľadom na výnimočnosť spojených volieb konaných v čase epidémie ochorenia COVID-19 v prípade, že sa </w:t>
      </w:r>
      <w:r>
        <w:t>delegovaním oprávnenými subjekt</w:t>
      </w:r>
      <w:r w:rsidRPr="00647281">
        <w:t>mi nenaplní minimálny počet členov špeciálnej volebnej komisie a ani starosta určenej obce nevymenuje chýbajúcich členov do tohto počtu</w:t>
      </w:r>
      <w:r>
        <w:t>,</w:t>
      </w:r>
      <w:r w:rsidRPr="00647281">
        <w:t xml:space="preserve"> zákon ustanovuje prednostovi príslušného okresného úradu úlohu zabezpečiť súčinnosť obci a domenovať chýbajúcich členov špeciálnej volebnej komisie.</w:t>
      </w:r>
    </w:p>
    <w:p w:rsidR="007D489B" w:rsidRPr="00647281" w:rsidRDefault="007D489B" w:rsidP="007D489B">
      <w:pPr>
        <w:spacing w:after="240"/>
        <w:jc w:val="both"/>
      </w:pPr>
      <w:r w:rsidRPr="00647281">
        <w:t>Zákon tiež ustanovuje spôsob zabezpečenia činnosti špeciálnej volebnej komisie v deň konania volieb a</w:t>
      </w:r>
      <w:r>
        <w:t> poradie,</w:t>
      </w:r>
      <w:r w:rsidRPr="00647281">
        <w:t> v akom budú jej členovia vysielaní v deň konania volieb so špeciálnou prenosnou volebnou schránkou. Poradie určí na prvom zasadnutí špeciálnej volebnej komisie starosta určenej obce žrebom a hlasovanie budú zabezpečovať vždy dvaja vyslaní členovia špeciálnej k</w:t>
      </w:r>
      <w:r>
        <w:t>omisie. Zvyšní členovia komisie</w:t>
      </w:r>
      <w:r w:rsidRPr="00647281">
        <w:t xml:space="preserve"> sa ujmú činnosti v prípade, že počet oprávnených voličov, ktorí požiadali o špeciálny spôsob hlasovania</w:t>
      </w:r>
      <w:r>
        <w:t>,</w:t>
      </w:r>
      <w:r w:rsidRPr="00647281">
        <w:t xml:space="preserve"> bude taký vysoký, že jedna dvojica členov špeciálnej komisie nebude spôsobilá fyzicky obslúžiť celý špeciálny volebný obvod do</w:t>
      </w:r>
      <w:r>
        <w:t xml:space="preserve"> času</w:t>
      </w:r>
      <w:r w:rsidRPr="00647281">
        <w:t xml:space="preserve"> uzatvorenia volebných miestností. Starosta určenej obce bude pri rozhodovaní o vysielaní ďalších členov komisie povinný spolupracovať s predsedom okresnej volebnej komisie. V</w:t>
      </w:r>
      <w:r>
        <w:t> </w:t>
      </w:r>
      <w:r w:rsidRPr="00647281">
        <w:t>prípade</w:t>
      </w:r>
      <w:r>
        <w:t xml:space="preserve"> enormného nárastu počtu oprávnených voličov, ktorí požiadali o špeciálny spôsob hlasovania</w:t>
      </w:r>
      <w:r w:rsidRPr="00647281">
        <w:t>, ak by celkový počet členov špeciálnej volebnej komisie nepostačoval na zabezpečenie špeciálneho</w:t>
      </w:r>
      <w:r>
        <w:t xml:space="preserve"> spôsobu hlasovania, zákon</w:t>
      </w:r>
      <w:r w:rsidRPr="00647281">
        <w:t xml:space="preserve"> </w:t>
      </w:r>
      <w:r>
        <w:t>ukladá</w:t>
      </w:r>
      <w:r w:rsidRPr="00647281">
        <w:t xml:space="preserve"> starostovi určenej obce po predchádzajúcom súhlase prednostu okresného úradu operatívne domenovať ďalších členov komisie v potrebnom počte. </w:t>
      </w:r>
    </w:p>
    <w:p w:rsidR="007D489B" w:rsidRPr="00647281" w:rsidRDefault="007D489B" w:rsidP="007D489B">
      <w:pPr>
        <w:spacing w:after="240"/>
        <w:jc w:val="both"/>
      </w:pPr>
      <w:r w:rsidRPr="00647281">
        <w:t>Zákon myslí aj na situáciu, že žiaden oprávnený volič v príslušnom špeciálnom volebnom obvode nepožiada o špeciálnu prenosnú vo</w:t>
      </w:r>
      <w:r>
        <w:t>lebnú schránku, a v tom prípade</w:t>
      </w:r>
      <w:r w:rsidRPr="00647281">
        <w:t xml:space="preserve"> špeciálna volebná komisia v deň volieb nebude vykonávať svoju činnosť.</w:t>
      </w:r>
    </w:p>
    <w:p w:rsidR="007D489B" w:rsidRPr="00647281" w:rsidRDefault="007D489B" w:rsidP="007D489B">
      <w:pPr>
        <w:spacing w:after="240"/>
        <w:rPr>
          <w:b/>
          <w:bCs/>
        </w:rPr>
      </w:pPr>
      <w:r>
        <w:rPr>
          <w:b/>
          <w:bCs/>
        </w:rPr>
        <w:t>K § 5</w:t>
      </w:r>
    </w:p>
    <w:p w:rsidR="007D489B" w:rsidRPr="00647281" w:rsidRDefault="007D489B" w:rsidP="007D489B">
      <w:pPr>
        <w:spacing w:after="240"/>
        <w:jc w:val="both"/>
      </w:pPr>
      <w:r w:rsidRPr="00647281">
        <w:t xml:space="preserve">Ustanovuje sa povinnosť zapísať oprávneného voliča, ktorý požiadal o špeciálny spôsob hlasovania v príslušnom volebnom obvode pre voľby poslancov obecného zastupiteľstva podľa miesta jeho trvalého pobytu, do špeciálneho zoznamu oprávnených voličov, a to osobitne pre voľby do orgánov samosprávnych krajov a osobitne pre voľby do orgánov samosprávy obcí. Úlohu spracovať tieto špeciálne zoznamy oprávnených voličov zákon zveruje zapisovateľovi miestnej volebnej komisie, voči ktorému bude smerovať aj žiadosť oprávneného voliča o špeciálny spôsob hlasovania. </w:t>
      </w:r>
    </w:p>
    <w:p w:rsidR="007D489B" w:rsidRPr="00647281" w:rsidRDefault="007D489B" w:rsidP="007D489B">
      <w:pPr>
        <w:spacing w:after="240"/>
        <w:jc w:val="both"/>
      </w:pPr>
      <w:r w:rsidRPr="00647281">
        <w:t xml:space="preserve">Taxatívne sa </w:t>
      </w:r>
      <w:r>
        <w:t>ustanovujú</w:t>
      </w:r>
      <w:r w:rsidRPr="00647281">
        <w:t xml:space="preserve"> osobné údaje oprávneného voliča, ktoré je povinný zapisovateľovi poskytnúť a pre zabezpečenie </w:t>
      </w:r>
      <w:r w:rsidRPr="00376B9C">
        <w:t>plynulého</w:t>
      </w:r>
      <w:r w:rsidRPr="00647281">
        <w:t xml:space="preserve"> priebehu hlasovania do špeciálnej prenosnej volebnej schránky v deň konania volieb sa v zákone explicitne ustanovuje telefonická forma podania žiadosti oprávneného voliča </w:t>
      </w:r>
      <w:r>
        <w:t xml:space="preserve">o špeciálny spôsob hlasovania, </w:t>
      </w:r>
      <w:r w:rsidRPr="00647281">
        <w:t>a zároveň sa ustanovuje  najneskoršia lehota na podanie žiadosti o špeciálny spôsob hlasovania.</w:t>
      </w:r>
    </w:p>
    <w:p w:rsidR="007D489B" w:rsidRPr="00647281" w:rsidRDefault="007D489B" w:rsidP="007D489B">
      <w:pPr>
        <w:spacing w:after="240"/>
        <w:jc w:val="both"/>
      </w:pPr>
      <w:r w:rsidRPr="00647281">
        <w:t xml:space="preserve">Zavádza sa tiež povinnosť obce zverejniť najneskôr päť pracovných dní predo dňom konania volieb na úradnej tabuli obce a na jej webovom sídle, ak ho má zriadené, telefonický kontakt na zapisovateľa miestnej volebnej komisie, na ktorom bude tento v úradných hodinách obce dostupný za účelom prijímania žiadostí oprávnených voličov o špeciálny spôsob hlasovania. </w:t>
      </w:r>
    </w:p>
    <w:p w:rsidR="007D489B" w:rsidRPr="00647281" w:rsidRDefault="007D489B" w:rsidP="007D489B">
      <w:pPr>
        <w:spacing w:after="240"/>
        <w:jc w:val="both"/>
      </w:pPr>
      <w:r w:rsidRPr="00647281">
        <w:lastRenderedPageBreak/>
        <w:t xml:space="preserve">Zapisovateľovi miestnej volebnej komisie sa v zákonnej lehote ukladá povinnosť oznámiť </w:t>
      </w:r>
      <w:r>
        <w:t xml:space="preserve">starostovi určenej obce počet </w:t>
      </w:r>
      <w:r w:rsidRPr="00647281">
        <w:t xml:space="preserve">oprávnených voličov, ktorí požiadali o špeciálny spôsob hlasovania v obci. Týmto oznámením starosta určenej obce získa dôležitú informáciu nevyhnutnú pre následný rozvrh práce členov špeciálnej volebnej komisie v deň konania volieb a prípadné povolanie väčšieho počtu členov tejto komisie, potrebného na zabezpečovanie hlasovania do špeciálnej volebnej schránky v príslušnom špeciálnom volebnom obvode. </w:t>
      </w:r>
    </w:p>
    <w:p w:rsidR="007D489B" w:rsidRPr="00647281" w:rsidRDefault="007D489B" w:rsidP="007D489B">
      <w:pPr>
        <w:spacing w:after="240"/>
        <w:jc w:val="both"/>
      </w:pPr>
      <w:r w:rsidRPr="00647281">
        <w:t>Zapisovateľ miestnej volebnej komisie je povinný zabezpečiť vyčiarknutie oprávneného voliča, ktorý požiadal o špeciálny spôsob hlasovania zo zoznamu voličov v obci, aby sa tým zabránilo duplicitnému započíta</w:t>
      </w:r>
      <w:r>
        <w:t>niu takéhoto voliča do celkového</w:t>
      </w:r>
      <w:r w:rsidRPr="00647281">
        <w:t xml:space="preserve"> počtu voličov danej obce. </w:t>
      </w:r>
    </w:p>
    <w:p w:rsidR="007D489B" w:rsidRPr="00855F4C" w:rsidRDefault="007D489B" w:rsidP="007D489B">
      <w:pPr>
        <w:spacing w:after="240"/>
        <w:jc w:val="both"/>
      </w:pPr>
      <w:r w:rsidRPr="00647281">
        <w:t xml:space="preserve">Konkretizuje sa tiež volebný okrsok, ktorého okrsková volebná komisia odovzdá špeciálne zoznamy oprávnených voličov v deň konania volieb členom špeciálnej volebnej </w:t>
      </w:r>
      <w:r>
        <w:t>komisie</w:t>
      </w:r>
      <w:r w:rsidRPr="00647281">
        <w:t xml:space="preserve"> vyslaným so špeciálnou prenosnou volebnou schránkou k oprávneným voličom majúcim trvalý pobyt v príslušnom volebnom obvode pre voľby poslancov obecného zastupiteľstva.</w:t>
      </w:r>
    </w:p>
    <w:p w:rsidR="007D489B" w:rsidRPr="00647281" w:rsidRDefault="007D489B" w:rsidP="007D489B">
      <w:pPr>
        <w:spacing w:after="240"/>
        <w:jc w:val="both"/>
        <w:rPr>
          <w:b/>
          <w:bCs/>
        </w:rPr>
      </w:pPr>
      <w:r>
        <w:rPr>
          <w:b/>
          <w:bCs/>
        </w:rPr>
        <w:t>K § 6</w:t>
      </w:r>
    </w:p>
    <w:p w:rsidR="007D489B" w:rsidRPr="00647281" w:rsidRDefault="007D489B" w:rsidP="007D489B">
      <w:pPr>
        <w:spacing w:after="240"/>
        <w:jc w:val="both"/>
      </w:pPr>
      <w:r w:rsidRPr="00647281">
        <w:t>Hlasovanie do špeciálnej prenosnej volebnej schránky v domácnosti vychádza z osvedčeného spôsobu hlasovania do prenosnej volebnej schránky podľa volebného zákona u voliča, ktorý zo závažných, najmä zdravotných dôvodov</w:t>
      </w:r>
      <w:r>
        <w:t>,</w:t>
      </w:r>
      <w:r w:rsidRPr="00647281">
        <w:t xml:space="preserve"> sa v deň konania volieb nemôže osobne dostaviť do volebnej miestnosti. Avšak zároveň sa zákonom výslovne vylučuje </w:t>
      </w:r>
      <w:r>
        <w:t>použitie</w:t>
      </w:r>
      <w:r w:rsidRPr="00647281">
        <w:t xml:space="preserve"> špeciálneho spôsobu hlasovania u oprávnených voličov </w:t>
      </w:r>
      <w:r w:rsidRPr="00DB46D9">
        <w:t>hospitalizovaných na infekčných oddeleniach v nemocničných zariadeniach, do ktorých je vstup verejnosti zamedzený</w:t>
      </w:r>
      <w:r w:rsidRPr="00647281">
        <w:t>.</w:t>
      </w:r>
    </w:p>
    <w:p w:rsidR="007D489B" w:rsidRPr="00647281" w:rsidRDefault="007D489B" w:rsidP="007D489B">
      <w:pPr>
        <w:spacing w:after="240"/>
        <w:jc w:val="both"/>
      </w:pPr>
      <w:r w:rsidRPr="00647281">
        <w:t xml:space="preserve">V prípade zabezpečenia hlasovania oprávneného voliča podľa tohto zákona </w:t>
      </w:r>
      <w:r>
        <w:t>sa jednoznačne špecifikujú</w:t>
      </w:r>
      <w:r w:rsidRPr="00647281">
        <w:t xml:space="preserve"> osoby, ktoré toto hlasovanie zabezpečujú, t. j. dvojica vyslaných členov špeciálnej volebnej komisie podľa vopred vyžrebovaného poradia. Konkretizujú sa tiež materiály na hlasovanie, ktoré si vyslaní členovia špeciálnej volebnej komisie prevezmú od príslušnej okrskovej volebnej komisie. Časový harmonogram zabezpečenia hlasovania u jednotlivých oprávnených voličov zapísaných v príslušných špeciálnych zoznamoch oprávnených voličov si určia samotní vyslaní členovia špeciálnej volebnej komisie, poznajúc miestne podmienky a geografické pomery v oblasti, v ktorej toto hlasovanie zabezpečujú.</w:t>
      </w:r>
    </w:p>
    <w:p w:rsidR="007D489B" w:rsidRPr="00647281" w:rsidRDefault="007D489B" w:rsidP="007D489B">
      <w:pPr>
        <w:spacing w:after="240"/>
        <w:jc w:val="both"/>
      </w:pPr>
      <w:r w:rsidRPr="00647281">
        <w:t>Vyslaní členovia špeciálnej volebnej komisie sú po príchode na miesto hlasovania povinní vyzvať oprávneného voliča, aby sa dostavil na  hlasovanie. Členovia komisie sú povinní v rámci tejto výzvy použiť všetky bežné dostupné prostriedky, ako napr. domový zvonček, a na účely výzvy majú k dispozícii aj telefónne číslo oprávneného voliča, ktoré sú povinní použiť v prípade, ak volič na výzvy realizované sk</w:t>
      </w:r>
      <w:r>
        <w:t>ôr uvedenými spôsobmi nereaguje</w:t>
      </w:r>
      <w:r w:rsidRPr="00647281">
        <w:t>. Ak</w:t>
      </w:r>
      <w:r>
        <w:t xml:space="preserve"> sa oprávnený volič</w:t>
      </w:r>
      <w:r w:rsidRPr="00647281">
        <w:t xml:space="preserve"> ani po použití všetkých dostupných prostriedkov vrátane telefonickej výzvy do ustanoveného času</w:t>
      </w:r>
      <w:r>
        <w:t xml:space="preserve"> desiatich minút</w:t>
      </w:r>
      <w:r w:rsidRPr="00647281">
        <w:t xml:space="preserve"> nedostaví</w:t>
      </w:r>
      <w:r w:rsidRPr="005A1300">
        <w:t xml:space="preserve"> </w:t>
      </w:r>
      <w:r w:rsidRPr="00647281">
        <w:t xml:space="preserve">hlasovať, platí, že hlasovanie odmietol a členovia špeciálnej volebnej komisie sa následne odoberú k ďalšiemu oprávnenému voličovi zapísanému v špeciálnom zozname oprávnených voličov. K oprávnenému voličovi, ktorý sa na hlasovanie </w:t>
      </w:r>
      <w:r>
        <w:t>nedostavil, sa už opakovane ne</w:t>
      </w:r>
      <w:r w:rsidRPr="00647281">
        <w:t xml:space="preserve">vrátia, a to aj z dôvodu, že špeciálna volebná komisia po zabezpečení hlasovania všetkým voličom, ktorí o hlasovanie v príslušnom volebnom obvode požiadali, odovzdá špeciálnu prenosnú volebnú schránku v príslušnom volebnom okrsku a pokračuje v práci v ďalšom volebnom obvode pre voľby poslancov obecného zastupiteľstva, v ktorom požiadali o špeciálny spôsob hlasovania oprávnení voliči s trvalým pobytom v tomto volebnom obvode. </w:t>
      </w:r>
    </w:p>
    <w:p w:rsidR="007D489B" w:rsidRPr="00647281" w:rsidRDefault="007D489B" w:rsidP="007D489B">
      <w:pPr>
        <w:spacing w:after="240"/>
        <w:jc w:val="both"/>
      </w:pPr>
      <w:r w:rsidRPr="00647281">
        <w:lastRenderedPageBreak/>
        <w:t xml:space="preserve">Ak sa oprávnený volič na výzvu členov špeciálnej volebnej komisie hlasovať dostaví, </w:t>
      </w:r>
      <w:r>
        <w:t>zákon</w:t>
      </w:r>
      <w:r w:rsidRPr="00647281">
        <w:t xml:space="preserve"> </w:t>
      </w:r>
      <w:r>
        <w:t>ustanovuje</w:t>
      </w:r>
      <w:r w:rsidRPr="00647281">
        <w:t xml:space="preserve"> postup realizácie jednotlivých úkonov vykonávaných vyslanými členmi komisie a oprávneným voličom, počnúc legitimáciou oprávneného voliča, odovzdaním materiálov na hlasovanie, podpísaním prevzatia hlasovacieho lístka a obálky zo strany op</w:t>
      </w:r>
      <w:r>
        <w:t>rávneného voliča a zakrúžkovaním</w:t>
      </w:r>
      <w:r w:rsidRPr="00647281">
        <w:t xml:space="preserve"> poradového čísla voliča v príslušnom špeciálnom zozname oprávnených voličov. Uvedené procesy sa navrhuje vykonávať osobitne pre hlasovanie vo voľbách do orgánov samosprávnych krajov a osobitne pre hlasovanie vo voľbách do orgánov samosprávy obcí. Zároveň sa jednoznačne zakotvuje, že ak oprávnený volič na mieste vyjadrí svoju vôľu nehlasovať v tých-ktorých voľbách, vyslaný člen špeciálnej volebnej komisie poznamená túto skutočnosť v príslušnom špeciálnom zozname oprávnených voličov, poradové číslo takého voliča v špeciálnom zozname voličov nezakrúžkuje a materiály na hlasovanie pre voľby, pre ktoré hlasovanie odmietol, mu nevydá. Presne popísaným postupom sa zabezpečuje, aby nemohlo dôjsť k manipulácii s hlasovacími materiálmi v prípade, že oprávnený volič sa rozhodne, že v jedných z dvoch volieb hlasovať nebude. Členovia špeciálnej volebnej komisie pri odovzdávaní špeciálnej prenosnej volebnej schránky príslušnej okrskovej volebnej komisii v tomto prípade zároveň odovzdajú aj nevydané obálky a hlasovacie lístky.</w:t>
      </w:r>
    </w:p>
    <w:p w:rsidR="007D489B" w:rsidRPr="00647281" w:rsidRDefault="007D489B" w:rsidP="007D489B">
      <w:pPr>
        <w:spacing w:after="240"/>
        <w:jc w:val="both"/>
      </w:pPr>
      <w:r w:rsidRPr="00647281">
        <w:t>Oprávnený volič, ktorý prevzal materiály na hlasovanie</w:t>
      </w:r>
      <w:r>
        <w:t>,</w:t>
      </w:r>
      <w:r w:rsidRPr="00647281">
        <w:t xml:space="preserve"> sa odoberie hlasovať do svojej domácnosti, zatiaľ čo vyslaní členovia komisie zotrvajú pred vstupom do domácnosti voliča. Po vykonaní hlasovania oprávnený volič pred členmi špeciálnej volebnej komisie vloží obálky na hlasovanie do príslušných špeciálnych prenosných volebných schránok.</w:t>
      </w:r>
    </w:p>
    <w:p w:rsidR="007D489B" w:rsidRPr="00647281" w:rsidRDefault="007D489B" w:rsidP="007D489B">
      <w:pPr>
        <w:spacing w:after="240"/>
        <w:jc w:val="both"/>
      </w:pPr>
      <w:r w:rsidRPr="00647281">
        <w:t>Po zabezpečení hlasovania do špeciálnej prenosnej volebnej schránky u všetkých oprávnených voličov zapísaných v príslušných špeciálnych zoznamoch oprávnených voličov majúcich trvalý pobyt vo volebnom obvode pre voľby poslancov obecného zastupiteľstva sa vyslaní členovia</w:t>
      </w:r>
      <w:r>
        <w:t xml:space="preserve"> špeciálnej volebnej komisie </w:t>
      </w:r>
      <w:r w:rsidRPr="00647281">
        <w:t>vrátia do okrskovej volebnej komisie, od ktorej si tieto zoznamy prevzali a tieto jej odovzdajú spolu so špeciálnymi volebnými schránkami, ktoré sa musia následne zapečatiť a odložiť na bezpečné miesto vo volebnej miestnosti, na ktorom zostanú umiestnené až do skončenia hlasovania.</w:t>
      </w:r>
    </w:p>
    <w:p w:rsidR="007D489B" w:rsidRPr="00647281" w:rsidRDefault="007D489B" w:rsidP="007D489B">
      <w:pPr>
        <w:spacing w:after="240"/>
        <w:jc w:val="both"/>
      </w:pPr>
      <w:r w:rsidRPr="00647281">
        <w:t>V ustanovení sa tiež upravuje okamih ukončenia činnosti príslušnej špeciálnej volebnej komisie a s tým súvisiaca oznamovacia povinnosť informovať o ukončení svojej činnosti okresnú  volebnú komisiu.</w:t>
      </w:r>
    </w:p>
    <w:p w:rsidR="007D489B" w:rsidRPr="00647281" w:rsidRDefault="007D489B" w:rsidP="007D489B">
      <w:pPr>
        <w:spacing w:after="240"/>
        <w:jc w:val="both"/>
        <w:rPr>
          <w:b/>
          <w:bCs/>
        </w:rPr>
      </w:pPr>
      <w:r>
        <w:rPr>
          <w:b/>
          <w:bCs/>
        </w:rPr>
        <w:t>K § 7</w:t>
      </w:r>
    </w:p>
    <w:p w:rsidR="007D489B" w:rsidRPr="00647281" w:rsidRDefault="007D489B" w:rsidP="007D489B">
      <w:pPr>
        <w:spacing w:after="240"/>
        <w:jc w:val="both"/>
      </w:pPr>
      <w:r w:rsidRPr="00647281">
        <w:t>Výsledky špeciálneho spôsobu hlasovania oprávnených voličov bude zisťovať okrsková volebná komisia s najnižším poradovým číslom v príslušnom volebnom obvode pre voľby poslancov obecného zastupiteľstva podľa miesta trvalého pobytu oprávneného voliča rovnako, ako zisťuje výsledky hlasovania voličov zapísaných v zozname voličov tohto volebného okrsku, ktorí sa zúčastnili hlasovania buď osobne vo volebnej miestnosti, alebo prostredníctvom prenosnej volebnej schránky. Zisťovanie výsledkov hlasovania oprávnených voličov hlasujúcich do špeciálnej prenosnej volebnej schránky nebu</w:t>
      </w:r>
      <w:r>
        <w:t xml:space="preserve">de </w:t>
      </w:r>
      <w:r w:rsidRPr="00647281">
        <w:t>prebiehať oddelene, ale všetky volebné schránky z príslušných volieb s hlasmi voličov nachádzajúce sa vo volebnej miestnosti sa po skončení hlasovania otvoria a ich obsah sa zmieša, čím sa zabezpečí ústavne garantovaná tajnosť hlasovania čo i len jedného prípadného oprávneného voliča hlasujúceho do špeciálnej prenosnej volebnej schránky.</w:t>
      </w:r>
    </w:p>
    <w:p w:rsidR="00C772FE" w:rsidRDefault="00C772FE" w:rsidP="007D489B">
      <w:pPr>
        <w:spacing w:after="240"/>
        <w:jc w:val="both"/>
        <w:rPr>
          <w:b/>
          <w:bCs/>
        </w:rPr>
      </w:pPr>
    </w:p>
    <w:p w:rsidR="00C772FE" w:rsidRDefault="00C772FE" w:rsidP="007D489B">
      <w:pPr>
        <w:spacing w:after="240"/>
        <w:jc w:val="both"/>
        <w:rPr>
          <w:b/>
          <w:bCs/>
        </w:rPr>
      </w:pPr>
    </w:p>
    <w:p w:rsidR="007D489B" w:rsidRPr="00647281" w:rsidRDefault="007D489B" w:rsidP="007D489B">
      <w:pPr>
        <w:spacing w:after="240"/>
        <w:jc w:val="both"/>
        <w:rPr>
          <w:b/>
          <w:bCs/>
        </w:rPr>
      </w:pPr>
      <w:r>
        <w:rPr>
          <w:b/>
          <w:bCs/>
        </w:rPr>
        <w:lastRenderedPageBreak/>
        <w:t>K § 8</w:t>
      </w:r>
    </w:p>
    <w:p w:rsidR="007D489B" w:rsidRPr="00647281" w:rsidRDefault="007D489B" w:rsidP="007D489B">
      <w:pPr>
        <w:spacing w:after="240"/>
        <w:jc w:val="both"/>
        <w:rPr>
          <w:b/>
        </w:rPr>
      </w:pPr>
      <w:r w:rsidRPr="00647281">
        <w:rPr>
          <w:bCs/>
        </w:rPr>
        <w:t>Týmto ustanovením</w:t>
      </w:r>
      <w:r w:rsidRPr="00647281">
        <w:t xml:space="preserve"> sa ukladá povinnosť obci, ktorá je sídlom špeciálnej volebnej komisie</w:t>
      </w:r>
      <w:r>
        <w:t>,</w:t>
      </w:r>
      <w:r w:rsidRPr="00647281">
        <w:t xml:space="preserve"> zabezpečiť špeciálnej volebnej komisii osobitné priestory a materiálne prostriedky potrebné na jej činnosť a tiež zabezpečiť osoby na organizačnú a technickú prípravu špeciálneho spôsobu hlasovania a jeho vykonanie, osobné motorové vozidlo a vodiča zabezpečujúceho prepravu členov špeciálnej volebnej komisie vyslaných so špeciálnou prenosnou volebnou schránkou. </w:t>
      </w:r>
    </w:p>
    <w:p w:rsidR="007D489B" w:rsidRPr="00647281" w:rsidRDefault="007D489B" w:rsidP="007D489B">
      <w:pPr>
        <w:spacing w:after="240"/>
        <w:jc w:val="both"/>
      </w:pPr>
      <w:r w:rsidRPr="00647281">
        <w:t>Definuje sa, že z hľadiska úhrady výdavkov spojených so špeciálnym spôsobom hlasovania podľa tohto zákona sa špeciálna volebná komisia považuje za okrskovú volebnú komisiu. Podľa volebného zákona obce zabezpečujú úlohy na úseku volieb ako prenesený výkon štátnej správy. Na úhradu výdavkov spojených s činnosťou špeciálnej volebnej komisie sa obci, ktorá je sídlom špeciálnej volebnej komisie poskytne dotácia z kapitoly Ministerstva vnútra Slovenskej republiky. Výdavky na činnosť špeciálnej volebnej komisie (materiálne prostriedky, prepravné, hovorné, odmeny osobám na organizačnú a technickú prípravu špeciálneho spôsobu hlasovania a jeho vykonanie a pod.)</w:t>
      </w:r>
      <w:r w:rsidRPr="00647281">
        <w:rPr>
          <w:shd w:val="clear" w:color="auto" w:fill="FFFFFF"/>
        </w:rPr>
        <w:t xml:space="preserve">, odmena člena špeciálnej volebnej komisie a vodiča zabezpečujúceho prepravu členov špeciálnej volebnej komisie vrátane výdavkov spojených s výkonom ich funkcie (cestovné náhrady, stravovanie, občerstvenie, náhrada mzdy alebo platu a pod.) uplatnené podľa vyhlášky Ministerstva vnútra Slovenskej republiky č. 308/2015 Z. z. o výdavkoch spojených s voľbami v znení neskorších predpisov nebudú v zmysle volebného zákona znášať obce, ktoré sú sídlom špeciálnej volebnej komisie, ale </w:t>
      </w:r>
      <w:r w:rsidRPr="00647281">
        <w:t xml:space="preserve">budú na základe predloženého vyúčtovania hradené zo štátneho rozpočtu. </w:t>
      </w:r>
    </w:p>
    <w:p w:rsidR="007D489B" w:rsidRPr="00647281" w:rsidRDefault="007D489B" w:rsidP="007D489B">
      <w:pPr>
        <w:spacing w:after="240"/>
        <w:jc w:val="both"/>
      </w:pPr>
      <w:r w:rsidRPr="00647281">
        <w:t xml:space="preserve">Ustanovenie </w:t>
      </w:r>
      <w:r>
        <w:t xml:space="preserve">ďalej </w:t>
      </w:r>
      <w:r w:rsidRPr="00647281">
        <w:t>upravuje odmeňovanie členov špeciálnej volebnej komisie. Ak v deň konania volieb nemá nárok na náhradu mzdy alebo náhradu platu podľa volebného zákona, členovi špeciálnej volebnej komisie, ktorý bol v deň konania volieb na základe vyžrebovaného poradia vyslaný so špeciálnou prenosnou volebnou schránkou k oprávnenému voličovi</w:t>
      </w:r>
      <w:r>
        <w:t>,</w:t>
      </w:r>
      <w:r w:rsidRPr="00647281">
        <w:t xml:space="preserve"> patrí odmena v úhrnnej výške 200 eur a členovi špeciálnej volebnej komisie, ktorý v deň konania volieb nevykonával svoju činnosť, nakoľko v príslušnom špeciálnom volebnom obvode ani jeden oprávnený volič nepožiadal o špeciálny spôsob hlasovania alebo na základe vyžrebovaného poradia nevznikla potreba vyslania väčšieho počtu  členov špeciálnej volebnej komisie</w:t>
      </w:r>
      <w:r>
        <w:t>,</w:t>
      </w:r>
      <w:r w:rsidRPr="00647281">
        <w:t xml:space="preserve"> patrí odmena za členstvo v špeciálnej komisii vo výške 30 eur. </w:t>
      </w:r>
    </w:p>
    <w:p w:rsidR="007D489B" w:rsidRPr="00647281" w:rsidRDefault="007D489B" w:rsidP="007D489B">
      <w:pPr>
        <w:spacing w:after="240"/>
        <w:jc w:val="both"/>
      </w:pPr>
      <w:r w:rsidRPr="00647281">
        <w:t>Na účely odmeňovania za výkon jeho činnosti sa vodičovi týmto zákonom priznáva rovnaké postavenie ako členovi špeciálnej volebnej komisie vyslanému so špeciálnou prenosnou volebnou schránkou a patrí mu odmena vo výške 170 eur. Nevylučuje sa, že niektorý z členov špeciálnej volebnej komisie bude sám viesť motorové vozidlo pri zabezpečovaní hlasovania do špeciálnej prenosnej volebnej schránky; osobitná odmena za vedenie motorového vozidla mu však neprináleží, ale patrí mu odmena člena špeciálnej volebnej komisie vyslaného so špeciálnou prenosnou volebnou schránkou v úhrnnej výške 200 eur.</w:t>
      </w:r>
    </w:p>
    <w:p w:rsidR="007D489B" w:rsidRPr="00647281" w:rsidRDefault="007D489B" w:rsidP="007D489B">
      <w:pPr>
        <w:spacing w:after="240"/>
        <w:jc w:val="both"/>
      </w:pPr>
      <w:r w:rsidRPr="00647281">
        <w:t xml:space="preserve">Odmeny za výkon funkcie člena špeciálnej volebnej komisie, medzi ktorých sa v prípade potreby započítava aj vodič, sú, rovnako ako odmeny členov bežnej volebnej komisie podľa </w:t>
      </w:r>
      <w:r w:rsidRPr="00647281">
        <w:br/>
        <w:t>§ 5 ods. 7 písm. j) zákona č. 595/2003 Z. z. o dani z príjmov v znení neskorších predpisov, oslobodené od dane. Z týchto príjmov nebudú zároveň vykonávané odvody do poisťovní.</w:t>
      </w:r>
    </w:p>
    <w:p w:rsidR="007D489B" w:rsidRPr="00647281" w:rsidRDefault="007D489B" w:rsidP="007D489B">
      <w:pPr>
        <w:spacing w:after="240"/>
        <w:jc w:val="both"/>
        <w:rPr>
          <w:i/>
          <w:iCs/>
        </w:rPr>
      </w:pPr>
      <w:r w:rsidRPr="00647281">
        <w:t>Vzhľadom na plnenie úloh súvisiacich s prijímaním žiadostí oprávnených voličov o hlasovanie špeciálnym spôsobom, rozličnými oznamovacími povinnosťami či zostavovaním špeciálnych zoznamov oprávnených voličov sa zjednocuje nárok na odmenu zapisovateľovi miestnej volebnej komisie</w:t>
      </w:r>
      <w:r>
        <w:t>,</w:t>
      </w:r>
      <w:r w:rsidRPr="00647281">
        <w:t xml:space="preserve"> a to v rovnakej výške ako zapisovateľovi okrskovej volebnej komisie v spojených voľbách. Zjednotenie odmeny tak odráža skutočnosť, že zapisovateľ miestnej </w:t>
      </w:r>
      <w:r w:rsidRPr="00647281">
        <w:lastRenderedPageBreak/>
        <w:t xml:space="preserve">volebnej komisie plní úlohy podľa volebného zákona a zároveň plní ďalšie náročné úlohy v súvislosti s plnením úloh podľa tohto zákona. </w:t>
      </w:r>
    </w:p>
    <w:p w:rsidR="007D489B" w:rsidRPr="00647281" w:rsidRDefault="007D489B" w:rsidP="007D489B">
      <w:pPr>
        <w:spacing w:after="240"/>
        <w:jc w:val="both"/>
        <w:rPr>
          <w:b/>
          <w:bCs/>
        </w:rPr>
      </w:pPr>
      <w:r>
        <w:rPr>
          <w:b/>
          <w:bCs/>
        </w:rPr>
        <w:t>K § 9</w:t>
      </w:r>
    </w:p>
    <w:p w:rsidR="007D489B" w:rsidRPr="00647281" w:rsidRDefault="007D489B" w:rsidP="007D489B">
      <w:pPr>
        <w:spacing w:after="240"/>
        <w:jc w:val="both"/>
      </w:pPr>
      <w:r w:rsidRPr="00647281">
        <w:t>Povinnosť mlčanlivosti podľa tohto zákona sa vzťahuje na všetky osoby, ktoré prichádzajú do styku s osobnými údajmi pri plnení úloh podľa tohto zákona.</w:t>
      </w:r>
    </w:p>
    <w:p w:rsidR="007D489B" w:rsidRPr="00647281" w:rsidRDefault="007D489B" w:rsidP="007D489B">
      <w:pPr>
        <w:spacing w:after="240"/>
        <w:jc w:val="both"/>
      </w:pPr>
      <w:r w:rsidRPr="00647281">
        <w:t>Ustanovuje sa pôsobnosť volebného zákona na tie prípady, ktoré nie sú výlučne upravené týmto zákonom.</w:t>
      </w:r>
    </w:p>
    <w:p w:rsidR="007D489B" w:rsidRPr="00647281" w:rsidRDefault="007D489B" w:rsidP="007D489B">
      <w:pPr>
        <w:spacing w:after="240"/>
        <w:jc w:val="both"/>
      </w:pPr>
      <w:r w:rsidRPr="00647281">
        <w:t>Zároveň sa ukladá úloha úradu upraviť podrobnosti v súvislosti so zaistením epidemiologicky bezpečného výkonu práce členov špeciálnej volebnej komisie a vodiča zabezpečujúceho prepravu vyslaných členov špeciálnej volebnej komisie.</w:t>
      </w:r>
    </w:p>
    <w:p w:rsidR="007D489B" w:rsidRPr="00647281" w:rsidRDefault="007D489B" w:rsidP="007D489B">
      <w:pPr>
        <w:spacing w:after="240"/>
        <w:jc w:val="both"/>
        <w:rPr>
          <w:b/>
          <w:bCs/>
        </w:rPr>
      </w:pPr>
      <w:r w:rsidRPr="00647281">
        <w:rPr>
          <w:b/>
          <w:bCs/>
        </w:rPr>
        <w:t>K čl. II</w:t>
      </w:r>
    </w:p>
    <w:p w:rsidR="007D489B" w:rsidRPr="000925AC" w:rsidRDefault="007D489B" w:rsidP="007D489B">
      <w:pPr>
        <w:spacing w:after="240"/>
        <w:jc w:val="both"/>
      </w:pPr>
      <w:r w:rsidRPr="00647281">
        <w:t>Navrhuje sa upraviť v zákone č. 180/2014 Z. z. o podmienkach výkonu volebného práva a o zmene a doplnení niektorých zákonov v znení neskorších predpisov lehotu na vykonanie volieb do orgánov územnej samosprávy</w:t>
      </w:r>
      <w:r>
        <w:t xml:space="preserve">. Navrhuje sa predĺžiť lehotu o </w:t>
      </w:r>
      <w:r w:rsidRPr="00647281">
        <w:t xml:space="preserve">sedem dní tak, aby sa voľby od orgánov samosprávy obcí a tiež voľby do orgánov samosprávnych krajov vykonali v posledných 21 dňoch ich volebného obdobia. Predĺženie lehoty nemá žiaden vplyv na dĺžku volebného obdobia týchto orgánov, na druhej strane dáva väčší časový priestor na určenie vhodného dňa na vykonanie volieb. V roku 2022 z dôvodu spojenia volieb do orgánov územnej samosprávy vychádzal jediný možný deň vykonania volieb v súlade s platným volebným zákonom na sobotu 29. októbra, teda na deň počas víkendu, kedy sa </w:t>
      </w:r>
      <w:r>
        <w:t>obyvatelia</w:t>
      </w:r>
      <w:r w:rsidRPr="00647281">
        <w:t xml:space="preserve"> pripravujú na slávenie sviatku Pamiatky zosnulých, a ktorý je spojený s veľkou migráciou obyvateľstva v rámci územia Slovenskej republiky. Konanie volieb v tento deň by mohlo spôsobiť nižší záujem o členstvo vo volebných komisiách práve v tak náročných voľbách, v ktorých sa spája organizácia volieb do orgánov samosprávy obcí, volieb do samosprávnych krajov a zároveň organizácia špeciálneho spôsobu hlasovania pre voličov majúcich prekážku pri výkone práva hlasovať z dôvodu ochorenia COVID-19.</w:t>
      </w:r>
    </w:p>
    <w:p w:rsidR="007D489B" w:rsidRPr="00647281" w:rsidRDefault="007D489B" w:rsidP="007D489B">
      <w:pPr>
        <w:spacing w:after="240"/>
        <w:jc w:val="both"/>
        <w:rPr>
          <w:b/>
          <w:bCs/>
        </w:rPr>
      </w:pPr>
      <w:r w:rsidRPr="00647281">
        <w:rPr>
          <w:b/>
          <w:bCs/>
        </w:rPr>
        <w:t>K čl. III</w:t>
      </w:r>
    </w:p>
    <w:p w:rsidR="007D489B" w:rsidRPr="00647281" w:rsidRDefault="007D489B" w:rsidP="007D489B">
      <w:pPr>
        <w:widowControl w:val="0"/>
        <w:autoSpaceDE w:val="0"/>
        <w:autoSpaceDN w:val="0"/>
        <w:adjustRightInd w:val="0"/>
        <w:spacing w:after="240"/>
        <w:jc w:val="both"/>
      </w:pPr>
      <w:r w:rsidRPr="00647281">
        <w:t>Precizuje sa právna úprava</w:t>
      </w:r>
      <w:r w:rsidRPr="00647281">
        <w:rPr>
          <w:b/>
          <w:bCs/>
        </w:rPr>
        <w:t xml:space="preserve"> </w:t>
      </w:r>
      <w:r w:rsidRPr="00647281">
        <w:t>sankčného ustanovenia § 19 ods. 2 zákona č. 181/2014 Z. z. o volebnej kampani</w:t>
      </w:r>
      <w:r>
        <w:t xml:space="preserve"> a o zmene a doplnení zákona č.</w:t>
      </w:r>
      <w:r w:rsidRPr="00647281">
        <w:t xml:space="preserve"> 85/2005 Z. z. o politických stranách a politických hnutiach v znení neskorších prepisov.</w:t>
      </w:r>
      <w:r w:rsidRPr="00647281">
        <w:rPr>
          <w:b/>
          <w:bCs/>
        </w:rPr>
        <w:t xml:space="preserve"> </w:t>
      </w:r>
      <w:r w:rsidRPr="00647281">
        <w:t>S ohľadom na §</w:t>
      </w:r>
      <w:r w:rsidRPr="00647281">
        <w:rPr>
          <w:b/>
          <w:bCs/>
        </w:rPr>
        <w:t xml:space="preserve"> </w:t>
      </w:r>
      <w:r w:rsidRPr="00647281">
        <w:t>3 ods. 10 uvedeného zákona, ktorý upravuje spoločnú zodpovednosť všetkých politických strán tvoriacich koalíciu za vedenie volebnej kampane po čase ustanovenom v § 2 ods. 2 kandidátom uvedeným na kandidátnej listine tejto koalície pre voľby do Národnej rady Slovenskej republiky a do Európskeho parlamentu, je potrebné aj v ustanovení, ktorým sa ukladá sankcia za vedenie volebnej kampane kandidátom uvedeným na kandidátnej listine koalície po čase ustanovenom na volebnú kampaň, exaktne uviesť druhy volieb, v ktorých môže dôjsť k naplneniu skutkovej podstaty tohto správneho deliktu. Pokuta bude uložená v rovnakej výške každej politickej strane tvoriacej koalíciu ako vyjadrenie spoločnej zodpovednosti za konanie kandidáta uvedeného na kandidátnej listine tejto koalície vo voľbách do Národnej rady Slovenskej republiky, resp. vo voľbách do Európskeho parlamentu.</w:t>
      </w:r>
    </w:p>
    <w:p w:rsidR="00C772FE" w:rsidRDefault="00C772FE" w:rsidP="007D489B">
      <w:pPr>
        <w:spacing w:after="240"/>
        <w:jc w:val="both"/>
        <w:rPr>
          <w:b/>
          <w:bCs/>
        </w:rPr>
      </w:pPr>
    </w:p>
    <w:p w:rsidR="00C772FE" w:rsidRDefault="00C772FE" w:rsidP="007D489B">
      <w:pPr>
        <w:spacing w:after="240"/>
        <w:jc w:val="both"/>
        <w:rPr>
          <w:b/>
          <w:bCs/>
        </w:rPr>
      </w:pPr>
    </w:p>
    <w:p w:rsidR="007D489B" w:rsidRPr="00647281" w:rsidRDefault="007D489B" w:rsidP="007D489B">
      <w:pPr>
        <w:spacing w:after="240"/>
        <w:jc w:val="both"/>
        <w:rPr>
          <w:b/>
          <w:bCs/>
        </w:rPr>
      </w:pPr>
      <w:r w:rsidRPr="00647281">
        <w:rPr>
          <w:b/>
          <w:bCs/>
        </w:rPr>
        <w:lastRenderedPageBreak/>
        <w:t>K čl. IV</w:t>
      </w:r>
    </w:p>
    <w:p w:rsidR="007D489B" w:rsidRPr="007D489B" w:rsidRDefault="007D489B" w:rsidP="007D489B">
      <w:pPr>
        <w:spacing w:after="240"/>
      </w:pPr>
      <w:r w:rsidRPr="00647281">
        <w:t xml:space="preserve">Navrhuje sa, aby zákon nadobudol účinnosť </w:t>
      </w:r>
      <w:r>
        <w:t xml:space="preserve">ešte </w:t>
      </w:r>
      <w:r w:rsidRPr="00647281">
        <w:t>p</w:t>
      </w:r>
      <w:r>
        <w:t>red vyhlásením spojených volieb, a to najmä vzhľadom na potrebu zabezpečenia náležitej pripravenosti všetkých subjektov zúčastnených na ich príprave a realizácii.</w:t>
      </w:r>
    </w:p>
    <w:p w:rsidR="002C2DA9" w:rsidRDefault="002C2DA9"/>
    <w:p w:rsidR="002C2DA9" w:rsidRDefault="002C2DA9"/>
    <w:p w:rsidR="002C2DA9" w:rsidRDefault="002C2DA9"/>
    <w:p w:rsidR="002C2DA9" w:rsidRPr="00606A3C" w:rsidRDefault="002C2DA9" w:rsidP="002C2DA9">
      <w:pPr>
        <w:spacing w:line="276" w:lineRule="auto"/>
        <w:ind w:firstLine="708"/>
        <w:jc w:val="both"/>
        <w:rPr>
          <w:sz w:val="22"/>
          <w:szCs w:val="22"/>
        </w:rPr>
      </w:pPr>
      <w:r w:rsidRPr="00606A3C">
        <w:t xml:space="preserve">Schválené vládou Slovenskej republiky </w:t>
      </w:r>
      <w:r>
        <w:t>12. apríla 2022</w:t>
      </w:r>
      <w:r w:rsidRPr="00606A3C">
        <w:t>.</w:t>
      </w:r>
    </w:p>
    <w:p w:rsidR="002C2DA9" w:rsidRPr="00606A3C" w:rsidRDefault="002C2DA9" w:rsidP="002C2DA9">
      <w:pPr>
        <w:spacing w:line="276" w:lineRule="auto"/>
        <w:jc w:val="both"/>
      </w:pPr>
    </w:p>
    <w:p w:rsidR="002C2DA9" w:rsidRPr="00606A3C" w:rsidRDefault="002C2DA9" w:rsidP="002C2DA9">
      <w:pPr>
        <w:spacing w:line="276" w:lineRule="auto"/>
        <w:jc w:val="both"/>
      </w:pPr>
    </w:p>
    <w:p w:rsidR="002C2DA9" w:rsidRPr="00606A3C" w:rsidRDefault="002C2DA9" w:rsidP="002C2DA9">
      <w:pPr>
        <w:spacing w:line="276" w:lineRule="auto"/>
        <w:jc w:val="both"/>
      </w:pPr>
    </w:p>
    <w:p w:rsidR="002C2DA9" w:rsidRPr="00606A3C" w:rsidRDefault="002C2DA9" w:rsidP="002C2DA9">
      <w:pPr>
        <w:spacing w:line="276" w:lineRule="auto"/>
        <w:jc w:val="both"/>
      </w:pPr>
    </w:p>
    <w:p w:rsidR="002C2DA9" w:rsidRPr="00606A3C" w:rsidRDefault="002C2DA9" w:rsidP="002C2DA9">
      <w:pPr>
        <w:spacing w:line="276" w:lineRule="auto"/>
        <w:jc w:val="center"/>
        <w:rPr>
          <w:b/>
          <w:bCs/>
        </w:rPr>
      </w:pPr>
      <w:r>
        <w:rPr>
          <w:b/>
          <w:bCs/>
        </w:rPr>
        <w:t>Eduard</w:t>
      </w:r>
      <w:r w:rsidRPr="00606A3C">
        <w:rPr>
          <w:b/>
          <w:bCs/>
        </w:rPr>
        <w:t xml:space="preserve">  </w:t>
      </w:r>
      <w:r>
        <w:rPr>
          <w:b/>
          <w:bCs/>
        </w:rPr>
        <w:t>H</w:t>
      </w:r>
      <w:r w:rsidRPr="00606A3C">
        <w:rPr>
          <w:b/>
          <w:bCs/>
        </w:rPr>
        <w:t xml:space="preserve"> </w:t>
      </w:r>
      <w:r>
        <w:rPr>
          <w:b/>
          <w:bCs/>
        </w:rPr>
        <w:t>e</w:t>
      </w:r>
      <w:r w:rsidRPr="00606A3C">
        <w:rPr>
          <w:b/>
          <w:bCs/>
        </w:rPr>
        <w:t> </w:t>
      </w:r>
      <w:r>
        <w:rPr>
          <w:b/>
          <w:bCs/>
        </w:rPr>
        <w:t>g</w:t>
      </w:r>
      <w:r w:rsidRPr="00606A3C">
        <w:rPr>
          <w:b/>
          <w:bCs/>
        </w:rPr>
        <w:t xml:space="preserve"> </w:t>
      </w:r>
      <w:r>
        <w:rPr>
          <w:b/>
          <w:bCs/>
        </w:rPr>
        <w:t>e</w:t>
      </w:r>
      <w:r w:rsidRPr="00606A3C">
        <w:rPr>
          <w:b/>
          <w:bCs/>
        </w:rPr>
        <w:t> </w:t>
      </w:r>
      <w:r>
        <w:rPr>
          <w:b/>
          <w:bCs/>
        </w:rPr>
        <w:t>r</w:t>
      </w:r>
      <w:r w:rsidRPr="00606A3C">
        <w:rPr>
          <w:b/>
          <w:bCs/>
        </w:rPr>
        <w:t xml:space="preserve">  </w:t>
      </w:r>
      <w:r w:rsidR="00980B72">
        <w:rPr>
          <w:b/>
          <w:bCs/>
        </w:rPr>
        <w:t xml:space="preserve">v. r. </w:t>
      </w:r>
    </w:p>
    <w:p w:rsidR="002C2DA9" w:rsidRPr="00606A3C" w:rsidRDefault="002C2DA9" w:rsidP="002C2DA9">
      <w:pPr>
        <w:spacing w:line="276" w:lineRule="auto"/>
        <w:jc w:val="center"/>
      </w:pPr>
      <w:r w:rsidRPr="00606A3C">
        <w:t>predseda vlády Slovenskej republiky</w:t>
      </w:r>
    </w:p>
    <w:p w:rsidR="002C2DA9" w:rsidRPr="00606A3C" w:rsidRDefault="002C2DA9" w:rsidP="002C2DA9">
      <w:pPr>
        <w:spacing w:line="276" w:lineRule="auto"/>
        <w:jc w:val="center"/>
      </w:pPr>
    </w:p>
    <w:p w:rsidR="002C2DA9" w:rsidRPr="00606A3C" w:rsidRDefault="002C2DA9" w:rsidP="002C2DA9">
      <w:pPr>
        <w:spacing w:line="276" w:lineRule="auto"/>
        <w:jc w:val="center"/>
      </w:pPr>
    </w:p>
    <w:p w:rsidR="002C2DA9" w:rsidRPr="00606A3C" w:rsidRDefault="002C2DA9" w:rsidP="002C2DA9">
      <w:pPr>
        <w:spacing w:line="276" w:lineRule="auto"/>
        <w:jc w:val="center"/>
      </w:pPr>
    </w:p>
    <w:p w:rsidR="002C2DA9" w:rsidRPr="00606A3C" w:rsidRDefault="002C2DA9" w:rsidP="002C2DA9">
      <w:pPr>
        <w:spacing w:line="276" w:lineRule="auto"/>
        <w:jc w:val="center"/>
      </w:pPr>
    </w:p>
    <w:p w:rsidR="002C2DA9" w:rsidRPr="00606A3C" w:rsidRDefault="002C2DA9" w:rsidP="002C2DA9">
      <w:pPr>
        <w:spacing w:line="276" w:lineRule="auto"/>
        <w:jc w:val="center"/>
        <w:rPr>
          <w:b/>
          <w:bCs/>
        </w:rPr>
      </w:pPr>
      <w:r w:rsidRPr="00606A3C">
        <w:rPr>
          <w:b/>
          <w:bCs/>
        </w:rPr>
        <w:t xml:space="preserve">Roman  M i k u l e c  </w:t>
      </w:r>
      <w:r w:rsidR="00980B72">
        <w:rPr>
          <w:b/>
          <w:bCs/>
        </w:rPr>
        <w:t xml:space="preserve">v. r. </w:t>
      </w:r>
      <w:bookmarkStart w:id="2" w:name="_GoBack"/>
      <w:bookmarkEnd w:id="2"/>
    </w:p>
    <w:p w:rsidR="002C2DA9" w:rsidRDefault="002C2DA9" w:rsidP="002C2DA9">
      <w:r w:rsidRPr="00606A3C">
        <w:t>                                              minister vnútra Slovenskej republiky</w:t>
      </w:r>
    </w:p>
    <w:p w:rsidR="002C2DA9" w:rsidRDefault="002C2DA9"/>
    <w:sectPr w:rsidR="002C2D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3C" w:rsidRDefault="002E423C">
      <w:r>
        <w:separator/>
      </w:r>
    </w:p>
  </w:endnote>
  <w:endnote w:type="continuationSeparator" w:id="0">
    <w:p w:rsidR="002E423C" w:rsidRDefault="002E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9B" w:rsidRDefault="007D489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D489B" w:rsidRDefault="007D489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9B" w:rsidRPr="00833752" w:rsidRDefault="007D489B" w:rsidP="007D489B">
    <w:pPr>
      <w:pStyle w:val="Pta"/>
      <w:jc w:val="center"/>
      <w:rPr>
        <w:rFonts w:ascii="Times New Roman" w:hAnsi="Times New Roman" w:cs="Times New Roman"/>
        <w:sz w:val="20"/>
      </w:rPr>
    </w:pPr>
    <w:r w:rsidRPr="00833752">
      <w:rPr>
        <w:rFonts w:ascii="Times New Roman" w:hAnsi="Times New Roman" w:cs="Times New Roman"/>
        <w:sz w:val="20"/>
      </w:rPr>
      <w:fldChar w:fldCharType="begin"/>
    </w:r>
    <w:r w:rsidRPr="00833752">
      <w:rPr>
        <w:rFonts w:ascii="Times New Roman" w:hAnsi="Times New Roman" w:cs="Times New Roman"/>
        <w:sz w:val="20"/>
      </w:rPr>
      <w:instrText>PAGE   \* MERGEFORMAT</w:instrText>
    </w:r>
    <w:r w:rsidRPr="00833752">
      <w:rPr>
        <w:rFonts w:ascii="Times New Roman" w:hAnsi="Times New Roman" w:cs="Times New Roman"/>
        <w:sz w:val="20"/>
      </w:rPr>
      <w:fldChar w:fldCharType="separate"/>
    </w:r>
    <w:r w:rsidR="00980B72">
      <w:rPr>
        <w:rFonts w:ascii="Times New Roman" w:hAnsi="Times New Roman" w:cs="Times New Roman"/>
        <w:noProof/>
        <w:sz w:val="20"/>
      </w:rPr>
      <w:t>13</w:t>
    </w:r>
    <w:r w:rsidRPr="00833752">
      <w:rPr>
        <w:rFonts w:ascii="Times New Roman" w:hAnsi="Times New Roman" w:cs="Times New Roman"/>
        <w:sz w:val="20"/>
      </w:rPr>
      <w:fldChar w:fldCharType="end"/>
    </w:r>
  </w:p>
  <w:p w:rsidR="007D489B" w:rsidRDefault="007D489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9B" w:rsidRDefault="007D489B">
    <w:pPr>
      <w:pStyle w:val="Pta"/>
      <w:jc w:val="right"/>
    </w:pPr>
    <w:r>
      <w:fldChar w:fldCharType="begin"/>
    </w:r>
    <w:r>
      <w:instrText>PAGE   \* MERGEFORMAT</w:instrText>
    </w:r>
    <w:r>
      <w:fldChar w:fldCharType="separate"/>
    </w:r>
    <w:r>
      <w:rPr>
        <w:noProof/>
      </w:rPr>
      <w:t>0</w:t>
    </w:r>
    <w:r>
      <w:fldChar w:fldCharType="end"/>
    </w:r>
  </w:p>
  <w:p w:rsidR="007D489B" w:rsidRDefault="007D489B">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sz w:val="20"/>
      </w:rPr>
    </w:sdtEndPr>
    <w:sdtContent>
      <w:p w:rsidR="007D489B" w:rsidRPr="00833752" w:rsidRDefault="007D489B" w:rsidP="007D489B">
        <w:pPr>
          <w:pStyle w:val="Pta"/>
          <w:jc w:val="center"/>
          <w:rPr>
            <w:rFonts w:ascii="Times New Roman" w:hAnsi="Times New Roman" w:cs="Times New Roman"/>
            <w:sz w:val="20"/>
          </w:rPr>
        </w:pPr>
        <w:r w:rsidRPr="00833752">
          <w:rPr>
            <w:rFonts w:ascii="Times New Roman" w:hAnsi="Times New Roman" w:cs="Times New Roman"/>
            <w:sz w:val="20"/>
          </w:rPr>
          <w:fldChar w:fldCharType="begin"/>
        </w:r>
        <w:r w:rsidRPr="00833752">
          <w:rPr>
            <w:rFonts w:ascii="Times New Roman" w:hAnsi="Times New Roman" w:cs="Times New Roman"/>
            <w:sz w:val="20"/>
          </w:rPr>
          <w:instrText>PAGE   \* MERGEFORMAT</w:instrText>
        </w:r>
        <w:r w:rsidRPr="00833752">
          <w:rPr>
            <w:rFonts w:ascii="Times New Roman" w:hAnsi="Times New Roman" w:cs="Times New Roman"/>
            <w:sz w:val="20"/>
          </w:rPr>
          <w:fldChar w:fldCharType="separate"/>
        </w:r>
        <w:r w:rsidR="00980B72">
          <w:rPr>
            <w:rFonts w:ascii="Times New Roman" w:hAnsi="Times New Roman" w:cs="Times New Roman"/>
            <w:noProof/>
            <w:sz w:val="20"/>
          </w:rPr>
          <w:t>15</w:t>
        </w:r>
        <w:r w:rsidRPr="00833752">
          <w:rPr>
            <w:rFonts w:ascii="Times New Roman" w:hAnsi="Times New Roman" w:cs="Times New Roman"/>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7D489B" w:rsidRPr="001D6749" w:rsidRDefault="007D489B" w:rsidP="007D489B">
        <w:pPr>
          <w:pStyle w:val="Pta"/>
          <w:jc w:val="center"/>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80B72">
          <w:rPr>
            <w:rFonts w:ascii="Times New Roman" w:hAnsi="Times New Roman" w:cs="Times New Roman"/>
            <w:noProof/>
          </w:rPr>
          <w:t>27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3C" w:rsidRDefault="002E423C">
      <w:r>
        <w:separator/>
      </w:r>
    </w:p>
  </w:footnote>
  <w:footnote w:type="continuationSeparator" w:id="0">
    <w:p w:rsidR="002E423C" w:rsidRDefault="002E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9B" w:rsidRDefault="007D489B" w:rsidP="007D489B">
    <w:pPr>
      <w:pStyle w:val="Hlavika"/>
      <w:jc w:val="right"/>
      <w:rPr>
        <w:sz w:val="24"/>
        <w:szCs w:val="24"/>
      </w:rPr>
    </w:pPr>
    <w:r>
      <w:rPr>
        <w:sz w:val="24"/>
        <w:szCs w:val="24"/>
      </w:rPr>
      <w:t>Príloha č. 2</w:t>
    </w:r>
  </w:p>
  <w:p w:rsidR="007D489B" w:rsidRPr="00EB59C8" w:rsidRDefault="007D489B" w:rsidP="007D489B">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9B" w:rsidRPr="0024067A" w:rsidRDefault="007D489B">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9B" w:rsidRPr="000A15AE" w:rsidRDefault="007D489B" w:rsidP="007D489B">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9B" w:rsidRPr="00CD4982" w:rsidRDefault="007D489B" w:rsidP="007D489B">
    <w:pPr>
      <w:tabs>
        <w:tab w:val="center" w:pos="4536"/>
        <w:tab w:val="right" w:pos="9072"/>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9B" w:rsidRPr="00433C47" w:rsidRDefault="007D489B" w:rsidP="007D48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C776C4A"/>
    <w:multiLevelType w:val="hybridMultilevel"/>
    <w:tmpl w:val="522CE2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2C0B4D"/>
    <w:multiLevelType w:val="hybridMultilevel"/>
    <w:tmpl w:val="51F826C8"/>
    <w:lvl w:ilvl="0" w:tplc="2C344C9C">
      <w:start w:val="3"/>
      <w:numFmt w:val="bullet"/>
      <w:lvlText w:val="-"/>
      <w:lvlJc w:val="left"/>
      <w:pPr>
        <w:ind w:left="1074" w:hanging="360"/>
      </w:pPr>
      <w:rPr>
        <w:rFonts w:ascii="Times New Roman" w:eastAsiaTheme="minorHAnsi" w:hAnsi="Times New Roman" w:cs="Times New Roman"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C6101B7"/>
    <w:multiLevelType w:val="hybridMultilevel"/>
    <w:tmpl w:val="9392C036"/>
    <w:lvl w:ilvl="0" w:tplc="FB628390">
      <w:start w:val="3"/>
      <w:numFmt w:val="bullet"/>
      <w:lvlText w:val="-"/>
      <w:lvlJc w:val="left"/>
      <w:pPr>
        <w:ind w:left="1074" w:hanging="360"/>
      </w:pPr>
      <w:rPr>
        <w:rFonts w:ascii="Times New Roman" w:eastAsiaTheme="minorHAnsi" w:hAnsi="Times New Roman" w:cs="Times New Roman"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7"/>
  </w:num>
  <w:num w:numId="2">
    <w:abstractNumId w:val="12"/>
  </w:num>
  <w:num w:numId="3">
    <w:abstractNumId w:val="3"/>
  </w:num>
  <w:num w:numId="4">
    <w:abstractNumId w:val="5"/>
  </w:num>
  <w:num w:numId="5">
    <w:abstractNumId w:val="1"/>
  </w:num>
  <w:num w:numId="6">
    <w:abstractNumId w:val="14"/>
  </w:num>
  <w:num w:numId="7">
    <w:abstractNumId w:val="9"/>
  </w:num>
  <w:num w:numId="8">
    <w:abstractNumId w:val="10"/>
  </w:num>
  <w:num w:numId="9">
    <w:abstractNumId w:val="4"/>
  </w:num>
  <w:num w:numId="10">
    <w:abstractNumId w:val="8"/>
  </w:num>
  <w:num w:numId="11">
    <w:abstractNumId w:val="7"/>
  </w:num>
  <w:num w:numId="12">
    <w:abstractNumId w:val="0"/>
  </w:num>
  <w:num w:numId="13">
    <w:abstractNumId w:val="13"/>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19"/>
    <w:rsid w:val="002C2DA9"/>
    <w:rsid w:val="002E423C"/>
    <w:rsid w:val="004E31E0"/>
    <w:rsid w:val="007D489B"/>
    <w:rsid w:val="00890DAD"/>
    <w:rsid w:val="00980B72"/>
    <w:rsid w:val="009945C2"/>
    <w:rsid w:val="00A03D19"/>
    <w:rsid w:val="00C772FE"/>
    <w:rsid w:val="00EA13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67AF"/>
  <w15:chartTrackingRefBased/>
  <w15:docId w15:val="{A5984984-8592-42BB-99EE-87D52F12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C2DA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7D489B"/>
  </w:style>
  <w:style w:type="table" w:customStyle="1" w:styleId="Mriekatabuky1">
    <w:name w:val="Mriežka tabuľky1"/>
    <w:basedOn w:val="Normlnatabuka"/>
    <w:next w:val="Mriekatabuky"/>
    <w:uiPriority w:val="59"/>
    <w:rsid w:val="007D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7D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D489B"/>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7D489B"/>
  </w:style>
  <w:style w:type="paragraph" w:styleId="Pta">
    <w:name w:val="footer"/>
    <w:basedOn w:val="Normlny"/>
    <w:link w:val="PtaChar"/>
    <w:uiPriority w:val="99"/>
    <w:unhideWhenUsed/>
    <w:rsid w:val="007D489B"/>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7D489B"/>
  </w:style>
  <w:style w:type="paragraph" w:styleId="Textbubliny">
    <w:name w:val="Balloon Text"/>
    <w:basedOn w:val="Normlny"/>
    <w:link w:val="TextbublinyChar"/>
    <w:uiPriority w:val="99"/>
    <w:semiHidden/>
    <w:unhideWhenUsed/>
    <w:rsid w:val="007D489B"/>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7D489B"/>
    <w:rPr>
      <w:rFonts w:ascii="Tahoma" w:hAnsi="Tahoma" w:cs="Tahoma"/>
      <w:sz w:val="16"/>
      <w:szCs w:val="16"/>
    </w:rPr>
  </w:style>
  <w:style w:type="paragraph" w:styleId="Odsekzoznamu">
    <w:name w:val="List Paragraph"/>
    <w:basedOn w:val="Normlny"/>
    <w:uiPriority w:val="34"/>
    <w:qFormat/>
    <w:rsid w:val="007D489B"/>
    <w:pPr>
      <w:ind w:left="720"/>
      <w:contextualSpacing/>
      <w:jc w:val="both"/>
    </w:pPr>
    <w:rPr>
      <w:lang w:eastAsia="en-US"/>
    </w:rPr>
  </w:style>
  <w:style w:type="character" w:styleId="slostrany">
    <w:name w:val="page number"/>
    <w:basedOn w:val="Predvolenpsmoodseku"/>
    <w:uiPriority w:val="99"/>
    <w:rsid w:val="007D489B"/>
    <w:rPr>
      <w:rFonts w:cs="Times New Roman"/>
    </w:rPr>
  </w:style>
  <w:style w:type="paragraph" w:styleId="Textpoznmkypodiarou">
    <w:name w:val="footnote text"/>
    <w:basedOn w:val="Normlny"/>
    <w:link w:val="TextpoznmkypodiarouChar"/>
    <w:uiPriority w:val="99"/>
    <w:semiHidden/>
    <w:unhideWhenUsed/>
    <w:rsid w:val="007D489B"/>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7D489B"/>
    <w:rPr>
      <w:sz w:val="20"/>
      <w:szCs w:val="20"/>
    </w:rPr>
  </w:style>
  <w:style w:type="character" w:styleId="Odkaznapoznmkupodiarou">
    <w:name w:val="footnote reference"/>
    <w:aliases w:val="Footnote symbol,Footnote reference number"/>
    <w:semiHidden/>
    <w:unhideWhenUsed/>
    <w:rsid w:val="007D4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9638</Words>
  <Characters>54941</Characters>
  <Application>Microsoft Office Word</Application>
  <DocSecurity>0</DocSecurity>
  <Lines>457</Lines>
  <Paragraphs>128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Tarabíková</dc:creator>
  <cp:keywords/>
  <dc:description/>
  <cp:lastModifiedBy>Nataša Wiedemannová</cp:lastModifiedBy>
  <cp:revision>5</cp:revision>
  <cp:lastPrinted>2022-04-12T11:35:00Z</cp:lastPrinted>
  <dcterms:created xsi:type="dcterms:W3CDTF">2022-04-11T12:00:00Z</dcterms:created>
  <dcterms:modified xsi:type="dcterms:W3CDTF">2022-04-12T11:37:00Z</dcterms:modified>
</cp:coreProperties>
</file>