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C14F" w14:textId="77777777" w:rsidR="00D84714" w:rsidRDefault="00D153AD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14:paraId="6C0DB3C3" w14:textId="77777777" w:rsidR="00D84714" w:rsidRDefault="00D153A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14:paraId="64B6254A" w14:textId="77777777" w:rsidR="00D84714" w:rsidRDefault="00D84714">
      <w:pPr>
        <w:rPr>
          <w:rFonts w:ascii="Calibri" w:eastAsia="Calibri" w:hAnsi="Calibri" w:cs="Calibri"/>
          <w:sz w:val="22"/>
          <w:szCs w:val="22"/>
        </w:rPr>
      </w:pPr>
    </w:p>
    <w:p w14:paraId="3AC185FD" w14:textId="77777777" w:rsidR="00D84714" w:rsidRDefault="00D153AD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 právneho predpisu:</w:t>
      </w:r>
      <w:r>
        <w:t xml:space="preserve"> </w:t>
      </w:r>
      <w:r>
        <w:tab/>
        <w:t>poslanec Národnej rady Slovenskej republiky Tomáš Valášek</w:t>
      </w:r>
    </w:p>
    <w:p w14:paraId="2D3E0949" w14:textId="77777777" w:rsidR="00D84714" w:rsidRDefault="00D153AD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3FF70F36" w14:textId="77777777" w:rsidR="00D84714" w:rsidRDefault="00D153AD">
      <w:pPr>
        <w:ind w:left="3828" w:hanging="3828"/>
        <w:jc w:val="both"/>
      </w:pPr>
      <w:r>
        <w:rPr>
          <w:b/>
        </w:rPr>
        <w:t>2. Názov návrhu právneho predpisu:</w:t>
      </w:r>
      <w:r>
        <w:t xml:space="preserve"> Návrh zákona o príspevku na predprimárne vzdelávanie dieťaťa.</w:t>
      </w:r>
    </w:p>
    <w:p w14:paraId="040F4E5B" w14:textId="77777777" w:rsidR="00D84714" w:rsidRDefault="00D84714">
      <w:pPr>
        <w:ind w:left="3828" w:hanging="3828"/>
        <w:jc w:val="both"/>
      </w:pPr>
    </w:p>
    <w:p w14:paraId="5A3DB453" w14:textId="77777777" w:rsidR="00D84714" w:rsidRDefault="00D153AD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14:paraId="0C3BC7FF" w14:textId="77777777" w:rsidR="00D84714" w:rsidRDefault="00D84714">
      <w:pPr>
        <w:ind w:left="3828" w:hanging="3828"/>
        <w:jc w:val="both"/>
      </w:pPr>
    </w:p>
    <w:p w14:paraId="6C742E11" w14:textId="77777777" w:rsidR="00D84714" w:rsidRDefault="00D153AD">
      <w:r>
        <w:t>a) nie je upravená v práve Európskych spoločenstiev</w:t>
      </w:r>
    </w:p>
    <w:p w14:paraId="4018375D" w14:textId="77777777" w:rsidR="00D84714" w:rsidRDefault="00D84714"/>
    <w:p w14:paraId="7C10C7EB" w14:textId="77777777" w:rsidR="00D84714" w:rsidRDefault="00D153AD">
      <w:r>
        <w:t>b) nie je obsiahnutá v práve Európskej únie</w:t>
      </w:r>
    </w:p>
    <w:p w14:paraId="2AD27A1C" w14:textId="77777777" w:rsidR="00D84714" w:rsidRDefault="00D84714"/>
    <w:p w14:paraId="67A341D6" w14:textId="77777777" w:rsidR="00D84714" w:rsidRDefault="00D153AD">
      <w:r>
        <w:t>c) nie je obsiahnutá v judikatúre Súdneho dvora Eur</w:t>
      </w:r>
      <w:r>
        <w:t>ópskej únie</w:t>
      </w:r>
    </w:p>
    <w:p w14:paraId="7D219B63" w14:textId="77777777" w:rsidR="00D84714" w:rsidRDefault="00D84714"/>
    <w:p w14:paraId="0D530D58" w14:textId="77777777" w:rsidR="00D84714" w:rsidRDefault="00D153AD">
      <w:pPr>
        <w:jc w:val="both"/>
      </w:pPr>
      <w:r>
        <w:t>Keďže predmet návrhu zákona nie je v práve Európskej únie upravený, body 4 a 5 sa nevypĺňajú.</w:t>
      </w:r>
    </w:p>
    <w:p w14:paraId="46339D7E" w14:textId="77777777" w:rsidR="00D84714" w:rsidRDefault="00D84714">
      <w:pPr>
        <w:jc w:val="both"/>
      </w:pPr>
    </w:p>
    <w:p w14:paraId="452DD146" w14:textId="77777777" w:rsidR="00D84714" w:rsidRDefault="00D153AD">
      <w:pPr>
        <w:widowControl/>
        <w:spacing w:after="200" w:line="276" w:lineRule="auto"/>
        <w:rPr>
          <w:b/>
          <w:smallCaps/>
          <w:color w:val="000000"/>
        </w:rPr>
      </w:pPr>
      <w:r>
        <w:br w:type="page"/>
      </w:r>
    </w:p>
    <w:p w14:paraId="09C256DB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smallCaps/>
          <w:color w:val="000000"/>
        </w:rPr>
        <w:lastRenderedPageBreak/>
        <w:t>DOLOŽKA</w:t>
      </w:r>
    </w:p>
    <w:p w14:paraId="7F8ABCA9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>vybraných vplyvov</w:t>
      </w:r>
    </w:p>
    <w:p w14:paraId="0874ACF0" w14:textId="77777777" w:rsidR="00D84714" w:rsidRDefault="00D84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F1B2B4E" w14:textId="77777777" w:rsidR="00D84714" w:rsidRDefault="00D153AD">
      <w:pPr>
        <w:jc w:val="both"/>
      </w:pPr>
      <w:r>
        <w:rPr>
          <w:b/>
          <w:color w:val="000000"/>
        </w:rPr>
        <w:t xml:space="preserve">A.1. Názov materiálu: </w:t>
      </w:r>
      <w:r>
        <w:t>Návrh zákona o príspevku na predprimárne vzdelávanie dieťaťa.</w:t>
      </w:r>
    </w:p>
    <w:p w14:paraId="50595169" w14:textId="77777777" w:rsidR="00D84714" w:rsidRDefault="00D84714">
      <w:pPr>
        <w:jc w:val="both"/>
      </w:pPr>
    </w:p>
    <w:p w14:paraId="0D950F93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A.2. Vplyvy:</w:t>
      </w:r>
    </w:p>
    <w:p w14:paraId="2A83397E" w14:textId="77777777" w:rsidR="00D84714" w:rsidRDefault="00D84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</w:p>
    <w:tbl>
      <w:tblPr>
        <w:tblStyle w:val="a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80"/>
        <w:gridCol w:w="1185"/>
        <w:gridCol w:w="945"/>
        <w:gridCol w:w="1335"/>
      </w:tblGrid>
      <w:tr w:rsidR="00D84714" w14:paraId="345A0CAE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6E5E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CC95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786D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B0A8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D84714" w14:paraId="7DEA0366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2C0D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DB72" w14:textId="77777777" w:rsidR="00D84714" w:rsidRDefault="00D84714">
            <w:pPr>
              <w:widowControl/>
              <w:spacing w:before="60" w:after="60"/>
              <w:jc w:val="center"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6D79" w14:textId="77777777" w:rsidR="00D84714" w:rsidRDefault="00D84714">
            <w:pPr>
              <w:widowControl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7241" w14:textId="77777777" w:rsidR="00D84714" w:rsidRDefault="00D153AD">
            <w:pPr>
              <w:widowControl/>
              <w:spacing w:before="60" w:after="60"/>
              <w:jc w:val="center"/>
            </w:pPr>
            <w:r>
              <w:t>X</w:t>
            </w:r>
          </w:p>
        </w:tc>
      </w:tr>
      <w:tr w:rsidR="00D84714" w14:paraId="134B5FF8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4D74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161D" w14:textId="77777777" w:rsidR="00D84714" w:rsidRDefault="00D84714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0824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0A00" w14:textId="77777777" w:rsidR="00D84714" w:rsidRDefault="00D84714">
            <w:pPr>
              <w:widowControl/>
            </w:pPr>
          </w:p>
        </w:tc>
      </w:tr>
      <w:tr w:rsidR="00D84714" w14:paraId="37B845DA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68E3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A45C" w14:textId="77777777" w:rsidR="00D84714" w:rsidRDefault="00D84714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1360" w14:textId="77777777" w:rsidR="00D84714" w:rsidRDefault="00D84714">
            <w:pPr>
              <w:widowControl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F4F6" w14:textId="77777777" w:rsidR="00D84714" w:rsidRDefault="00D84714">
            <w:pPr>
              <w:widowControl/>
            </w:pPr>
          </w:p>
        </w:tc>
      </w:tr>
      <w:tr w:rsidR="00D84714" w14:paraId="2F30EBD1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96C9" w14:textId="77777777" w:rsidR="00D84714" w:rsidRDefault="00D153AD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67A7" w14:textId="77777777" w:rsidR="00D84714" w:rsidRDefault="00D153A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21D8" w14:textId="77777777" w:rsidR="00D84714" w:rsidRDefault="00D84714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53CE" w14:textId="77777777" w:rsidR="00D84714" w:rsidRDefault="00D84714">
            <w:pPr>
              <w:widowControl/>
            </w:pPr>
          </w:p>
        </w:tc>
      </w:tr>
      <w:tr w:rsidR="00D84714" w14:paraId="3A9C8772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6C93" w14:textId="77777777" w:rsidR="00D84714" w:rsidRDefault="00D153AD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E6FF" w14:textId="77777777" w:rsidR="00D84714" w:rsidRDefault="00D153A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82D3" w14:textId="77777777" w:rsidR="00D84714" w:rsidRDefault="00D84714">
            <w:pPr>
              <w:widowControl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E6B6" w14:textId="77777777" w:rsidR="00D84714" w:rsidRDefault="00D84714">
            <w:pPr>
              <w:widowControl/>
            </w:pPr>
          </w:p>
        </w:tc>
      </w:tr>
      <w:tr w:rsidR="00D84714" w14:paraId="445C96E9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E427" w14:textId="77777777" w:rsidR="00D84714" w:rsidRDefault="00D153AD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6770" w14:textId="77777777" w:rsidR="00D84714" w:rsidRDefault="00D153A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012A" w14:textId="77777777" w:rsidR="00D84714" w:rsidRDefault="00D84714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7B0D" w14:textId="77777777" w:rsidR="00D84714" w:rsidRDefault="00D84714">
            <w:pPr>
              <w:widowControl/>
            </w:pPr>
          </w:p>
        </w:tc>
      </w:tr>
      <w:tr w:rsidR="00D84714" w14:paraId="57657E2B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45C8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DB08" w14:textId="77777777" w:rsidR="00D84714" w:rsidRDefault="00D84714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7F6C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30F1" w14:textId="77777777" w:rsidR="00D84714" w:rsidRDefault="00D84714">
            <w:pPr>
              <w:widowControl/>
            </w:pPr>
          </w:p>
        </w:tc>
      </w:tr>
      <w:tr w:rsidR="00D84714" w14:paraId="4FD7FA08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11AF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4D26" w14:textId="77777777" w:rsidR="00D84714" w:rsidRDefault="00D84714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9E46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9363" w14:textId="77777777" w:rsidR="00D84714" w:rsidRDefault="00D84714">
            <w:pPr>
              <w:widowControl/>
            </w:pPr>
          </w:p>
        </w:tc>
      </w:tr>
      <w:tr w:rsidR="00D84714" w14:paraId="2DC7FDA5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E02C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B49A" w14:textId="77777777" w:rsidR="00D84714" w:rsidRDefault="00D84714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4FC3" w14:textId="77777777" w:rsidR="00D84714" w:rsidRDefault="00D84714">
            <w:pPr>
              <w:widowControl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C12E" w14:textId="77777777" w:rsidR="00D84714" w:rsidRDefault="00D84714">
            <w:pPr>
              <w:widowControl/>
            </w:pPr>
          </w:p>
        </w:tc>
      </w:tr>
      <w:tr w:rsidR="00D84714" w14:paraId="3934ACF9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670D" w14:textId="77777777" w:rsidR="00D84714" w:rsidRDefault="00D153AD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3BD5" w14:textId="77777777" w:rsidR="00D84714" w:rsidRDefault="00D153A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399D" w14:textId="77777777" w:rsidR="00D84714" w:rsidRDefault="00D84714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310B5" w14:textId="77777777" w:rsidR="00D84714" w:rsidRDefault="00D84714">
            <w:pPr>
              <w:widowControl/>
            </w:pPr>
          </w:p>
        </w:tc>
      </w:tr>
      <w:tr w:rsidR="00D84714" w14:paraId="2BFE6077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8F4B" w14:textId="77777777" w:rsidR="00D84714" w:rsidRDefault="00D153AD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0AFD" w14:textId="77777777" w:rsidR="00D84714" w:rsidRDefault="00D84714">
            <w:pPr>
              <w:widowControl/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3E1E" w14:textId="77777777" w:rsidR="00D84714" w:rsidRDefault="00D153A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ACD5" w14:textId="77777777" w:rsidR="00D84714" w:rsidRDefault="00D84714">
            <w:pPr>
              <w:widowControl/>
            </w:pPr>
          </w:p>
        </w:tc>
      </w:tr>
      <w:tr w:rsidR="00D84714" w14:paraId="4A4951B4" w14:textId="77777777"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7D16" w14:textId="77777777" w:rsidR="00D84714" w:rsidRDefault="00D153AD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963F" w14:textId="77777777" w:rsidR="00D84714" w:rsidRDefault="00D153AD">
            <w:pPr>
              <w:widowControl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E640" w14:textId="77777777" w:rsidR="00D84714" w:rsidRDefault="00D84714">
            <w:pPr>
              <w:widowControl/>
              <w:spacing w:before="60" w:after="60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E65D" w14:textId="77777777" w:rsidR="00D84714" w:rsidRDefault="00D84714">
            <w:pPr>
              <w:widowControl/>
            </w:pPr>
          </w:p>
        </w:tc>
      </w:tr>
    </w:tbl>
    <w:p w14:paraId="79D05103" w14:textId="77777777" w:rsidR="00D84714" w:rsidRDefault="00D84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</w:p>
    <w:p w14:paraId="47C0CC23" w14:textId="77777777" w:rsidR="00D84714" w:rsidRDefault="00D84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6431DB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A.3. Poznámky</w:t>
      </w:r>
    </w:p>
    <w:p w14:paraId="00D981EB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Times New Roman" w:cs="Times New Roman"/>
          <w:color w:val="000000"/>
          <w:highlight w:val="white"/>
        </w:rPr>
      </w:pPr>
      <w:r>
        <w:rPr>
          <w:highlight w:val="white"/>
        </w:rPr>
        <w:t xml:space="preserve">Nahradenie zákona o príspevku na starostlivosť o dieťa zákonom o príspevku na predprimárne vzdelávanie dieťaťa bude mať pozitívny vplyv na situáciu rodín s deťmi v období ich predprimárneho vzdelávania, a to najmä prostredníctvom uľahčenia návratu žien na </w:t>
      </w:r>
      <w:r>
        <w:rPr>
          <w:highlight w:val="white"/>
        </w:rPr>
        <w:t xml:space="preserve">trh práce či uľahčenia hľadania si práce (vrátane žien utekajúcich z Ukrajiny pred vojnou), keďže budú mať viac možností umiestniť svoje dieťa do materskej školy. Rovnako tak sa zlepší finančná situácia rodín s deťmi od 3 rokov veku, ktoré aktuálne nemajú </w:t>
      </w:r>
      <w:r>
        <w:rPr>
          <w:highlight w:val="white"/>
        </w:rPr>
        <w:t xml:space="preserve">žiadnu finančnú podporu od </w:t>
      </w:r>
      <w:r>
        <w:rPr>
          <w:highlight w:val="white"/>
        </w:rPr>
        <w:lastRenderedPageBreak/>
        <w:t>štátu, a prostredníctvom ktorej budú môcť úplne alebo aspoň sčasti financovať náklady na predprimárne vzdelávanie svojho dieťaťa.. Zároveň sa zlepší čerpanie príspevku, ktorý sa aktuálne nečerpá takmer vôbec a Slovenská republika</w:t>
      </w:r>
      <w:r>
        <w:rPr>
          <w:highlight w:val="white"/>
        </w:rPr>
        <w:t xml:space="preserve"> tak nevyužíva finančné možnosti zo strany Európskej únie, ktoré jej boli poskytnuté a namiesto toho vynakladá nemalé finančné zdroje zo štátneho rozpočtu na vyplácanie rodičovského príspevku. </w:t>
      </w:r>
    </w:p>
    <w:p w14:paraId="3359C24E" w14:textId="77777777" w:rsidR="00D84714" w:rsidRDefault="00D84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color w:val="000000"/>
        </w:rPr>
      </w:pPr>
    </w:p>
    <w:p w14:paraId="157FEB14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A.4. Alternatívne riešenia</w:t>
      </w:r>
    </w:p>
    <w:p w14:paraId="676A1AD8" w14:textId="77777777" w:rsidR="00D84714" w:rsidRDefault="00D84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94B7FB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 xml:space="preserve">Bezpredmetné  </w:t>
      </w:r>
    </w:p>
    <w:p w14:paraId="206302BC" w14:textId="77777777" w:rsidR="00D84714" w:rsidRDefault="00D153A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A.5. </w:t>
      </w:r>
      <w:r>
        <w:rPr>
          <w:rFonts w:eastAsia="Times New Roman" w:cs="Times New Roman"/>
          <w:b/>
          <w:color w:val="000000"/>
        </w:rPr>
        <w:tab/>
      </w:r>
      <w:r>
        <w:rPr>
          <w:rFonts w:eastAsia="Times New Roman" w:cs="Times New Roman"/>
          <w:b/>
          <w:color w:val="000000"/>
        </w:rPr>
        <w:t>Stanovisko gestorov</w:t>
      </w:r>
    </w:p>
    <w:p w14:paraId="116CA52A" w14:textId="77777777" w:rsidR="00D84714" w:rsidRDefault="00D15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Bezpredmetné</w:t>
      </w:r>
    </w:p>
    <w:sectPr w:rsidR="00D84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3363" w14:textId="77777777" w:rsidR="00D153AD" w:rsidRDefault="00D153AD">
      <w:r>
        <w:separator/>
      </w:r>
    </w:p>
  </w:endnote>
  <w:endnote w:type="continuationSeparator" w:id="0">
    <w:p w14:paraId="7AF31BB2" w14:textId="77777777" w:rsidR="00D153AD" w:rsidRDefault="00D1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AA28" w14:textId="77777777" w:rsidR="00D84714" w:rsidRDefault="00D847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A0C6" w14:textId="77777777" w:rsidR="00D84714" w:rsidRDefault="00D847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C69B" w14:textId="77777777" w:rsidR="00D84714" w:rsidRDefault="00D847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7F59" w14:textId="77777777" w:rsidR="00D153AD" w:rsidRDefault="00D153AD">
      <w:r>
        <w:separator/>
      </w:r>
    </w:p>
  </w:footnote>
  <w:footnote w:type="continuationSeparator" w:id="0">
    <w:p w14:paraId="0911C166" w14:textId="77777777" w:rsidR="00D153AD" w:rsidRDefault="00D1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09CF" w14:textId="77777777" w:rsidR="00D84714" w:rsidRDefault="00D847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9D3A" w14:textId="77777777" w:rsidR="00D84714" w:rsidRDefault="00D847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845B" w14:textId="77777777" w:rsidR="00D84714" w:rsidRDefault="00D847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14"/>
    <w:rsid w:val="00AA4833"/>
    <w:rsid w:val="00D153AD"/>
    <w:rsid w:val="00D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FCE8"/>
  <w15:docId w15:val="{7E8A0167-AC1A-4A49-8AB2-5A7199F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05E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6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416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335383"/>
    <w:rPr>
      <w:rFonts w:eastAsia="SimSun" w:cs="Mangal"/>
      <w:kern w:val="1"/>
      <w:szCs w:val="21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a1EDLnUAt8Uc8m4WffZ4NP7kw==">AMUW2mUBwr8A7RHEPyF/ElLHaI543Xn9prkuhOqNw2J1N1y/JSGHKm54sWAWwxu04sFXECRUeaMEVaWDj3epSvUGbyYCq76uL3ZC7kXq4wQ4NVFL57iaqgU=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Benakova</dc:creator>
  <cp:lastModifiedBy>Nora Benakova</cp:lastModifiedBy>
  <cp:revision>2</cp:revision>
  <dcterms:created xsi:type="dcterms:W3CDTF">2022-04-08T12:25:00Z</dcterms:created>
  <dcterms:modified xsi:type="dcterms:W3CDTF">2022-04-08T12:25:00Z</dcterms:modified>
</cp:coreProperties>
</file>