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040FB" w:rsidRDefault="00475430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Dôvodová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správa</w:t>
      </w:r>
      <w:proofErr w:type="spellEnd"/>
    </w:p>
    <w:p w14:paraId="00000002" w14:textId="77777777" w:rsidR="00A040FB" w:rsidRDefault="00475430">
      <w:pPr>
        <w:numPr>
          <w:ilvl w:val="0"/>
          <w:numId w:val="1"/>
        </w:numPr>
        <w:spacing w:before="240" w:after="240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Všeobecná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časť</w:t>
      </w:r>
      <w:proofErr w:type="spellEnd"/>
    </w:p>
    <w:p w14:paraId="00000003" w14:textId="77777777" w:rsidR="00A040FB" w:rsidRDefault="0047543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Poslanec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Národnej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Tomáš Valášek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predkladá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Národnej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vydanie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vzdelávanie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4" w14:textId="77777777" w:rsidR="00A040FB" w:rsidRDefault="0047543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Cieľom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predkladaného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nanovo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zadefinovať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nastav</w:t>
      </w:r>
      <w:r>
        <w:rPr>
          <w:rFonts w:ascii="Times New Roman" w:eastAsia="Times New Roman" w:hAnsi="Times New Roman" w:cs="Times New Roman"/>
          <w:sz w:val="24"/>
          <w:szCs w:val="24"/>
        </w:rPr>
        <w:t>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predĺžením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nastupujú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povinnú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školskú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dochádzku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navýšením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poberanie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aby 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mohli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využívať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poskytnuté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dočasné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útočisk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týmto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účelom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predkladateľ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prichádza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vzdelávanie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kombinuje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troch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podporu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troch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spravidla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navštevujú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ukončenia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predprimárneho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vzdelávania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5" w14:textId="77777777" w:rsidR="00A040FB" w:rsidRDefault="0047543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Účelom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predkladaného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zvýšenie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efektivity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čerpania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čerpá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veľmi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vôbec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najmä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dôvodu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zavedený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rodičovský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každého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troch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šiestich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prípade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dlhodobo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nepriaznivého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zdravotného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ohľadu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štatistiky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</w:t>
      </w:r>
      <w:r>
        <w:rPr>
          <w:rFonts w:ascii="Times New Roman" w:eastAsia="Times New Roman" w:hAnsi="Times New Roman" w:cs="Times New Roman"/>
          <w:sz w:val="24"/>
          <w:szCs w:val="24"/>
        </w:rPr>
        <w:t>iálnych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poberateľov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mesiac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december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255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osôb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vyplatená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hodnote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39 133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Rodičovský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mesiaci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poberalo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157 486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poberateľov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celkovej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53 413 247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obrovský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nepomer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čerpaní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oboch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spôsobený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dvomi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6" w14:textId="77777777" w:rsidR="00A040FB" w:rsidRDefault="00475430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obidva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určené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troch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vyberajú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radšej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rodičovský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keďže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rovnakej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staro</w:t>
      </w:r>
      <w:r>
        <w:rPr>
          <w:rFonts w:ascii="Times New Roman" w:eastAsia="Times New Roman" w:hAnsi="Times New Roman" w:cs="Times New Roman"/>
          <w:sz w:val="24"/>
          <w:szCs w:val="24"/>
        </w:rPr>
        <w:t>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(280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prípade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poberaním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rodičovského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pracoval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vyšší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rodičovský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383,80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údaj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2022).</w:t>
      </w:r>
    </w:p>
    <w:p w14:paraId="00000007" w14:textId="77777777" w:rsidR="00A040FB" w:rsidRDefault="00475430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umiestniť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jaslí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veľkej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väčšine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uhrádzajú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túto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rodičovského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administratívne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zaťažení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túto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hradili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predložiť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doklad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tom,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zamestnaný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doklad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tom,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zariadení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umiestnené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8" w14:textId="77777777" w:rsidR="00A040FB" w:rsidRDefault="0047543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týchto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dôvodov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čerpá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vôbec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využívaný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Navyše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inancovaný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prostriedkov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Európskeho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sociálneho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fondu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čerpanie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ukončené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decembri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zrejmé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finančné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prostriedky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nezaťažujú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štátny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rozpočet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nebudú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dočerpané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naopak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míňa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zhruba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53 mil.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mesačne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výdavky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spojené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vyplácaním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rodičovského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77777777" w:rsidR="00A040FB" w:rsidRDefault="0047543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Zároveň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dlhodobý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problém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nedostatkom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rovnako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dlhodobo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systémovo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neriešený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Snaha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pracujúcich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umiestniť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zariadeniach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</w:t>
      </w:r>
      <w:r>
        <w:rPr>
          <w:rFonts w:ascii="Times New Roman" w:eastAsia="Times New Roman" w:hAnsi="Times New Roman" w:cs="Times New Roman"/>
          <w:sz w:val="24"/>
          <w:szCs w:val="24"/>
        </w:rPr>
        <w:t>primárneho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vzdelávania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naráža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nedostatočné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kapacity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nefunkčné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systémy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nedostatočná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neadekvátne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rozmiestnená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verejných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predškolských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zariadení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dobudovanie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kapacít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síce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hlasno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prezentované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ale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skutočnost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náročné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zdĺhavé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zamerané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veľkokapacitných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zariadení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výrazne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predražujú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časovo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predlžujú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výstavby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výsledku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vždy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prinesú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podporu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budované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Deklarované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z w:val="24"/>
          <w:szCs w:val="24"/>
        </w:rPr>
        <w:t>dporné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nástroje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nesmerujú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deťmi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Neriešia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problém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dostupnosti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služieb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komplexne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Zameriavajú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dobudovanie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kapacít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ohľadu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funkčnosť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dlhodobú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udržateľnosť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Nerieši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zariadení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vybavenie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A" w14:textId="77777777" w:rsidR="00A040FB" w:rsidRDefault="0047543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znamená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absentuje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systémová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finančná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deťmi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od troch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spravidla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nastupujú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škôl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umiestňovať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súkr</w:t>
      </w:r>
      <w:r>
        <w:rPr>
          <w:rFonts w:ascii="Times New Roman" w:eastAsia="Times New Roman" w:hAnsi="Times New Roman" w:cs="Times New Roman"/>
          <w:sz w:val="24"/>
          <w:szCs w:val="24"/>
        </w:rPr>
        <w:t>omných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škôlok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obecných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škôlkach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žiadosti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dôvodu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nedostatku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kapacít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zamietajú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Súkromné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náročnejšie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dotované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štátom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zaplatí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nemalé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peniaze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mu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pomohlo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mohol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aspoň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týchto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nákladov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refundovaných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aktuálne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nečerpá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limitovaný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Najmä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období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enormne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zvyšujú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životné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náklady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všetkých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oblastiach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náklady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zabezpečenie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starostlivosti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dôsledku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zvýšenia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vstupných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režijných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nákladov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77777777" w:rsidR="00A040FB" w:rsidRDefault="0047543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dôsledku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vojnového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konfliktu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Ukrajine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utečeneckej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krízy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zároveň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niektorých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lokalitách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extrémne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narástol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kapacitné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zabezpečenie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starostlivosti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predpri</w:t>
      </w:r>
      <w:r>
        <w:rPr>
          <w:rFonts w:ascii="Times New Roman" w:eastAsia="Times New Roman" w:hAnsi="Times New Roman" w:cs="Times New Roman"/>
          <w:sz w:val="24"/>
          <w:szCs w:val="24"/>
        </w:rPr>
        <w:t>márneho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vzdelávania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Aktuálne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pokusy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Ministerstva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umožňujúce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otvorenie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„tried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kdekoľvek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deformujú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prostredie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nevytvárajú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širokú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udržateľnú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podpornú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neriešia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čoho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mal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týchto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„tried“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financovaný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Mnohé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ukrajinsk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prišli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stále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prichádzajú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chcú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šancu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nájsť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pracovné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predškolskom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nájdu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zisťujú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nemajú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umiestniť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analyzovať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revidovať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podporné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systémy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dispozícii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Oveľa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väčší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ocitol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situácii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ohrozenia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chudobou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sociálneho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vylúčenia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podobne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tohto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dôvodu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hľadať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nástroje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ukrajinským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rodinám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rýchlo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jednoducho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pomôžu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motivujúce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potenciálom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vytvorenie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udržateľného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odolného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funkčného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podporného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prostredia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všetky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deťmi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C" w14:textId="77777777" w:rsidR="00A040FB" w:rsidRDefault="00475430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Predkladaný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vzdelávan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efektívne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rieši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všetky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súlade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Plánom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obnovy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zaviazala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zvýšiť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zaškolenosť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garantuje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programoch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predprimárneho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vzdelávania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kreujúcou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Partnerskou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dohodou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záväzok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z w:val="24"/>
          <w:szCs w:val="24"/>
        </w:rPr>
        <w:t>dpory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predprimárneho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vzdelávania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starostlivosti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zosúlaďovania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rodinného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pracovného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uľahčenia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prístupu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0D" w14:textId="77777777" w:rsidR="00A040FB" w:rsidRDefault="00475430">
      <w:pPr>
        <w:spacing w:before="120" w:after="24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Predkladateľ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aby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podmienky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čerpania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upravili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nasledovne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0E" w14:textId="77777777" w:rsidR="00A040FB" w:rsidRDefault="00475430">
      <w:pPr>
        <w:spacing w:before="120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edĺženie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čerpania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nástupu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povinnú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školskú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dochádzku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0F" w14:textId="77777777" w:rsidR="00A040FB" w:rsidRDefault="00475430">
      <w:pPr>
        <w:spacing w:before="120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možnosť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čerpania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všetkým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rodičom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ktorí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preukážu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pracovným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pomerom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národnosti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poskytnuté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dočasné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útočisko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skrátený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pracovný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úv</w:t>
      </w:r>
      <w:r>
        <w:rPr>
          <w:rFonts w:ascii="Times New Roman" w:eastAsia="Times New Roman" w:hAnsi="Times New Roman" w:cs="Times New Roman"/>
          <w:sz w:val="24"/>
          <w:szCs w:val="24"/>
        </w:rPr>
        <w:t>äzok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0000010" w14:textId="77777777" w:rsidR="00A040FB" w:rsidRDefault="00475430">
      <w:pPr>
        <w:spacing w:before="120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aby bola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garantovaná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deklarovaná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účasť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dieťaťa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programe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predprimárneho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vzdelávania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programoch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starostlivosti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čerpanie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umožnené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zariadeniach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definovaných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školským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(§ 28 MŠ, § 161l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zariadenia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predprimárneho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vzdelávania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a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ariadeniach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definovaných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sociálnych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službách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§ 32a, 32b, ... );</w:t>
      </w:r>
    </w:p>
    <w:p w14:paraId="00000011" w14:textId="77777777" w:rsidR="00A040FB" w:rsidRDefault="00475430">
      <w:pPr>
        <w:spacing w:before="120"/>
        <w:ind w:left="144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navýšenie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maximálnu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výšku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350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14:paraId="00000012" w14:textId="77777777" w:rsidR="00A040FB" w:rsidRDefault="00475430">
      <w:pPr>
        <w:spacing w:before="120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oprávnenej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osobe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budú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refundované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reálne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uskutočnené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výdavky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platby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zariadeniu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poskytnuté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služby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refundácia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nákladov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zabezpečenie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účasti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dieťaťa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programe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predprimárneho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vzdelávania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00000013" w14:textId="77777777" w:rsidR="00A040FB" w:rsidRDefault="00475430">
      <w:pPr>
        <w:spacing w:before="120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g)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prechodnej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lehoty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dĺžke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mesiace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</w:t>
      </w:r>
      <w:r>
        <w:rPr>
          <w:rFonts w:ascii="Times New Roman" w:eastAsia="Times New Roman" w:hAnsi="Times New Roman" w:cs="Times New Roman"/>
          <w:sz w:val="24"/>
          <w:szCs w:val="24"/>
        </w:rPr>
        <w:t>nčení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rodičovskej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dovolenky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preklenutie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obdobia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efektívne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hľadanie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keďže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zabezpečuje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rodičovskej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dovolenky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vždy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to, aby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mohol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hľadať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obzvlášť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prípade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>dnorodičov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dosiahnutím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hranice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prichádza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rodičovský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zostáva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prakticky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príjmu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akejkoľvek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finančnej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štátu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0000014" w14:textId="77777777" w:rsidR="00A040FB" w:rsidRDefault="00475430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súlade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Ústavou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ústavnými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medzinárodnými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zmluvami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medzinárodnými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viazaná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5" w14:textId="77777777" w:rsidR="00A040FB" w:rsidRDefault="00A040F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A040FB" w:rsidRDefault="00475430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B.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Osobitná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časť</w:t>
      </w:r>
      <w:proofErr w:type="spellEnd"/>
    </w:p>
    <w:p w14:paraId="00000017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I</w:t>
      </w:r>
    </w:p>
    <w:p w14:paraId="00000018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§ 1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úpravy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19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nanovo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zadefinovať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nastaviť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predĺžením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nastupujú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povinnú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školskú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dochádzku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Cieľom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pomôcť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výdavkami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spojenými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zabezpečením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starostlivosti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z w:val="24"/>
          <w:szCs w:val="24"/>
        </w:rPr>
        <w:t>dprimárneho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vzdelávania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prípade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vykonávajú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zárobkovú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študijné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Účelom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zároveň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podporiť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zamestnanosť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zamestnateľnosť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rodičov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zlepšiť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zavedením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prechodného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3-mesačného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obdobia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vytvoriť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umožnia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zosúladiť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pracovný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rodinný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A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§ 2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vzdelávanie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]</w:t>
      </w:r>
    </w:p>
    <w:p w14:paraId="0000001B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návrhu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ustanovenia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definujú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právnické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fyzické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môžu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zdelávanie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dieťaťu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prostredie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tieto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vykonávajú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Poskytovateľmi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byť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široká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škála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zariadení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napríklad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materské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školy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jasle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zariadenia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sociálnych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služieb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denné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pobyty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zriaďované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občianskymi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združeniami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napríkla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materskými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centrami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fyzickými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základe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živnostenského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listu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Zariadenia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môžu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byť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štátne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neštátne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cirkevné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súkromné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). </w:t>
      </w:r>
    </w:p>
    <w:p w14:paraId="0000001C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dieťaťu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fyzická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dieťaťo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príbuzenskom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vzťahu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napríklad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otec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sestra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otca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matky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prípadne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blízka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pokiaľ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poberateľkou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rodičovského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nezabezpečuje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riadnu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vlastné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0000001D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možnosť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poskytova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určitých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okolností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vykonáva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zárobkovú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zároveň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zabezpečuje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svoje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nevyužíva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zabezpečení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tejto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právnické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fyzické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Ide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predovšetkým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vykonávajú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prácu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formou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home office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základe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dohody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vykonaní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práce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dohody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pracovnej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dohody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brigádnickej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práci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študentov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tejto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skupiny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patria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samostatne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zárobkovo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vykon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ávajúce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slobodné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povolanie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zladia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vykonávanie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zárobkovej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poskytovaním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 </w:t>
      </w:r>
    </w:p>
    <w:p w14:paraId="0000001E" w14:textId="77777777" w:rsidR="00A040FB" w:rsidRDefault="0047543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poskytovateľa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výlučnej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kompetencii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vziať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úvahy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svojom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rozhodovaní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viacero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okolností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príklad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špecifické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potreby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kvalitu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odbornosť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poskytovanej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náklady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dostupnosť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jednotlivých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subjektov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1F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K § 3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Oprávnená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20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Oprávnená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uplatnenie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rovnakom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tavení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bolo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zverené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nahrádzajúcej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základe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právoplatného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rozhodnutia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21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prípade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zverenia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jednému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súdom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oprávnenou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ktorém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zverené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Oprávnená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uplatniť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každé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zákonné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podmienky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pričom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patrí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isté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mesiac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 Na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isté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uplatniť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kalendárny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mesiac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časť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00000022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prípade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tvoria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predchádzajúceho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vzťahu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zároveň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spoločné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tieto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spĺňajú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kritériá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§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uplatniť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každý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svoje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spoločné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vzájomnej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dohode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23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§ 4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24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podmienky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Okrem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trvalého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pobytu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prechodného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pobytu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území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bolo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poskytnuté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dočasné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útočisko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osobitného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predpisu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zároveň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podmienené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vykonávaním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výlučne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území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požiadať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vykon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áva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zárobkovú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študuje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dennou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formou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strednej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škole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vysokej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škole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doktorandskom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štúdiu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časť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svoje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25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Zárobkovou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činnosťou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účel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tohto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rozumie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zakladá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zdaňovaný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§ 5 a §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1, 2 a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príjmov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hľadiska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dôležitý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oprávnenej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vykonávanie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zárobkovej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zárobkovú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považuje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náhrada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príjmu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náhrada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slu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žobného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00000026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zavádza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prechodné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obdobie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mesiacov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skončení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poberania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rodičovského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obdobného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cudzine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účely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tohto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toto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obdobie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považuje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zárobkovú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splnená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podmienka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tohto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ýplatu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cieľom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podpora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kritickom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období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stráca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podobe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rodičovského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zároveň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nemal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dostatočné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možnosti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zabezpečenie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svojej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účasti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práce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platí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obzvlášť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jednorodičov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27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skôr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narodené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matka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očakáva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narodenie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ďalšieho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a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tejto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súvislosti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poberá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nemocenskú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dávku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materské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najdlhšie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šiestich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týždňov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narodenia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ďalšieho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Obdobie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šiestich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týždňov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nadväzuje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sociálnom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oistení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matka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pôrode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vrátiť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pracovného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procesu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najskôr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uplynutí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šesť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týždňov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narodenia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28" w14:textId="77777777" w:rsidR="00A040FB" w:rsidRDefault="0047543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ustanovenia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vylučuje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 ten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celý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kalendárny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mesiac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dičov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manžel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poberá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dávku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nemocenského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poistenia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zabezpečenia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materské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štátnu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sociálnu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dávku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rodičovský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prípade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obdobné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dávky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vyplácané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cudziny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do troch, resp.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šesť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poberá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materské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rodičovský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zabezpečuje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aspoň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týchto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druhý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nemá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možnosť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uplatniť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Navrhované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ustanovenie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týka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situácie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spätne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uplatní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materské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rodičovský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za toto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obdobie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vyplatený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29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K § 5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[Suma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]</w:t>
      </w:r>
    </w:p>
    <w:p w14:paraId="0000002A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vyplácanie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jednej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mesačne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závislosti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poskytovateľa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výšky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preukázaných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výdavkov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zabezpečil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prostredníctvom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právnickej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fyzickej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§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písm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a),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mesačne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výške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preukázaných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výdavkov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najviac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výške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350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;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najviac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výške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vzdelávanie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dieťaťu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poskytovateľ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materská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škola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zara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siete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škôl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školských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zariadení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zriadená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obcou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orgánom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miestnej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štátnej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správy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školstve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2B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zabezpečil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poskytovateľom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§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písm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d) a e),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výšk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eur.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Navrhovaná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neplní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úlohu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odmeny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poskytovanú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vzdelávanie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predstavuje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odhad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nákladov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spojené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zabezpečením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elektriny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hygienických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potrieb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cestovného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fyzic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Navrhovaná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tom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prípade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zabezpečí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prostredníctvom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blízkeho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príbuzného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2C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§ 6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Výplata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2D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ustanovuje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platiteľa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vzdelávanie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práce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sociálnych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vecí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príslušný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miesta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trvalého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pobytu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oprávnenej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miesta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prechodného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pobytu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miesta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dočasného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útočiska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Zároveň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upravuje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platiteľa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vyplácaní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výška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byť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každý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mesiac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závislosti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výdavkov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subjektu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kalendárnom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mesiaci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poskytoval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vzdelávanie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základe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preukázaných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výdavkov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platiteľ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vypočíta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výšku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príslušný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kalendárny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mesiac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0000002E" w14:textId="77777777" w:rsidR="00A040FB" w:rsidRDefault="0047543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Ak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kalendárny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mesiac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časť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vyplatený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rodičovský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mesiac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nevyplatiť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vzdelávanie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0000002F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Platiteľ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umožňuje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uplatniť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obdobie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dlhšie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kalendárny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mesiac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najdlhšie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však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obdobie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šesť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nasledujúcich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kalendárnych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mesiacov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predovšetkým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dôvodu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zníženia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administratívnej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náročnosti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spojenej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výkonom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agendy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30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Platiteľ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umožňuje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zmeniť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poskytovateľa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priebehu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kalendárneho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mesiaca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výška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mesiac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závisela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od toho,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zmene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poskytovateľa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medzi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právnickými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medzi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fyzickými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medzi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právnickou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fyzickou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31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možn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poukazovať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účet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banke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vyplácať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hotovosti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napríklad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prostredníctvom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poštového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okruhu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prípade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pochybností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platiteľa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trvaní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podmienok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platiteľ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rozhodnúť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zastavení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výplaty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prešetriť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situáciu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ledne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rozhodnúť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obnove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výplaty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doplatení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obdobie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zastavenia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výplaty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32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§ 7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33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šesťmesačná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lehota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spätné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uplatnenie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Zároveň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situácie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zániku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34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§ 8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Odňatie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vrátenie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35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Navrhované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ustanovenie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upravuje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platiteľa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prípade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odňatia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vrátenia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vzdelávanie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 to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spôsobom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postupuje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poskytovaní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štátnych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ociálnych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dávok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určených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rodinám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nezaopatrenými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deťmi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36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§ 9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37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platiteľ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konaní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vzdelávanie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postupoval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správnom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konaní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ustanovenými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výnimkami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00000038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Konanie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áklade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písomnej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žiadosti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oprávnenej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pričom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ustanovenie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údaje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rodičovi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poskytovateľovi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vzdelávania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žiadosť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obsahovať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zároveň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ukladá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platiteľovi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účel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spracúvať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sprístu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pňovať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získané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údaje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záujme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ochrany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týchto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údajov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39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Ustanovenie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prípadoch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vydá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písomné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rozhodnutie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3A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 10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oprávnenej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3B" w14:textId="77777777" w:rsidR="00A040FB" w:rsidRDefault="0047543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Ustanovujú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povinnosti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oprávnenej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medzi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patria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najmä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oznamovacie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povinnosti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ovinnosť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preukázať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výšku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úhrady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vynaloženú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poskytované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predprimárne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vzdelávanie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3C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§ 11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Súčinnosť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spolupráca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poskytovaní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3D" w14:textId="77777777" w:rsidR="00A040FB" w:rsidRDefault="0047543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Návrhom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ustanovenia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zaväzujú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rôzne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vecne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zainteresované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inštitúcie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spolupráci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platiteľom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účelo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kontroly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podmienok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výšku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výplatu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záujme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predchádzania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neoprávnenému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vyplácaniu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vykonávaní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kontroly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platiteľ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povinný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zistených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skutočnostiach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zachovávať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mlčanlivosť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pokiaľ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zistené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skutočnosti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neohr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ozujú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život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zdravie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občanov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3E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§ 12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Prechodné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ustanovenia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3F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prechodné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ustanovenia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dôsledku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zrušenia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č.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561/2008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Z.z.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zmene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doplnení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niektorých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zákonov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40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§ 13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Zrušovacie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ustanovenia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41" w14:textId="77777777" w:rsidR="00A040FB" w:rsidRDefault="0047543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Zr</w:t>
      </w:r>
      <w:r>
        <w:rPr>
          <w:rFonts w:ascii="Times New Roman" w:eastAsia="Times New Roman" w:hAnsi="Times New Roman" w:cs="Times New Roman"/>
          <w:sz w:val="24"/>
          <w:szCs w:val="24"/>
        </w:rPr>
        <w:t>ušuje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č. 561/2008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Z.z.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príspevku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dieťa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zmene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doplnení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niektorých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zákonov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podobe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nahrádza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týmto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zákonom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00000042" w14:textId="77777777" w:rsidR="00A040FB" w:rsidRDefault="00475430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II</w:t>
      </w:r>
    </w:p>
    <w:p w14:paraId="00000043" w14:textId="77777777" w:rsidR="00A040FB" w:rsidRDefault="00A040FB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44" w14:textId="77777777" w:rsidR="00A040FB" w:rsidRDefault="004754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ohľadom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predpokladaný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priebeh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legislatívneho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nadobudnutie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účinnosti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septembra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2022.</w:t>
      </w:r>
    </w:p>
    <w:p w14:paraId="00000045" w14:textId="77777777" w:rsidR="00A040FB" w:rsidRDefault="00A040F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77777777" w:rsidR="00A040FB" w:rsidRDefault="0047543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7" w14:textId="77777777" w:rsidR="00A040FB" w:rsidRDefault="00A040F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040FB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AD025" w14:textId="77777777" w:rsidR="00475430" w:rsidRDefault="00475430">
      <w:pPr>
        <w:spacing w:line="240" w:lineRule="auto"/>
      </w:pPr>
      <w:r>
        <w:separator/>
      </w:r>
    </w:p>
  </w:endnote>
  <w:endnote w:type="continuationSeparator" w:id="0">
    <w:p w14:paraId="2FF530E4" w14:textId="77777777" w:rsidR="00475430" w:rsidRDefault="004754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F20D" w14:textId="77777777" w:rsidR="00475430" w:rsidRDefault="00475430">
      <w:pPr>
        <w:spacing w:line="240" w:lineRule="auto"/>
      </w:pPr>
      <w:r>
        <w:separator/>
      </w:r>
    </w:p>
  </w:footnote>
  <w:footnote w:type="continuationSeparator" w:id="0">
    <w:p w14:paraId="5D395287" w14:textId="77777777" w:rsidR="00475430" w:rsidRDefault="00475430">
      <w:pPr>
        <w:spacing w:line="240" w:lineRule="auto"/>
      </w:pPr>
      <w:r>
        <w:continuationSeparator/>
      </w:r>
    </w:p>
  </w:footnote>
  <w:footnote w:id="1">
    <w:p w14:paraId="00000048" w14:textId="77777777" w:rsidR="00A040FB" w:rsidRDefault="00475430">
      <w:pPr>
        <w:spacing w:line="240" w:lineRule="auto"/>
        <w:rPr>
          <w:sz w:val="14"/>
          <w:szCs w:val="14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1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https://w</w:t>
        </w:r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ww.upsvr.gov.sk/statistiky/socialne-veci-statistiky/2021/2020-socialne-davky.html?page_id=1060272</w:t>
        </w:r>
      </w:hyperlink>
    </w:p>
  </w:footnote>
  <w:footnote w:id="2">
    <w:p w14:paraId="00000049" w14:textId="77777777" w:rsidR="00A040FB" w:rsidRDefault="00475430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vertAlign w:val="superscript"/>
        </w:rPr>
        <w:footnoteRef/>
      </w:r>
      <w:r>
        <w:rPr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NP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Príspevok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na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dieťa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vo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viac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rozvinutom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regióne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celkovej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sume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16 998 207,95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eure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a NP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Príspevok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na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starostlivosť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dieťa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menej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rozvinut</w:t>
      </w:r>
      <w:r>
        <w:rPr>
          <w:rFonts w:ascii="Times New Roman" w:eastAsia="Times New Roman" w:hAnsi="Times New Roman" w:cs="Times New Roman"/>
          <w:sz w:val="16"/>
          <w:szCs w:val="16"/>
        </w:rPr>
        <w:t>om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regióne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celkovej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sume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29 000 000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eur</w:t>
      </w:r>
      <w:proofErr w:type="spellEnd"/>
    </w:p>
    <w:p w14:paraId="0000004A" w14:textId="77777777" w:rsidR="00A040FB" w:rsidRDefault="00475430">
      <w:pPr>
        <w:spacing w:before="240" w:after="24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Zdroj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:</w:t>
      </w:r>
      <w:hyperlink r:id="rId2">
        <w:r>
          <w:rPr>
            <w:rFonts w:ascii="Times New Roman" w:eastAsia="Times New Roman" w:hAnsi="Times New Roman" w:cs="Times New Roman"/>
            <w:sz w:val="16"/>
            <w:szCs w:val="16"/>
          </w:rPr>
          <w:t xml:space="preserve"> https://www.upsvr.gov.sk/buxus/docs/SSVaR/OKNPS</w:t>
        </w:r>
        <w:r>
          <w:rPr>
            <w:rFonts w:ascii="Times New Roman" w:eastAsia="Times New Roman" w:hAnsi="Times New Roman" w:cs="Times New Roman"/>
            <w:sz w:val="16"/>
            <w:szCs w:val="16"/>
          </w:rPr>
          <w:t>ZaSS/Opis_NP_PSD_MRR.pdf?fbclid=IwAR3UqY2Ise3zccxvgrBpgqVD1C-49cH-ScFa7zcucVO_EZRZhwljm1m4yCw</w:t>
        </w:r>
      </w:hyperlink>
    </w:p>
    <w:p w14:paraId="0000004B" w14:textId="77777777" w:rsidR="00A040FB" w:rsidRDefault="00475430">
      <w:pPr>
        <w:spacing w:before="240" w:after="240"/>
        <w:rPr>
          <w:rFonts w:ascii="Times New Roman" w:eastAsia="Times New Roman" w:hAnsi="Times New Roman" w:cs="Times New Roman"/>
          <w:sz w:val="16"/>
          <w:szCs w:val="16"/>
        </w:rPr>
      </w:pPr>
      <w:hyperlink r:id="rId3">
        <w:r>
          <w:rPr>
            <w:rFonts w:ascii="Times New Roman" w:eastAsia="Times New Roman" w:hAnsi="Times New Roman" w:cs="Times New Roman"/>
            <w:sz w:val="16"/>
            <w:szCs w:val="16"/>
          </w:rPr>
          <w:t>ht</w:t>
        </w:r>
        <w:r>
          <w:rPr>
            <w:rFonts w:ascii="Times New Roman" w:eastAsia="Times New Roman" w:hAnsi="Times New Roman" w:cs="Times New Roman"/>
            <w:sz w:val="16"/>
            <w:szCs w:val="16"/>
          </w:rPr>
          <w:t>tps://www.upsvr.gov.sk/buxus/docs/SSVaR/OKNPSZaSS/Opis_NP_PSD_VRR.pdf?fbclid=IwAR12J4dIGWOCHGALi25RoE-s34KvCYH0LyQDQvChdX2KGp392eqEdKtwR6o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C4E69"/>
    <w:multiLevelType w:val="multilevel"/>
    <w:tmpl w:val="98102B4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6656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0FB"/>
    <w:rsid w:val="00475430"/>
    <w:rsid w:val="0079131D"/>
    <w:rsid w:val="00A0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47DAA-94DE-4196-A162-FE06A7F1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psvr.gov.sk/buxus/docs/SSVaR/OKNPSZaSS/Opis_NP_PSD_VRR.pdf?fbclid=IwAR12J4dIGWOCHGALi25RoE-s34KvCYH0LyQDQvChdX2KGp392eqEdKtwR6o" TargetMode="External"/><Relationship Id="rId2" Type="http://schemas.openxmlformats.org/officeDocument/2006/relationships/hyperlink" Target="https://www.upsvr.gov.sk/buxus/docs/SSVaR/OKNPSZaSS/Opis_NP_PSD_MRR.pdf?fbclid=IwAR3UqY2Ise3zccxvgrBpgqVD1C-49cH-ScFa7zcucVO_EZRZhwljm1m4yCw" TargetMode="External"/><Relationship Id="rId1" Type="http://schemas.openxmlformats.org/officeDocument/2006/relationships/hyperlink" Target="https://www.upsvr.gov.sk/statistiky/socialne-veci-statistiky/2021/2020-socialne-davky.html?page_id=1060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2882</Words>
  <Characters>16428</Characters>
  <Application>Microsoft Office Word</Application>
  <DocSecurity>0</DocSecurity>
  <Lines>136</Lines>
  <Paragraphs>38</Paragraphs>
  <ScaleCrop>false</ScaleCrop>
  <Company/>
  <LinksUpToDate>false</LinksUpToDate>
  <CharactersWithSpaces>19272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Benakova</dc:creator>
  <cp:lastModifiedBy>Nora Benakova</cp:lastModifiedBy>
  <cp:revision>2</cp:revision>
  <dcterms:created xsi:type="dcterms:W3CDTF">2022-04-08T12:24:00Z</dcterms:created>
  <dcterms:modified xsi:type="dcterms:W3CDTF">2022-04-08T12:24:00Z</dcterms:modified>
</cp:coreProperties>
</file>