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C14" w:rsidRPr="006C25C6" w:rsidRDefault="00BE2399" w:rsidP="00766B03">
      <w:pPr>
        <w:spacing w:line="276" w:lineRule="auto"/>
        <w:jc w:val="center"/>
        <w:rPr>
          <w:rFonts w:asciiTheme="majorBidi" w:hAnsiTheme="majorBidi" w:cstheme="majorBidi"/>
          <w:b/>
          <w:bCs/>
          <w:caps/>
          <w:spacing w:val="30"/>
        </w:rPr>
      </w:pPr>
      <w:r w:rsidRPr="006C25C6">
        <w:rPr>
          <w:rFonts w:asciiTheme="majorBidi" w:hAnsiTheme="majorBidi" w:cstheme="majorBidi"/>
          <w:b/>
          <w:bCs/>
          <w:caps/>
          <w:spacing w:val="30"/>
        </w:rPr>
        <w:t>Dôvodová správa</w:t>
      </w:r>
    </w:p>
    <w:p w:rsidR="00BE2399" w:rsidRPr="006C25C6" w:rsidRDefault="00BE2399" w:rsidP="00766B03">
      <w:pPr>
        <w:spacing w:line="276" w:lineRule="auto"/>
        <w:jc w:val="both"/>
        <w:rPr>
          <w:rFonts w:asciiTheme="majorBidi" w:hAnsiTheme="majorBidi" w:cstheme="majorBidi"/>
        </w:rPr>
      </w:pPr>
    </w:p>
    <w:p w:rsidR="00BE2399" w:rsidRPr="006C25C6" w:rsidRDefault="00BE2399" w:rsidP="00766B03">
      <w:pPr>
        <w:spacing w:line="276" w:lineRule="auto"/>
        <w:jc w:val="both"/>
        <w:rPr>
          <w:rFonts w:asciiTheme="majorBidi" w:hAnsiTheme="majorBidi" w:cstheme="majorBidi"/>
          <w:b/>
          <w:bCs/>
        </w:rPr>
      </w:pPr>
      <w:r w:rsidRPr="006C25C6">
        <w:rPr>
          <w:rFonts w:asciiTheme="majorBidi" w:hAnsiTheme="majorBidi" w:cstheme="majorBidi"/>
          <w:b/>
          <w:bCs/>
        </w:rPr>
        <w:t>Všeobecná časť</w:t>
      </w:r>
    </w:p>
    <w:p w:rsidR="00BE2399" w:rsidRPr="006C25C6" w:rsidRDefault="00BE2399" w:rsidP="00766B03">
      <w:pPr>
        <w:spacing w:line="276" w:lineRule="auto"/>
        <w:jc w:val="both"/>
        <w:rPr>
          <w:rFonts w:asciiTheme="majorBidi" w:hAnsiTheme="majorBidi" w:cstheme="majorBidi"/>
          <w:color w:val="000000" w:themeColor="text1"/>
        </w:rPr>
      </w:pPr>
    </w:p>
    <w:p w:rsidR="00145931" w:rsidRPr="006C25C6" w:rsidRDefault="00145931" w:rsidP="00A1263B">
      <w:pPr>
        <w:spacing w:line="276" w:lineRule="auto"/>
        <w:ind w:firstLine="708"/>
        <w:jc w:val="both"/>
        <w:rPr>
          <w:rFonts w:asciiTheme="majorBidi" w:hAnsiTheme="majorBidi" w:cstheme="majorBidi"/>
          <w:color w:val="000000" w:themeColor="text1"/>
        </w:rPr>
      </w:pPr>
      <w:r w:rsidRPr="006C25C6">
        <w:rPr>
          <w:rFonts w:asciiTheme="majorBidi" w:hAnsiTheme="majorBidi" w:cstheme="majorBidi"/>
          <w:color w:val="000000" w:themeColor="text1"/>
        </w:rPr>
        <w:t>N</w:t>
      </w:r>
      <w:r w:rsidR="00EF0811" w:rsidRPr="006C25C6">
        <w:rPr>
          <w:rFonts w:asciiTheme="majorBidi" w:hAnsiTheme="majorBidi" w:cstheme="majorBidi"/>
          <w:color w:val="000000" w:themeColor="text1"/>
        </w:rPr>
        <w:t xml:space="preserve">ávrh zákona, ktorým sa mení a dopĺňa zákon </w:t>
      </w:r>
      <w:r w:rsidR="00A1263B">
        <w:rPr>
          <w:rFonts w:asciiTheme="majorBidi" w:hAnsiTheme="majorBidi" w:cstheme="majorBidi"/>
        </w:rPr>
        <w:t xml:space="preserve">č. 296/2020 o 13. dôchodku a o zmene a doplnení niektorých zákonov </w:t>
      </w:r>
      <w:r w:rsidRPr="006C25C6">
        <w:rPr>
          <w:rFonts w:asciiTheme="majorBidi" w:hAnsiTheme="majorBidi" w:cstheme="majorBidi"/>
          <w:color w:val="000000" w:themeColor="text1"/>
        </w:rPr>
        <w:t xml:space="preserve">sa predkladá ako návrh skupiny poslancov NRSR. </w:t>
      </w:r>
    </w:p>
    <w:p w:rsidR="00145931" w:rsidRPr="006C25C6" w:rsidRDefault="00145931" w:rsidP="00766B03">
      <w:pPr>
        <w:spacing w:line="276" w:lineRule="auto"/>
        <w:ind w:firstLine="708"/>
        <w:jc w:val="both"/>
        <w:rPr>
          <w:rFonts w:asciiTheme="majorBidi" w:hAnsiTheme="majorBidi" w:cstheme="majorBidi"/>
          <w:color w:val="000000" w:themeColor="text1"/>
        </w:rPr>
      </w:pPr>
    </w:p>
    <w:p w:rsidR="00210DFB" w:rsidRDefault="00145931" w:rsidP="00210DFB">
      <w:pPr>
        <w:spacing w:line="276" w:lineRule="auto"/>
        <w:ind w:firstLine="708"/>
        <w:jc w:val="both"/>
        <w:rPr>
          <w:rFonts w:asciiTheme="majorBidi" w:hAnsiTheme="majorBidi" w:cstheme="majorBidi"/>
        </w:rPr>
      </w:pPr>
      <w:r w:rsidRPr="006C25C6">
        <w:rPr>
          <w:rFonts w:asciiTheme="majorBidi" w:hAnsiTheme="majorBidi" w:cstheme="majorBidi"/>
          <w:color w:val="000000" w:themeColor="text1"/>
        </w:rPr>
        <w:t xml:space="preserve">V Čl. I. sa navrhuje v reakcii </w:t>
      </w:r>
      <w:r w:rsidR="004C3D7A" w:rsidRPr="006C25C6">
        <w:rPr>
          <w:rFonts w:asciiTheme="majorBidi" w:hAnsiTheme="majorBidi" w:cstheme="majorBidi"/>
          <w:color w:val="000000" w:themeColor="text1"/>
        </w:rPr>
        <w:t xml:space="preserve">na </w:t>
      </w:r>
      <w:r w:rsidR="005D3B97">
        <w:rPr>
          <w:rFonts w:asciiTheme="majorBidi" w:hAnsiTheme="majorBidi" w:cstheme="majorBidi"/>
          <w:color w:val="000000" w:themeColor="text1"/>
        </w:rPr>
        <w:t xml:space="preserve">mimoriadne prudký rast cien energií a zvýšené </w:t>
      </w:r>
      <w:r w:rsidR="00210DFB">
        <w:rPr>
          <w:rFonts w:asciiTheme="majorBidi" w:hAnsiTheme="majorBidi" w:cstheme="majorBidi"/>
          <w:color w:val="000000" w:themeColor="text1"/>
        </w:rPr>
        <w:t xml:space="preserve">životné náklady poberateľov dôchodkov a v nadväznosti na už prijaté opatrenia v podobe novely zákona č. </w:t>
      </w:r>
      <w:r w:rsidR="00210DFB">
        <w:rPr>
          <w:rFonts w:asciiTheme="majorBidi" w:hAnsiTheme="majorBidi" w:cstheme="majorBidi"/>
        </w:rPr>
        <w:t xml:space="preserve">č. 296/2020 o 13. dôchodku a o zmene a doplnení niektorých zákonov formou rozdelenia výplaty 13. dôchodku zaviesť 14. Dôchodok. </w:t>
      </w:r>
    </w:p>
    <w:p w:rsidR="00210DFB" w:rsidRDefault="00210DFB" w:rsidP="00210DFB">
      <w:pPr>
        <w:spacing w:line="276" w:lineRule="auto"/>
        <w:ind w:firstLine="708"/>
        <w:jc w:val="both"/>
        <w:rPr>
          <w:rFonts w:asciiTheme="majorBidi" w:hAnsiTheme="majorBidi" w:cstheme="majorBidi"/>
        </w:rPr>
      </w:pPr>
    </w:p>
    <w:p w:rsidR="00210DFB" w:rsidRDefault="00210DFB" w:rsidP="00210DFB">
      <w:pPr>
        <w:spacing w:line="276" w:lineRule="auto"/>
        <w:ind w:firstLine="708"/>
        <w:jc w:val="both"/>
        <w:rPr>
          <w:rFonts w:asciiTheme="majorBidi" w:hAnsiTheme="majorBidi" w:cstheme="majorBidi"/>
        </w:rPr>
      </w:pPr>
      <w:r>
        <w:rPr>
          <w:rFonts w:asciiTheme="majorBidi" w:hAnsiTheme="majorBidi" w:cstheme="majorBidi"/>
        </w:rPr>
        <w:t xml:space="preserve">Tento 14. dôchodok bude mať podobu štátnej sociálnej dávky, ktorá bude poberateľom dôchodkov vyplatená v predvianočnom období podobne, ako býval vyplácaný vianočný príspevok dôchodcom. Jeho výplata na konci roka tak reaguje na celoročný rast životných nákladov poberateľov dôchodkov, na ktorý vláda doteraz odmietala napriek opakovaným poklusom zareagovať priznaním mimoriadne sociálnej dávky, ktorá by aspoň čiastočne kompenzovala uvedený rast cien. </w:t>
      </w:r>
    </w:p>
    <w:p w:rsidR="00210DFB" w:rsidRDefault="00210DFB" w:rsidP="00210DFB">
      <w:pPr>
        <w:spacing w:line="276" w:lineRule="auto"/>
        <w:ind w:firstLine="708"/>
        <w:jc w:val="both"/>
        <w:rPr>
          <w:rFonts w:asciiTheme="majorBidi" w:hAnsiTheme="majorBidi" w:cstheme="majorBidi"/>
        </w:rPr>
      </w:pPr>
    </w:p>
    <w:p w:rsidR="005D3B97" w:rsidRDefault="00514C14" w:rsidP="00210DFB">
      <w:pPr>
        <w:spacing w:line="276" w:lineRule="auto"/>
        <w:ind w:firstLine="708"/>
        <w:jc w:val="both"/>
        <w:rPr>
          <w:rFonts w:asciiTheme="majorBidi" w:hAnsiTheme="majorBidi" w:cstheme="majorBidi"/>
        </w:rPr>
      </w:pPr>
      <w:r w:rsidRPr="00514C14">
        <w:rPr>
          <w:rFonts w:asciiTheme="majorBidi" w:hAnsiTheme="majorBidi" w:cstheme="majorBidi"/>
        </w:rPr>
        <w:t xml:space="preserve">Skupina poslancov predkladá tento návrh z dôvodu, že </w:t>
      </w:r>
      <w:r w:rsidR="005D3B97">
        <w:rPr>
          <w:rFonts w:asciiTheme="majorBidi" w:hAnsiTheme="majorBidi" w:cstheme="majorBidi"/>
        </w:rPr>
        <w:t xml:space="preserve">doterajšie odlišné návrhy na riešenie podstatného zvýšenia životných nákladov poberateľov dôchodkov </w:t>
      </w:r>
      <w:r w:rsidRPr="00514C14">
        <w:rPr>
          <w:rFonts w:asciiTheme="majorBidi" w:hAnsiTheme="majorBidi" w:cstheme="majorBidi"/>
        </w:rPr>
        <w:t xml:space="preserve">NR SR na </w:t>
      </w:r>
      <w:r w:rsidR="005D3B97">
        <w:rPr>
          <w:rFonts w:asciiTheme="majorBidi" w:hAnsiTheme="majorBidi" w:cstheme="majorBidi"/>
        </w:rPr>
        <w:t xml:space="preserve">predchádzajúcich </w:t>
      </w:r>
      <w:r w:rsidRPr="00514C14">
        <w:rPr>
          <w:rFonts w:asciiTheme="majorBidi" w:hAnsiTheme="majorBidi" w:cstheme="majorBidi"/>
        </w:rPr>
        <w:t>schôdz</w:t>
      </w:r>
      <w:r w:rsidR="005D3B97">
        <w:rPr>
          <w:rFonts w:asciiTheme="majorBidi" w:hAnsiTheme="majorBidi" w:cstheme="majorBidi"/>
        </w:rPr>
        <w:t xml:space="preserve">ach </w:t>
      </w:r>
      <w:r w:rsidRPr="00514C14">
        <w:rPr>
          <w:rFonts w:asciiTheme="majorBidi" w:hAnsiTheme="majorBidi" w:cstheme="majorBidi"/>
        </w:rPr>
        <w:t xml:space="preserve">odmietla. </w:t>
      </w:r>
      <w:r w:rsidR="005D3B97">
        <w:rPr>
          <w:rFonts w:asciiTheme="majorBidi" w:hAnsiTheme="majorBidi" w:cstheme="majorBidi"/>
        </w:rPr>
        <w:t>Nedošlo tak k adekvátnej kompenzácii zvýšených životných nákladov spôsobených bezprecedentným rastom spotrebiteľských cien v roku 2021</w:t>
      </w:r>
      <w:r w:rsidR="00210DFB">
        <w:rPr>
          <w:rFonts w:asciiTheme="majorBidi" w:hAnsiTheme="majorBidi" w:cstheme="majorBidi"/>
        </w:rPr>
        <w:t xml:space="preserve">, ktorý pokračuje aj v roku 2022 a aktuálne odhady MF SR, ako aj NBS predpovedajú nárast inflácie až na úroveň 10%. </w:t>
      </w:r>
    </w:p>
    <w:p w:rsidR="00210DFB" w:rsidRDefault="00210DFB" w:rsidP="00210DFB">
      <w:pPr>
        <w:spacing w:line="276" w:lineRule="auto"/>
        <w:ind w:firstLine="708"/>
        <w:jc w:val="both"/>
        <w:rPr>
          <w:rFonts w:asciiTheme="majorBidi" w:hAnsiTheme="majorBidi" w:cstheme="majorBidi"/>
        </w:rPr>
      </w:pPr>
    </w:p>
    <w:p w:rsidR="005D3B97" w:rsidRDefault="005D3B97" w:rsidP="00210DFB">
      <w:pPr>
        <w:spacing w:line="276" w:lineRule="auto"/>
        <w:ind w:firstLine="708"/>
        <w:jc w:val="both"/>
        <w:rPr>
          <w:rFonts w:asciiTheme="majorBidi" w:hAnsiTheme="majorBidi" w:cstheme="majorBidi"/>
        </w:rPr>
      </w:pPr>
      <w:r>
        <w:rPr>
          <w:rFonts w:asciiTheme="majorBidi" w:hAnsiTheme="majorBidi" w:cstheme="majorBidi"/>
        </w:rPr>
        <w:t xml:space="preserve">Zároveň predkladatelia vytvárajú návrhom účinnosti dostatočný časový priestor pre administratívne zvládnutie výplaty </w:t>
      </w:r>
      <w:r w:rsidR="00210DFB">
        <w:rPr>
          <w:rFonts w:asciiTheme="majorBidi" w:hAnsiTheme="majorBidi" w:cstheme="majorBidi"/>
        </w:rPr>
        <w:t xml:space="preserve">14. dôchodku. </w:t>
      </w:r>
      <w:r>
        <w:rPr>
          <w:rFonts w:asciiTheme="majorBidi" w:hAnsiTheme="majorBidi" w:cstheme="majorBidi"/>
        </w:rPr>
        <w:t xml:space="preserve">Z dôvodu zníženia administratívnej náročnosti </w:t>
      </w:r>
      <w:r w:rsidR="00210DFB">
        <w:rPr>
          <w:rFonts w:asciiTheme="majorBidi" w:hAnsiTheme="majorBidi" w:cstheme="majorBidi"/>
        </w:rPr>
        <w:t xml:space="preserve">sa uplatnia rovnaké postupy, ako pri priznaní a výplate 13. dôchodku. </w:t>
      </w:r>
    </w:p>
    <w:p w:rsidR="00514C14" w:rsidRPr="00514C14" w:rsidRDefault="00514C14" w:rsidP="00514C14">
      <w:pPr>
        <w:spacing w:line="276" w:lineRule="auto"/>
        <w:ind w:firstLine="708"/>
        <w:jc w:val="both"/>
        <w:rPr>
          <w:rFonts w:asciiTheme="majorBidi" w:hAnsiTheme="majorBidi" w:cstheme="majorBidi"/>
          <w:color w:val="000000" w:themeColor="text1"/>
        </w:rPr>
      </w:pPr>
    </w:p>
    <w:p w:rsidR="00514C14" w:rsidRPr="00987592" w:rsidRDefault="00987592" w:rsidP="00A93E6F">
      <w:pPr>
        <w:spacing w:line="276" w:lineRule="auto"/>
        <w:ind w:firstLine="709"/>
        <w:jc w:val="both"/>
        <w:rPr>
          <w:rFonts w:asciiTheme="majorBidi" w:hAnsiTheme="majorBidi" w:cstheme="majorBidi"/>
        </w:rPr>
      </w:pPr>
      <w:r>
        <w:rPr>
          <w:rFonts w:asciiTheme="majorBidi" w:hAnsiTheme="majorBidi" w:cstheme="majorBidi"/>
        </w:rPr>
        <w:t>Skupina poslancov predkladá návrh, ktorý plne zodpovedá už aplikovanej filozofii vlády podpory zraniteľných skupín, medzi ktorých nepochybne patria aj poberate</w:t>
      </w:r>
      <w:r w:rsidR="00A93E6F">
        <w:rPr>
          <w:rFonts w:asciiTheme="majorBidi" w:hAnsiTheme="majorBidi" w:cstheme="majorBidi"/>
        </w:rPr>
        <w:t>lia</w:t>
      </w:r>
      <w:bookmarkStart w:id="0" w:name="_GoBack"/>
      <w:bookmarkEnd w:id="0"/>
      <w:r>
        <w:rPr>
          <w:rFonts w:asciiTheme="majorBidi" w:hAnsiTheme="majorBidi" w:cstheme="majorBidi"/>
        </w:rPr>
        <w:t xml:space="preserve"> dôchodkových dávok a preto dôvodne predpokladajú, že aj tento návrh na vydanie zákona, ktorým sa poberateľom dôchodkov poskytne </w:t>
      </w:r>
      <w:r w:rsidR="005D3B97">
        <w:rPr>
          <w:rFonts w:asciiTheme="majorBidi" w:hAnsiTheme="majorBidi" w:cstheme="majorBidi"/>
        </w:rPr>
        <w:t xml:space="preserve">iný </w:t>
      </w:r>
      <w:r>
        <w:rPr>
          <w:rFonts w:asciiTheme="majorBidi" w:hAnsiTheme="majorBidi" w:cstheme="majorBidi"/>
        </w:rPr>
        <w:t xml:space="preserve">typ podpory má širokú podporu naprieč politickým spektrom v NR SR. </w:t>
      </w:r>
    </w:p>
    <w:p w:rsidR="00514C14" w:rsidRPr="00514C14" w:rsidRDefault="00514C14" w:rsidP="00514C14">
      <w:pPr>
        <w:spacing w:line="276" w:lineRule="auto"/>
        <w:ind w:firstLine="708"/>
        <w:jc w:val="both"/>
        <w:rPr>
          <w:rFonts w:asciiTheme="majorBidi" w:hAnsiTheme="majorBidi" w:cstheme="majorBidi"/>
          <w:color w:val="000000" w:themeColor="text1"/>
        </w:rPr>
      </w:pPr>
    </w:p>
    <w:p w:rsidR="007270FB" w:rsidRPr="006C25C6" w:rsidRDefault="00706D76" w:rsidP="00766B03">
      <w:pPr>
        <w:spacing w:before="120" w:line="276" w:lineRule="auto"/>
        <w:ind w:firstLine="709"/>
        <w:jc w:val="both"/>
        <w:rPr>
          <w:rFonts w:asciiTheme="majorBidi" w:hAnsiTheme="majorBidi" w:cstheme="majorBidi"/>
          <w:color w:val="000000" w:themeColor="text1"/>
        </w:rPr>
      </w:pPr>
      <w:r w:rsidRPr="006C25C6">
        <w:rPr>
          <w:rFonts w:asciiTheme="majorBidi" w:hAnsiTheme="majorBidi" w:cstheme="majorBidi"/>
          <w:color w:val="000000" w:themeColor="text1"/>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4C5139" w:rsidRDefault="004C5139" w:rsidP="00766B03">
      <w:pPr>
        <w:spacing w:line="276" w:lineRule="auto"/>
        <w:jc w:val="both"/>
        <w:rPr>
          <w:rFonts w:asciiTheme="majorBidi" w:hAnsiTheme="majorBidi" w:cstheme="majorBidi"/>
          <w:b/>
          <w:bCs/>
          <w:color w:val="000000" w:themeColor="text1"/>
        </w:rPr>
      </w:pPr>
    </w:p>
    <w:p w:rsidR="005D3B97" w:rsidRDefault="005D3B97" w:rsidP="00766B03">
      <w:pPr>
        <w:spacing w:line="276" w:lineRule="auto"/>
        <w:jc w:val="both"/>
        <w:rPr>
          <w:rFonts w:asciiTheme="majorBidi" w:hAnsiTheme="majorBidi" w:cstheme="majorBidi"/>
          <w:b/>
          <w:bCs/>
          <w:color w:val="000000" w:themeColor="text1"/>
        </w:rPr>
      </w:pPr>
    </w:p>
    <w:p w:rsidR="005D3B97" w:rsidRPr="006C25C6" w:rsidRDefault="005D3B97" w:rsidP="00766B03">
      <w:pPr>
        <w:spacing w:line="276" w:lineRule="auto"/>
        <w:jc w:val="both"/>
        <w:rPr>
          <w:rFonts w:asciiTheme="majorBidi" w:hAnsiTheme="majorBidi" w:cstheme="majorBidi"/>
          <w:b/>
          <w:bCs/>
          <w:color w:val="000000" w:themeColor="text1"/>
        </w:rPr>
      </w:pPr>
    </w:p>
    <w:p w:rsidR="00BE2399" w:rsidRPr="006C25C6" w:rsidRDefault="00BE2399" w:rsidP="00766B03">
      <w:pPr>
        <w:spacing w:line="276" w:lineRule="auto"/>
        <w:rPr>
          <w:rFonts w:asciiTheme="majorBidi" w:eastAsia="Times New Roman" w:hAnsiTheme="majorBidi" w:cstheme="majorBidi"/>
          <w:b/>
          <w:bCs/>
          <w:color w:val="000000" w:themeColor="text1"/>
          <w:lang w:eastAsia="sk-SK"/>
        </w:rPr>
      </w:pPr>
      <w:r w:rsidRPr="006C25C6">
        <w:rPr>
          <w:rFonts w:asciiTheme="majorBidi" w:hAnsiTheme="majorBidi" w:cstheme="majorBidi"/>
          <w:b/>
          <w:bCs/>
          <w:color w:val="000000" w:themeColor="text1"/>
        </w:rPr>
        <w:lastRenderedPageBreak/>
        <w:t xml:space="preserve">Osobitná časť </w:t>
      </w:r>
    </w:p>
    <w:p w:rsidR="008D7E9B" w:rsidRPr="006C25C6" w:rsidRDefault="008D7E9B" w:rsidP="00766B03">
      <w:pPr>
        <w:spacing w:line="276" w:lineRule="auto"/>
        <w:jc w:val="both"/>
        <w:rPr>
          <w:rFonts w:asciiTheme="majorBidi" w:hAnsiTheme="majorBidi" w:cstheme="majorBidi"/>
          <w:b/>
          <w:bCs/>
          <w:color w:val="000000" w:themeColor="text1"/>
        </w:rPr>
      </w:pPr>
    </w:p>
    <w:p w:rsidR="008D7E9B" w:rsidRPr="006C25C6" w:rsidRDefault="008D7E9B" w:rsidP="00766B03">
      <w:pPr>
        <w:spacing w:line="276" w:lineRule="auto"/>
        <w:jc w:val="both"/>
        <w:rPr>
          <w:rFonts w:asciiTheme="majorBidi" w:hAnsiTheme="majorBidi" w:cstheme="majorBidi"/>
          <w:color w:val="000000" w:themeColor="text1"/>
        </w:rPr>
      </w:pPr>
      <w:r w:rsidRPr="006C25C6">
        <w:rPr>
          <w:rFonts w:asciiTheme="majorBidi" w:hAnsiTheme="majorBidi" w:cstheme="majorBidi"/>
          <w:b/>
          <w:bCs/>
          <w:color w:val="000000" w:themeColor="text1"/>
        </w:rPr>
        <w:t>K čl. I</w:t>
      </w:r>
    </w:p>
    <w:p w:rsidR="00794C60" w:rsidRPr="006C25C6" w:rsidRDefault="00794C60" w:rsidP="00766B03">
      <w:pPr>
        <w:spacing w:line="276" w:lineRule="auto"/>
        <w:jc w:val="both"/>
        <w:rPr>
          <w:rFonts w:asciiTheme="majorBidi" w:hAnsiTheme="majorBidi" w:cstheme="majorBidi"/>
          <w:color w:val="000000" w:themeColor="text1"/>
        </w:rPr>
      </w:pPr>
    </w:p>
    <w:p w:rsidR="003F4F96" w:rsidRDefault="00987592" w:rsidP="003F4F96">
      <w:pPr>
        <w:spacing w:line="276" w:lineRule="auto"/>
        <w:ind w:firstLine="708"/>
        <w:jc w:val="both"/>
        <w:rPr>
          <w:rFonts w:asciiTheme="majorBidi" w:hAnsiTheme="majorBidi" w:cstheme="majorBidi"/>
        </w:rPr>
      </w:pPr>
      <w:r>
        <w:rPr>
          <w:rFonts w:asciiTheme="majorBidi" w:hAnsiTheme="majorBidi" w:cstheme="majorBidi"/>
        </w:rPr>
        <w:t xml:space="preserve">Navrhuje sa </w:t>
      </w:r>
      <w:r w:rsidR="00210DFB">
        <w:rPr>
          <w:rFonts w:asciiTheme="majorBidi" w:hAnsiTheme="majorBidi" w:cstheme="majorBidi"/>
        </w:rPr>
        <w:t xml:space="preserve">v celom texte zákona rozšíriť jeho pôsobnosť na 14. dôchodok, ktorý sa vypláca jednorazovo v v deň splatnosti dôchodku v novembri 2022. </w:t>
      </w:r>
      <w:r w:rsidR="003F4F96">
        <w:rPr>
          <w:rFonts w:asciiTheme="majorBidi" w:hAnsiTheme="majorBidi" w:cstheme="majorBidi"/>
        </w:rPr>
        <w:t xml:space="preserve">Pre priznanie a výplatu 14. dôchodku sa navrhuje ponechať rovnaké podmienky a pravidlá, ako v prípade existujúceho 13. dôchodku. Navrhuje sa neuplatniť rovnaké pravidlá len v súvislosti s mimoriadnymi opatreniami pre výplatu 13. dôchodku v roku 2022. </w:t>
      </w:r>
    </w:p>
    <w:p w:rsidR="00987592" w:rsidRDefault="003F4F96" w:rsidP="00A93E6F">
      <w:pPr>
        <w:spacing w:after="240"/>
        <w:jc w:val="both"/>
        <w:rPr>
          <w:rFonts w:asciiTheme="majorBidi" w:hAnsiTheme="majorBidi" w:cstheme="majorBidi"/>
        </w:rPr>
      </w:pPr>
      <w:r>
        <w:rPr>
          <w:rFonts w:asciiTheme="majorBidi" w:hAnsiTheme="majorBidi" w:cstheme="majorBidi"/>
        </w:rPr>
        <w:t>Zároveň sa jednoznačne navrhuje uplatňovať rovnaké pravidlá pre 14. dôchodok ako v prípade 13. dôchodku v celom rozsahu zákona č. 296/2020 o 13. dôchodku a o zmene a doplnení niektorých zákonov. V </w:t>
      </w:r>
      <w:r w:rsidRPr="003F4F96">
        <w:rPr>
          <w:rFonts w:asciiTheme="majorBidi" w:hAnsiTheme="majorBidi" w:cstheme="majorBidi"/>
        </w:rPr>
        <w:t>praxi to znamená, že na 14. dôchodok sa budú vzťahovať aj všetky ustanovenia čl. II až X. zákona rovnako, ako sa vzťahujú na 13. dôchodok. To isté platí aj pre prílohu zákona, ktorou sa stanovuje mechanizmus určenia výšky 13. dôchodku v nadväznosti na § 3 ods. 1 písm. b)</w:t>
      </w:r>
      <w:r>
        <w:t xml:space="preserve">. </w:t>
      </w:r>
      <w:r w:rsidRPr="003F4F96">
        <w:br/>
      </w:r>
    </w:p>
    <w:p w:rsidR="008D7E9B" w:rsidRPr="006C25C6" w:rsidRDefault="008D7E9B" w:rsidP="00766B03">
      <w:pPr>
        <w:spacing w:line="276" w:lineRule="auto"/>
        <w:jc w:val="both"/>
        <w:rPr>
          <w:rFonts w:asciiTheme="majorBidi" w:hAnsiTheme="majorBidi" w:cstheme="majorBidi"/>
          <w:b/>
          <w:bCs/>
          <w:color w:val="000000" w:themeColor="text1"/>
        </w:rPr>
      </w:pPr>
      <w:r w:rsidRPr="006C25C6">
        <w:rPr>
          <w:rFonts w:asciiTheme="majorBidi" w:hAnsiTheme="majorBidi" w:cstheme="majorBidi"/>
          <w:b/>
          <w:bCs/>
          <w:color w:val="000000" w:themeColor="text1"/>
        </w:rPr>
        <w:t>K čl. II</w:t>
      </w:r>
    </w:p>
    <w:p w:rsidR="00316A26" w:rsidRPr="006C25C6" w:rsidRDefault="00316A26" w:rsidP="00766B03">
      <w:pPr>
        <w:spacing w:line="276" w:lineRule="auto"/>
        <w:jc w:val="both"/>
        <w:rPr>
          <w:rFonts w:asciiTheme="majorBidi" w:hAnsiTheme="majorBidi" w:cstheme="majorBidi"/>
          <w:color w:val="000000" w:themeColor="text1"/>
        </w:rPr>
      </w:pPr>
    </w:p>
    <w:p w:rsidR="00316A26" w:rsidRPr="006C25C6" w:rsidRDefault="009F1FDF" w:rsidP="003F4F96">
      <w:pPr>
        <w:spacing w:line="276" w:lineRule="auto"/>
        <w:ind w:firstLine="708"/>
        <w:jc w:val="both"/>
        <w:rPr>
          <w:rFonts w:asciiTheme="majorBidi" w:hAnsiTheme="majorBidi" w:cstheme="majorBidi"/>
          <w:color w:val="000000" w:themeColor="text1"/>
        </w:rPr>
      </w:pPr>
      <w:r>
        <w:rPr>
          <w:rFonts w:asciiTheme="majorBidi" w:hAnsiTheme="majorBidi" w:cstheme="majorBidi"/>
          <w:color w:val="000000" w:themeColor="text1"/>
        </w:rPr>
        <w:t xml:space="preserve">Účinnosť návrhu zákona sa stanovuje tak, aby orgánom verejnej správy zodpovedným za výplatu príspevku poskytla dostatočný čas na </w:t>
      </w:r>
      <w:r>
        <w:rPr>
          <w:rFonts w:asciiTheme="majorBidi" w:hAnsiTheme="majorBidi" w:cstheme="majorBidi"/>
        </w:rPr>
        <w:t>zvládnutie príslušnej administratívy a bezproblémové vyplatenie príspevku v</w:t>
      </w:r>
      <w:r w:rsidR="003F4F96">
        <w:rPr>
          <w:rFonts w:asciiTheme="majorBidi" w:hAnsiTheme="majorBidi" w:cstheme="majorBidi"/>
        </w:rPr>
        <w:t> stanovenom termíne</w:t>
      </w:r>
      <w:r w:rsidR="006C25C6" w:rsidRPr="006C25C6">
        <w:rPr>
          <w:rFonts w:asciiTheme="majorBidi" w:hAnsiTheme="majorBidi" w:cstheme="majorBidi"/>
          <w:color w:val="000000" w:themeColor="text1"/>
        </w:rPr>
        <w:t xml:space="preserve">. </w:t>
      </w: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B83154" w:rsidRPr="00D60773" w:rsidRDefault="006C25C6" w:rsidP="00766B03">
      <w:pPr>
        <w:spacing w:before="120" w:line="276" w:lineRule="auto"/>
        <w:jc w:val="center"/>
        <w:rPr>
          <w:rFonts w:ascii="Times New Roman" w:hAnsi="Times New Roman" w:cs="Times New Roman"/>
          <w:b/>
          <w:bCs/>
          <w:caps/>
          <w:color w:val="000000" w:themeColor="text1"/>
          <w:spacing w:val="30"/>
        </w:rPr>
      </w:pPr>
      <w:r>
        <w:rPr>
          <w:rFonts w:ascii="Times New Roman" w:hAnsi="Times New Roman" w:cs="Times New Roman"/>
          <w:b/>
          <w:bCs/>
          <w:caps/>
          <w:color w:val="000000" w:themeColor="text1"/>
          <w:spacing w:val="30"/>
        </w:rPr>
        <w:t>D</w:t>
      </w:r>
      <w:r w:rsidR="00B83154" w:rsidRPr="00D60773">
        <w:rPr>
          <w:rFonts w:ascii="Times New Roman" w:hAnsi="Times New Roman" w:cs="Times New Roman"/>
          <w:b/>
          <w:bCs/>
          <w:caps/>
          <w:color w:val="000000" w:themeColor="text1"/>
          <w:spacing w:val="30"/>
        </w:rPr>
        <w:t>OLOŽKA ZLUČITEĽNOSTI</w:t>
      </w:r>
    </w:p>
    <w:p w:rsidR="00B83154" w:rsidRPr="00D60773" w:rsidRDefault="00B83154" w:rsidP="00766B03">
      <w:pPr>
        <w:pStyle w:val="Normlnywebov"/>
        <w:spacing w:before="120" w:after="0" w:line="276" w:lineRule="auto"/>
        <w:jc w:val="center"/>
        <w:rPr>
          <w:color w:val="000000" w:themeColor="text1"/>
        </w:rPr>
      </w:pPr>
      <w:r w:rsidRPr="00D60773">
        <w:rPr>
          <w:b/>
          <w:bCs/>
          <w:color w:val="000000" w:themeColor="text1"/>
        </w:rPr>
        <w:t>návrhu zákona</w:t>
      </w:r>
      <w:r w:rsidRPr="00D60773">
        <w:rPr>
          <w:color w:val="000000" w:themeColor="text1"/>
        </w:rPr>
        <w:t xml:space="preserve"> </w:t>
      </w:r>
      <w:r w:rsidRPr="00D60773">
        <w:rPr>
          <w:b/>
          <w:bCs/>
          <w:color w:val="000000" w:themeColor="text1"/>
        </w:rPr>
        <w:t>s právom Európskej únie</w:t>
      </w:r>
    </w:p>
    <w:p w:rsidR="00B83154" w:rsidRPr="00D60773" w:rsidRDefault="00B83154" w:rsidP="00766B03">
      <w:pPr>
        <w:pStyle w:val="Normlnywebov"/>
        <w:spacing w:before="120" w:after="0" w:line="276" w:lineRule="auto"/>
        <w:jc w:val="both"/>
        <w:rPr>
          <w:color w:val="000000" w:themeColor="text1"/>
        </w:rPr>
      </w:pPr>
      <w:r w:rsidRPr="00D60773">
        <w:rPr>
          <w:color w:val="000000" w:themeColor="text1"/>
        </w:rPr>
        <w:t> </w:t>
      </w:r>
    </w:p>
    <w:p w:rsidR="00B83154" w:rsidRPr="00D60773" w:rsidRDefault="00B83154" w:rsidP="00766B03">
      <w:pPr>
        <w:pStyle w:val="Normlnywebov"/>
        <w:spacing w:before="120" w:after="0" w:line="276" w:lineRule="auto"/>
        <w:jc w:val="both"/>
        <w:rPr>
          <w:strike/>
          <w:color w:val="000000" w:themeColor="text1"/>
        </w:rPr>
      </w:pPr>
      <w:r w:rsidRPr="00D60773">
        <w:rPr>
          <w:b/>
          <w:bCs/>
          <w:color w:val="000000" w:themeColor="text1"/>
        </w:rPr>
        <w:t>1. Navrhovateľ zákona:</w:t>
      </w:r>
      <w:r w:rsidRPr="00D60773">
        <w:rPr>
          <w:color w:val="000000" w:themeColor="text1"/>
        </w:rPr>
        <w:t xml:space="preserve"> skupina poslancov Národnej rady Slovenskej republiky</w:t>
      </w:r>
    </w:p>
    <w:p w:rsidR="00B83154" w:rsidRPr="00D60773" w:rsidRDefault="00B83154" w:rsidP="00766B03">
      <w:pPr>
        <w:pStyle w:val="Normlnywebov"/>
        <w:spacing w:line="276" w:lineRule="auto"/>
        <w:jc w:val="both"/>
        <w:rPr>
          <w:bCs/>
          <w:color w:val="000000" w:themeColor="text1"/>
        </w:rPr>
      </w:pPr>
      <w:r w:rsidRPr="00D60773">
        <w:rPr>
          <w:b/>
          <w:color w:val="000000" w:themeColor="text1"/>
        </w:rPr>
        <w:t>2. Názov návrhu zákona</w:t>
      </w:r>
      <w:r w:rsidRPr="00D60773">
        <w:rPr>
          <w:color w:val="000000" w:themeColor="text1"/>
        </w:rPr>
        <w:t xml:space="preserve">: </w:t>
      </w:r>
      <w:r w:rsidR="006E26EC">
        <w:rPr>
          <w:color w:val="000000" w:themeColor="text1"/>
        </w:rPr>
        <w:t>N</w:t>
      </w:r>
      <w:r w:rsidRPr="00D60773">
        <w:rPr>
          <w:color w:val="000000" w:themeColor="text1"/>
        </w:rPr>
        <w:t xml:space="preserve">ávrh zákona, ktorým sa mení a dopĺňa zákon č. </w:t>
      </w:r>
      <w:r w:rsidR="00057603" w:rsidRPr="00145931">
        <w:rPr>
          <w:color w:val="000000" w:themeColor="text1"/>
        </w:rPr>
        <w:t>461/2003 Z. z. o sociálnom poistení v znení neskorších predpiso</w:t>
      </w:r>
      <w:r w:rsidR="00057603">
        <w:rPr>
          <w:color w:val="000000" w:themeColor="text1"/>
        </w:rPr>
        <w:t>v</w:t>
      </w:r>
      <w:r w:rsidR="009D10CE">
        <w:rPr>
          <w:color w:val="000000" w:themeColor="text1"/>
        </w:rPr>
        <w:t>.</w:t>
      </w:r>
    </w:p>
    <w:p w:rsidR="00B83154" w:rsidRPr="00D60773" w:rsidRDefault="00B83154" w:rsidP="00766B03">
      <w:pPr>
        <w:pStyle w:val="Normlnywebov"/>
        <w:spacing w:before="120" w:after="0" w:line="276" w:lineRule="auto"/>
        <w:jc w:val="both"/>
        <w:rPr>
          <w:b/>
          <w:bCs/>
          <w:color w:val="000000" w:themeColor="text1"/>
        </w:rPr>
      </w:pPr>
      <w:r w:rsidRPr="00D60773">
        <w:rPr>
          <w:b/>
          <w:bCs/>
          <w:color w:val="000000" w:themeColor="text1"/>
        </w:rPr>
        <w:t>3. Predmet návrhu zákona:</w:t>
      </w:r>
    </w:p>
    <w:p w:rsidR="00B83154" w:rsidRPr="00D60773" w:rsidRDefault="00B83154" w:rsidP="00766B03">
      <w:pPr>
        <w:pStyle w:val="Normlnywebov"/>
        <w:numPr>
          <w:ilvl w:val="0"/>
          <w:numId w:val="6"/>
        </w:numPr>
        <w:suppressAutoHyphens/>
        <w:spacing w:before="120" w:beforeAutospacing="0" w:after="0" w:afterAutospacing="0" w:line="276" w:lineRule="auto"/>
        <w:jc w:val="both"/>
        <w:rPr>
          <w:bCs/>
          <w:color w:val="000000" w:themeColor="text1"/>
        </w:rPr>
      </w:pPr>
      <w:r w:rsidRPr="00D60773">
        <w:rPr>
          <w:bCs/>
          <w:color w:val="000000" w:themeColor="text1"/>
        </w:rPr>
        <w:t>nie je upravený v primárnom práve Európskej únie,</w:t>
      </w:r>
    </w:p>
    <w:p w:rsidR="00B83154" w:rsidRPr="00D60773" w:rsidRDefault="00B83154" w:rsidP="00766B03">
      <w:pPr>
        <w:pStyle w:val="Normlnywebov"/>
        <w:numPr>
          <w:ilvl w:val="0"/>
          <w:numId w:val="6"/>
        </w:numPr>
        <w:suppressAutoHyphens/>
        <w:spacing w:before="120" w:beforeAutospacing="0" w:after="0" w:afterAutospacing="0" w:line="276" w:lineRule="auto"/>
        <w:jc w:val="both"/>
        <w:rPr>
          <w:bCs/>
          <w:color w:val="000000" w:themeColor="text1"/>
        </w:rPr>
      </w:pPr>
      <w:r w:rsidRPr="00D60773">
        <w:rPr>
          <w:bCs/>
          <w:color w:val="000000" w:themeColor="text1"/>
        </w:rPr>
        <w:t>nie je upravený v sekundárnom práve Európskej únie,</w:t>
      </w:r>
    </w:p>
    <w:p w:rsidR="00B83154" w:rsidRPr="00D60773" w:rsidRDefault="00B83154" w:rsidP="00766B03">
      <w:pPr>
        <w:pStyle w:val="Normlnywebov"/>
        <w:numPr>
          <w:ilvl w:val="0"/>
          <w:numId w:val="6"/>
        </w:numPr>
        <w:suppressAutoHyphens/>
        <w:spacing w:before="120" w:beforeAutospacing="0" w:after="0" w:afterAutospacing="0" w:line="276" w:lineRule="auto"/>
        <w:jc w:val="both"/>
        <w:rPr>
          <w:bCs/>
          <w:color w:val="000000" w:themeColor="text1"/>
        </w:rPr>
      </w:pPr>
      <w:r w:rsidRPr="00D60773">
        <w:rPr>
          <w:bCs/>
          <w:color w:val="000000" w:themeColor="text1"/>
        </w:rPr>
        <w:t>nie je obsiahnutý v judikatúre Súdneho dvora Európskej únie.</w:t>
      </w:r>
    </w:p>
    <w:p w:rsidR="00B83154" w:rsidRPr="00D60773" w:rsidRDefault="00B83154" w:rsidP="00766B03">
      <w:pPr>
        <w:pStyle w:val="Normlnywebov"/>
        <w:suppressAutoHyphens/>
        <w:spacing w:before="120" w:beforeAutospacing="0" w:after="0" w:afterAutospacing="0" w:line="276" w:lineRule="auto"/>
        <w:jc w:val="both"/>
        <w:rPr>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r w:rsidRPr="00D60773">
        <w:rPr>
          <w:rFonts w:ascii="Times New Roman" w:hAnsi="Times New Roman" w:cs="Times New Roman"/>
          <w:b/>
          <w:bCs/>
          <w:color w:val="000000" w:themeColor="text1"/>
        </w:rPr>
        <w:t>Vzhľadom na to, že predmet návrhu zákona nie je upravený v práve Európskej únie, je bezpredmetné vyjadrovať sa k bodom 4. a 5.</w:t>
      </w: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Default="00B83154" w:rsidP="00766B03">
      <w:pPr>
        <w:spacing w:line="276" w:lineRule="auto"/>
        <w:jc w:val="both"/>
        <w:rPr>
          <w:rFonts w:ascii="Times New Roman" w:hAnsi="Times New Roman" w:cs="Times New Roman"/>
          <w:b/>
          <w:bCs/>
          <w:color w:val="000000" w:themeColor="text1"/>
        </w:rPr>
      </w:pPr>
    </w:p>
    <w:p w:rsidR="003527EB" w:rsidRDefault="003527EB" w:rsidP="00766B03">
      <w:pPr>
        <w:spacing w:line="276" w:lineRule="auto"/>
        <w:jc w:val="both"/>
        <w:rPr>
          <w:rFonts w:ascii="Times New Roman" w:hAnsi="Times New Roman" w:cs="Times New Roman"/>
          <w:b/>
          <w:bCs/>
          <w:color w:val="000000" w:themeColor="text1"/>
        </w:rPr>
      </w:pPr>
    </w:p>
    <w:p w:rsidR="00F42969" w:rsidRDefault="00F42969" w:rsidP="00766B03">
      <w:pPr>
        <w:spacing w:before="120" w:line="276" w:lineRule="auto"/>
        <w:jc w:val="center"/>
        <w:rPr>
          <w:rFonts w:ascii="Times New Roman" w:hAnsi="Times New Roman" w:cs="Times New Roman"/>
          <w:b/>
          <w:bCs/>
          <w:caps/>
          <w:color w:val="000000" w:themeColor="text1"/>
          <w:spacing w:val="30"/>
        </w:rPr>
      </w:pPr>
      <w:r>
        <w:rPr>
          <w:rFonts w:ascii="Times New Roman" w:hAnsi="Times New Roman" w:cs="Times New Roman"/>
          <w:b/>
          <w:bCs/>
          <w:caps/>
          <w:color w:val="000000" w:themeColor="text1"/>
          <w:spacing w:val="30"/>
        </w:rPr>
        <w:t>Doložka</w:t>
      </w:r>
    </w:p>
    <w:p w:rsidR="00F42969" w:rsidRDefault="00F42969" w:rsidP="00766B03">
      <w:pPr>
        <w:spacing w:before="120"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vybraných vplyvov</w:t>
      </w:r>
    </w:p>
    <w:p w:rsidR="00F42969" w:rsidRDefault="00F42969" w:rsidP="00766B03">
      <w:pPr>
        <w:spacing w:before="120" w:line="276" w:lineRule="auto"/>
        <w:jc w:val="both"/>
        <w:rPr>
          <w:rFonts w:ascii="Times New Roman" w:hAnsi="Times New Roman" w:cs="Times New Roman"/>
          <w:color w:val="000000" w:themeColor="text1"/>
        </w:rPr>
      </w:pPr>
    </w:p>
    <w:p w:rsidR="00F42969" w:rsidRPr="006E26EC" w:rsidRDefault="00F42969" w:rsidP="00766B03">
      <w:pPr>
        <w:spacing w:before="120" w:line="276" w:lineRule="auto"/>
        <w:jc w:val="both"/>
        <w:rPr>
          <w:rFonts w:ascii="Times New Roman" w:hAnsi="Times New Roman" w:cs="Times New Roman"/>
          <w:b/>
          <w:bCs/>
          <w:color w:val="FF0000"/>
        </w:rPr>
      </w:pPr>
      <w:r>
        <w:rPr>
          <w:rFonts w:ascii="Times New Roman" w:hAnsi="Times New Roman" w:cs="Times New Roman"/>
          <w:b/>
          <w:bCs/>
          <w:color w:val="000000" w:themeColor="text1"/>
        </w:rPr>
        <w:t xml:space="preserve">A.1. Názov materiálu: </w:t>
      </w:r>
      <w:r w:rsidRPr="006E26EC">
        <w:rPr>
          <w:rFonts w:ascii="Times New Roman" w:hAnsi="Times New Roman" w:cs="Times New Roman"/>
          <w:color w:val="000000" w:themeColor="text1"/>
        </w:rPr>
        <w:t>Návrh zákona, ktorým sa mení a dopĺňa zákon č. 461/2003 Z. z. o sociálnom poistení v znení neskorších predpisov</w:t>
      </w:r>
    </w:p>
    <w:p w:rsidR="00F42969" w:rsidRDefault="00F42969" w:rsidP="00766B03">
      <w:pPr>
        <w:spacing w:before="120" w:line="276" w:lineRule="auto"/>
        <w:jc w:val="both"/>
        <w:rPr>
          <w:rFonts w:ascii="Times New Roman" w:hAnsi="Times New Roman" w:cs="Times New Roman"/>
          <w:i/>
          <w:iCs/>
          <w:color w:val="000000" w:themeColor="text1"/>
        </w:rPr>
      </w:pPr>
      <w:r>
        <w:rPr>
          <w:rFonts w:ascii="Times New Roman" w:hAnsi="Times New Roman" w:cs="Times New Roman"/>
          <w:b/>
          <w:bCs/>
          <w:color w:val="000000" w:themeColor="text1"/>
        </w:rPr>
        <w:t>Termín začatia a ukončenia PPK:</w:t>
      </w:r>
      <w:r>
        <w:rPr>
          <w:rFonts w:ascii="Times New Roman" w:hAnsi="Times New Roman" w:cs="Times New Roman"/>
          <w:color w:val="000000" w:themeColor="text1"/>
        </w:rPr>
        <w:t xml:space="preserve"> </w:t>
      </w:r>
      <w:r>
        <w:rPr>
          <w:rFonts w:ascii="Times New Roman" w:hAnsi="Times New Roman" w:cs="Times New Roman"/>
          <w:i/>
          <w:iCs/>
          <w:color w:val="000000" w:themeColor="text1"/>
        </w:rPr>
        <w:t>bezpredmetné</w:t>
      </w:r>
    </w:p>
    <w:p w:rsidR="00F42969" w:rsidRDefault="00F42969" w:rsidP="00766B03">
      <w:pPr>
        <w:spacing w:before="120" w:line="276" w:lineRule="auto"/>
        <w:jc w:val="both"/>
        <w:rPr>
          <w:rFonts w:ascii="Times New Roman" w:hAnsi="Times New Roman" w:cs="Times New Roman"/>
          <w:b/>
          <w:bCs/>
          <w:color w:val="000000" w:themeColor="text1"/>
        </w:rPr>
      </w:pPr>
    </w:p>
    <w:p w:rsidR="00F42969" w:rsidRDefault="00F42969" w:rsidP="00766B03">
      <w:pPr>
        <w:spacing w:before="120"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A.2. Vplyvy:</w:t>
      </w:r>
    </w:p>
    <w:tbl>
      <w:tblPr>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5515"/>
        <w:gridCol w:w="1190"/>
        <w:gridCol w:w="1180"/>
        <w:gridCol w:w="1197"/>
      </w:tblGrid>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c>
          <w:tcPr>
            <w:tcW w:w="118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Pozitívne </w:t>
            </w: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Žiadne </w:t>
            </w:r>
          </w:p>
        </w:tc>
        <w:tc>
          <w:tcPr>
            <w:tcW w:w="1196"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Negatívne </w:t>
            </w: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1. Vplyvy na rozpočet verejnej správy</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2. Vplyvy na podnikateľské prostredie – dochádza k zvýšeniu regulačného zaťaženia?</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center"/>
              <w:rPr>
                <w:rFonts w:ascii="Times New Roman" w:hAnsi="Times New Roman" w:cs="Times New Roman"/>
                <w:color w:val="000000" w:themeColor="text1"/>
              </w:rPr>
            </w:pP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3. Sociálne vplyvy</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6C25C6"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vplyvy na hospodárenie obyvateľstva,</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6C25C6"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sociálnu exklúziu,</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9F1FDF"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rovnosť príležitostí a rodovú rovnosť a vplyvy na zamestnanosť</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4. Vplyvy na životné prostredie</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5. Vplyvy na informatizáciu spoločnosti</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r>
    </w:tbl>
    <w:p w:rsidR="00F42969" w:rsidRDefault="00F42969" w:rsidP="00766B03">
      <w:pPr>
        <w:spacing w:before="120" w:line="276" w:lineRule="auto"/>
        <w:jc w:val="both"/>
        <w:rPr>
          <w:rFonts w:ascii="Times New Roman" w:hAnsi="Times New Roman" w:cs="Times New Roman"/>
          <w:color w:val="000000" w:themeColor="text1"/>
        </w:rPr>
      </w:pPr>
    </w:p>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A.3. Poznámky</w:t>
      </w:r>
    </w:p>
    <w:p w:rsidR="00F42969" w:rsidRDefault="00F42969" w:rsidP="00766B03">
      <w:pPr>
        <w:spacing w:before="120" w:line="276" w:lineRule="auto"/>
        <w:jc w:val="both"/>
        <w:rPr>
          <w:rFonts w:ascii="Times New Roman" w:hAnsi="Times New Roman" w:cs="Times New Roman"/>
          <w:i/>
          <w:color w:val="000000" w:themeColor="text1"/>
        </w:rPr>
      </w:pPr>
      <w:r>
        <w:rPr>
          <w:rFonts w:ascii="Times New Roman" w:hAnsi="Times New Roman" w:cs="Times New Roman"/>
          <w:i/>
          <w:color w:val="000000" w:themeColor="text1"/>
        </w:rPr>
        <w:t>bezpredmetné</w:t>
      </w:r>
    </w:p>
    <w:p w:rsidR="00F42969" w:rsidRDefault="00F42969" w:rsidP="00766B03">
      <w:pPr>
        <w:spacing w:before="120" w:line="276" w:lineRule="auto"/>
        <w:jc w:val="both"/>
        <w:rPr>
          <w:rFonts w:ascii="Times New Roman" w:hAnsi="Times New Roman" w:cs="Times New Roman"/>
          <w:b/>
          <w:bCs/>
          <w:color w:val="000000" w:themeColor="text1"/>
        </w:rPr>
      </w:pPr>
    </w:p>
    <w:p w:rsidR="00F42969" w:rsidRDefault="00F42969" w:rsidP="00766B03">
      <w:pPr>
        <w:spacing w:before="120"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A.4. Alternatívne riešenia</w:t>
      </w:r>
    </w:p>
    <w:p w:rsidR="00F42969" w:rsidRDefault="00F42969" w:rsidP="00766B03">
      <w:pPr>
        <w:spacing w:before="120" w:line="276" w:lineRule="auto"/>
        <w:jc w:val="both"/>
        <w:rPr>
          <w:rFonts w:ascii="Times New Roman" w:hAnsi="Times New Roman" w:cs="Times New Roman"/>
          <w:i/>
          <w:color w:val="000000" w:themeColor="text1"/>
        </w:rPr>
      </w:pPr>
      <w:r>
        <w:rPr>
          <w:rFonts w:ascii="Times New Roman" w:hAnsi="Times New Roman" w:cs="Times New Roman"/>
          <w:i/>
          <w:color w:val="000000" w:themeColor="text1"/>
        </w:rPr>
        <w:t>bezpredmetné </w:t>
      </w:r>
    </w:p>
    <w:p w:rsidR="00F42969" w:rsidRDefault="00F42969" w:rsidP="00766B03">
      <w:pPr>
        <w:pStyle w:val="Normlnywebov"/>
        <w:spacing w:before="120" w:beforeAutospacing="0" w:after="0" w:afterAutospacing="0" w:line="276" w:lineRule="auto"/>
        <w:ind w:left="567" w:hanging="567"/>
        <w:jc w:val="both"/>
        <w:rPr>
          <w:b/>
          <w:bCs/>
          <w:color w:val="000000" w:themeColor="text1"/>
        </w:rPr>
      </w:pPr>
    </w:p>
    <w:p w:rsidR="00F42969" w:rsidRDefault="00F42969" w:rsidP="00766B03">
      <w:pPr>
        <w:pStyle w:val="Normlnywebov"/>
        <w:spacing w:before="120" w:beforeAutospacing="0" w:after="0" w:afterAutospacing="0" w:line="276" w:lineRule="auto"/>
        <w:ind w:left="567" w:hanging="567"/>
        <w:jc w:val="both"/>
        <w:rPr>
          <w:color w:val="000000" w:themeColor="text1"/>
        </w:rPr>
      </w:pPr>
      <w:r>
        <w:rPr>
          <w:b/>
          <w:bCs/>
          <w:color w:val="000000" w:themeColor="text1"/>
        </w:rPr>
        <w:t xml:space="preserve">A.5. </w:t>
      </w:r>
      <w:r>
        <w:rPr>
          <w:b/>
          <w:bCs/>
          <w:color w:val="000000" w:themeColor="text1"/>
        </w:rPr>
        <w:tab/>
        <w:t>Stanovisko gestorov</w:t>
      </w:r>
    </w:p>
    <w:p w:rsidR="00F42969" w:rsidRPr="00D60773" w:rsidRDefault="00F42969" w:rsidP="006C25C6">
      <w:pPr>
        <w:pStyle w:val="Normlnywebov"/>
        <w:spacing w:before="120" w:beforeAutospacing="0" w:after="0" w:afterAutospacing="0" w:line="276" w:lineRule="auto"/>
        <w:jc w:val="both"/>
        <w:rPr>
          <w:color w:val="000000" w:themeColor="text1"/>
        </w:rPr>
      </w:pPr>
      <w:r>
        <w:rPr>
          <w:i/>
          <w:iCs/>
          <w:color w:val="000000" w:themeColor="text1"/>
        </w:rPr>
        <w:t>Návrh zákona bol zaslaný na vyjadrenie Ministerstvu financií SR.</w:t>
      </w:r>
    </w:p>
    <w:sectPr w:rsidR="00F42969" w:rsidRPr="00D60773" w:rsidSect="00A8760C">
      <w:footerReference w:type="even"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CE1" w:rsidRDefault="00044CE1" w:rsidP="00A8760C">
      <w:r>
        <w:separator/>
      </w:r>
    </w:p>
  </w:endnote>
  <w:endnote w:type="continuationSeparator" w:id="0">
    <w:p w:rsidR="00044CE1" w:rsidRDefault="00044CE1"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1059671911"/>
      <w:docPartObj>
        <w:docPartGallery w:val="Page Numbers (Bottom of Page)"/>
        <w:docPartUnique/>
      </w:docPartObj>
    </w:sdtPr>
    <w:sdtEndPr>
      <w:rPr>
        <w:rStyle w:val="slostrany"/>
      </w:rPr>
    </w:sdtEndPr>
    <w:sdtContent>
      <w:p w:rsidR="00210DFB" w:rsidRDefault="00210DFB" w:rsidP="00514C14">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rsidR="00210DFB" w:rsidRDefault="00210DF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rsidR="00210DFB" w:rsidRPr="00A8760C" w:rsidRDefault="00210DFB" w:rsidP="00514C14">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3F4F96">
          <w:rPr>
            <w:rStyle w:val="slostrany"/>
            <w:rFonts w:ascii="Times New Roman" w:hAnsi="Times New Roman" w:cs="Times New Roman"/>
            <w:noProof/>
          </w:rPr>
          <w:t>4</w:t>
        </w:r>
        <w:r w:rsidRPr="00A8760C">
          <w:rPr>
            <w:rStyle w:val="slostrany"/>
            <w:rFonts w:ascii="Times New Roman" w:hAnsi="Times New Roman" w:cs="Times New Roman"/>
          </w:rPr>
          <w:fldChar w:fldCharType="end"/>
        </w:r>
      </w:p>
    </w:sdtContent>
  </w:sdt>
  <w:p w:rsidR="00210DFB" w:rsidRPr="00A8760C" w:rsidRDefault="00210DFB">
    <w:pPr>
      <w:pStyle w:val="Pta"/>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547904"/>
      <w:docPartObj>
        <w:docPartGallery w:val="Page Numbers (Bottom of Page)"/>
        <w:docPartUnique/>
      </w:docPartObj>
    </w:sdtPr>
    <w:sdtEndPr/>
    <w:sdtContent>
      <w:p w:rsidR="00210DFB" w:rsidRDefault="00044CE1">
        <w:pPr>
          <w:pStyle w:val="Pta"/>
          <w:jc w:val="center"/>
        </w:pPr>
        <w:r>
          <w:fldChar w:fldCharType="begin"/>
        </w:r>
        <w:r>
          <w:instrText>PAGE   \* MERGEFORMAT</w:instrText>
        </w:r>
        <w:r>
          <w:fldChar w:fldCharType="separate"/>
        </w:r>
        <w:r w:rsidR="003F4F96">
          <w:rPr>
            <w:noProof/>
          </w:rPr>
          <w:t>1</w:t>
        </w:r>
        <w:r>
          <w:rPr>
            <w:noProof/>
          </w:rPr>
          <w:fldChar w:fldCharType="end"/>
        </w:r>
      </w:p>
    </w:sdtContent>
  </w:sdt>
  <w:p w:rsidR="00210DFB" w:rsidRDefault="00210DF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CE1" w:rsidRDefault="00044CE1" w:rsidP="00A8760C">
      <w:r>
        <w:separator/>
      </w:r>
    </w:p>
  </w:footnote>
  <w:footnote w:type="continuationSeparator" w:id="0">
    <w:p w:rsidR="00044CE1" w:rsidRDefault="00044CE1" w:rsidP="00A8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DFB" w:rsidRDefault="00210DFB">
    <w:pPr>
      <w:pStyle w:val="Hlavika"/>
      <w:jc w:val="center"/>
    </w:pPr>
  </w:p>
  <w:p w:rsidR="00210DFB" w:rsidRDefault="00210DF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2146"/>
    <w:multiLevelType w:val="hybridMultilevel"/>
    <w:tmpl w:val="7BB416D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A8F6AAE"/>
    <w:multiLevelType w:val="hybridMultilevel"/>
    <w:tmpl w:val="AAE812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1C773C"/>
    <w:multiLevelType w:val="hybridMultilevel"/>
    <w:tmpl w:val="046E5D08"/>
    <w:lvl w:ilvl="0" w:tplc="4006A60E">
      <w:start w:val="140"/>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5CC533B5"/>
    <w:multiLevelType w:val="hybridMultilevel"/>
    <w:tmpl w:val="DCE4C81E"/>
    <w:lvl w:ilvl="0" w:tplc="FC0A971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8"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1"/>
  </w:num>
  <w:num w:numId="4">
    <w:abstractNumId w:val="7"/>
  </w:num>
  <w:num w:numId="5">
    <w:abstractNumId w:val="8"/>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cxMjEGQiNLQ0tzAyUdpeDU4uLM/DyQAsNaAPC5SPwsAAAA"/>
  </w:docVars>
  <w:rsids>
    <w:rsidRoot w:val="00BE2399"/>
    <w:rsid w:val="00044CE1"/>
    <w:rsid w:val="00045086"/>
    <w:rsid w:val="00055641"/>
    <w:rsid w:val="00057603"/>
    <w:rsid w:val="000761CB"/>
    <w:rsid w:val="00082E79"/>
    <w:rsid w:val="000843A4"/>
    <w:rsid w:val="00090EA2"/>
    <w:rsid w:val="0009435F"/>
    <w:rsid w:val="000A35E6"/>
    <w:rsid w:val="000A6519"/>
    <w:rsid w:val="000B54AD"/>
    <w:rsid w:val="000B5E7A"/>
    <w:rsid w:val="000C493B"/>
    <w:rsid w:val="000F56B6"/>
    <w:rsid w:val="001264FB"/>
    <w:rsid w:val="00127F4B"/>
    <w:rsid w:val="00145931"/>
    <w:rsid w:val="00155991"/>
    <w:rsid w:val="0019318E"/>
    <w:rsid w:val="001B0FF5"/>
    <w:rsid w:val="001B22FF"/>
    <w:rsid w:val="001F103A"/>
    <w:rsid w:val="001F4D4E"/>
    <w:rsid w:val="002061AA"/>
    <w:rsid w:val="002063ED"/>
    <w:rsid w:val="00210DFB"/>
    <w:rsid w:val="002471FC"/>
    <w:rsid w:val="00260CC7"/>
    <w:rsid w:val="002743D5"/>
    <w:rsid w:val="00277BE4"/>
    <w:rsid w:val="00281B1D"/>
    <w:rsid w:val="002A37C4"/>
    <w:rsid w:val="00316A26"/>
    <w:rsid w:val="003175E8"/>
    <w:rsid w:val="003205C3"/>
    <w:rsid w:val="00350DC1"/>
    <w:rsid w:val="003527EB"/>
    <w:rsid w:val="00352BBC"/>
    <w:rsid w:val="00355B12"/>
    <w:rsid w:val="0037025A"/>
    <w:rsid w:val="00377B0D"/>
    <w:rsid w:val="003920F8"/>
    <w:rsid w:val="003A4F3F"/>
    <w:rsid w:val="003D2FCA"/>
    <w:rsid w:val="003E1AD9"/>
    <w:rsid w:val="003F46AF"/>
    <w:rsid w:val="003F4F96"/>
    <w:rsid w:val="00404741"/>
    <w:rsid w:val="00433D46"/>
    <w:rsid w:val="00446004"/>
    <w:rsid w:val="00463651"/>
    <w:rsid w:val="00482331"/>
    <w:rsid w:val="004C3D7A"/>
    <w:rsid w:val="004C5139"/>
    <w:rsid w:val="004D1400"/>
    <w:rsid w:val="00500013"/>
    <w:rsid w:val="00505E0A"/>
    <w:rsid w:val="00514C14"/>
    <w:rsid w:val="0051761C"/>
    <w:rsid w:val="00526BCB"/>
    <w:rsid w:val="00535B17"/>
    <w:rsid w:val="00544392"/>
    <w:rsid w:val="00565A44"/>
    <w:rsid w:val="005776A7"/>
    <w:rsid w:val="00587C8F"/>
    <w:rsid w:val="00595F40"/>
    <w:rsid w:val="005B0819"/>
    <w:rsid w:val="005B4EF1"/>
    <w:rsid w:val="005C0DF7"/>
    <w:rsid w:val="005D3B97"/>
    <w:rsid w:val="005D6D52"/>
    <w:rsid w:val="006213AF"/>
    <w:rsid w:val="00630934"/>
    <w:rsid w:val="006351F6"/>
    <w:rsid w:val="00635F60"/>
    <w:rsid w:val="0065140F"/>
    <w:rsid w:val="00653DD1"/>
    <w:rsid w:val="00680087"/>
    <w:rsid w:val="006864D9"/>
    <w:rsid w:val="00696D3E"/>
    <w:rsid w:val="006C15A1"/>
    <w:rsid w:val="006C25C6"/>
    <w:rsid w:val="006C74C4"/>
    <w:rsid w:val="006E26EC"/>
    <w:rsid w:val="00706D76"/>
    <w:rsid w:val="00711180"/>
    <w:rsid w:val="007270FB"/>
    <w:rsid w:val="0073149C"/>
    <w:rsid w:val="007453F7"/>
    <w:rsid w:val="00750A03"/>
    <w:rsid w:val="0076386C"/>
    <w:rsid w:val="0076645F"/>
    <w:rsid w:val="00766B03"/>
    <w:rsid w:val="00774679"/>
    <w:rsid w:val="00785942"/>
    <w:rsid w:val="00794C60"/>
    <w:rsid w:val="007C2246"/>
    <w:rsid w:val="007D4705"/>
    <w:rsid w:val="007F13B3"/>
    <w:rsid w:val="007F535E"/>
    <w:rsid w:val="008126BB"/>
    <w:rsid w:val="00851889"/>
    <w:rsid w:val="00866D63"/>
    <w:rsid w:val="00872B76"/>
    <w:rsid w:val="0089040E"/>
    <w:rsid w:val="008A7D9F"/>
    <w:rsid w:val="008C014A"/>
    <w:rsid w:val="008D3514"/>
    <w:rsid w:val="008D7E9B"/>
    <w:rsid w:val="008E37A2"/>
    <w:rsid w:val="008F0400"/>
    <w:rsid w:val="00905CEF"/>
    <w:rsid w:val="0091278C"/>
    <w:rsid w:val="009144C1"/>
    <w:rsid w:val="009337B1"/>
    <w:rsid w:val="00936279"/>
    <w:rsid w:val="009425C3"/>
    <w:rsid w:val="00947904"/>
    <w:rsid w:val="00987592"/>
    <w:rsid w:val="00995168"/>
    <w:rsid w:val="009A1EA0"/>
    <w:rsid w:val="009C0174"/>
    <w:rsid w:val="009D10CE"/>
    <w:rsid w:val="009E363D"/>
    <w:rsid w:val="009F1FDF"/>
    <w:rsid w:val="00A1263B"/>
    <w:rsid w:val="00A17B2E"/>
    <w:rsid w:val="00A246F7"/>
    <w:rsid w:val="00A34902"/>
    <w:rsid w:val="00A503B5"/>
    <w:rsid w:val="00A54DCA"/>
    <w:rsid w:val="00A82E11"/>
    <w:rsid w:val="00A8760C"/>
    <w:rsid w:val="00A93E6F"/>
    <w:rsid w:val="00A9400B"/>
    <w:rsid w:val="00AA4BFC"/>
    <w:rsid w:val="00AF7F00"/>
    <w:rsid w:val="00B026AE"/>
    <w:rsid w:val="00B14ECB"/>
    <w:rsid w:val="00B1528B"/>
    <w:rsid w:val="00B15AA7"/>
    <w:rsid w:val="00B2540E"/>
    <w:rsid w:val="00B27823"/>
    <w:rsid w:val="00B4147C"/>
    <w:rsid w:val="00B83154"/>
    <w:rsid w:val="00B86ECF"/>
    <w:rsid w:val="00B94948"/>
    <w:rsid w:val="00BB4A28"/>
    <w:rsid w:val="00BD39E2"/>
    <w:rsid w:val="00BE1434"/>
    <w:rsid w:val="00BE2399"/>
    <w:rsid w:val="00BE418B"/>
    <w:rsid w:val="00BF538E"/>
    <w:rsid w:val="00C01600"/>
    <w:rsid w:val="00C27F38"/>
    <w:rsid w:val="00C5445B"/>
    <w:rsid w:val="00C5793B"/>
    <w:rsid w:val="00C66CD7"/>
    <w:rsid w:val="00C8069D"/>
    <w:rsid w:val="00C87D0B"/>
    <w:rsid w:val="00C90AC6"/>
    <w:rsid w:val="00CC33BC"/>
    <w:rsid w:val="00CD71EC"/>
    <w:rsid w:val="00CF7915"/>
    <w:rsid w:val="00CF7CED"/>
    <w:rsid w:val="00D60773"/>
    <w:rsid w:val="00D768CD"/>
    <w:rsid w:val="00D83641"/>
    <w:rsid w:val="00D85EA2"/>
    <w:rsid w:val="00DA3104"/>
    <w:rsid w:val="00DC68C8"/>
    <w:rsid w:val="00DD5EA4"/>
    <w:rsid w:val="00DE6B19"/>
    <w:rsid w:val="00DF7B06"/>
    <w:rsid w:val="00E14DDF"/>
    <w:rsid w:val="00E22B80"/>
    <w:rsid w:val="00E24535"/>
    <w:rsid w:val="00E64BD2"/>
    <w:rsid w:val="00EA1B5A"/>
    <w:rsid w:val="00EA3411"/>
    <w:rsid w:val="00EE7B5F"/>
    <w:rsid w:val="00EF0811"/>
    <w:rsid w:val="00EF4DB6"/>
    <w:rsid w:val="00EF5B40"/>
    <w:rsid w:val="00F17D4B"/>
    <w:rsid w:val="00F25E33"/>
    <w:rsid w:val="00F31928"/>
    <w:rsid w:val="00F42969"/>
    <w:rsid w:val="00F5283D"/>
    <w:rsid w:val="00F52CE4"/>
    <w:rsid w:val="00F56ACD"/>
    <w:rsid w:val="00F763F4"/>
    <w:rsid w:val="00FC029C"/>
    <w:rsid w:val="00FD6032"/>
    <w:rsid w:val="00FD7D83"/>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7CD2"/>
  <w15:docId w15:val="{FB3E06A4-04A1-447C-A211-6A10D3E1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5793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891218">
      <w:bodyDiv w:val="1"/>
      <w:marLeft w:val="0"/>
      <w:marRight w:val="0"/>
      <w:marTop w:val="0"/>
      <w:marBottom w:val="0"/>
      <w:divBdr>
        <w:top w:val="none" w:sz="0" w:space="0" w:color="auto"/>
        <w:left w:val="none" w:sz="0" w:space="0" w:color="auto"/>
        <w:bottom w:val="none" w:sz="0" w:space="0" w:color="auto"/>
        <w:right w:val="none" w:sz="0" w:space="0" w:color="auto"/>
      </w:divBdr>
      <w:divsChild>
        <w:div w:id="197083387">
          <w:marLeft w:val="0"/>
          <w:marRight w:val="0"/>
          <w:marTop w:val="0"/>
          <w:marBottom w:val="0"/>
          <w:divBdr>
            <w:top w:val="none" w:sz="0" w:space="0" w:color="auto"/>
            <w:left w:val="none" w:sz="0" w:space="0" w:color="auto"/>
            <w:bottom w:val="none" w:sz="0" w:space="0" w:color="auto"/>
            <w:right w:val="none" w:sz="0" w:space="0" w:color="auto"/>
          </w:divBdr>
        </w:div>
        <w:div w:id="1423376528">
          <w:marLeft w:val="0"/>
          <w:marRight w:val="0"/>
          <w:marTop w:val="0"/>
          <w:marBottom w:val="0"/>
          <w:divBdr>
            <w:top w:val="none" w:sz="0" w:space="0" w:color="auto"/>
            <w:left w:val="none" w:sz="0" w:space="0" w:color="auto"/>
            <w:bottom w:val="none" w:sz="0" w:space="0" w:color="auto"/>
            <w:right w:val="none" w:sz="0" w:space="0" w:color="auto"/>
          </w:divBdr>
          <w:divsChild>
            <w:div w:id="18924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99656">
      <w:bodyDiv w:val="1"/>
      <w:marLeft w:val="0"/>
      <w:marRight w:val="0"/>
      <w:marTop w:val="0"/>
      <w:marBottom w:val="0"/>
      <w:divBdr>
        <w:top w:val="none" w:sz="0" w:space="0" w:color="auto"/>
        <w:left w:val="none" w:sz="0" w:space="0" w:color="auto"/>
        <w:bottom w:val="none" w:sz="0" w:space="0" w:color="auto"/>
        <w:right w:val="none" w:sz="0" w:space="0" w:color="auto"/>
      </w:divBdr>
    </w:div>
    <w:div w:id="1009677431">
      <w:bodyDiv w:val="1"/>
      <w:marLeft w:val="0"/>
      <w:marRight w:val="0"/>
      <w:marTop w:val="0"/>
      <w:marBottom w:val="0"/>
      <w:divBdr>
        <w:top w:val="none" w:sz="0" w:space="0" w:color="auto"/>
        <w:left w:val="none" w:sz="0" w:space="0" w:color="auto"/>
        <w:bottom w:val="none" w:sz="0" w:space="0" w:color="auto"/>
        <w:right w:val="none" w:sz="0" w:space="0" w:color="auto"/>
      </w:divBdr>
    </w:div>
    <w:div w:id="19183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AB59E-3676-47F7-A9F4-EEFF2BB9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727</Words>
  <Characters>4147</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Igor Tkačivský</cp:lastModifiedBy>
  <cp:revision>3</cp:revision>
  <dcterms:created xsi:type="dcterms:W3CDTF">2022-04-07T06:58:00Z</dcterms:created>
  <dcterms:modified xsi:type="dcterms:W3CDTF">2022-04-07T11:54:00Z</dcterms:modified>
</cp:coreProperties>
</file>