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97C1" w14:textId="77777777" w:rsidR="00355DF8" w:rsidRPr="005A6A3F" w:rsidRDefault="00355DF8" w:rsidP="003548FB">
      <w:pPr>
        <w:pBdr>
          <w:bottom w:val="single" w:sz="12" w:space="1" w:color="auto"/>
        </w:pBdr>
        <w:spacing w:before="120" w:line="276" w:lineRule="auto"/>
        <w:jc w:val="center"/>
        <w:rPr>
          <w:b/>
          <w:spacing w:val="20"/>
        </w:rPr>
      </w:pPr>
      <w:r w:rsidRPr="005A6A3F">
        <w:rPr>
          <w:b/>
          <w:spacing w:val="20"/>
        </w:rPr>
        <w:t>NÁRODNÁ  RADA  SLOVENSKEJ  REPUBLIKY</w:t>
      </w:r>
    </w:p>
    <w:p w14:paraId="3277B21D" w14:textId="77777777" w:rsidR="00355DF8" w:rsidRPr="005A6A3F" w:rsidRDefault="00355DF8" w:rsidP="003548FB">
      <w:pPr>
        <w:spacing w:before="120" w:line="276" w:lineRule="auto"/>
        <w:jc w:val="center"/>
        <w:rPr>
          <w:spacing w:val="20"/>
        </w:rPr>
      </w:pPr>
    </w:p>
    <w:p w14:paraId="34F8C4B3" w14:textId="77777777" w:rsidR="00355DF8" w:rsidRPr="005A6A3F" w:rsidRDefault="00355DF8" w:rsidP="003548FB">
      <w:pPr>
        <w:spacing w:before="120" w:line="276" w:lineRule="auto"/>
        <w:jc w:val="center"/>
        <w:rPr>
          <w:spacing w:val="20"/>
        </w:rPr>
      </w:pPr>
      <w:r w:rsidRPr="005A6A3F">
        <w:rPr>
          <w:spacing w:val="20"/>
        </w:rPr>
        <w:t>V</w:t>
      </w:r>
      <w:r w:rsidR="00837877" w:rsidRPr="005A6A3F">
        <w:rPr>
          <w:spacing w:val="20"/>
        </w:rPr>
        <w:t>I</w:t>
      </w:r>
      <w:r w:rsidRPr="005A6A3F">
        <w:rPr>
          <w:spacing w:val="20"/>
        </w:rPr>
        <w:t>I</w:t>
      </w:r>
      <w:r w:rsidR="000222C7" w:rsidRPr="005A6A3F">
        <w:rPr>
          <w:spacing w:val="20"/>
        </w:rPr>
        <w:t>I</w:t>
      </w:r>
      <w:r w:rsidRPr="005A6A3F">
        <w:rPr>
          <w:spacing w:val="20"/>
        </w:rPr>
        <w:t>. volebné obdobie</w:t>
      </w:r>
    </w:p>
    <w:p w14:paraId="469EC96A" w14:textId="77777777" w:rsidR="006A2A48" w:rsidRPr="005A6A3F" w:rsidRDefault="006A2A48" w:rsidP="003548FB">
      <w:pPr>
        <w:spacing w:before="120" w:line="276" w:lineRule="auto"/>
        <w:rPr>
          <w:b/>
          <w:spacing w:val="30"/>
        </w:rPr>
      </w:pPr>
    </w:p>
    <w:p w14:paraId="54A1BECC" w14:textId="77777777" w:rsidR="00355DF8" w:rsidRPr="005A6A3F" w:rsidRDefault="00355DF8" w:rsidP="003548FB">
      <w:pPr>
        <w:spacing w:before="120" w:line="276" w:lineRule="auto"/>
        <w:jc w:val="center"/>
        <w:rPr>
          <w:b/>
          <w:spacing w:val="30"/>
        </w:rPr>
      </w:pPr>
      <w:r w:rsidRPr="005A6A3F">
        <w:rPr>
          <w:b/>
          <w:spacing w:val="30"/>
        </w:rPr>
        <w:t>Návrh</w:t>
      </w:r>
    </w:p>
    <w:p w14:paraId="5C218966" w14:textId="77777777" w:rsidR="00450A28" w:rsidRPr="005A6A3F" w:rsidRDefault="00450A28" w:rsidP="003548FB">
      <w:pPr>
        <w:spacing w:before="120" w:line="276" w:lineRule="auto"/>
        <w:jc w:val="center"/>
        <w:rPr>
          <w:b/>
          <w:spacing w:val="30"/>
        </w:rPr>
      </w:pPr>
    </w:p>
    <w:p w14:paraId="0DA10079" w14:textId="77777777" w:rsidR="00450A28" w:rsidRPr="005A6A3F" w:rsidRDefault="00355DF8" w:rsidP="003548FB">
      <w:pPr>
        <w:spacing w:before="120" w:line="276" w:lineRule="auto"/>
        <w:jc w:val="center"/>
        <w:rPr>
          <w:b/>
          <w:caps/>
          <w:spacing w:val="30"/>
        </w:rPr>
      </w:pPr>
      <w:r w:rsidRPr="005A6A3F">
        <w:rPr>
          <w:b/>
          <w:caps/>
          <w:spacing w:val="30"/>
        </w:rPr>
        <w:t>zákon</w:t>
      </w:r>
    </w:p>
    <w:p w14:paraId="749BE371" w14:textId="77777777" w:rsidR="00450A28" w:rsidRPr="005A6A3F" w:rsidRDefault="00450A28" w:rsidP="003548FB">
      <w:pPr>
        <w:spacing w:before="120" w:line="276" w:lineRule="auto"/>
        <w:jc w:val="center"/>
      </w:pPr>
    </w:p>
    <w:p w14:paraId="1B715CD1" w14:textId="0E960636" w:rsidR="00355DF8" w:rsidRPr="005A6A3F" w:rsidRDefault="00AF3E6D" w:rsidP="003548FB">
      <w:pPr>
        <w:spacing w:before="120" w:line="276" w:lineRule="auto"/>
        <w:jc w:val="center"/>
      </w:pPr>
      <w:r w:rsidRPr="005A6A3F">
        <w:t xml:space="preserve">z ... </w:t>
      </w:r>
      <w:r w:rsidR="0076690F" w:rsidRPr="005A6A3F">
        <w:t>202</w:t>
      </w:r>
      <w:r w:rsidR="00640A4A" w:rsidRPr="005A6A3F">
        <w:t>2</w:t>
      </w:r>
    </w:p>
    <w:p w14:paraId="67026DA7" w14:textId="77777777" w:rsidR="00355DF8" w:rsidRPr="005A6A3F" w:rsidRDefault="00355DF8" w:rsidP="003548FB">
      <w:pPr>
        <w:spacing w:before="120" w:line="276" w:lineRule="auto"/>
        <w:jc w:val="center"/>
      </w:pPr>
    </w:p>
    <w:p w14:paraId="6335948E" w14:textId="76296BB4" w:rsidR="00355DF8" w:rsidRPr="005A6A3F" w:rsidRDefault="00355DF8" w:rsidP="003548FB">
      <w:pPr>
        <w:spacing w:before="120" w:line="276" w:lineRule="auto"/>
        <w:jc w:val="center"/>
        <w:rPr>
          <w:b/>
        </w:rPr>
      </w:pPr>
      <w:r w:rsidRPr="005A6A3F">
        <w:rPr>
          <w:b/>
        </w:rPr>
        <w:t xml:space="preserve">ktorým sa </w:t>
      </w:r>
      <w:r w:rsidR="00496A32" w:rsidRPr="005A6A3F">
        <w:rPr>
          <w:b/>
        </w:rPr>
        <w:t xml:space="preserve">mení a </w:t>
      </w:r>
      <w:r w:rsidRPr="005A6A3F">
        <w:rPr>
          <w:b/>
        </w:rPr>
        <w:t xml:space="preserve">dopĺňa </w:t>
      </w:r>
      <w:r w:rsidR="00F177B8" w:rsidRPr="005A6A3F">
        <w:rPr>
          <w:b/>
        </w:rPr>
        <w:t>zákon č</w:t>
      </w:r>
      <w:r w:rsidR="00B13C00" w:rsidRPr="005A6A3F">
        <w:rPr>
          <w:b/>
        </w:rPr>
        <w:t>.</w:t>
      </w:r>
      <w:r w:rsidR="002E3DED" w:rsidRPr="005A6A3F">
        <w:rPr>
          <w:b/>
        </w:rPr>
        <w:t xml:space="preserve"> </w:t>
      </w:r>
      <w:r w:rsidR="00712743" w:rsidRPr="00712743">
        <w:rPr>
          <w:b/>
        </w:rPr>
        <w:t>43/2004</w:t>
      </w:r>
      <w:r w:rsidR="00712743">
        <w:rPr>
          <w:b/>
        </w:rPr>
        <w:t xml:space="preserve"> </w:t>
      </w:r>
      <w:r w:rsidR="00D3354A" w:rsidRPr="005A6A3F">
        <w:rPr>
          <w:b/>
        </w:rPr>
        <w:t xml:space="preserve">Z. z. o </w:t>
      </w:r>
      <w:r w:rsidR="00712743" w:rsidRPr="00712743">
        <w:rPr>
          <w:b/>
        </w:rPr>
        <w:t>starobnom dôchodkovom sporení</w:t>
      </w:r>
      <w:r w:rsidR="00D3354A" w:rsidRPr="005A6A3F">
        <w:rPr>
          <w:b/>
        </w:rPr>
        <w:t xml:space="preserve"> a </w:t>
      </w:r>
      <w:r w:rsidR="00712743">
        <w:rPr>
          <w:b/>
        </w:rPr>
        <w:br/>
      </w:r>
      <w:r w:rsidR="00D3354A" w:rsidRPr="005A6A3F">
        <w:rPr>
          <w:b/>
        </w:rPr>
        <w:t>o zmene a doplnení niektorých zákonov</w:t>
      </w:r>
    </w:p>
    <w:p w14:paraId="1990F337" w14:textId="77777777" w:rsidR="002613AF" w:rsidRPr="005A6A3F" w:rsidRDefault="002613AF" w:rsidP="003548FB">
      <w:pPr>
        <w:spacing w:before="120" w:line="276" w:lineRule="auto"/>
        <w:jc w:val="both"/>
      </w:pPr>
    </w:p>
    <w:p w14:paraId="68CF4079" w14:textId="77777777" w:rsidR="00355DF8" w:rsidRPr="005A6A3F" w:rsidRDefault="00355DF8" w:rsidP="003548FB">
      <w:pPr>
        <w:spacing w:before="120" w:line="276" w:lineRule="auto"/>
        <w:jc w:val="both"/>
      </w:pPr>
      <w:r w:rsidRPr="005A6A3F">
        <w:t xml:space="preserve">Národná rada Slovenskej republiky sa uzniesla na tomto zákone: </w:t>
      </w:r>
    </w:p>
    <w:p w14:paraId="71E94456" w14:textId="77777777" w:rsidR="00355DF8" w:rsidRPr="005A6A3F" w:rsidRDefault="00355DF8" w:rsidP="003548FB">
      <w:pPr>
        <w:spacing w:before="120" w:line="276" w:lineRule="auto"/>
        <w:jc w:val="both"/>
        <w:rPr>
          <w:b/>
        </w:rPr>
      </w:pPr>
    </w:p>
    <w:p w14:paraId="1CEF840A" w14:textId="77777777" w:rsidR="00355DF8" w:rsidRPr="005A6A3F" w:rsidRDefault="00AF3E6D" w:rsidP="003548FB">
      <w:pPr>
        <w:spacing w:before="120" w:line="276" w:lineRule="auto"/>
        <w:jc w:val="center"/>
        <w:rPr>
          <w:b/>
        </w:rPr>
      </w:pPr>
      <w:r w:rsidRPr="005A6A3F">
        <w:rPr>
          <w:b/>
        </w:rPr>
        <w:t>Čl. I</w:t>
      </w:r>
    </w:p>
    <w:p w14:paraId="12506980" w14:textId="160E6F3F" w:rsidR="00D109B3" w:rsidRPr="005A6A3F" w:rsidRDefault="00F177B8" w:rsidP="00D109B3">
      <w:pPr>
        <w:autoSpaceDE w:val="0"/>
        <w:autoSpaceDN w:val="0"/>
        <w:adjustRightInd w:val="0"/>
        <w:spacing w:before="120" w:line="276" w:lineRule="auto"/>
        <w:ind w:firstLine="360"/>
        <w:jc w:val="both"/>
        <w:rPr>
          <w:color w:val="231F20"/>
          <w:lang w:eastAsia="en-US"/>
        </w:rPr>
      </w:pPr>
      <w:r w:rsidRPr="005A6A3F">
        <w:rPr>
          <w:color w:val="231F20"/>
          <w:lang w:eastAsia="en-US"/>
        </w:rPr>
        <w:t>Zákon</w:t>
      </w:r>
      <w:r w:rsidR="00355DF8" w:rsidRPr="005A6A3F">
        <w:rPr>
          <w:color w:val="231F20"/>
          <w:lang w:eastAsia="en-US"/>
        </w:rPr>
        <w:t xml:space="preserve"> </w:t>
      </w:r>
      <w:r w:rsidR="005A6A3F" w:rsidRPr="005A6A3F">
        <w:rPr>
          <w:color w:val="231F20"/>
          <w:lang w:eastAsia="en-US"/>
        </w:rPr>
        <w:t xml:space="preserve">č. </w:t>
      </w:r>
      <w:r w:rsidR="00712743" w:rsidRPr="00712743">
        <w:rPr>
          <w:color w:val="231F20"/>
          <w:lang w:eastAsia="en-US"/>
        </w:rPr>
        <w:t xml:space="preserve">43/2004 Z. z. o starobnom dôchodkovom sporení </w:t>
      </w:r>
      <w:r w:rsidR="00355DF8" w:rsidRPr="005A6A3F">
        <w:rPr>
          <w:color w:val="231F20"/>
          <w:lang w:eastAsia="en-US"/>
        </w:rPr>
        <w:t xml:space="preserve">v znení </w:t>
      </w:r>
      <w:r w:rsidR="002E3DED" w:rsidRPr="005A6A3F">
        <w:rPr>
          <w:color w:val="231F20"/>
          <w:lang w:eastAsia="en-US"/>
        </w:rPr>
        <w:t xml:space="preserve">zákona </w:t>
      </w:r>
      <w:r w:rsidR="00712743">
        <w:rPr>
          <w:color w:val="231F20"/>
          <w:lang w:eastAsia="en-US"/>
        </w:rPr>
        <w:br/>
        <w:t xml:space="preserve">č. </w:t>
      </w:r>
      <w:r w:rsidR="00712743" w:rsidRPr="00712743">
        <w:rPr>
          <w:color w:val="231F20"/>
          <w:lang w:eastAsia="en-US"/>
        </w:rPr>
        <w:t xml:space="preserve">186/2004 Z. z., 439/2004 Z. z., 721/2004 Z. z., </w:t>
      </w:r>
      <w:r w:rsidR="00712743">
        <w:rPr>
          <w:color w:val="231F20"/>
          <w:lang w:eastAsia="en-US"/>
        </w:rPr>
        <w:t>747/2004 Z. z., 310/2006 Z. z.</w:t>
      </w:r>
      <w:r w:rsidR="00712743" w:rsidRPr="00712743">
        <w:rPr>
          <w:color w:val="231F20"/>
          <w:lang w:eastAsia="en-US"/>
        </w:rPr>
        <w:t>, 644/2006 Z. z., 677/2006 Z. z., 209/2007 Z. z., 519/2007 Z. z., 555/2007 Z. z., 659/2007 Z. z., 62/2008 Z. z., 434/2008 Z. z., 449/2008 Z. z., 137/2009 Z. z., 572/2009 Z. z., 105/2010 Z. z., 355/2010 Z. z., 543/2010 Z. z., 334/2011 Z. z., 546/2011 Z. z., 547/2011 Z. z., 252/2012 Z. z., 252/2012 Z. z., 413/2012 Z. z., 132/2013 Z. z., 352/2013 Z. z., 183/2014 Z. z., 301/2014 Z. z., 25/2015 Z. z., 140/2015 Z. z., 91/2016 Z. z., 125/2016 Z. z., 292/2016 Z. z., 97/2017 Z. z., 279/2017 Z. z., 109/2018 Z. z., 177/2018 Z. z., 231/2019 Z. z., 234/2019 Z. z., 46/2020 Z. z., 66/2020 Z. z., 68/2020 Z. z., 95/2020 Z. z., 275/2020 Z. z., 296/2020 Z. z., 310/2021 Z. z.</w:t>
      </w:r>
      <w:r w:rsidR="00034BF1" w:rsidRPr="005A6A3F">
        <w:t xml:space="preserve">. </w:t>
      </w:r>
      <w:r w:rsidR="00355DF8" w:rsidRPr="005A6A3F">
        <w:rPr>
          <w:color w:val="231F20"/>
          <w:lang w:eastAsia="en-US"/>
        </w:rPr>
        <w:t xml:space="preserve">sa </w:t>
      </w:r>
      <w:r w:rsidR="00472D5D" w:rsidRPr="005A6A3F">
        <w:rPr>
          <w:color w:val="231F20"/>
          <w:lang w:eastAsia="en-US"/>
        </w:rPr>
        <w:t xml:space="preserve">mení a </w:t>
      </w:r>
      <w:r w:rsidR="00355DF8" w:rsidRPr="005A6A3F">
        <w:rPr>
          <w:color w:val="231F20"/>
          <w:lang w:eastAsia="en-US"/>
        </w:rPr>
        <w:t>dopĺňa takto:</w:t>
      </w:r>
    </w:p>
    <w:p w14:paraId="0EB1414E" w14:textId="2B19BCE1" w:rsidR="00D109B3" w:rsidRDefault="00D109B3" w:rsidP="00D109B3">
      <w:pPr>
        <w:autoSpaceDE w:val="0"/>
        <w:autoSpaceDN w:val="0"/>
        <w:adjustRightInd w:val="0"/>
        <w:spacing w:before="120" w:line="276" w:lineRule="auto"/>
        <w:jc w:val="both"/>
        <w:rPr>
          <w:color w:val="231F20"/>
          <w:lang w:eastAsia="en-US"/>
        </w:rPr>
      </w:pPr>
    </w:p>
    <w:p w14:paraId="156FCFA5" w14:textId="04811CB5" w:rsidR="00FF3281" w:rsidRPr="00FF3281" w:rsidRDefault="00FF3281" w:rsidP="00FF3281">
      <w:pPr>
        <w:pStyle w:val="Odsekzoznamu"/>
        <w:numPr>
          <w:ilvl w:val="0"/>
          <w:numId w:val="11"/>
        </w:numPr>
        <w:autoSpaceDE w:val="0"/>
        <w:autoSpaceDN w:val="0"/>
        <w:adjustRightInd w:val="0"/>
        <w:spacing w:before="120" w:line="276" w:lineRule="auto"/>
        <w:jc w:val="both"/>
        <w:rPr>
          <w:color w:val="231F20"/>
          <w:lang w:eastAsia="en-US"/>
        </w:rPr>
      </w:pPr>
      <w:r w:rsidRPr="00FF3281">
        <w:rPr>
          <w:color w:val="231F20"/>
          <w:lang w:eastAsia="en-US"/>
        </w:rPr>
        <w:t>Za § 123aw sa vkladá § 123</w:t>
      </w:r>
      <w:r w:rsidR="0031177C">
        <w:rPr>
          <w:color w:val="231F20"/>
          <w:lang w:eastAsia="en-US"/>
        </w:rPr>
        <w:t>a</w:t>
      </w:r>
      <w:r w:rsidRPr="00FF3281">
        <w:rPr>
          <w:color w:val="231F20"/>
          <w:lang w:eastAsia="en-US"/>
        </w:rPr>
        <w:t>x, ktoré vrátane nadpisu znie:</w:t>
      </w:r>
    </w:p>
    <w:p w14:paraId="16150CA6" w14:textId="77E609A2" w:rsidR="00FF3281" w:rsidRPr="00FF3281" w:rsidRDefault="00FF3281" w:rsidP="00FF3281">
      <w:pPr>
        <w:spacing w:before="120" w:line="276" w:lineRule="auto"/>
        <w:ind w:left="360"/>
        <w:jc w:val="both"/>
        <w:rPr>
          <w:bCs/>
        </w:rPr>
      </w:pPr>
      <w:r>
        <w:rPr>
          <w:bCs/>
        </w:rPr>
        <w:t>„</w:t>
      </w:r>
      <w:r w:rsidRPr="00FF3281">
        <w:rPr>
          <w:bCs/>
        </w:rPr>
        <w:t>§ 123ax Prechodné ustanovenia k úpravám účinným od 1. júna 2022</w:t>
      </w:r>
    </w:p>
    <w:p w14:paraId="4092FADF" w14:textId="77777777" w:rsidR="00FF3281" w:rsidRPr="00FF3281" w:rsidRDefault="00FF3281" w:rsidP="00FF3281">
      <w:pPr>
        <w:spacing w:before="120" w:line="276" w:lineRule="auto"/>
        <w:ind w:left="360"/>
        <w:jc w:val="both"/>
        <w:rPr>
          <w:bCs/>
        </w:rPr>
      </w:pPr>
      <w:r w:rsidRPr="00FF3281">
        <w:rPr>
          <w:bCs/>
        </w:rPr>
        <w:t>(1) Dôchodková správcovská spoločnosť je povinná do 30. júna 2022 zaslať sporiteľovi, ktorý je k 1. júnu 2022 sporiteľom v dlhopisovom garantovanom dôchodkovom fonde a má menej ako 52 rokov, tlačivo, ktorého vzor je uvedený v prílohe č. 4. Sporiteľ, ktorý má záujem zostať sporiteľom v danom dôchodkovom fonde, je povinný toto tlačivo vyplniť, podpísať a doručiť dôchodkovej správcovskej spoločnosti najneskôr do 31. júla 2022.</w:t>
      </w:r>
    </w:p>
    <w:p w14:paraId="61AF0A30" w14:textId="77777777" w:rsidR="00FF3281" w:rsidRPr="00FF3281" w:rsidRDefault="00FF3281" w:rsidP="00FF3281">
      <w:pPr>
        <w:spacing w:before="120" w:line="276" w:lineRule="auto"/>
        <w:ind w:left="360"/>
        <w:jc w:val="both"/>
        <w:rPr>
          <w:bCs/>
        </w:rPr>
      </w:pPr>
      <w:r w:rsidRPr="00FF3281">
        <w:rPr>
          <w:bCs/>
        </w:rPr>
        <w:t xml:space="preserve">(2) Sporiteľ, ktorý je k 1. júnu 2022 sporiteľom v dlhopisovom garantovanom dôchodkovom fonde, sa dňom 31. augusta 2022 stáva sporiteľom v indexovom </w:t>
      </w:r>
      <w:r w:rsidRPr="00FF3281">
        <w:rPr>
          <w:bCs/>
        </w:rPr>
        <w:lastRenderedPageBreak/>
        <w:t>negarantovanom dôchodkovom fonde, ak nedoručí dôchodkovej správcovskej spoločnosti vyhlásenie podľa odseku 1. Ak dôchodková správcovská spoločnosť nespravuje indexový negarantovaný dôchodkový fond, sporiteľ prestúpi do akciového negarantovaného dôchodkové fondu. Dôchodková správcovská spoločnosť je povinná zabezpečiť, aby sa sporiteľ podľa prvej vety stal sporiteľom v indexovom negarantovanom dôchodkovom fonde, resp. akciovom negarantovanom dôchodkovom fonde, pričom ustanovenia tohto zákona upravujúce prestup sporiteľa z dôchodkového fondu do iného dôchodkového fondu spravovaného tou istou dôchodkovou správcovskou spoločnosťou sa na vykonanie tejto povinnosti použijú primerane; za deň prestupu sa považuje 31. august 2022. Pri výkone povinnosti podľa predchádzajúcej vety dôchodková správcovská spoločnosť nie je povinná speňažiť majetok v inom ako indexovom negarantovanom dôchodkovom fonde, resp. akciovom negarantovanom dôchodkovom fonde; ustanovenie § 58 ods. 6 sa v tomto prípade do 31. augusta 2022 neuplatňuje. Ak sporiteľ podľa prvej vety nedoručí dôchodkovej správcovskej spoločnosti vyhlásenie podľa odseku 1, právny úkon vykonaný pred 30. augustom 2022, ktorého obsahom je jeho prejav vôle byť sporiteľom v dlhopisovom garantovanom dôchodkovom fonde, ktorého právne účinky trvajú k 30. augustu 2022, sa stáva v tejto časti 31. augusta 2022 neplatný, a tento sporiteľ sa stáva sporiteľom v indexovom negarantovanom dôchodkovom fonde, resp. akciovom negarantovanom dôchodkovom fonde podľa prvej vety.</w:t>
      </w:r>
    </w:p>
    <w:p w14:paraId="1326B0BA" w14:textId="77777777" w:rsidR="00FF3281" w:rsidRPr="00FF3281" w:rsidRDefault="00FF3281" w:rsidP="00FF3281">
      <w:pPr>
        <w:spacing w:before="120" w:line="276" w:lineRule="auto"/>
        <w:ind w:left="360"/>
        <w:jc w:val="both"/>
        <w:rPr>
          <w:bCs/>
        </w:rPr>
      </w:pPr>
      <w:r w:rsidRPr="00FF3281">
        <w:rPr>
          <w:bCs/>
        </w:rPr>
        <w:t>(3) Dôchodková správcovská spoločnosť je povinná zosúladiť zloženie majetku v indexovom negarantovanom dôchodkovom fonde, resp. akciovom negarantovanom dôchodkovom fonde s ustanoveniami tohto zákona po presune majetku podľa odseku 2 najneskôr do 31. decembra 2022.</w:t>
      </w:r>
    </w:p>
    <w:p w14:paraId="3A08971A" w14:textId="26AED637" w:rsidR="000745AC" w:rsidRDefault="00FF3281" w:rsidP="00FF3281">
      <w:pPr>
        <w:spacing w:before="120" w:line="276" w:lineRule="auto"/>
        <w:ind w:left="360"/>
        <w:jc w:val="both"/>
        <w:rPr>
          <w:bCs/>
        </w:rPr>
      </w:pPr>
      <w:r w:rsidRPr="00FF3281">
        <w:rPr>
          <w:bCs/>
        </w:rPr>
        <w:t>(4) Ak sporiteľ sporí v dvoch dôchodkových fondoch súčasne, ustanovenia odsekov 1 až 3 sa vzťahujú na tú časť čistej hodnoty majetku sporiteľa, ktorá sa nachádza v dlhopisovom garantovanom dôchodkovom fonde.</w:t>
      </w:r>
      <w:r>
        <w:rPr>
          <w:bCs/>
        </w:rPr>
        <w:t>“.</w:t>
      </w:r>
    </w:p>
    <w:p w14:paraId="1C5CC03E" w14:textId="62069855" w:rsidR="00FF3281" w:rsidRDefault="00FF3281" w:rsidP="00A100B4">
      <w:pPr>
        <w:spacing w:before="120" w:line="276" w:lineRule="auto"/>
        <w:jc w:val="both"/>
        <w:rPr>
          <w:bCs/>
        </w:rPr>
      </w:pPr>
    </w:p>
    <w:p w14:paraId="02574E5B" w14:textId="67F10607" w:rsidR="00A100B4" w:rsidRDefault="00A100B4" w:rsidP="00A100B4">
      <w:pPr>
        <w:pStyle w:val="Odsekzoznamu"/>
        <w:numPr>
          <w:ilvl w:val="0"/>
          <w:numId w:val="11"/>
        </w:numPr>
        <w:autoSpaceDE w:val="0"/>
        <w:autoSpaceDN w:val="0"/>
        <w:adjustRightInd w:val="0"/>
        <w:spacing w:before="120" w:line="276" w:lineRule="auto"/>
        <w:jc w:val="both"/>
        <w:rPr>
          <w:color w:val="231F20"/>
          <w:lang w:eastAsia="en-US"/>
        </w:rPr>
      </w:pPr>
      <w:r w:rsidRPr="00A100B4">
        <w:rPr>
          <w:color w:val="231F20"/>
          <w:lang w:eastAsia="en-US"/>
        </w:rPr>
        <w:t>Zákon sa dopĺňa prílohou č. 4, ktorá znie:</w:t>
      </w:r>
    </w:p>
    <w:p w14:paraId="08488F29" w14:textId="77777777" w:rsidR="00A100B4" w:rsidRPr="00A100B4" w:rsidRDefault="00A100B4" w:rsidP="00A100B4">
      <w:pPr>
        <w:pStyle w:val="Odsekzoznamu"/>
        <w:autoSpaceDE w:val="0"/>
        <w:autoSpaceDN w:val="0"/>
        <w:adjustRightInd w:val="0"/>
        <w:spacing w:before="120" w:line="276" w:lineRule="auto"/>
        <w:ind w:left="360"/>
        <w:jc w:val="both"/>
        <w:rPr>
          <w:color w:val="231F20"/>
          <w:lang w:eastAsia="en-US"/>
        </w:rPr>
      </w:pPr>
      <w:r w:rsidRPr="00A100B4">
        <w:rPr>
          <w:color w:val="231F20"/>
          <w:lang w:eastAsia="en-US"/>
        </w:rPr>
        <w:t>„Príloha č. 4 k zákonu č. 43/2004 Z. z.</w:t>
      </w:r>
    </w:p>
    <w:p w14:paraId="62A8BC75" w14:textId="77777777" w:rsidR="00A100B4" w:rsidRPr="00A100B4" w:rsidRDefault="00A100B4" w:rsidP="00374817">
      <w:pPr>
        <w:pStyle w:val="Odsekzoznamu"/>
        <w:autoSpaceDE w:val="0"/>
        <w:autoSpaceDN w:val="0"/>
        <w:adjustRightInd w:val="0"/>
        <w:spacing w:before="120" w:line="276" w:lineRule="auto"/>
        <w:ind w:left="360" w:firstLine="348"/>
        <w:jc w:val="both"/>
        <w:rPr>
          <w:color w:val="231F20"/>
          <w:lang w:eastAsia="en-US"/>
        </w:rPr>
      </w:pPr>
      <w:r w:rsidRPr="00A100B4">
        <w:rPr>
          <w:color w:val="231F20"/>
          <w:lang w:eastAsia="en-US"/>
        </w:rPr>
        <w:t>VYHLÁSENIE</w:t>
      </w:r>
    </w:p>
    <w:p w14:paraId="7E52C6EA" w14:textId="77777777" w:rsidR="00A100B4" w:rsidRPr="00A100B4" w:rsidRDefault="00A100B4" w:rsidP="00374817">
      <w:pPr>
        <w:pStyle w:val="Odsekzoznamu"/>
        <w:autoSpaceDE w:val="0"/>
        <w:autoSpaceDN w:val="0"/>
        <w:adjustRightInd w:val="0"/>
        <w:spacing w:before="120" w:line="276" w:lineRule="auto"/>
        <w:ind w:left="360" w:firstLine="348"/>
        <w:jc w:val="both"/>
        <w:rPr>
          <w:color w:val="231F20"/>
          <w:lang w:eastAsia="en-US"/>
        </w:rPr>
      </w:pPr>
      <w:r w:rsidRPr="00A100B4">
        <w:rPr>
          <w:color w:val="231F20"/>
          <w:lang w:eastAsia="en-US"/>
        </w:rPr>
        <w:t>Podpísaný</w:t>
      </w:r>
    </w:p>
    <w:p w14:paraId="48A60D39" w14:textId="5A91DDD3" w:rsidR="00A100B4" w:rsidRPr="00A100B4" w:rsidRDefault="00A100B4" w:rsidP="00374817">
      <w:pPr>
        <w:pStyle w:val="Odsekzoznamu"/>
        <w:autoSpaceDE w:val="0"/>
        <w:autoSpaceDN w:val="0"/>
        <w:adjustRightInd w:val="0"/>
        <w:spacing w:before="120" w:line="276" w:lineRule="auto"/>
        <w:ind w:left="360" w:firstLine="348"/>
        <w:jc w:val="both"/>
        <w:rPr>
          <w:color w:val="231F20"/>
          <w:lang w:eastAsia="en-US"/>
        </w:rPr>
      </w:pPr>
      <w:r w:rsidRPr="00A100B4">
        <w:rPr>
          <w:color w:val="231F20"/>
          <w:lang w:eastAsia="en-US"/>
        </w:rPr>
        <w:t>.................................................................................................................</w:t>
      </w:r>
      <w:r w:rsidR="00374817">
        <w:rPr>
          <w:color w:val="231F20"/>
          <w:lang w:eastAsia="en-US"/>
        </w:rPr>
        <w:t>..........................</w:t>
      </w:r>
    </w:p>
    <w:p w14:paraId="25561442" w14:textId="77777777" w:rsidR="00A100B4" w:rsidRPr="00A100B4" w:rsidRDefault="00A100B4" w:rsidP="00374817">
      <w:pPr>
        <w:pStyle w:val="Odsekzoznamu"/>
        <w:autoSpaceDE w:val="0"/>
        <w:autoSpaceDN w:val="0"/>
        <w:adjustRightInd w:val="0"/>
        <w:spacing w:before="120" w:line="276" w:lineRule="auto"/>
        <w:ind w:left="360" w:firstLine="348"/>
        <w:jc w:val="both"/>
        <w:rPr>
          <w:color w:val="231F20"/>
          <w:lang w:eastAsia="en-US"/>
        </w:rPr>
      </w:pPr>
      <w:r w:rsidRPr="00A100B4">
        <w:rPr>
          <w:color w:val="231F20"/>
          <w:lang w:eastAsia="en-US"/>
        </w:rPr>
        <w:t>(meno, priezvisko, dátum narodenia a bydlisko)</w:t>
      </w:r>
    </w:p>
    <w:p w14:paraId="6C87556C" w14:textId="77777777" w:rsidR="00A100B4" w:rsidRDefault="00A100B4" w:rsidP="00A100B4">
      <w:pPr>
        <w:pStyle w:val="Odsekzoznamu"/>
        <w:autoSpaceDE w:val="0"/>
        <w:autoSpaceDN w:val="0"/>
        <w:adjustRightInd w:val="0"/>
        <w:spacing w:before="120" w:line="276" w:lineRule="auto"/>
        <w:ind w:left="360"/>
        <w:jc w:val="both"/>
        <w:rPr>
          <w:color w:val="231F20"/>
          <w:lang w:eastAsia="en-US"/>
        </w:rPr>
      </w:pPr>
    </w:p>
    <w:p w14:paraId="7253E591" w14:textId="57A83F0A" w:rsidR="00A100B4" w:rsidRPr="00A100B4" w:rsidRDefault="00A100B4" w:rsidP="00374817">
      <w:pPr>
        <w:pStyle w:val="Odsekzoznamu"/>
        <w:autoSpaceDE w:val="0"/>
        <w:autoSpaceDN w:val="0"/>
        <w:adjustRightInd w:val="0"/>
        <w:spacing w:before="120" w:line="276" w:lineRule="auto"/>
        <w:ind w:left="360" w:firstLine="348"/>
        <w:jc w:val="both"/>
        <w:rPr>
          <w:color w:val="231F20"/>
          <w:lang w:eastAsia="en-US"/>
        </w:rPr>
      </w:pPr>
      <w:r w:rsidRPr="00A100B4">
        <w:rPr>
          <w:color w:val="231F20"/>
          <w:lang w:eastAsia="en-US"/>
        </w:rPr>
        <w:t>týmto vyhlasujem, že som si vedomý skutočnosti, že aj pri najlepšom dlhopisovom garantovanom dôchodkovom fonde predstavuje priemerný ročný výnos za obdobie 18 rokov existencie druhého piliera len 2,3 percenta. Dostávam sa tak do rizika nízkeho zhodnotenia svojich finančných prostriedkov a nižšieho dôchodku. S vedomím tejto skutočnosti som rozhodnutý zostať sporiteľom v dlhopisovom garantovanom dôchodkovom fonde, v ktorom som k dnešnému dňu sporiteľom.</w:t>
      </w:r>
    </w:p>
    <w:p w14:paraId="46CEED87" w14:textId="77777777" w:rsidR="00374817" w:rsidRDefault="00374817" w:rsidP="00A100B4">
      <w:pPr>
        <w:pStyle w:val="Odsekzoznamu"/>
        <w:autoSpaceDE w:val="0"/>
        <w:autoSpaceDN w:val="0"/>
        <w:adjustRightInd w:val="0"/>
        <w:spacing w:before="120" w:line="276" w:lineRule="auto"/>
        <w:ind w:left="360"/>
        <w:jc w:val="both"/>
        <w:rPr>
          <w:color w:val="231F20"/>
          <w:lang w:eastAsia="en-US"/>
        </w:rPr>
      </w:pPr>
    </w:p>
    <w:p w14:paraId="179AD15B" w14:textId="28F7D5B9" w:rsidR="00A100B4" w:rsidRPr="00A100B4" w:rsidRDefault="00A100B4" w:rsidP="00374817">
      <w:pPr>
        <w:pStyle w:val="Odsekzoznamu"/>
        <w:autoSpaceDE w:val="0"/>
        <w:autoSpaceDN w:val="0"/>
        <w:adjustRightInd w:val="0"/>
        <w:spacing w:before="120" w:line="276" w:lineRule="auto"/>
        <w:ind w:left="360" w:firstLine="348"/>
        <w:jc w:val="both"/>
        <w:rPr>
          <w:color w:val="231F20"/>
          <w:lang w:eastAsia="en-US"/>
        </w:rPr>
      </w:pPr>
      <w:r w:rsidRPr="00A100B4">
        <w:rPr>
          <w:color w:val="231F20"/>
          <w:lang w:eastAsia="en-US"/>
        </w:rPr>
        <w:t>V .................................. dňa ................... 2022</w:t>
      </w:r>
    </w:p>
    <w:p w14:paraId="7A806619" w14:textId="77777777" w:rsidR="00374817" w:rsidRDefault="00374817" w:rsidP="00A100B4">
      <w:pPr>
        <w:pStyle w:val="Odsekzoznamu"/>
        <w:autoSpaceDE w:val="0"/>
        <w:autoSpaceDN w:val="0"/>
        <w:adjustRightInd w:val="0"/>
        <w:spacing w:before="120" w:line="276" w:lineRule="auto"/>
        <w:ind w:left="360"/>
        <w:jc w:val="both"/>
        <w:rPr>
          <w:color w:val="231F20"/>
          <w:lang w:eastAsia="en-US"/>
        </w:rPr>
      </w:pPr>
    </w:p>
    <w:p w14:paraId="295E5645" w14:textId="6878B9E5" w:rsidR="00A100B4" w:rsidRPr="00A100B4" w:rsidRDefault="00A100B4" w:rsidP="00374817">
      <w:pPr>
        <w:pStyle w:val="Odsekzoznamu"/>
        <w:autoSpaceDE w:val="0"/>
        <w:autoSpaceDN w:val="0"/>
        <w:adjustRightInd w:val="0"/>
        <w:spacing w:before="120" w:line="276" w:lineRule="auto"/>
        <w:ind w:left="360" w:firstLine="348"/>
        <w:jc w:val="both"/>
        <w:rPr>
          <w:color w:val="231F20"/>
          <w:lang w:eastAsia="en-US"/>
        </w:rPr>
      </w:pPr>
      <w:r w:rsidRPr="00A100B4">
        <w:rPr>
          <w:color w:val="231F20"/>
          <w:lang w:eastAsia="en-US"/>
        </w:rPr>
        <w:t>........................................</w:t>
      </w:r>
    </w:p>
    <w:p w14:paraId="2320501D" w14:textId="77777777" w:rsidR="00A100B4" w:rsidRPr="00A100B4" w:rsidRDefault="00A100B4" w:rsidP="00374817">
      <w:pPr>
        <w:pStyle w:val="Odsekzoznamu"/>
        <w:autoSpaceDE w:val="0"/>
        <w:autoSpaceDN w:val="0"/>
        <w:adjustRightInd w:val="0"/>
        <w:spacing w:before="120" w:line="276" w:lineRule="auto"/>
        <w:ind w:left="360" w:firstLine="348"/>
        <w:jc w:val="both"/>
        <w:rPr>
          <w:color w:val="231F20"/>
          <w:lang w:eastAsia="en-US"/>
        </w:rPr>
      </w:pPr>
      <w:r w:rsidRPr="00A100B4">
        <w:rPr>
          <w:color w:val="231F20"/>
          <w:lang w:eastAsia="en-US"/>
        </w:rPr>
        <w:t>Podpis</w:t>
      </w:r>
    </w:p>
    <w:p w14:paraId="7DC55C5F" w14:textId="77777777" w:rsidR="00374817" w:rsidRDefault="00374817" w:rsidP="00A100B4">
      <w:pPr>
        <w:pStyle w:val="Odsekzoznamu"/>
        <w:autoSpaceDE w:val="0"/>
        <w:autoSpaceDN w:val="0"/>
        <w:adjustRightInd w:val="0"/>
        <w:spacing w:before="120" w:line="276" w:lineRule="auto"/>
        <w:ind w:left="360"/>
        <w:jc w:val="both"/>
        <w:rPr>
          <w:color w:val="231F20"/>
          <w:lang w:eastAsia="en-US"/>
        </w:rPr>
      </w:pPr>
    </w:p>
    <w:p w14:paraId="29AE211C" w14:textId="5BF3AA8C" w:rsidR="00A100B4" w:rsidRPr="00A100B4" w:rsidRDefault="00A100B4" w:rsidP="00374817">
      <w:pPr>
        <w:pStyle w:val="Odsekzoznamu"/>
        <w:autoSpaceDE w:val="0"/>
        <w:autoSpaceDN w:val="0"/>
        <w:adjustRightInd w:val="0"/>
        <w:spacing w:before="120" w:line="276" w:lineRule="auto"/>
        <w:ind w:left="360" w:firstLine="348"/>
        <w:jc w:val="both"/>
        <w:rPr>
          <w:color w:val="231F20"/>
          <w:lang w:eastAsia="en-US"/>
        </w:rPr>
      </w:pPr>
      <w:r w:rsidRPr="00A100B4">
        <w:rPr>
          <w:color w:val="231F20"/>
          <w:lang w:eastAsia="en-US"/>
        </w:rPr>
        <w:t xml:space="preserve">Poučenie: Podľa § 123ax zákona č. 43/2004 Z. z. o starobnom dôchodkovom sporení a o zmene a doplnení niektorých zákonov v znení </w:t>
      </w:r>
      <w:r w:rsidR="00DB0EA1">
        <w:rPr>
          <w:color w:val="231F20"/>
          <w:lang w:eastAsia="en-US"/>
        </w:rPr>
        <w:t>neskorších predpisov</w:t>
      </w:r>
      <w:r w:rsidRPr="00A100B4">
        <w:rPr>
          <w:color w:val="231F20"/>
          <w:lang w:eastAsia="en-US"/>
        </w:rPr>
        <w:t>, je sporiteľ, ktorý má záujem zostať sporiteľom v dlhopisovom garantovanom dôchodkovom fonde, povinný toto vyhlásenie podpísať a doručiť dôchodkovej správcovskej spoločnosti najneskôr do 31. júla 2022, inak sa dňom 31. augusta 2022 stane sporiteľom v indexovom, resp. akciovom negarantovanom dôchodkovom fonde.“.</w:t>
      </w:r>
    </w:p>
    <w:p w14:paraId="05FBACA3" w14:textId="184669E9" w:rsidR="00A100B4" w:rsidRDefault="00A100B4" w:rsidP="00A100B4">
      <w:pPr>
        <w:autoSpaceDE w:val="0"/>
        <w:autoSpaceDN w:val="0"/>
        <w:adjustRightInd w:val="0"/>
        <w:spacing w:before="120" w:line="276" w:lineRule="auto"/>
        <w:jc w:val="both"/>
        <w:rPr>
          <w:color w:val="231F20"/>
          <w:lang w:eastAsia="en-US"/>
        </w:rPr>
      </w:pPr>
    </w:p>
    <w:p w14:paraId="6059D481" w14:textId="16ED08BB" w:rsidR="00A100B4" w:rsidRPr="00A100B4" w:rsidRDefault="00A100B4" w:rsidP="00A100B4">
      <w:pPr>
        <w:pStyle w:val="Odsekzoznamu"/>
        <w:numPr>
          <w:ilvl w:val="0"/>
          <w:numId w:val="11"/>
        </w:numPr>
        <w:autoSpaceDE w:val="0"/>
        <w:autoSpaceDN w:val="0"/>
        <w:adjustRightInd w:val="0"/>
        <w:spacing w:before="120" w:line="276" w:lineRule="auto"/>
        <w:jc w:val="both"/>
        <w:rPr>
          <w:color w:val="231F20"/>
          <w:lang w:eastAsia="en-US"/>
        </w:rPr>
      </w:pPr>
      <w:r w:rsidRPr="00A100B4">
        <w:rPr>
          <w:color w:val="231F20"/>
          <w:lang w:eastAsia="en-US"/>
        </w:rPr>
        <w:t>Príloha č. 2 k zákonu č. 43/2004 Z. z.</w:t>
      </w:r>
      <w:r>
        <w:rPr>
          <w:color w:val="231F20"/>
          <w:lang w:eastAsia="en-US"/>
        </w:rPr>
        <w:t xml:space="preserve"> znie:</w:t>
      </w:r>
    </w:p>
    <w:p w14:paraId="47346D72" w14:textId="2B3AA876" w:rsidR="00A100B4" w:rsidRPr="00A100B4" w:rsidRDefault="00A100B4" w:rsidP="00A100B4">
      <w:pPr>
        <w:pStyle w:val="Odsekzoznamu"/>
        <w:autoSpaceDE w:val="0"/>
        <w:autoSpaceDN w:val="0"/>
        <w:adjustRightInd w:val="0"/>
        <w:spacing w:before="120" w:line="276" w:lineRule="auto"/>
        <w:ind w:left="360"/>
        <w:jc w:val="both"/>
        <w:rPr>
          <w:color w:val="231F20"/>
          <w:lang w:eastAsia="en-US"/>
        </w:rPr>
      </w:pPr>
      <w:r>
        <w:rPr>
          <w:color w:val="231F20"/>
          <w:lang w:eastAsia="en-US"/>
        </w:rPr>
        <w:t>„</w:t>
      </w:r>
      <w:r w:rsidRPr="00A100B4">
        <w:rPr>
          <w:color w:val="231F20"/>
          <w:lang w:eastAsia="en-US"/>
        </w:rPr>
        <w:t>VZOREC NA VÝPOČET VÝŠKY ODPLATY ZA ZHODNOTENIE MAJETKU V DÔCHODKOVOM FONDE</w:t>
      </w:r>
    </w:p>
    <w:p w14:paraId="2481282A" w14:textId="4157973D" w:rsidR="00A100B4" w:rsidRPr="00FF3281" w:rsidRDefault="00A100B4" w:rsidP="00A100B4">
      <w:pPr>
        <w:pStyle w:val="Odsekzoznamu"/>
        <w:autoSpaceDE w:val="0"/>
        <w:autoSpaceDN w:val="0"/>
        <w:adjustRightInd w:val="0"/>
        <w:spacing w:before="120" w:line="276" w:lineRule="auto"/>
        <w:ind w:left="360"/>
        <w:jc w:val="both"/>
        <w:rPr>
          <w:color w:val="231F20"/>
          <w:lang w:eastAsia="en-US"/>
        </w:rPr>
      </w:pPr>
      <w:r w:rsidRPr="00A100B4">
        <w:rPr>
          <w:color w:val="231F20"/>
          <w:lang w:eastAsia="en-US"/>
        </w:rPr>
        <w:t>Vzorec na výpočet výšky odplaty za zhodnotenie majetku v dôchodkovom fonde:</w:t>
      </w:r>
    </w:p>
    <w:p w14:paraId="13A7EB63" w14:textId="77777777" w:rsidR="00A100B4" w:rsidRPr="00A100B4" w:rsidRDefault="00657BBF" w:rsidP="00A100B4">
      <w:pPr>
        <w:ind w:left="360"/>
        <w:jc w:val="both"/>
      </w:pPr>
      <m:oMathPara>
        <m:oMathParaPr>
          <m:jc m:val="left"/>
        </m:oMathParaPr>
        <m:oMath>
          <m:sSub>
            <m:sSubPr>
              <m:ctrlPr>
                <w:rPr>
                  <w:rFonts w:ascii="Cambria Math" w:eastAsiaTheme="minorHAnsi" w:hAnsi="Cambria Math"/>
                  <w:i/>
                  <w:sz w:val="36"/>
                  <w:szCs w:val="22"/>
                  <w:lang w:eastAsia="en-US"/>
                </w:rPr>
              </m:ctrlPr>
            </m:sSubPr>
            <m:e>
              <m:r>
                <w:rPr>
                  <w:rFonts w:ascii="Cambria Math" w:hAnsi="Cambria Math"/>
                  <w:sz w:val="36"/>
                </w:rPr>
                <m:t>O</m:t>
              </m:r>
            </m:e>
            <m:sub>
              <m:r>
                <w:rPr>
                  <w:rFonts w:ascii="Cambria Math" w:hAnsi="Cambria Math"/>
                  <w:sz w:val="36"/>
                </w:rPr>
                <m:t>t</m:t>
              </m:r>
            </m:sub>
          </m:sSub>
          <m:r>
            <w:rPr>
              <w:rFonts w:ascii="Cambria Math" w:hAnsi="Cambria Math"/>
              <w:sz w:val="36"/>
            </w:rPr>
            <m:t>=K*</m:t>
          </m:r>
          <m:sSub>
            <m:sSubPr>
              <m:ctrlPr>
                <w:rPr>
                  <w:rFonts w:ascii="Cambria Math" w:eastAsiaTheme="minorHAnsi" w:hAnsi="Cambria Math"/>
                  <w:i/>
                  <w:sz w:val="36"/>
                  <w:szCs w:val="22"/>
                  <w:lang w:eastAsia="en-US"/>
                </w:rPr>
              </m:ctrlPr>
            </m:sSubPr>
            <m:e>
              <m:r>
                <w:rPr>
                  <w:rFonts w:ascii="Cambria Math" w:hAnsi="Cambria Math"/>
                  <w:sz w:val="36"/>
                </w:rPr>
                <m:t>NAV</m:t>
              </m:r>
            </m:e>
            <m:sub>
              <m:r>
                <w:rPr>
                  <w:rFonts w:ascii="Cambria Math" w:hAnsi="Cambria Math"/>
                  <w:sz w:val="36"/>
                </w:rPr>
                <m:t>t</m:t>
              </m:r>
            </m:sub>
          </m:sSub>
          <m:r>
            <w:rPr>
              <w:rFonts w:ascii="Cambria Math" w:hAnsi="Cambria Math"/>
              <w:sz w:val="36"/>
            </w:rPr>
            <m:t>*(</m:t>
          </m:r>
          <m:f>
            <m:fPr>
              <m:ctrlPr>
                <w:rPr>
                  <w:rFonts w:ascii="Cambria Math" w:eastAsiaTheme="minorHAnsi" w:hAnsi="Cambria Math"/>
                  <w:i/>
                  <w:sz w:val="36"/>
                  <w:szCs w:val="22"/>
                  <w:lang w:eastAsia="en-US"/>
                </w:rPr>
              </m:ctrlPr>
            </m:fPr>
            <m:num>
              <m:sSub>
                <m:sSubPr>
                  <m:ctrlPr>
                    <w:rPr>
                      <w:rFonts w:ascii="Cambria Math" w:eastAsiaTheme="minorHAnsi" w:hAnsi="Cambria Math"/>
                      <w:i/>
                      <w:sz w:val="36"/>
                      <w:szCs w:val="22"/>
                      <w:lang w:eastAsia="en-US"/>
                    </w:rPr>
                  </m:ctrlPr>
                </m:sSubPr>
                <m:e>
                  <m:r>
                    <w:rPr>
                      <w:rFonts w:ascii="Cambria Math" w:hAnsi="Cambria Math"/>
                      <w:sz w:val="36"/>
                    </w:rPr>
                    <m:t>AHDJ</m:t>
                  </m:r>
                </m:e>
                <m:sub>
                  <m:r>
                    <w:rPr>
                      <w:rFonts w:ascii="Cambria Math" w:hAnsi="Cambria Math"/>
                      <w:sz w:val="36"/>
                    </w:rPr>
                    <m:t>t</m:t>
                  </m:r>
                </m:sub>
              </m:sSub>
            </m:num>
            <m:den>
              <m:func>
                <m:funcPr>
                  <m:ctrlPr>
                    <w:rPr>
                      <w:rFonts w:ascii="Cambria Math" w:hAnsi="Cambria Math"/>
                      <w:i/>
                      <w:sz w:val="36"/>
                    </w:rPr>
                  </m:ctrlPr>
                </m:funcPr>
                <m:fName>
                  <m:r>
                    <m:rPr>
                      <m:sty m:val="p"/>
                    </m:rPr>
                    <w:rPr>
                      <w:rFonts w:ascii="Cambria Math" w:hAnsi="Cambria Math"/>
                      <w:sz w:val="36"/>
                    </w:rPr>
                    <m:t>max</m:t>
                  </m:r>
                </m:fName>
                <m:e>
                  <m:sSub>
                    <m:sSubPr>
                      <m:ctrlPr>
                        <w:rPr>
                          <w:rFonts w:ascii="Cambria Math" w:eastAsiaTheme="minorHAnsi" w:hAnsi="Cambria Math"/>
                          <w:i/>
                          <w:sz w:val="36"/>
                          <w:szCs w:val="22"/>
                          <w:lang w:eastAsia="en-US"/>
                        </w:rPr>
                      </m:ctrlPr>
                    </m:sSubPr>
                    <m:e>
                      <m:r>
                        <w:rPr>
                          <w:rFonts w:ascii="Cambria Math" w:hAnsi="Cambria Math"/>
                          <w:sz w:val="36"/>
                        </w:rPr>
                        <m:t>AHDJ</m:t>
                      </m:r>
                    </m:e>
                    <m:sub>
                      <m:r>
                        <w:rPr>
                          <w:rFonts w:ascii="Cambria Math" w:hAnsi="Cambria Math"/>
                          <w:sz w:val="36"/>
                        </w:rPr>
                        <m:t>t-1</m:t>
                      </m:r>
                    </m:sub>
                  </m:sSub>
                </m:e>
              </m:func>
            </m:den>
          </m:f>
          <m:r>
            <w:rPr>
              <w:rFonts w:ascii="Cambria Math" w:hAnsi="Cambria Math"/>
              <w:sz w:val="36"/>
            </w:rPr>
            <m:t>-1,1)</m:t>
          </m:r>
        </m:oMath>
      </m:oMathPara>
    </w:p>
    <w:p w14:paraId="2C872A2F" w14:textId="77777777" w:rsidR="00A100B4" w:rsidRPr="00A100B4" w:rsidRDefault="00A100B4" w:rsidP="00A100B4">
      <w:pPr>
        <w:spacing w:before="120" w:line="276" w:lineRule="auto"/>
        <w:ind w:left="360"/>
        <w:jc w:val="both"/>
        <w:rPr>
          <w:bCs/>
        </w:rPr>
      </w:pPr>
      <w:r w:rsidRPr="00A100B4">
        <w:rPr>
          <w:bCs/>
        </w:rPr>
        <w:t>Pri výpočte odplaty za zhodnotenie majetku v dôchodkovom fonde sa použijú tieto veličiny, funkcie a ich označenia:</w:t>
      </w:r>
    </w:p>
    <w:p w14:paraId="586A165A" w14:textId="77777777" w:rsidR="00A100B4" w:rsidRPr="00A100B4" w:rsidRDefault="00A100B4" w:rsidP="00A100B4">
      <w:pPr>
        <w:spacing w:before="120" w:line="276" w:lineRule="auto"/>
        <w:ind w:left="360"/>
        <w:jc w:val="both"/>
        <w:rPr>
          <w:bCs/>
        </w:rPr>
      </w:pPr>
      <w:r w:rsidRPr="00A100B4">
        <w:rPr>
          <w:bCs/>
        </w:rPr>
        <w:t>Ot</w:t>
      </w:r>
      <w:r w:rsidRPr="00A100B4">
        <w:rPr>
          <w:bCs/>
        </w:rPr>
        <w:tab/>
        <w:t>výška odplaty za zhodnotenie majetku v dôchodkovom fonde pre deň t</w:t>
      </w:r>
    </w:p>
    <w:p w14:paraId="78E86D42" w14:textId="77777777" w:rsidR="00A100B4" w:rsidRPr="00A100B4" w:rsidRDefault="00A100B4" w:rsidP="00A100B4">
      <w:pPr>
        <w:spacing w:before="120" w:line="276" w:lineRule="auto"/>
        <w:ind w:left="360"/>
        <w:jc w:val="both"/>
        <w:rPr>
          <w:bCs/>
        </w:rPr>
      </w:pPr>
      <w:r w:rsidRPr="00A100B4">
        <w:rPr>
          <w:bCs/>
        </w:rPr>
        <w:t>NAVt</w:t>
      </w:r>
      <w:r w:rsidRPr="00A100B4">
        <w:rPr>
          <w:bCs/>
        </w:rPr>
        <w:tab/>
        <w:t>druhá predbežná čistá hodnota majetku v dôchodkovom fonde platná pre deň t</w:t>
      </w:r>
    </w:p>
    <w:p w14:paraId="07B472C5" w14:textId="77777777" w:rsidR="00A100B4" w:rsidRPr="00A100B4" w:rsidRDefault="00A100B4" w:rsidP="00A100B4">
      <w:pPr>
        <w:spacing w:before="120" w:line="276" w:lineRule="auto"/>
        <w:ind w:left="360"/>
        <w:jc w:val="both"/>
        <w:rPr>
          <w:bCs/>
        </w:rPr>
      </w:pPr>
      <w:r w:rsidRPr="00A100B4">
        <w:rPr>
          <w:bCs/>
        </w:rPr>
        <w:t>AHDJt</w:t>
      </w:r>
      <w:r w:rsidRPr="00A100B4">
        <w:rPr>
          <w:bCs/>
        </w:rPr>
        <w:tab/>
        <w:t>predbežná aktuálna hodnota dôchodkovej jednotky platná pre deň t</w:t>
      </w:r>
    </w:p>
    <w:p w14:paraId="30A3915C" w14:textId="77777777" w:rsidR="00A100B4" w:rsidRPr="00A100B4" w:rsidRDefault="00A100B4" w:rsidP="00A100B4">
      <w:pPr>
        <w:spacing w:before="120" w:line="276" w:lineRule="auto"/>
        <w:ind w:left="360"/>
        <w:jc w:val="both"/>
        <w:rPr>
          <w:bCs/>
        </w:rPr>
      </w:pPr>
      <w:r w:rsidRPr="00A100B4">
        <w:rPr>
          <w:bCs/>
        </w:rPr>
        <w:t>maxAHDJt-1</w:t>
      </w:r>
      <w:r w:rsidRPr="00A100B4">
        <w:rPr>
          <w:bCs/>
        </w:rPr>
        <w:tab/>
        <w:t>maximálna aktuálna hodnota dôchodkovej jednotky dosiahnutá za tri roky predchádzajúce dňu t, najneskôr od 1. apríla 2012</w:t>
      </w:r>
    </w:p>
    <w:p w14:paraId="0E0C4D31" w14:textId="77777777" w:rsidR="00A100B4" w:rsidRPr="00A100B4" w:rsidRDefault="00A100B4" w:rsidP="00A100B4">
      <w:pPr>
        <w:spacing w:before="120" w:line="276" w:lineRule="auto"/>
        <w:ind w:left="360"/>
        <w:jc w:val="both"/>
        <w:rPr>
          <w:bCs/>
        </w:rPr>
      </w:pPr>
      <w:r w:rsidRPr="00A100B4">
        <w:rPr>
          <w:bCs/>
        </w:rPr>
        <w:t>K</w:t>
      </w:r>
      <w:r w:rsidRPr="00A100B4">
        <w:rPr>
          <w:bCs/>
        </w:rPr>
        <w:tab/>
        <w:t>koeficient na určenie výšky odplaty za zhodnotenie majetku v dôchodkovom fonde, ktorý môže byť maximálne vo výške 0,1</w:t>
      </w:r>
    </w:p>
    <w:p w14:paraId="320EF199" w14:textId="2C8FDCA5" w:rsidR="00A100B4" w:rsidRDefault="00A100B4" w:rsidP="00A100B4">
      <w:pPr>
        <w:spacing w:before="120" w:line="276" w:lineRule="auto"/>
        <w:ind w:left="360"/>
        <w:jc w:val="both"/>
        <w:rPr>
          <w:bCs/>
        </w:rPr>
      </w:pPr>
      <w:r w:rsidRPr="00A100B4">
        <w:rPr>
          <w:bCs/>
        </w:rPr>
        <w:t>t</w:t>
      </w:r>
      <w:r w:rsidRPr="00A100B4">
        <w:rPr>
          <w:bCs/>
        </w:rPr>
        <w:tab/>
        <w:t>pracovný deň bezprostredne predchádzajúci dňu výpočtu odplaty za zhodnotenie majetku v dôchodkovom fonde.</w:t>
      </w:r>
      <w:r w:rsidR="00BB0D37">
        <w:rPr>
          <w:bCs/>
        </w:rPr>
        <w:t>“.</w:t>
      </w:r>
    </w:p>
    <w:p w14:paraId="1ACC401A" w14:textId="77777777" w:rsidR="00A100B4" w:rsidRPr="005A6A3F" w:rsidRDefault="00A100B4" w:rsidP="00A100B4">
      <w:pPr>
        <w:spacing w:before="120" w:line="276" w:lineRule="auto"/>
        <w:jc w:val="both"/>
        <w:rPr>
          <w:bCs/>
        </w:rPr>
      </w:pPr>
    </w:p>
    <w:p w14:paraId="3377D4AD" w14:textId="369C9175" w:rsidR="003548FB" w:rsidRDefault="003548FB" w:rsidP="003548FB">
      <w:pPr>
        <w:spacing w:before="120" w:line="276" w:lineRule="auto"/>
        <w:jc w:val="center"/>
        <w:rPr>
          <w:b/>
        </w:rPr>
      </w:pPr>
      <w:r w:rsidRPr="005A6A3F">
        <w:rPr>
          <w:b/>
        </w:rPr>
        <w:t>Čl. II</w:t>
      </w:r>
    </w:p>
    <w:p w14:paraId="51682272" w14:textId="715D88EA" w:rsidR="00374BB2" w:rsidRDefault="00374BB2" w:rsidP="00374BB2">
      <w:pPr>
        <w:spacing w:before="120" w:line="276" w:lineRule="auto"/>
        <w:ind w:firstLine="708"/>
        <w:jc w:val="both"/>
      </w:pPr>
      <w:r w:rsidRPr="00374BB2">
        <w:t>Zákon</w:t>
      </w:r>
      <w:r>
        <w:t xml:space="preserve"> č. 461/2003</w:t>
      </w:r>
      <w:r w:rsidRPr="00374BB2">
        <w:t xml:space="preserve"> o sociálnom poistení</w:t>
      </w:r>
      <w:r w:rsidRPr="00374BB2">
        <w:rPr>
          <w:color w:val="231F20"/>
          <w:lang w:eastAsia="en-US"/>
        </w:rPr>
        <w:t xml:space="preserve"> </w:t>
      </w:r>
      <w:r w:rsidRPr="005A6A3F">
        <w:rPr>
          <w:color w:val="231F20"/>
          <w:lang w:eastAsia="en-US"/>
        </w:rPr>
        <w:t>v znení zákona</w:t>
      </w:r>
      <w:r>
        <w:rPr>
          <w:color w:val="231F20"/>
          <w:lang w:eastAsia="en-US"/>
        </w:rPr>
        <w:t xml:space="preserve"> č.</w:t>
      </w:r>
      <w:r>
        <w:t xml:space="preserve"> </w:t>
      </w:r>
      <w:r w:rsidRPr="00374BB2">
        <w:t xml:space="preserve">551/2003 Z. z., 600/2003 Z. z., 5/2004 Z. z., 43/2004 Z. z., 186/2004 Z. z., 365/2004 Z. z., 391/2004 Z. z., 439/2004 Z. z., 523/2004 Z. z., 721/2004 Z. z., 82/2005 Z. z., 244/2005 Z. z., 351/2005 Z. z., 534/2005 Z. z., 584/2005 Z. z., 310/2006 Z. z., 460/2006 Z. z., 529/2006 Z. z., 566/2006 Z. z., 592/2006 Z. z., 677/2006 Z. z., 274/2007 Z. z., 519/2007 Z. z., 555/2007 Z. z., 659/2007 Z. z., 204/2008 Z. z., 434/2008 Z. z., 449/2008 Z. z., 599/2008 Z. z., 108/2009 Z. z., 192/2009 Z. z., 200/2009 Z. z., 285/2009 Z. z., 571/2009 Z. z., 572/2009 Z. z., 52/2010 Z. z., 151/2010 Z. z., 403/2010 Z. z., 543/2010 Z. z., 125/2011 Z. z., 223/2011 Z. z., 250/2011 Z. z., 334/2011 Z. z., 348/2011 Z. z., </w:t>
      </w:r>
      <w:r w:rsidRPr="00374BB2">
        <w:lastRenderedPageBreak/>
        <w:t>521/2011 Z. z., 69/2012 Z. z., 252/2012 Z. z., 413/2012 Z. z., 96/2013 Z. z., 338/2013 Z. z., 352/2013 Z. z., 183/2014 Z. z., 195/2014 Z. z., 204/2014 Z. z., 240/2014 Z. z., 298/2014 Z. z., 25/2015 Z. z., 32/2015 Z. z., 61/2015 Z. z., 77/2015 Z. z., 87/2015 Z. z., 112/2015 Z. z., 140/2015 Z. z., 176/2015 Z. z., 336/2015 Z. z., 378/2015 Z. z., 407/2015 Z. z., 440/2015 Z. z., 125/2016 Z. z., 285/2016 Z. z., 310/2016 Z. z., 355/2016 Z. z., 2/2017 Z. z., 85/2017 Z. z., 184/2017 Z. z., 264/2017 Z. z., 266/2017 Z. z., 279/2017 Z. z., 63/2018 Z. z., 87/2018 Z. z., 177/2018 Z. z., 191/2018 Z. z., 282/2018 Z. z., 314/2018 Z. z., 317/2018 Z. z., 366/2018 Z. z., 368/2018 Z. z., 35/2019 Z. z., 105/2019 Z. z., 221/2019 Z. z., 225/2019 Z. z., 231/2019 Z. z., 321/2019 Z. z., 381/2019 Z. z., 382/2019 Z. z., 385/2019 Z. z., 390/2019 Z. z., 393/2019 Z. z., 466/2019 Z. z., 467/2019 Z. z., 46/2020 Z. z., 63/2020 Z. z., 66/2020 Z. z., 68/2020 Z. z., 95/2020 Z. z., 125/2020 Z. z., 127/2020 Z. z., 157/2020 Z. z., 198/2020 Z. z., 258/2020 Z. z., 275/2020 Z. z., 296/2020 Z. z., 330/2020 Z. z., 365/2020 Z. z., 372/2020 Z. z., 388/2020 Z. z., 426/2020 Z. z., 126/2021 Z. z., 130/2021 Z. z., 215/2021 Z. z., 265/2021 Z. z., 283/2021 Z. z., 355/2021 Z. z., 397/2021 Z. z., 412/2021 Z. z.,</w:t>
      </w:r>
      <w:r w:rsidR="00AC3FBB">
        <w:t xml:space="preserve"> 431/2021 Z. z., 454/2021 Z. z.</w:t>
      </w:r>
      <w:r w:rsidR="00AC3FBB" w:rsidRPr="00AC3FBB">
        <w:rPr>
          <w:color w:val="231F20"/>
          <w:lang w:eastAsia="en-US"/>
        </w:rPr>
        <w:t xml:space="preserve"> </w:t>
      </w:r>
      <w:r w:rsidR="00AC3FBB" w:rsidRPr="005A6A3F">
        <w:rPr>
          <w:color w:val="231F20"/>
          <w:lang w:eastAsia="en-US"/>
        </w:rPr>
        <w:t>sa mení a dopĺňa takto:</w:t>
      </w:r>
    </w:p>
    <w:p w14:paraId="668AE8E4" w14:textId="77777777" w:rsidR="00185078" w:rsidRPr="00185078" w:rsidRDefault="00185078" w:rsidP="00185078">
      <w:pPr>
        <w:autoSpaceDE w:val="0"/>
        <w:autoSpaceDN w:val="0"/>
        <w:adjustRightInd w:val="0"/>
        <w:spacing w:before="120" w:line="276" w:lineRule="auto"/>
        <w:jc w:val="both"/>
        <w:rPr>
          <w:color w:val="231F20"/>
          <w:lang w:eastAsia="en-US"/>
        </w:rPr>
      </w:pPr>
    </w:p>
    <w:p w14:paraId="5D7D4E0D" w14:textId="24B27546" w:rsidR="00037A81" w:rsidRDefault="00934B53" w:rsidP="00037A81">
      <w:pPr>
        <w:pStyle w:val="Odsekzoznamu"/>
        <w:numPr>
          <w:ilvl w:val="0"/>
          <w:numId w:val="12"/>
        </w:numPr>
        <w:autoSpaceDE w:val="0"/>
        <w:autoSpaceDN w:val="0"/>
        <w:adjustRightInd w:val="0"/>
        <w:spacing w:before="120" w:line="276" w:lineRule="auto"/>
        <w:jc w:val="both"/>
        <w:rPr>
          <w:color w:val="231F20"/>
          <w:lang w:eastAsia="en-US"/>
        </w:rPr>
      </w:pPr>
      <w:r>
        <w:rPr>
          <w:color w:val="231F20"/>
          <w:lang w:eastAsia="en-US"/>
        </w:rPr>
        <w:t>V</w:t>
      </w:r>
      <w:r w:rsidR="00185078" w:rsidRPr="00FF3281">
        <w:rPr>
          <w:color w:val="231F20"/>
          <w:lang w:eastAsia="en-US"/>
        </w:rPr>
        <w:t xml:space="preserve"> </w:t>
      </w:r>
      <w:r w:rsidRPr="00934B53">
        <w:rPr>
          <w:color w:val="231F20"/>
          <w:lang w:eastAsia="en-US"/>
        </w:rPr>
        <w:t xml:space="preserve">§ 159 </w:t>
      </w:r>
      <w:r>
        <w:rPr>
          <w:color w:val="231F20"/>
          <w:lang w:eastAsia="en-US"/>
        </w:rPr>
        <w:t>písm. a) sa</w:t>
      </w:r>
      <w:r w:rsidR="009111E6">
        <w:rPr>
          <w:color w:val="231F20"/>
          <w:lang w:eastAsia="en-US"/>
        </w:rPr>
        <w:t xml:space="preserve"> vypúšťajú</w:t>
      </w:r>
      <w:r>
        <w:rPr>
          <w:color w:val="231F20"/>
          <w:lang w:eastAsia="en-US"/>
        </w:rPr>
        <w:t xml:space="preserve"> slová „</w:t>
      </w:r>
      <w:r w:rsidRPr="00934B53">
        <w:rPr>
          <w:color w:val="231F20"/>
          <w:lang w:eastAsia="en-US"/>
        </w:rPr>
        <w:t>0,25 % z príspevkov na starobné dôchodkové sporenie,</w:t>
      </w:r>
      <w:r>
        <w:rPr>
          <w:color w:val="231F20"/>
          <w:lang w:eastAsia="en-US"/>
        </w:rPr>
        <w:t>“.</w:t>
      </w:r>
      <w:bookmarkStart w:id="0" w:name="_GoBack"/>
      <w:bookmarkEnd w:id="0"/>
    </w:p>
    <w:p w14:paraId="31CFC492" w14:textId="77777777" w:rsidR="00037A81" w:rsidRPr="00037A81" w:rsidRDefault="00037A81" w:rsidP="00037A81">
      <w:pPr>
        <w:autoSpaceDE w:val="0"/>
        <w:autoSpaceDN w:val="0"/>
        <w:adjustRightInd w:val="0"/>
        <w:spacing w:before="120" w:line="276" w:lineRule="auto"/>
        <w:jc w:val="both"/>
        <w:rPr>
          <w:color w:val="231F20"/>
          <w:lang w:eastAsia="en-US"/>
        </w:rPr>
      </w:pPr>
    </w:p>
    <w:p w14:paraId="55A3B90B" w14:textId="791D61B3" w:rsidR="00037A81" w:rsidRDefault="00037A81" w:rsidP="00037A81">
      <w:pPr>
        <w:pStyle w:val="Odsekzoznamu"/>
        <w:numPr>
          <w:ilvl w:val="0"/>
          <w:numId w:val="12"/>
        </w:numPr>
        <w:autoSpaceDE w:val="0"/>
        <w:autoSpaceDN w:val="0"/>
        <w:adjustRightInd w:val="0"/>
        <w:spacing w:before="120" w:line="276" w:lineRule="auto"/>
        <w:jc w:val="both"/>
        <w:rPr>
          <w:color w:val="231F20"/>
          <w:lang w:eastAsia="en-US"/>
        </w:rPr>
      </w:pPr>
      <w:r>
        <w:rPr>
          <w:color w:val="231F20"/>
          <w:lang w:eastAsia="en-US"/>
        </w:rPr>
        <w:t>V § 168 ods. 2 sa vypúšťa</w:t>
      </w:r>
      <w:r w:rsidR="00054761">
        <w:rPr>
          <w:color w:val="231F20"/>
          <w:lang w:eastAsia="en-US"/>
        </w:rPr>
        <w:t xml:space="preserve"> písm. c</w:t>
      </w:r>
      <w:r>
        <w:rPr>
          <w:color w:val="231F20"/>
          <w:lang w:eastAsia="en-US"/>
        </w:rPr>
        <w:t>).</w:t>
      </w:r>
    </w:p>
    <w:p w14:paraId="23129365" w14:textId="51482EAF" w:rsidR="00037A81" w:rsidRPr="00037A81" w:rsidRDefault="00037A81" w:rsidP="00037A81">
      <w:pPr>
        <w:pStyle w:val="Odsekzoznamu"/>
        <w:autoSpaceDE w:val="0"/>
        <w:autoSpaceDN w:val="0"/>
        <w:adjustRightInd w:val="0"/>
        <w:spacing w:before="120" w:line="276" w:lineRule="auto"/>
        <w:ind w:left="360"/>
        <w:jc w:val="both"/>
        <w:rPr>
          <w:color w:val="231F20"/>
          <w:lang w:eastAsia="en-US"/>
        </w:rPr>
      </w:pPr>
      <w:r>
        <w:rPr>
          <w:color w:val="231F20"/>
          <w:lang w:eastAsia="en-US"/>
        </w:rPr>
        <w:t>Nasledujúce písmená sa primerane prečíslujú.</w:t>
      </w:r>
    </w:p>
    <w:p w14:paraId="1EC50383" w14:textId="77777777" w:rsidR="00185078" w:rsidRDefault="00185078" w:rsidP="00185078">
      <w:pPr>
        <w:spacing w:before="120" w:line="276" w:lineRule="auto"/>
        <w:rPr>
          <w:b/>
        </w:rPr>
      </w:pPr>
    </w:p>
    <w:p w14:paraId="58A17F3D" w14:textId="6D49C867" w:rsidR="00D77322" w:rsidRDefault="00D77322" w:rsidP="00D77322">
      <w:pPr>
        <w:spacing w:before="120" w:line="276" w:lineRule="auto"/>
        <w:jc w:val="center"/>
        <w:rPr>
          <w:b/>
        </w:rPr>
      </w:pPr>
      <w:r w:rsidRPr="005A6A3F">
        <w:rPr>
          <w:b/>
        </w:rPr>
        <w:t>Čl. II</w:t>
      </w:r>
      <w:r>
        <w:rPr>
          <w:b/>
        </w:rPr>
        <w:t>I</w:t>
      </w:r>
    </w:p>
    <w:p w14:paraId="1726B57C" w14:textId="5B02D24A" w:rsidR="000222C7" w:rsidRPr="005A6A3F" w:rsidRDefault="000222C7" w:rsidP="007563DD">
      <w:pPr>
        <w:spacing w:before="120" w:line="276" w:lineRule="auto"/>
        <w:ind w:firstLine="708"/>
        <w:rPr>
          <w:bCs/>
        </w:rPr>
      </w:pPr>
      <w:r w:rsidRPr="005A6A3F">
        <w:rPr>
          <w:bCs/>
        </w:rPr>
        <w:t xml:space="preserve">Tento zákon nadobúda účinnosť </w:t>
      </w:r>
      <w:r w:rsidR="00043ACB" w:rsidRPr="005A6A3F">
        <w:rPr>
          <w:bCs/>
        </w:rPr>
        <w:t xml:space="preserve">1. </w:t>
      </w:r>
      <w:r w:rsidR="00A100B4">
        <w:rPr>
          <w:bCs/>
        </w:rPr>
        <w:t>júna</w:t>
      </w:r>
      <w:r w:rsidR="00B85785" w:rsidRPr="005A6A3F">
        <w:rPr>
          <w:bCs/>
        </w:rPr>
        <w:t xml:space="preserve"> 2022</w:t>
      </w:r>
      <w:r w:rsidRPr="005A6A3F">
        <w:rPr>
          <w:bCs/>
        </w:rPr>
        <w:t>.</w:t>
      </w:r>
    </w:p>
    <w:sectPr w:rsidR="000222C7" w:rsidRPr="005A6A3F" w:rsidSect="00450A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58AC8" w14:textId="77777777" w:rsidR="00657BBF" w:rsidRDefault="00657BBF" w:rsidP="00315A87">
      <w:r>
        <w:separator/>
      </w:r>
    </w:p>
  </w:endnote>
  <w:endnote w:type="continuationSeparator" w:id="0">
    <w:p w14:paraId="368D3365" w14:textId="77777777" w:rsidR="00657BBF" w:rsidRDefault="00657BBF" w:rsidP="00315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F9333" w14:textId="77777777" w:rsidR="00657BBF" w:rsidRDefault="00657BBF" w:rsidP="00315A87">
      <w:r>
        <w:separator/>
      </w:r>
    </w:p>
  </w:footnote>
  <w:footnote w:type="continuationSeparator" w:id="0">
    <w:p w14:paraId="0B0ED347" w14:textId="77777777" w:rsidR="00657BBF" w:rsidRDefault="00657BBF" w:rsidP="00315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4E3B"/>
    <w:multiLevelType w:val="hybridMultilevel"/>
    <w:tmpl w:val="A4FCFA4C"/>
    <w:lvl w:ilvl="0" w:tplc="992840A0">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 w15:restartNumberingAfterBreak="0">
    <w:nsid w:val="0A714A47"/>
    <w:multiLevelType w:val="hybridMultilevel"/>
    <w:tmpl w:val="0B3C757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08526B"/>
    <w:multiLevelType w:val="hybridMultilevel"/>
    <w:tmpl w:val="A1A02162"/>
    <w:lvl w:ilvl="0" w:tplc="42508214">
      <w:start w:val="1"/>
      <w:numFmt w:val="decimal"/>
      <w:lvlText w:val="%1."/>
      <w:lvlJc w:val="left"/>
      <w:pPr>
        <w:ind w:left="720" w:hanging="360"/>
      </w:pPr>
      <w:rPr>
        <w:rFonts w:eastAsia="Times New Roman" w:cs="Times New Roman" w:hint="default"/>
        <w:b w:val="0"/>
        <w:color w:val="231F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E9E4E76"/>
    <w:multiLevelType w:val="hybridMultilevel"/>
    <w:tmpl w:val="EA8CA572"/>
    <w:lvl w:ilvl="0" w:tplc="051C662A">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4" w15:restartNumberingAfterBreak="0">
    <w:nsid w:val="2D362570"/>
    <w:multiLevelType w:val="hybridMultilevel"/>
    <w:tmpl w:val="E41CA14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3C6123F0"/>
    <w:multiLevelType w:val="hybridMultilevel"/>
    <w:tmpl w:val="A4DC1C92"/>
    <w:lvl w:ilvl="0" w:tplc="0CFECF98">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6" w15:restartNumberingAfterBreak="0">
    <w:nsid w:val="45632924"/>
    <w:multiLevelType w:val="hybridMultilevel"/>
    <w:tmpl w:val="8B14085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499B1377"/>
    <w:multiLevelType w:val="hybridMultilevel"/>
    <w:tmpl w:val="916EA4CA"/>
    <w:lvl w:ilvl="0" w:tplc="CE0A0A6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4E1F30A5"/>
    <w:multiLevelType w:val="hybridMultilevel"/>
    <w:tmpl w:val="13120D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EF37744"/>
    <w:multiLevelType w:val="hybridMultilevel"/>
    <w:tmpl w:val="8B14085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4F705074"/>
    <w:multiLevelType w:val="hybridMultilevel"/>
    <w:tmpl w:val="0B3C757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66D42B38"/>
    <w:multiLevelType w:val="hybridMultilevel"/>
    <w:tmpl w:val="874CD89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8"/>
  </w:num>
  <w:num w:numId="4">
    <w:abstractNumId w:val="7"/>
  </w:num>
  <w:num w:numId="5">
    <w:abstractNumId w:val="5"/>
  </w:num>
  <w:num w:numId="6">
    <w:abstractNumId w:val="0"/>
  </w:num>
  <w:num w:numId="7">
    <w:abstractNumId w:val="1"/>
  </w:num>
  <w:num w:numId="8">
    <w:abstractNumId w:val="11"/>
  </w:num>
  <w:num w:numId="9">
    <w:abstractNumId w:val="3"/>
  </w:num>
  <w:num w:numId="10">
    <w:abstractNumId w:val="1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DF8"/>
    <w:rsid w:val="000075A1"/>
    <w:rsid w:val="000222C7"/>
    <w:rsid w:val="00026FF8"/>
    <w:rsid w:val="00034BF1"/>
    <w:rsid w:val="00037A81"/>
    <w:rsid w:val="000423F6"/>
    <w:rsid w:val="00043ACB"/>
    <w:rsid w:val="00054761"/>
    <w:rsid w:val="000745AC"/>
    <w:rsid w:val="00076CC6"/>
    <w:rsid w:val="000A54AE"/>
    <w:rsid w:val="000B450C"/>
    <w:rsid w:val="000C70DA"/>
    <w:rsid w:val="000D2E53"/>
    <w:rsid w:val="000D3A37"/>
    <w:rsid w:val="000E1C3B"/>
    <w:rsid w:val="000E310D"/>
    <w:rsid w:val="000F0F6F"/>
    <w:rsid w:val="000F1380"/>
    <w:rsid w:val="000F393A"/>
    <w:rsid w:val="000F4272"/>
    <w:rsid w:val="00113A5A"/>
    <w:rsid w:val="0011595B"/>
    <w:rsid w:val="00120770"/>
    <w:rsid w:val="00122FC2"/>
    <w:rsid w:val="00134A54"/>
    <w:rsid w:val="001367B0"/>
    <w:rsid w:val="00144062"/>
    <w:rsid w:val="001459A7"/>
    <w:rsid w:val="0015522B"/>
    <w:rsid w:val="00161D17"/>
    <w:rsid w:val="00166A51"/>
    <w:rsid w:val="001717B1"/>
    <w:rsid w:val="00185078"/>
    <w:rsid w:val="00191453"/>
    <w:rsid w:val="00195FF0"/>
    <w:rsid w:val="001B5AC4"/>
    <w:rsid w:val="001B62D9"/>
    <w:rsid w:val="001B7DF3"/>
    <w:rsid w:val="001C7A84"/>
    <w:rsid w:val="001D1370"/>
    <w:rsid w:val="001D66A3"/>
    <w:rsid w:val="001E271E"/>
    <w:rsid w:val="001E5E02"/>
    <w:rsid w:val="002026B4"/>
    <w:rsid w:val="0021153E"/>
    <w:rsid w:val="002126CF"/>
    <w:rsid w:val="00220626"/>
    <w:rsid w:val="002248F6"/>
    <w:rsid w:val="0022529E"/>
    <w:rsid w:val="00243657"/>
    <w:rsid w:val="00243799"/>
    <w:rsid w:val="00251AFB"/>
    <w:rsid w:val="002613AF"/>
    <w:rsid w:val="002637A5"/>
    <w:rsid w:val="00273F9E"/>
    <w:rsid w:val="00281CB7"/>
    <w:rsid w:val="002835DF"/>
    <w:rsid w:val="00290681"/>
    <w:rsid w:val="00290E5D"/>
    <w:rsid w:val="0029474D"/>
    <w:rsid w:val="002A10BC"/>
    <w:rsid w:val="002B1719"/>
    <w:rsid w:val="002C02E3"/>
    <w:rsid w:val="002C2BF5"/>
    <w:rsid w:val="002D3D18"/>
    <w:rsid w:val="002D750F"/>
    <w:rsid w:val="002E1092"/>
    <w:rsid w:val="002E3DED"/>
    <w:rsid w:val="002F1482"/>
    <w:rsid w:val="002F5EBF"/>
    <w:rsid w:val="002F72F8"/>
    <w:rsid w:val="003078B8"/>
    <w:rsid w:val="0031177C"/>
    <w:rsid w:val="00312673"/>
    <w:rsid w:val="00315A87"/>
    <w:rsid w:val="00317EA7"/>
    <w:rsid w:val="003375F9"/>
    <w:rsid w:val="003420A4"/>
    <w:rsid w:val="003548FB"/>
    <w:rsid w:val="00355DF8"/>
    <w:rsid w:val="003608EA"/>
    <w:rsid w:val="00365988"/>
    <w:rsid w:val="00374817"/>
    <w:rsid w:val="00374BB2"/>
    <w:rsid w:val="00376567"/>
    <w:rsid w:val="00384A20"/>
    <w:rsid w:val="00392D5C"/>
    <w:rsid w:val="00392FEC"/>
    <w:rsid w:val="00393EA5"/>
    <w:rsid w:val="0039747B"/>
    <w:rsid w:val="003A3B7B"/>
    <w:rsid w:val="003A5349"/>
    <w:rsid w:val="003A5A0D"/>
    <w:rsid w:val="003C59B5"/>
    <w:rsid w:val="003E126A"/>
    <w:rsid w:val="003F408B"/>
    <w:rsid w:val="003F77CD"/>
    <w:rsid w:val="0041067C"/>
    <w:rsid w:val="00412EA8"/>
    <w:rsid w:val="00414E60"/>
    <w:rsid w:val="00414FCE"/>
    <w:rsid w:val="00442391"/>
    <w:rsid w:val="00444BCC"/>
    <w:rsid w:val="00450A28"/>
    <w:rsid w:val="00452619"/>
    <w:rsid w:val="00472D5D"/>
    <w:rsid w:val="00474ADD"/>
    <w:rsid w:val="00476C21"/>
    <w:rsid w:val="004931CF"/>
    <w:rsid w:val="00496A32"/>
    <w:rsid w:val="00496EE0"/>
    <w:rsid w:val="004A3E2C"/>
    <w:rsid w:val="004A567E"/>
    <w:rsid w:val="004D1EE2"/>
    <w:rsid w:val="004E18D5"/>
    <w:rsid w:val="004F0540"/>
    <w:rsid w:val="004F1872"/>
    <w:rsid w:val="004F28E4"/>
    <w:rsid w:val="004F7E83"/>
    <w:rsid w:val="00506820"/>
    <w:rsid w:val="00511153"/>
    <w:rsid w:val="00520597"/>
    <w:rsid w:val="00527A12"/>
    <w:rsid w:val="00532326"/>
    <w:rsid w:val="00535859"/>
    <w:rsid w:val="00541C8F"/>
    <w:rsid w:val="0054294B"/>
    <w:rsid w:val="005514DF"/>
    <w:rsid w:val="0055359C"/>
    <w:rsid w:val="005741B6"/>
    <w:rsid w:val="005748BA"/>
    <w:rsid w:val="005849AA"/>
    <w:rsid w:val="005A2487"/>
    <w:rsid w:val="005A6A3F"/>
    <w:rsid w:val="005B0047"/>
    <w:rsid w:val="005C2B5D"/>
    <w:rsid w:val="005D18E8"/>
    <w:rsid w:val="005E64C3"/>
    <w:rsid w:val="005F4357"/>
    <w:rsid w:val="006245E9"/>
    <w:rsid w:val="00640A4A"/>
    <w:rsid w:val="00640C06"/>
    <w:rsid w:val="00647D2B"/>
    <w:rsid w:val="00657BBF"/>
    <w:rsid w:val="00661B75"/>
    <w:rsid w:val="00663192"/>
    <w:rsid w:val="00687BDE"/>
    <w:rsid w:val="006A0405"/>
    <w:rsid w:val="006A2A48"/>
    <w:rsid w:val="006B1572"/>
    <w:rsid w:val="006F48CF"/>
    <w:rsid w:val="006F5A82"/>
    <w:rsid w:val="006F6BF8"/>
    <w:rsid w:val="006F7055"/>
    <w:rsid w:val="00712743"/>
    <w:rsid w:val="0071290A"/>
    <w:rsid w:val="007139D6"/>
    <w:rsid w:val="007218AB"/>
    <w:rsid w:val="00723728"/>
    <w:rsid w:val="00723FC1"/>
    <w:rsid w:val="00740E04"/>
    <w:rsid w:val="007458F1"/>
    <w:rsid w:val="00746072"/>
    <w:rsid w:val="007563DD"/>
    <w:rsid w:val="00763ACD"/>
    <w:rsid w:val="00764629"/>
    <w:rsid w:val="0076690F"/>
    <w:rsid w:val="00772916"/>
    <w:rsid w:val="00774D36"/>
    <w:rsid w:val="00784319"/>
    <w:rsid w:val="007858C5"/>
    <w:rsid w:val="00791D62"/>
    <w:rsid w:val="007A60C4"/>
    <w:rsid w:val="007B2565"/>
    <w:rsid w:val="007B5ED5"/>
    <w:rsid w:val="007B6D46"/>
    <w:rsid w:val="007D10BF"/>
    <w:rsid w:val="007D3D90"/>
    <w:rsid w:val="007D7456"/>
    <w:rsid w:val="007D7AC2"/>
    <w:rsid w:val="007E0DA2"/>
    <w:rsid w:val="007E699E"/>
    <w:rsid w:val="007F147B"/>
    <w:rsid w:val="007F3CB7"/>
    <w:rsid w:val="0080700B"/>
    <w:rsid w:val="008078FC"/>
    <w:rsid w:val="00814F41"/>
    <w:rsid w:val="00816751"/>
    <w:rsid w:val="0081708E"/>
    <w:rsid w:val="008177D6"/>
    <w:rsid w:val="00823364"/>
    <w:rsid w:val="00837877"/>
    <w:rsid w:val="0084226F"/>
    <w:rsid w:val="008523D9"/>
    <w:rsid w:val="008553F9"/>
    <w:rsid w:val="008719ED"/>
    <w:rsid w:val="00882EC4"/>
    <w:rsid w:val="008A27B6"/>
    <w:rsid w:val="008A3335"/>
    <w:rsid w:val="008B0940"/>
    <w:rsid w:val="008B487C"/>
    <w:rsid w:val="008E38AA"/>
    <w:rsid w:val="008F562B"/>
    <w:rsid w:val="00902E8E"/>
    <w:rsid w:val="009111E6"/>
    <w:rsid w:val="00911577"/>
    <w:rsid w:val="00927423"/>
    <w:rsid w:val="00932741"/>
    <w:rsid w:val="009333AB"/>
    <w:rsid w:val="00934976"/>
    <w:rsid w:val="00934B53"/>
    <w:rsid w:val="00936F27"/>
    <w:rsid w:val="009374D4"/>
    <w:rsid w:val="00937679"/>
    <w:rsid w:val="0094187B"/>
    <w:rsid w:val="00943BA1"/>
    <w:rsid w:val="00944446"/>
    <w:rsid w:val="00944C31"/>
    <w:rsid w:val="0094671B"/>
    <w:rsid w:val="00950795"/>
    <w:rsid w:val="00956A39"/>
    <w:rsid w:val="009625E6"/>
    <w:rsid w:val="00972F78"/>
    <w:rsid w:val="00977BE6"/>
    <w:rsid w:val="009836E6"/>
    <w:rsid w:val="00997038"/>
    <w:rsid w:val="009A5681"/>
    <w:rsid w:val="009B3C7E"/>
    <w:rsid w:val="009B6B8A"/>
    <w:rsid w:val="009B6EF2"/>
    <w:rsid w:val="009C4F09"/>
    <w:rsid w:val="009D6145"/>
    <w:rsid w:val="00A100B4"/>
    <w:rsid w:val="00A10A36"/>
    <w:rsid w:val="00A21D7C"/>
    <w:rsid w:val="00A2405F"/>
    <w:rsid w:val="00A26DF2"/>
    <w:rsid w:val="00A37F27"/>
    <w:rsid w:val="00A5140A"/>
    <w:rsid w:val="00A55FCF"/>
    <w:rsid w:val="00A62BA4"/>
    <w:rsid w:val="00A64F41"/>
    <w:rsid w:val="00A65321"/>
    <w:rsid w:val="00A72F79"/>
    <w:rsid w:val="00A85D83"/>
    <w:rsid w:val="00A87A4D"/>
    <w:rsid w:val="00A90DCB"/>
    <w:rsid w:val="00A9328C"/>
    <w:rsid w:val="00A9791A"/>
    <w:rsid w:val="00AA0244"/>
    <w:rsid w:val="00AA4642"/>
    <w:rsid w:val="00AA4F49"/>
    <w:rsid w:val="00AC3FBB"/>
    <w:rsid w:val="00AD5848"/>
    <w:rsid w:val="00AD61AB"/>
    <w:rsid w:val="00AE212B"/>
    <w:rsid w:val="00AE26DD"/>
    <w:rsid w:val="00AE4888"/>
    <w:rsid w:val="00AE5128"/>
    <w:rsid w:val="00AE5A71"/>
    <w:rsid w:val="00AE6275"/>
    <w:rsid w:val="00AE6CEF"/>
    <w:rsid w:val="00AF3E6D"/>
    <w:rsid w:val="00B13C00"/>
    <w:rsid w:val="00B16FB6"/>
    <w:rsid w:val="00B32B22"/>
    <w:rsid w:val="00B519D3"/>
    <w:rsid w:val="00B52FB6"/>
    <w:rsid w:val="00B56A74"/>
    <w:rsid w:val="00B7062C"/>
    <w:rsid w:val="00B7503C"/>
    <w:rsid w:val="00B768B1"/>
    <w:rsid w:val="00B77E2A"/>
    <w:rsid w:val="00B82B4A"/>
    <w:rsid w:val="00B83E13"/>
    <w:rsid w:val="00B85785"/>
    <w:rsid w:val="00B92160"/>
    <w:rsid w:val="00B974EA"/>
    <w:rsid w:val="00BA26F3"/>
    <w:rsid w:val="00BA5820"/>
    <w:rsid w:val="00BB0D37"/>
    <w:rsid w:val="00BC4E65"/>
    <w:rsid w:val="00BC53B7"/>
    <w:rsid w:val="00BE04C0"/>
    <w:rsid w:val="00BE3A84"/>
    <w:rsid w:val="00BE4D66"/>
    <w:rsid w:val="00C139E3"/>
    <w:rsid w:val="00C210C5"/>
    <w:rsid w:val="00C35D3F"/>
    <w:rsid w:val="00C52CD6"/>
    <w:rsid w:val="00C544E2"/>
    <w:rsid w:val="00C61FB1"/>
    <w:rsid w:val="00C663A5"/>
    <w:rsid w:val="00C66B12"/>
    <w:rsid w:val="00C779DA"/>
    <w:rsid w:val="00C85130"/>
    <w:rsid w:val="00C975EF"/>
    <w:rsid w:val="00CC39A5"/>
    <w:rsid w:val="00CC3FED"/>
    <w:rsid w:val="00CC7324"/>
    <w:rsid w:val="00CD076A"/>
    <w:rsid w:val="00CE3939"/>
    <w:rsid w:val="00CF5193"/>
    <w:rsid w:val="00D0062F"/>
    <w:rsid w:val="00D03809"/>
    <w:rsid w:val="00D10353"/>
    <w:rsid w:val="00D109B3"/>
    <w:rsid w:val="00D111F8"/>
    <w:rsid w:val="00D1744B"/>
    <w:rsid w:val="00D24847"/>
    <w:rsid w:val="00D27DCB"/>
    <w:rsid w:val="00D3354A"/>
    <w:rsid w:val="00D33F44"/>
    <w:rsid w:val="00D35302"/>
    <w:rsid w:val="00D51FC3"/>
    <w:rsid w:val="00D54367"/>
    <w:rsid w:val="00D6011F"/>
    <w:rsid w:val="00D72D34"/>
    <w:rsid w:val="00D77322"/>
    <w:rsid w:val="00D822E9"/>
    <w:rsid w:val="00D83A1B"/>
    <w:rsid w:val="00DA0825"/>
    <w:rsid w:val="00DA3EBF"/>
    <w:rsid w:val="00DB0EA1"/>
    <w:rsid w:val="00DB26F1"/>
    <w:rsid w:val="00DB457A"/>
    <w:rsid w:val="00DD7574"/>
    <w:rsid w:val="00DE56A9"/>
    <w:rsid w:val="00DF7279"/>
    <w:rsid w:val="00E129F9"/>
    <w:rsid w:val="00E138EA"/>
    <w:rsid w:val="00E17FD8"/>
    <w:rsid w:val="00E21846"/>
    <w:rsid w:val="00E22DC1"/>
    <w:rsid w:val="00E31D48"/>
    <w:rsid w:val="00E31D51"/>
    <w:rsid w:val="00E36B8E"/>
    <w:rsid w:val="00E87228"/>
    <w:rsid w:val="00E8769E"/>
    <w:rsid w:val="00E92C16"/>
    <w:rsid w:val="00E96C09"/>
    <w:rsid w:val="00EA31C2"/>
    <w:rsid w:val="00EA44D1"/>
    <w:rsid w:val="00EA5452"/>
    <w:rsid w:val="00EC0B98"/>
    <w:rsid w:val="00EE569C"/>
    <w:rsid w:val="00EF6F1F"/>
    <w:rsid w:val="00F156BD"/>
    <w:rsid w:val="00F16DF6"/>
    <w:rsid w:val="00F177B8"/>
    <w:rsid w:val="00F444F8"/>
    <w:rsid w:val="00F63AF2"/>
    <w:rsid w:val="00F71C4B"/>
    <w:rsid w:val="00F72625"/>
    <w:rsid w:val="00F91E94"/>
    <w:rsid w:val="00F94E39"/>
    <w:rsid w:val="00FA505D"/>
    <w:rsid w:val="00FA7630"/>
    <w:rsid w:val="00FC34C8"/>
    <w:rsid w:val="00FC3DF1"/>
    <w:rsid w:val="00FC7E2C"/>
    <w:rsid w:val="00FE3A0B"/>
    <w:rsid w:val="00FF3281"/>
    <w:rsid w:val="00FF34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F0CAD0"/>
  <w15:docId w15:val="{AC8F6A97-201E-443E-A5B5-5F5204B8E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55DF8"/>
    <w:rPr>
      <w:rFonts w:ascii="Times New Roman" w:hAnsi="Times New Roman" w:cs="Times New Roman"/>
      <w:sz w:val="24"/>
      <w:szCs w:val="24"/>
    </w:rPr>
  </w:style>
  <w:style w:type="paragraph" w:styleId="Nadpis1">
    <w:name w:val="heading 1"/>
    <w:basedOn w:val="Normlny"/>
    <w:link w:val="Nadpis1Char"/>
    <w:uiPriority w:val="9"/>
    <w:qFormat/>
    <w:rsid w:val="004F1872"/>
    <w:pPr>
      <w:spacing w:before="100" w:beforeAutospacing="1" w:after="100" w:afterAutospacing="1"/>
      <w:outlineLvl w:val="0"/>
    </w:pPr>
    <w:rPr>
      <w:b/>
      <w:bCs/>
      <w:kern w:val="36"/>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4F1872"/>
    <w:rPr>
      <w:rFonts w:ascii="Times New Roman" w:hAnsi="Times New Roman" w:cs="Times New Roman"/>
      <w:b/>
      <w:bCs/>
      <w:kern w:val="36"/>
      <w:sz w:val="48"/>
      <w:szCs w:val="48"/>
    </w:rPr>
  </w:style>
  <w:style w:type="paragraph" w:styleId="Odsekzoznamu">
    <w:name w:val="List Paragraph"/>
    <w:basedOn w:val="Normlny"/>
    <w:uiPriority w:val="34"/>
    <w:qFormat/>
    <w:rsid w:val="00355DF8"/>
    <w:pPr>
      <w:ind w:left="720"/>
      <w:contextualSpacing/>
    </w:pPr>
  </w:style>
  <w:style w:type="character" w:styleId="Odkaznakomentr">
    <w:name w:val="annotation reference"/>
    <w:uiPriority w:val="99"/>
    <w:semiHidden/>
    <w:unhideWhenUsed/>
    <w:rsid w:val="002835DF"/>
    <w:rPr>
      <w:rFonts w:cs="Times New Roman"/>
      <w:sz w:val="16"/>
    </w:rPr>
  </w:style>
  <w:style w:type="paragraph" w:styleId="Textkomentra">
    <w:name w:val="annotation text"/>
    <w:basedOn w:val="Normlny"/>
    <w:link w:val="TextkomentraChar"/>
    <w:uiPriority w:val="99"/>
    <w:unhideWhenUsed/>
    <w:rsid w:val="002835DF"/>
    <w:rPr>
      <w:sz w:val="20"/>
      <w:szCs w:val="20"/>
    </w:rPr>
  </w:style>
  <w:style w:type="character" w:customStyle="1" w:styleId="TextkomentraChar">
    <w:name w:val="Text komentára Char"/>
    <w:link w:val="Textkomentra"/>
    <w:uiPriority w:val="99"/>
    <w:locked/>
    <w:rsid w:val="002835DF"/>
    <w:rPr>
      <w:rFonts w:ascii="Times New Roman" w:hAnsi="Times New Roman" w:cs="Times New Roman"/>
    </w:rPr>
  </w:style>
  <w:style w:type="paragraph" w:styleId="Predmetkomentra">
    <w:name w:val="annotation subject"/>
    <w:basedOn w:val="Textkomentra"/>
    <w:next w:val="Textkomentra"/>
    <w:link w:val="PredmetkomentraChar"/>
    <w:uiPriority w:val="99"/>
    <w:semiHidden/>
    <w:unhideWhenUsed/>
    <w:rsid w:val="002835DF"/>
    <w:rPr>
      <w:b/>
    </w:rPr>
  </w:style>
  <w:style w:type="character" w:customStyle="1" w:styleId="PredmetkomentraChar">
    <w:name w:val="Predmet komentára Char"/>
    <w:link w:val="Predmetkomentra"/>
    <w:uiPriority w:val="99"/>
    <w:semiHidden/>
    <w:locked/>
    <w:rsid w:val="002835DF"/>
    <w:rPr>
      <w:rFonts w:ascii="Times New Roman" w:hAnsi="Times New Roman" w:cs="Times New Roman"/>
      <w:b/>
    </w:rPr>
  </w:style>
  <w:style w:type="paragraph" w:styleId="Textbubliny">
    <w:name w:val="Balloon Text"/>
    <w:basedOn w:val="Normlny"/>
    <w:link w:val="TextbublinyChar"/>
    <w:uiPriority w:val="99"/>
    <w:semiHidden/>
    <w:unhideWhenUsed/>
    <w:rsid w:val="002835DF"/>
    <w:rPr>
      <w:rFonts w:ascii="Tahoma" w:hAnsi="Tahoma"/>
      <w:sz w:val="16"/>
      <w:szCs w:val="20"/>
    </w:rPr>
  </w:style>
  <w:style w:type="character" w:customStyle="1" w:styleId="TextbublinyChar">
    <w:name w:val="Text bubliny Char"/>
    <w:link w:val="Textbubliny"/>
    <w:uiPriority w:val="99"/>
    <w:semiHidden/>
    <w:locked/>
    <w:rsid w:val="002835DF"/>
    <w:rPr>
      <w:rFonts w:ascii="Tahoma" w:hAnsi="Tahoma" w:cs="Times New Roman"/>
      <w:sz w:val="16"/>
    </w:rPr>
  </w:style>
  <w:style w:type="paragraph" w:styleId="Textpoznmkypodiarou">
    <w:name w:val="footnote text"/>
    <w:basedOn w:val="Normlny"/>
    <w:link w:val="TextpoznmkypodiarouChar"/>
    <w:uiPriority w:val="99"/>
    <w:semiHidden/>
    <w:unhideWhenUsed/>
    <w:rsid w:val="00315A87"/>
    <w:rPr>
      <w:sz w:val="20"/>
      <w:szCs w:val="20"/>
    </w:rPr>
  </w:style>
  <w:style w:type="character" w:customStyle="1" w:styleId="TextpoznmkypodiarouChar">
    <w:name w:val="Text poznámky pod čiarou Char"/>
    <w:link w:val="Textpoznmkypodiarou"/>
    <w:uiPriority w:val="99"/>
    <w:semiHidden/>
    <w:locked/>
    <w:rsid w:val="00315A87"/>
    <w:rPr>
      <w:rFonts w:ascii="Times New Roman" w:hAnsi="Times New Roman" w:cs="Times New Roman"/>
    </w:rPr>
  </w:style>
  <w:style w:type="character" w:styleId="Odkaznapoznmkupodiarou">
    <w:name w:val="footnote reference"/>
    <w:uiPriority w:val="99"/>
    <w:semiHidden/>
    <w:unhideWhenUsed/>
    <w:rsid w:val="00315A87"/>
    <w:rPr>
      <w:rFonts w:cs="Times New Roman"/>
      <w:vertAlign w:val="superscript"/>
    </w:rPr>
  </w:style>
  <w:style w:type="paragraph" w:styleId="Revzia">
    <w:name w:val="Revision"/>
    <w:hidden/>
    <w:uiPriority w:val="99"/>
    <w:semiHidden/>
    <w:rsid w:val="00972F78"/>
    <w:rPr>
      <w:rFonts w:ascii="Times New Roman" w:hAnsi="Times New Roman" w:cs="Times New Roman"/>
      <w:sz w:val="24"/>
      <w:szCs w:val="24"/>
    </w:rPr>
  </w:style>
  <w:style w:type="character" w:customStyle="1" w:styleId="h1a">
    <w:name w:val="h1a"/>
    <w:rsid w:val="004F1872"/>
  </w:style>
  <w:style w:type="paragraph" w:styleId="Normlnywebov">
    <w:name w:val="Normal (Web)"/>
    <w:basedOn w:val="Normlny"/>
    <w:uiPriority w:val="99"/>
    <w:unhideWhenUsed/>
    <w:rsid w:val="004F1872"/>
    <w:pPr>
      <w:spacing w:before="100" w:beforeAutospacing="1" w:after="100" w:afterAutospacing="1"/>
    </w:pPr>
  </w:style>
  <w:style w:type="character" w:styleId="Hypertextovprepojenie">
    <w:name w:val="Hyperlink"/>
    <w:uiPriority w:val="99"/>
    <w:unhideWhenUsed/>
    <w:rsid w:val="004F1872"/>
    <w:rPr>
      <w:color w:val="0000FF"/>
      <w:u w:val="single"/>
    </w:rPr>
  </w:style>
  <w:style w:type="character" w:styleId="PremennHTML">
    <w:name w:val="HTML Variable"/>
    <w:uiPriority w:val="99"/>
    <w:unhideWhenUsed/>
    <w:rsid w:val="00376567"/>
    <w:rPr>
      <w:i/>
    </w:rPr>
  </w:style>
  <w:style w:type="paragraph" w:customStyle="1" w:styleId="Default">
    <w:name w:val="Default"/>
    <w:rsid w:val="000222C7"/>
    <w:pPr>
      <w:widowControl w:val="0"/>
      <w:suppressAutoHyphens/>
      <w:autoSpaceDE w:val="0"/>
    </w:pPr>
    <w:rPr>
      <w:rFonts w:ascii="Liberation Serif" w:hAnsi="Liberation Serif" w:cs="Liberation Serif"/>
      <w:color w:val="000000"/>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4670">
      <w:marLeft w:val="0"/>
      <w:marRight w:val="0"/>
      <w:marTop w:val="0"/>
      <w:marBottom w:val="0"/>
      <w:divBdr>
        <w:top w:val="none" w:sz="0" w:space="0" w:color="auto"/>
        <w:left w:val="none" w:sz="0" w:space="0" w:color="auto"/>
        <w:bottom w:val="none" w:sz="0" w:space="0" w:color="auto"/>
        <w:right w:val="none" w:sz="0" w:space="0" w:color="auto"/>
      </w:divBdr>
    </w:div>
    <w:div w:id="43214671">
      <w:marLeft w:val="0"/>
      <w:marRight w:val="0"/>
      <w:marTop w:val="0"/>
      <w:marBottom w:val="0"/>
      <w:divBdr>
        <w:top w:val="none" w:sz="0" w:space="0" w:color="auto"/>
        <w:left w:val="none" w:sz="0" w:space="0" w:color="auto"/>
        <w:bottom w:val="none" w:sz="0" w:space="0" w:color="auto"/>
        <w:right w:val="none" w:sz="0" w:space="0" w:color="auto"/>
      </w:divBdr>
      <w:divsChild>
        <w:div w:id="43214674">
          <w:marLeft w:val="0"/>
          <w:marRight w:val="0"/>
          <w:marTop w:val="0"/>
          <w:marBottom w:val="0"/>
          <w:divBdr>
            <w:top w:val="none" w:sz="0" w:space="0" w:color="auto"/>
            <w:left w:val="none" w:sz="0" w:space="0" w:color="auto"/>
            <w:bottom w:val="none" w:sz="0" w:space="0" w:color="auto"/>
            <w:right w:val="none" w:sz="0" w:space="0" w:color="auto"/>
          </w:divBdr>
        </w:div>
      </w:divsChild>
    </w:div>
    <w:div w:id="43214672">
      <w:marLeft w:val="0"/>
      <w:marRight w:val="0"/>
      <w:marTop w:val="0"/>
      <w:marBottom w:val="0"/>
      <w:divBdr>
        <w:top w:val="none" w:sz="0" w:space="0" w:color="auto"/>
        <w:left w:val="none" w:sz="0" w:space="0" w:color="auto"/>
        <w:bottom w:val="none" w:sz="0" w:space="0" w:color="auto"/>
        <w:right w:val="none" w:sz="0" w:space="0" w:color="auto"/>
      </w:divBdr>
      <w:divsChild>
        <w:div w:id="43214675">
          <w:marLeft w:val="0"/>
          <w:marRight w:val="0"/>
          <w:marTop w:val="0"/>
          <w:marBottom w:val="0"/>
          <w:divBdr>
            <w:top w:val="none" w:sz="0" w:space="0" w:color="auto"/>
            <w:left w:val="none" w:sz="0" w:space="0" w:color="auto"/>
            <w:bottom w:val="none" w:sz="0" w:space="0" w:color="auto"/>
            <w:right w:val="none" w:sz="0" w:space="0" w:color="auto"/>
          </w:divBdr>
        </w:div>
      </w:divsChild>
    </w:div>
    <w:div w:id="43214673">
      <w:marLeft w:val="0"/>
      <w:marRight w:val="0"/>
      <w:marTop w:val="0"/>
      <w:marBottom w:val="0"/>
      <w:divBdr>
        <w:top w:val="none" w:sz="0" w:space="0" w:color="auto"/>
        <w:left w:val="none" w:sz="0" w:space="0" w:color="auto"/>
        <w:bottom w:val="none" w:sz="0" w:space="0" w:color="auto"/>
        <w:right w:val="none" w:sz="0" w:space="0" w:color="auto"/>
      </w:divBdr>
    </w:div>
    <w:div w:id="292635219">
      <w:bodyDiv w:val="1"/>
      <w:marLeft w:val="0"/>
      <w:marRight w:val="0"/>
      <w:marTop w:val="0"/>
      <w:marBottom w:val="0"/>
      <w:divBdr>
        <w:top w:val="none" w:sz="0" w:space="0" w:color="auto"/>
        <w:left w:val="none" w:sz="0" w:space="0" w:color="auto"/>
        <w:bottom w:val="none" w:sz="0" w:space="0" w:color="auto"/>
        <w:right w:val="none" w:sz="0" w:space="0" w:color="auto"/>
      </w:divBdr>
      <w:divsChild>
        <w:div w:id="291374744">
          <w:marLeft w:val="0"/>
          <w:marRight w:val="0"/>
          <w:marTop w:val="0"/>
          <w:marBottom w:val="0"/>
          <w:divBdr>
            <w:top w:val="none" w:sz="0" w:space="0" w:color="auto"/>
            <w:left w:val="none" w:sz="0" w:space="0" w:color="auto"/>
            <w:bottom w:val="none" w:sz="0" w:space="0" w:color="auto"/>
            <w:right w:val="none" w:sz="0" w:space="0" w:color="auto"/>
          </w:divBdr>
        </w:div>
      </w:divsChild>
    </w:div>
    <w:div w:id="620769490">
      <w:bodyDiv w:val="1"/>
      <w:marLeft w:val="0"/>
      <w:marRight w:val="0"/>
      <w:marTop w:val="0"/>
      <w:marBottom w:val="0"/>
      <w:divBdr>
        <w:top w:val="none" w:sz="0" w:space="0" w:color="auto"/>
        <w:left w:val="none" w:sz="0" w:space="0" w:color="auto"/>
        <w:bottom w:val="none" w:sz="0" w:space="0" w:color="auto"/>
        <w:right w:val="none" w:sz="0" w:space="0" w:color="auto"/>
      </w:divBdr>
      <w:divsChild>
        <w:div w:id="1494954253">
          <w:marLeft w:val="0"/>
          <w:marRight w:val="0"/>
          <w:marTop w:val="0"/>
          <w:marBottom w:val="0"/>
          <w:divBdr>
            <w:top w:val="none" w:sz="0" w:space="0" w:color="auto"/>
            <w:left w:val="none" w:sz="0" w:space="0" w:color="auto"/>
            <w:bottom w:val="none" w:sz="0" w:space="0" w:color="auto"/>
            <w:right w:val="none" w:sz="0" w:space="0" w:color="auto"/>
          </w:divBdr>
        </w:div>
        <w:div w:id="1544639368">
          <w:marLeft w:val="0"/>
          <w:marRight w:val="0"/>
          <w:marTop w:val="0"/>
          <w:marBottom w:val="0"/>
          <w:divBdr>
            <w:top w:val="none" w:sz="0" w:space="0" w:color="auto"/>
            <w:left w:val="none" w:sz="0" w:space="0" w:color="auto"/>
            <w:bottom w:val="none" w:sz="0" w:space="0" w:color="auto"/>
            <w:right w:val="none" w:sz="0" w:space="0" w:color="auto"/>
          </w:divBdr>
        </w:div>
      </w:divsChild>
    </w:div>
    <w:div w:id="649361376">
      <w:bodyDiv w:val="1"/>
      <w:marLeft w:val="0"/>
      <w:marRight w:val="0"/>
      <w:marTop w:val="0"/>
      <w:marBottom w:val="0"/>
      <w:divBdr>
        <w:top w:val="none" w:sz="0" w:space="0" w:color="auto"/>
        <w:left w:val="none" w:sz="0" w:space="0" w:color="auto"/>
        <w:bottom w:val="none" w:sz="0" w:space="0" w:color="auto"/>
        <w:right w:val="none" w:sz="0" w:space="0" w:color="auto"/>
      </w:divBdr>
      <w:divsChild>
        <w:div w:id="1188182526">
          <w:marLeft w:val="0"/>
          <w:marRight w:val="0"/>
          <w:marTop w:val="0"/>
          <w:marBottom w:val="0"/>
          <w:divBdr>
            <w:top w:val="none" w:sz="0" w:space="0" w:color="auto"/>
            <w:left w:val="none" w:sz="0" w:space="0" w:color="auto"/>
            <w:bottom w:val="none" w:sz="0" w:space="0" w:color="auto"/>
            <w:right w:val="none" w:sz="0" w:space="0" w:color="auto"/>
          </w:divBdr>
        </w:div>
        <w:div w:id="1286500624">
          <w:marLeft w:val="0"/>
          <w:marRight w:val="0"/>
          <w:marTop w:val="0"/>
          <w:marBottom w:val="0"/>
          <w:divBdr>
            <w:top w:val="none" w:sz="0" w:space="0" w:color="auto"/>
            <w:left w:val="none" w:sz="0" w:space="0" w:color="auto"/>
            <w:bottom w:val="none" w:sz="0" w:space="0" w:color="auto"/>
            <w:right w:val="none" w:sz="0" w:space="0" w:color="auto"/>
          </w:divBdr>
        </w:div>
      </w:divsChild>
    </w:div>
    <w:div w:id="824709259">
      <w:bodyDiv w:val="1"/>
      <w:marLeft w:val="0"/>
      <w:marRight w:val="0"/>
      <w:marTop w:val="0"/>
      <w:marBottom w:val="0"/>
      <w:divBdr>
        <w:top w:val="none" w:sz="0" w:space="0" w:color="auto"/>
        <w:left w:val="none" w:sz="0" w:space="0" w:color="auto"/>
        <w:bottom w:val="none" w:sz="0" w:space="0" w:color="auto"/>
        <w:right w:val="none" w:sz="0" w:space="0" w:color="auto"/>
      </w:divBdr>
      <w:divsChild>
        <w:div w:id="636686669">
          <w:marLeft w:val="0"/>
          <w:marRight w:val="0"/>
          <w:marTop w:val="0"/>
          <w:marBottom w:val="0"/>
          <w:divBdr>
            <w:top w:val="none" w:sz="0" w:space="0" w:color="auto"/>
            <w:left w:val="none" w:sz="0" w:space="0" w:color="auto"/>
            <w:bottom w:val="none" w:sz="0" w:space="0" w:color="auto"/>
            <w:right w:val="none" w:sz="0" w:space="0" w:color="auto"/>
          </w:divBdr>
        </w:div>
      </w:divsChild>
    </w:div>
    <w:div w:id="1067924626">
      <w:bodyDiv w:val="1"/>
      <w:marLeft w:val="0"/>
      <w:marRight w:val="0"/>
      <w:marTop w:val="0"/>
      <w:marBottom w:val="0"/>
      <w:divBdr>
        <w:top w:val="none" w:sz="0" w:space="0" w:color="auto"/>
        <w:left w:val="none" w:sz="0" w:space="0" w:color="auto"/>
        <w:bottom w:val="none" w:sz="0" w:space="0" w:color="auto"/>
        <w:right w:val="none" w:sz="0" w:space="0" w:color="auto"/>
      </w:divBdr>
      <w:divsChild>
        <w:div w:id="1152216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17D6B-4DD6-4F0F-9D1B-22BB4B0A5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4</Pages>
  <Words>1258</Words>
  <Characters>7174</Characters>
  <Application>Microsoft Office Word</Application>
  <DocSecurity>0</DocSecurity>
  <Lines>59</Lines>
  <Paragraphs>16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Kancelaria NR SR</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Meszaros</dc:creator>
  <cp:lastModifiedBy>Beluský, Martin</cp:lastModifiedBy>
  <cp:revision>125</cp:revision>
  <cp:lastPrinted>2021-08-30T09:47:00Z</cp:lastPrinted>
  <dcterms:created xsi:type="dcterms:W3CDTF">2019-08-22T16:32:00Z</dcterms:created>
  <dcterms:modified xsi:type="dcterms:W3CDTF">2022-03-22T12:27:00Z</dcterms:modified>
</cp:coreProperties>
</file>