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89D5E" w14:textId="77777777" w:rsidR="00023051" w:rsidRPr="00BC4770" w:rsidRDefault="00023051" w:rsidP="00023051">
      <w:pPr>
        <w:jc w:val="center"/>
        <w:rPr>
          <w:rFonts w:ascii="Book Antiqua" w:hAnsi="Book Antiqua" w:cs="Arial"/>
          <w:b/>
        </w:rPr>
      </w:pPr>
      <w:r w:rsidRPr="00BC4770">
        <w:rPr>
          <w:rFonts w:ascii="Book Antiqua" w:hAnsi="Book Antiqua" w:cs="Arial"/>
          <w:b/>
        </w:rPr>
        <w:t>Dôvodová správa</w:t>
      </w:r>
    </w:p>
    <w:p w14:paraId="15F9E31C" w14:textId="77777777" w:rsidR="00023051" w:rsidRPr="00BC4770" w:rsidRDefault="00023051" w:rsidP="00023051">
      <w:pPr>
        <w:numPr>
          <w:ilvl w:val="0"/>
          <w:numId w:val="1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BC4770">
        <w:rPr>
          <w:rFonts w:ascii="Book Antiqua" w:hAnsi="Book Antiqua" w:cs="Arial"/>
          <w:b/>
          <w:i/>
        </w:rPr>
        <w:t>Všeobecná časť</w:t>
      </w:r>
    </w:p>
    <w:p w14:paraId="2E8A7959" w14:textId="77777777" w:rsidR="00023051" w:rsidRPr="00BC4770" w:rsidRDefault="00A2524E" w:rsidP="00023051">
      <w:pPr>
        <w:ind w:left="360"/>
        <w:jc w:val="both"/>
        <w:rPr>
          <w:rFonts w:ascii="Book Antiqua" w:hAnsi="Book Antiqua" w:cs="Arial"/>
        </w:rPr>
      </w:pPr>
      <w:r w:rsidRPr="00BC4770">
        <w:rPr>
          <w:rFonts w:ascii="Book Antiqua" w:hAnsi="Book Antiqua"/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385EB5" wp14:editId="11961FBF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4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AA9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EGNKmg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14:paraId="115E0C73" w14:textId="0FAC42A9" w:rsidR="00D267B2" w:rsidRPr="00BC4770" w:rsidRDefault="00D267B2" w:rsidP="001A584C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BC4770">
        <w:rPr>
          <w:rFonts w:ascii="Book Antiqua" w:hAnsi="Book Antiqua" w:cs="Arial"/>
        </w:rPr>
        <w:t xml:space="preserve">Návrh zákona, ktorým sa mení a dopĺňa zákon </w:t>
      </w:r>
      <w:r w:rsidR="001A584C" w:rsidRPr="00BC4770">
        <w:rPr>
          <w:rFonts w:ascii="Book Antiqua" w:hAnsi="Book Antiqua" w:cs="Arial"/>
          <w:bCs/>
        </w:rPr>
        <w:t>č</w:t>
      </w:r>
      <w:r w:rsidR="006049A1" w:rsidRPr="00BC4770">
        <w:rPr>
          <w:rFonts w:ascii="Book Antiqua" w:hAnsi="Book Antiqua" w:cs="Arial"/>
          <w:bCs/>
        </w:rPr>
        <w:t>.</w:t>
      </w:r>
      <w:r w:rsidR="001A584C" w:rsidRPr="00BC4770">
        <w:rPr>
          <w:rFonts w:ascii="Book Antiqua" w:hAnsi="Book Antiqua" w:cs="Arial"/>
          <w:bCs/>
        </w:rPr>
        <w:t xml:space="preserve"> </w:t>
      </w:r>
      <w:r w:rsidR="00672B99">
        <w:rPr>
          <w:rFonts w:ascii="Book Antiqua" w:hAnsi="Book Antiqua" w:cs="Arial"/>
          <w:bCs/>
        </w:rPr>
        <w:t>69/2018</w:t>
      </w:r>
      <w:r w:rsidR="002E25B2" w:rsidRPr="00BC4770">
        <w:rPr>
          <w:rFonts w:ascii="Book Antiqua" w:hAnsi="Book Antiqua" w:cs="Arial"/>
          <w:bCs/>
        </w:rPr>
        <w:t xml:space="preserve"> Z. z. o</w:t>
      </w:r>
      <w:r w:rsidR="00672B99">
        <w:rPr>
          <w:rFonts w:ascii="Book Antiqua" w:hAnsi="Book Antiqua" w:cs="Arial"/>
          <w:bCs/>
        </w:rPr>
        <w:t xml:space="preserve"> kybernetickej bezpečnosti </w:t>
      </w:r>
      <w:r w:rsidR="00E1154A" w:rsidRPr="00BC4770">
        <w:rPr>
          <w:rFonts w:ascii="Book Antiqua" w:hAnsi="Book Antiqua" w:cs="Arial"/>
          <w:bCs/>
        </w:rPr>
        <w:t>a o zmene a doplnení niektorých zákonov</w:t>
      </w:r>
      <w:r w:rsidR="003D71EE" w:rsidRPr="00BC4770">
        <w:rPr>
          <w:rFonts w:ascii="Book Antiqua" w:hAnsi="Book Antiqua" w:cs="Arial"/>
          <w:bCs/>
        </w:rPr>
        <w:t xml:space="preserve"> v znení neskorších predpisov </w:t>
      </w:r>
      <w:r w:rsidRPr="00BC4770">
        <w:rPr>
          <w:rFonts w:ascii="Book Antiqua" w:hAnsi="Book Antiqua" w:cs="Arial"/>
        </w:rPr>
        <w:t xml:space="preserve">predkladajú do Národnej rady Slovenskej republiky </w:t>
      </w:r>
      <w:r w:rsidRPr="00BC4770">
        <w:rPr>
          <w:rFonts w:ascii="Book Antiqua" w:hAnsi="Book Antiqua" w:cs="Arial"/>
          <w:color w:val="000000" w:themeColor="text1"/>
        </w:rPr>
        <w:t xml:space="preserve">poslanci za politickú stranu Kotlebovci – Ľudová strana Naše Slovensko Marian Kotleba, </w:t>
      </w:r>
      <w:r w:rsidR="005A5177" w:rsidRPr="00BC4770">
        <w:rPr>
          <w:rFonts w:ascii="Book Antiqua" w:hAnsi="Book Antiqua" w:cs="Arial"/>
          <w:color w:val="000000" w:themeColor="text1"/>
        </w:rPr>
        <w:t>Martin Beluský a</w:t>
      </w:r>
      <w:r w:rsidR="004D7023" w:rsidRPr="00BC4770">
        <w:rPr>
          <w:rFonts w:ascii="Book Antiqua" w:hAnsi="Book Antiqua" w:cs="Arial"/>
          <w:color w:val="000000" w:themeColor="text1"/>
        </w:rPr>
        <w:t> Peter Krupa</w:t>
      </w:r>
      <w:r w:rsidR="002E25B2" w:rsidRPr="00BC4770">
        <w:rPr>
          <w:rFonts w:ascii="Book Antiqua" w:hAnsi="Book Antiqua" w:cs="Arial"/>
          <w:color w:val="000000" w:themeColor="text1"/>
        </w:rPr>
        <w:t>.</w:t>
      </w:r>
    </w:p>
    <w:p w14:paraId="72AAC39D" w14:textId="1BDC33EF" w:rsidR="00861C8D" w:rsidRDefault="00861C8D" w:rsidP="00BF12B4">
      <w:pPr>
        <w:ind w:firstLine="708"/>
        <w:jc w:val="both"/>
        <w:rPr>
          <w:rFonts w:ascii="Book Antiqua" w:hAnsi="Book Antiqua" w:cs="Arial"/>
          <w:b/>
          <w:bCs/>
          <w:color w:val="000000" w:themeColor="text1"/>
        </w:rPr>
      </w:pPr>
      <w:r w:rsidRPr="00BC4770">
        <w:rPr>
          <w:rFonts w:ascii="Book Antiqua" w:hAnsi="Book Antiqua" w:cs="Arial"/>
          <w:b/>
          <w:bCs/>
          <w:color w:val="000000" w:themeColor="text1"/>
        </w:rPr>
        <w:t>Predložený návrh</w:t>
      </w:r>
      <w:r w:rsidR="005A5177" w:rsidRPr="00BC4770">
        <w:rPr>
          <w:rFonts w:ascii="Book Antiqua" w:hAnsi="Book Antiqua" w:cs="Arial"/>
          <w:b/>
          <w:bCs/>
          <w:color w:val="000000" w:themeColor="text1"/>
        </w:rPr>
        <w:t xml:space="preserve"> zákona </w:t>
      </w:r>
      <w:r w:rsidR="00452A6F" w:rsidRPr="00BC4770">
        <w:rPr>
          <w:rFonts w:ascii="Book Antiqua" w:hAnsi="Book Antiqua" w:cs="Arial"/>
          <w:b/>
          <w:bCs/>
          <w:color w:val="000000" w:themeColor="text1"/>
        </w:rPr>
        <w:t xml:space="preserve">má za cieľ </w:t>
      </w:r>
      <w:r w:rsidR="00672B99">
        <w:rPr>
          <w:rFonts w:ascii="Book Antiqua" w:hAnsi="Book Antiqua" w:cs="Arial"/>
          <w:b/>
          <w:bCs/>
          <w:color w:val="000000" w:themeColor="text1"/>
        </w:rPr>
        <w:t>odstrániť zneužiteľnosť nedemokratického nástroja blokovania informácií, ktorý bol delegovaný Nár</w:t>
      </w:r>
      <w:r w:rsidR="00364988">
        <w:rPr>
          <w:rFonts w:ascii="Book Antiqua" w:hAnsi="Book Antiqua" w:cs="Arial"/>
          <w:b/>
          <w:bCs/>
          <w:color w:val="000000" w:themeColor="text1"/>
        </w:rPr>
        <w:t>odnému bezpečnostnému úradu SR novelou zákona prijatého</w:t>
      </w:r>
      <w:r w:rsidR="00672B99">
        <w:rPr>
          <w:rFonts w:ascii="Book Antiqua" w:hAnsi="Book Antiqua" w:cs="Arial"/>
          <w:b/>
          <w:bCs/>
          <w:color w:val="000000" w:themeColor="text1"/>
        </w:rPr>
        <w:t xml:space="preserve"> vo februári 2022 Národnou radou Slovenskej republiky.</w:t>
      </w:r>
    </w:p>
    <w:p w14:paraId="4CB391F8" w14:textId="39C9C68B" w:rsidR="00364988" w:rsidRDefault="00364988" w:rsidP="00BF12B4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Situácia na východnej hranici Slovenska si vyžiadala nutnosť urýchleného prijatia viacerých zákonov v skrátenom </w:t>
      </w:r>
      <w:r w:rsidR="00416D3E">
        <w:rPr>
          <w:rFonts w:ascii="Book Antiqua" w:hAnsi="Book Antiqua" w:cs="Arial"/>
          <w:bCs/>
          <w:color w:val="000000" w:themeColor="text1"/>
        </w:rPr>
        <w:t xml:space="preserve">legislatívnom konaní, ktoré boli prijaté v balíku pod názvom </w:t>
      </w:r>
      <w:r w:rsidR="00416D3E" w:rsidRPr="00416D3E">
        <w:rPr>
          <w:rFonts w:ascii="Book Antiqua" w:hAnsi="Book Antiqua" w:cs="Arial"/>
          <w:bCs/>
          <w:color w:val="000000" w:themeColor="text1"/>
        </w:rPr>
        <w:t>návrh zákona o niektorých opatreniach v súvislosti so situáciou na Ukrajine</w:t>
      </w:r>
      <w:r w:rsidR="00416D3E">
        <w:rPr>
          <w:rFonts w:ascii="Book Antiqua" w:hAnsi="Book Antiqua" w:cs="Arial"/>
          <w:bCs/>
          <w:color w:val="000000" w:themeColor="text1"/>
        </w:rPr>
        <w:t>.</w:t>
      </w:r>
      <w:r w:rsidR="009B7A8C" w:rsidRPr="009B7A8C">
        <w:t xml:space="preserve"> </w:t>
      </w:r>
      <w:r w:rsidR="009B7A8C">
        <w:rPr>
          <w:rFonts w:ascii="Book Antiqua" w:hAnsi="Book Antiqua" w:cs="Arial"/>
          <w:bCs/>
          <w:color w:val="000000" w:themeColor="text1"/>
        </w:rPr>
        <w:t>Vojna prirodzene vyústila</w:t>
      </w:r>
      <w:r w:rsidR="009B7A8C" w:rsidRPr="009B7A8C">
        <w:rPr>
          <w:rFonts w:ascii="Book Antiqua" w:hAnsi="Book Antiqua" w:cs="Arial"/>
          <w:bCs/>
          <w:color w:val="000000" w:themeColor="text1"/>
        </w:rPr>
        <w:t xml:space="preserve"> do masovej migrácie cudzincov </w:t>
      </w:r>
      <w:r w:rsidR="009B7A8C">
        <w:rPr>
          <w:rFonts w:ascii="Book Antiqua" w:hAnsi="Book Antiqua" w:cs="Arial"/>
          <w:bCs/>
          <w:color w:val="000000" w:themeColor="text1"/>
        </w:rPr>
        <w:t xml:space="preserve">aj </w:t>
      </w:r>
      <w:r w:rsidR="009B7A8C" w:rsidRPr="009B7A8C">
        <w:rPr>
          <w:rFonts w:ascii="Book Antiqua" w:hAnsi="Book Antiqua" w:cs="Arial"/>
          <w:bCs/>
          <w:color w:val="000000" w:themeColor="text1"/>
        </w:rPr>
        <w:t>na naše územie.</w:t>
      </w:r>
      <w:r w:rsidR="009B7A8C">
        <w:rPr>
          <w:rFonts w:ascii="Book Antiqua" w:hAnsi="Book Antiqua" w:cs="Arial"/>
          <w:bCs/>
          <w:color w:val="000000" w:themeColor="text1"/>
        </w:rPr>
        <w:t xml:space="preserve"> </w:t>
      </w:r>
      <w:r w:rsidRPr="00364988">
        <w:rPr>
          <w:rFonts w:ascii="Book Antiqua" w:hAnsi="Book Antiqua" w:cs="Arial"/>
          <w:bCs/>
          <w:color w:val="000000" w:themeColor="text1"/>
        </w:rPr>
        <w:t xml:space="preserve">V dôsledku toho </w:t>
      </w:r>
      <w:r w:rsidR="009B7A8C">
        <w:rPr>
          <w:rFonts w:ascii="Book Antiqua" w:hAnsi="Book Antiqua" w:cs="Arial"/>
          <w:bCs/>
          <w:color w:val="000000" w:themeColor="text1"/>
        </w:rPr>
        <w:t xml:space="preserve">bolo </w:t>
      </w:r>
      <w:r w:rsidRPr="00364988">
        <w:rPr>
          <w:rFonts w:ascii="Book Antiqua" w:hAnsi="Book Antiqua" w:cs="Arial"/>
          <w:bCs/>
          <w:color w:val="000000" w:themeColor="text1"/>
        </w:rPr>
        <w:t xml:space="preserve">potrebné realizovať opatrenia hospodárskej mobilizácie, a to najmä vecné plnenia s ohľadom na potrebu zabezpečenia ubytovania cudzincov, organizáciu dopravného zabezpečenia, organizáciu zdravotníckeho zabezpečenia </w:t>
      </w:r>
      <w:r w:rsidR="009B7A8C">
        <w:rPr>
          <w:rFonts w:ascii="Book Antiqua" w:hAnsi="Book Antiqua" w:cs="Arial"/>
          <w:bCs/>
          <w:color w:val="000000" w:themeColor="text1"/>
        </w:rPr>
        <w:t>a podobne</w:t>
      </w:r>
      <w:r w:rsidRPr="00364988">
        <w:rPr>
          <w:rFonts w:ascii="Book Antiqua" w:hAnsi="Book Antiqua" w:cs="Arial"/>
          <w:bCs/>
          <w:color w:val="000000" w:themeColor="text1"/>
        </w:rPr>
        <w:t xml:space="preserve">. </w:t>
      </w:r>
      <w:r w:rsidR="009B7A8C">
        <w:rPr>
          <w:rFonts w:ascii="Book Antiqua" w:hAnsi="Book Antiqua" w:cs="Arial"/>
          <w:bCs/>
          <w:color w:val="000000" w:themeColor="text1"/>
        </w:rPr>
        <w:t>Tak isto sa umožnilo</w:t>
      </w:r>
      <w:r w:rsidRPr="00364988">
        <w:rPr>
          <w:rFonts w:ascii="Book Antiqua" w:hAnsi="Book Antiqua" w:cs="Arial"/>
          <w:bCs/>
          <w:color w:val="000000" w:themeColor="text1"/>
        </w:rPr>
        <w:t xml:space="preserve"> vláde Slovenskej republiky vyhlásiť poskytovanie dočasného útočiska aj bez rozhodnutia Rady Európskej únie.</w:t>
      </w:r>
    </w:p>
    <w:p w14:paraId="2E5D5DD0" w14:textId="23BCB8FF" w:rsidR="009B7A8C" w:rsidRDefault="00957B99" w:rsidP="00BF12B4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V skrátenom legislatívnom konaní bola však prijatá aj novela zákona o kybernetickej bezpečnosti, ktorej cieľom malo byť </w:t>
      </w:r>
      <w:r w:rsidRPr="00957B99">
        <w:rPr>
          <w:rFonts w:ascii="Book Antiqua" w:hAnsi="Book Antiqua" w:cs="Arial"/>
          <w:bCs/>
          <w:color w:val="000000" w:themeColor="text1"/>
        </w:rPr>
        <w:t>zamedziť šíreniu škodlivého obsahu na internete prostredníctvom nového inštitútu „blokovania“.</w:t>
      </w:r>
      <w:r w:rsidR="00BF1065">
        <w:rPr>
          <w:rFonts w:ascii="Book Antiqua" w:hAnsi="Book Antiqua" w:cs="Arial"/>
          <w:bCs/>
          <w:color w:val="000000" w:themeColor="text1"/>
        </w:rPr>
        <w:t xml:space="preserve"> V ňom sa za škodlivú aktivitu zadefinovalo aj šírenie závažných dezinformácií a iné </w:t>
      </w:r>
      <w:r w:rsidR="00300557">
        <w:rPr>
          <w:rFonts w:ascii="Book Antiqua" w:hAnsi="Book Antiqua" w:cs="Arial"/>
          <w:bCs/>
          <w:color w:val="000000" w:themeColor="text1"/>
        </w:rPr>
        <w:t>forma</w:t>
      </w:r>
      <w:r w:rsidR="00BF1065">
        <w:rPr>
          <w:rFonts w:ascii="Book Antiqua" w:hAnsi="Book Antiqua" w:cs="Arial"/>
          <w:bCs/>
          <w:color w:val="000000" w:themeColor="text1"/>
        </w:rPr>
        <w:t xml:space="preserve"> hybridnej vojny.</w:t>
      </w:r>
    </w:p>
    <w:p w14:paraId="1227EB8E" w14:textId="24369A3E" w:rsidR="0044165D" w:rsidRDefault="008B62F3" w:rsidP="00BF12B4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Pritom 29. júna 2021 bola v Národnej rade Slovenskej republiky schválená novela zákona o kybernetickej bezpečnosti, v ktorej na návrh koaličných poslancov bol inštitút blokovania vyradený. Tento zákona s parlamentnou tlačou 441 prešiel riadnym medzirezortným pripomienkovým konaním a bol schválený aj legislatívnou radou vlády. Výsledkom konsenzu sa v tomto </w:t>
      </w:r>
      <w:r w:rsidR="008C2506">
        <w:rPr>
          <w:rFonts w:ascii="Book Antiqua" w:hAnsi="Book Antiqua" w:cs="Arial"/>
          <w:bCs/>
          <w:color w:val="000000" w:themeColor="text1"/>
        </w:rPr>
        <w:t>zákone</w:t>
      </w:r>
      <w:r>
        <w:rPr>
          <w:rFonts w:ascii="Book Antiqua" w:hAnsi="Book Antiqua" w:cs="Arial"/>
          <w:bCs/>
          <w:color w:val="000000" w:themeColor="text1"/>
        </w:rPr>
        <w:t xml:space="preserve"> škodlivá aktivita</w:t>
      </w:r>
      <w:r w:rsidRPr="008B62F3">
        <w:rPr>
          <w:rFonts w:ascii="Book Antiqua" w:hAnsi="Book Antiqua" w:cs="Arial"/>
          <w:bCs/>
          <w:color w:val="000000" w:themeColor="text1"/>
        </w:rPr>
        <w:t xml:space="preserve"> </w:t>
      </w:r>
      <w:r>
        <w:rPr>
          <w:rFonts w:ascii="Book Antiqua" w:hAnsi="Book Antiqua" w:cs="Arial"/>
          <w:bCs/>
          <w:color w:val="000000" w:themeColor="text1"/>
        </w:rPr>
        <w:t xml:space="preserve">definovala ako </w:t>
      </w:r>
      <w:r w:rsidRPr="008B62F3">
        <w:rPr>
          <w:rFonts w:ascii="Book Antiqua" w:hAnsi="Book Antiqua" w:cs="Arial"/>
          <w:bCs/>
          <w:color w:val="000000" w:themeColor="text1"/>
        </w:rPr>
        <w:t>akákoľvek činnosť, ktorá zapríčiňuje alebo môže zapríčiniť kybernetický bezpečnostný incident, ako podvodná činnosť, odcudzenie osobných údajov alebo citlivých údajov.</w:t>
      </w:r>
    </w:p>
    <w:p w14:paraId="5DC7EFC6" w14:textId="77C0C0F3" w:rsidR="008C2506" w:rsidRDefault="008C2506" w:rsidP="00BF12B4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Celospoločenskou diskusiou neprešiel návrh, aby sa ako škodlivá aktivita definovalo aj šírenie závažných dezinformácií alebo iné </w:t>
      </w:r>
      <w:r w:rsidR="00300557">
        <w:rPr>
          <w:rFonts w:ascii="Book Antiqua" w:hAnsi="Book Antiqua" w:cs="Arial"/>
          <w:bCs/>
          <w:color w:val="000000" w:themeColor="text1"/>
        </w:rPr>
        <w:t>formy</w:t>
      </w:r>
      <w:r>
        <w:rPr>
          <w:rFonts w:ascii="Book Antiqua" w:hAnsi="Book Antiqua" w:cs="Arial"/>
          <w:bCs/>
          <w:color w:val="000000" w:themeColor="text1"/>
        </w:rPr>
        <w:t xml:space="preserve"> hybridnej vojny.</w:t>
      </w:r>
      <w:r w:rsidR="00E34C9B">
        <w:rPr>
          <w:rFonts w:ascii="Book Antiqua" w:hAnsi="Book Antiqua" w:cs="Arial"/>
          <w:bCs/>
          <w:color w:val="000000" w:themeColor="text1"/>
        </w:rPr>
        <w:t xml:space="preserve"> Bez riadnej odbornej diskusie a jasnej definície vznikol v právnom poriadku Slovenskej republiky inštitút a nástroj, ktorý by sa dal jednoducho politicky zneužiť. </w:t>
      </w:r>
      <w:r w:rsidR="00BF1065">
        <w:rPr>
          <w:rFonts w:ascii="Book Antiqua" w:hAnsi="Book Antiqua" w:cs="Arial"/>
          <w:bCs/>
          <w:color w:val="000000" w:themeColor="text1"/>
        </w:rPr>
        <w:t>Súčasná vládna koalícia tak do právneho poriadku zaviedla precedens, podľa ktorého si môže ktokoľvek, kto bude aktuálne pri moci, zadefinovať šírenie závažných dezinformácií podľa svojho úsudku a zablokovať tak kritické alebo znepriatelené médiá.</w:t>
      </w:r>
    </w:p>
    <w:p w14:paraId="2088D346" w14:textId="78062010" w:rsidR="00BF1065" w:rsidRDefault="00300557" w:rsidP="00BC4770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Ako argument neprejde ani fakt, že inštitút blokovania </w:t>
      </w:r>
      <w:r w:rsidR="004A04E3">
        <w:rPr>
          <w:rFonts w:ascii="Book Antiqua" w:hAnsi="Book Antiqua" w:cs="Arial"/>
        </w:rPr>
        <w:t>je možné využiť podľa súčasne platného zákona do 30. júna 2022. Obnovenie tohto inštitútu bude na rozhodnutí vládnej koalícii, a tá si ho bude môcť aktivovať jednoduchou novelou zákona o kybernetickej bezpečnosti.</w:t>
      </w:r>
    </w:p>
    <w:p w14:paraId="5F944F2E" w14:textId="62877343" w:rsidR="00416D3E" w:rsidRDefault="00416D3E" w:rsidP="00416D3E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 xml:space="preserve">Inštitút blokovania ako celok by sa podľa navrhovateľov tohto zákona nemal vypnúť úplne. V pôvodnom znení návrhu zákona </w:t>
      </w:r>
      <w:r w:rsidRPr="00416D3E">
        <w:rPr>
          <w:rFonts w:ascii="Book Antiqua" w:hAnsi="Book Antiqua" w:cs="Arial"/>
        </w:rPr>
        <w:t>o niektorých opatreniach v súvislosti so situáciou na Ukrajine</w:t>
      </w:r>
      <w:r>
        <w:rPr>
          <w:rFonts w:ascii="Book Antiqua" w:hAnsi="Book Antiqua" w:cs="Arial"/>
        </w:rPr>
        <w:t xml:space="preserve"> sa navrhovalo, aby rozhodnutie</w:t>
      </w:r>
      <w:r w:rsidRPr="00300557">
        <w:rPr>
          <w:rFonts w:ascii="Book Antiqua" w:hAnsi="Book Antiqua" w:cs="Arial"/>
        </w:rPr>
        <w:t xml:space="preserve"> o blokovaní škodlivej aktivity, ktorou je závažná dezinformácia ale</w:t>
      </w:r>
      <w:r>
        <w:rPr>
          <w:rFonts w:ascii="Book Antiqua" w:hAnsi="Book Antiqua" w:cs="Arial"/>
        </w:rPr>
        <w:t>bo iná forma hybridných hrozieb bolo možné</w:t>
      </w:r>
      <w:r w:rsidRPr="00300557">
        <w:rPr>
          <w:rFonts w:ascii="Book Antiqua" w:hAnsi="Book Antiqua" w:cs="Arial"/>
        </w:rPr>
        <w:t xml:space="preserve"> len s platnosťou do 31. decembra 2022</w:t>
      </w:r>
      <w:r>
        <w:rPr>
          <w:rFonts w:ascii="Book Antiqua" w:hAnsi="Book Antiqua" w:cs="Arial"/>
        </w:rPr>
        <w:t xml:space="preserve">. To znemená, že sa pôvodne navrhovalo iba dočasné využívanie blokovania závažných dezinformácií a iných foriem hybridnej vojny, avšak ostatné </w:t>
      </w:r>
      <w:r w:rsidR="000365F6">
        <w:rPr>
          <w:rFonts w:ascii="Book Antiqua" w:hAnsi="Book Antiqua" w:cs="Arial"/>
        </w:rPr>
        <w:t>škodlivé aktivity a škodlivý obsah by bolo možné blokovať aj naďalej.</w:t>
      </w:r>
      <w:r w:rsidR="00B34158">
        <w:rPr>
          <w:rFonts w:ascii="Book Antiqua" w:hAnsi="Book Antiqua" w:cs="Arial"/>
        </w:rPr>
        <w:t xml:space="preserve"> Slovensko je a bude aj naďalej vystavené kybernetickým bezpečnostným incidentom, a preto by štát prostredníctvom Národného bezpečnostného úradu SR mal mať naďalej nástroj na jeho odstránenie.</w:t>
      </w:r>
    </w:p>
    <w:p w14:paraId="521DA8C1" w14:textId="607A756A" w:rsidR="006755FD" w:rsidRDefault="004A04E3" w:rsidP="00BC4770">
      <w:pPr>
        <w:ind w:firstLine="708"/>
        <w:jc w:val="both"/>
        <w:rPr>
          <w:rFonts w:ascii="Book Antiqua" w:hAnsi="Book Antiqua" w:cs="Arial"/>
        </w:rPr>
      </w:pPr>
      <w:r w:rsidRPr="004A04E3">
        <w:rPr>
          <w:rFonts w:ascii="Book Antiqua" w:hAnsi="Book Antiqua" w:cs="Arial"/>
        </w:rPr>
        <w:t xml:space="preserve">Škodlivých aktivít na internete z roka na rok pribúda. Zároveň rastie </w:t>
      </w:r>
      <w:proofErr w:type="spellStart"/>
      <w:r w:rsidRPr="004A04E3">
        <w:rPr>
          <w:rFonts w:ascii="Book Antiqua" w:hAnsi="Book Antiqua" w:cs="Arial"/>
        </w:rPr>
        <w:t>sofistikovanosť</w:t>
      </w:r>
      <w:proofErr w:type="spellEnd"/>
      <w:r w:rsidRPr="004A04E3">
        <w:rPr>
          <w:rFonts w:ascii="Book Antiqua" w:hAnsi="Book Antiqua" w:cs="Arial"/>
        </w:rPr>
        <w:t xml:space="preserve"> útokov a s neustále prebiehajúcou informatizáciou spoločnosti aj riziká spojené s úspešne vykonanými útokmi. Reakcie na rôzne</w:t>
      </w:r>
      <w:r>
        <w:rPr>
          <w:rFonts w:ascii="Book Antiqua" w:hAnsi="Book Antiqua" w:cs="Arial"/>
        </w:rPr>
        <w:t xml:space="preserve"> </w:t>
      </w:r>
      <w:r w:rsidRPr="004A04E3">
        <w:rPr>
          <w:rFonts w:ascii="Book Antiqua" w:hAnsi="Book Antiqua" w:cs="Arial"/>
        </w:rPr>
        <w:t xml:space="preserve">typy škodlivých aktivít spadajú do kompetencie rôznych štátnych orgánov. Množstvo útokov je vykonávaných buď plošne (napr. </w:t>
      </w:r>
      <w:proofErr w:type="spellStart"/>
      <w:r w:rsidRPr="004A04E3">
        <w:rPr>
          <w:rFonts w:ascii="Book Antiqua" w:hAnsi="Book Antiqua" w:cs="Arial"/>
        </w:rPr>
        <w:t>phishingové</w:t>
      </w:r>
      <w:proofErr w:type="spellEnd"/>
      <w:r w:rsidRPr="004A04E3">
        <w:rPr>
          <w:rFonts w:ascii="Book Antiqua" w:hAnsi="Book Antiqua" w:cs="Arial"/>
        </w:rPr>
        <w:t xml:space="preserve"> kampane lákajúce veľké množstvo používateľov kliknúť na rozoslaný </w:t>
      </w:r>
      <w:proofErr w:type="spellStart"/>
      <w:r w:rsidRPr="004A04E3">
        <w:rPr>
          <w:rFonts w:ascii="Book Antiqua" w:hAnsi="Book Antiqua" w:cs="Arial"/>
        </w:rPr>
        <w:t>link</w:t>
      </w:r>
      <w:proofErr w:type="spellEnd"/>
      <w:r w:rsidRPr="004A04E3">
        <w:rPr>
          <w:rFonts w:ascii="Book Antiqua" w:hAnsi="Book Antiqua" w:cs="Arial"/>
        </w:rPr>
        <w:t xml:space="preserve">), alebo na svoju činnosť využíva identifikovateľný škodlivý obsah alebo sieťovú infraštruktúru (napr. riadiace servery </w:t>
      </w:r>
      <w:proofErr w:type="spellStart"/>
      <w:r w:rsidRPr="004A04E3">
        <w:rPr>
          <w:rFonts w:ascii="Book Antiqua" w:hAnsi="Book Antiqua" w:cs="Arial"/>
        </w:rPr>
        <w:t>botnet</w:t>
      </w:r>
      <w:proofErr w:type="spellEnd"/>
      <w:r w:rsidRPr="004A04E3">
        <w:rPr>
          <w:rFonts w:ascii="Book Antiqua" w:hAnsi="Book Antiqua" w:cs="Arial"/>
        </w:rPr>
        <w:t xml:space="preserve"> sietí, DNS servery k nim smerujúce, zariadenia vykonávajúce DDOS útoky a pod.). Z tohto dôvodu mnohé krajiny zavádzajú legislatívne podmienky a technické prostriedky na blokovanie nežiadúceho obsahu, IP adries, domén, URL, súborov a</w:t>
      </w:r>
      <w:r w:rsidR="006755FD">
        <w:rPr>
          <w:rFonts w:ascii="Book Antiqua" w:hAnsi="Book Antiqua" w:cs="Arial"/>
        </w:rPr>
        <w:t> </w:t>
      </w:r>
      <w:r w:rsidRPr="004A04E3">
        <w:rPr>
          <w:rFonts w:ascii="Book Antiqua" w:hAnsi="Book Antiqua" w:cs="Arial"/>
        </w:rPr>
        <w:t>podobne</w:t>
      </w:r>
      <w:r w:rsidR="006755FD">
        <w:rPr>
          <w:rFonts w:ascii="Book Antiqua" w:hAnsi="Book Antiqua" w:cs="Arial"/>
        </w:rPr>
        <w:t>.</w:t>
      </w:r>
    </w:p>
    <w:p w14:paraId="17CCCEA0" w14:textId="77777777" w:rsidR="006755FD" w:rsidRDefault="004A04E3" w:rsidP="006755FD">
      <w:pPr>
        <w:ind w:firstLine="708"/>
        <w:jc w:val="both"/>
        <w:rPr>
          <w:rFonts w:ascii="Book Antiqua" w:hAnsi="Book Antiqua" w:cs="Arial"/>
        </w:rPr>
      </w:pPr>
      <w:r w:rsidRPr="004A04E3">
        <w:rPr>
          <w:rFonts w:ascii="Book Antiqua" w:hAnsi="Book Antiqua" w:cs="Arial"/>
        </w:rPr>
        <w:t>Blokovanie infikovaných domén a IP adries je nutné považovať za reaktívne opatrenie vedúce k zamedzeniu prístupu k škodlivému obsahu. Dôvody, prečo využiť tento prostriedok, je možné zhrnúť do niekoľkých bodov:</w:t>
      </w:r>
    </w:p>
    <w:p w14:paraId="55F1439C" w14:textId="1B07D493" w:rsidR="006755FD" w:rsidRPr="006755FD" w:rsidRDefault="004A04E3" w:rsidP="006755FD">
      <w:pPr>
        <w:pStyle w:val="Odsekzoznamu"/>
        <w:numPr>
          <w:ilvl w:val="0"/>
          <w:numId w:val="8"/>
        </w:numPr>
        <w:jc w:val="both"/>
        <w:rPr>
          <w:rFonts w:ascii="Book Antiqua" w:hAnsi="Book Antiqua" w:cs="Arial"/>
        </w:rPr>
      </w:pPr>
      <w:r w:rsidRPr="006755FD">
        <w:rPr>
          <w:rFonts w:ascii="Book Antiqua" w:hAnsi="Book Antiqua" w:cs="Arial"/>
        </w:rPr>
        <w:t>Ochrana používateľov napadnutých služieb a nevedomých používateľov podvodných služieb - ak je na šírenie škodlivého obsahu, vylákanie údajov alebo na ilegálne aktivity zneužitá legitímna doména alebo služba; zablokovanie obsahu alebo konkrétneho URL zabezpečí ochranu používateľov, ktorí túto službu alebo doménu využívajú.</w:t>
      </w:r>
    </w:p>
    <w:p w14:paraId="3D4116F4" w14:textId="7F836D3C" w:rsidR="006755FD" w:rsidRPr="006755FD" w:rsidRDefault="004A04E3" w:rsidP="006755FD">
      <w:pPr>
        <w:pStyle w:val="Odsekzoznamu"/>
        <w:numPr>
          <w:ilvl w:val="0"/>
          <w:numId w:val="8"/>
        </w:numPr>
        <w:jc w:val="both"/>
        <w:rPr>
          <w:rFonts w:ascii="Book Antiqua" w:hAnsi="Book Antiqua" w:cs="Arial"/>
        </w:rPr>
      </w:pPr>
      <w:r w:rsidRPr="006755FD">
        <w:rPr>
          <w:rFonts w:ascii="Book Antiqua" w:hAnsi="Book Antiqua" w:cs="Arial"/>
        </w:rPr>
        <w:t xml:space="preserve">Zmiernenie alebo zamedzenie škodlivých následkov - blokovaním domén a IP adries so škodlivým obsahom či </w:t>
      </w:r>
      <w:proofErr w:type="spellStart"/>
      <w:r w:rsidRPr="006755FD">
        <w:rPr>
          <w:rFonts w:ascii="Book Antiqua" w:hAnsi="Book Antiqua" w:cs="Arial"/>
        </w:rPr>
        <w:t>phishingom</w:t>
      </w:r>
      <w:proofErr w:type="spellEnd"/>
      <w:r w:rsidRPr="006755FD">
        <w:rPr>
          <w:rFonts w:ascii="Book Antiqua" w:hAnsi="Book Antiqua" w:cs="Arial"/>
        </w:rPr>
        <w:t xml:space="preserve"> je takisto možné dosiahnuť zmiernenie následkov v podobe menšieho dopadu na potenciálne obete, resp. zasiahnutých používateľov. Rovnako aj včasným blokovaním možno zabezpečiť úplné zamedzenie škodlivých následkov, pretože nemusí dôjsť napríklad k stiahnutiu škodlivého obsahu alebo k dokončeniu všetkých fáz </w:t>
      </w:r>
      <w:proofErr w:type="spellStart"/>
      <w:r w:rsidRPr="006755FD">
        <w:rPr>
          <w:rFonts w:ascii="Book Antiqua" w:hAnsi="Book Antiqua" w:cs="Arial"/>
        </w:rPr>
        <w:t>phishingovej</w:t>
      </w:r>
      <w:proofErr w:type="spellEnd"/>
      <w:r w:rsidRPr="006755FD">
        <w:rPr>
          <w:rFonts w:ascii="Book Antiqua" w:hAnsi="Book Antiqua" w:cs="Arial"/>
        </w:rPr>
        <w:t xml:space="preserve"> kampane.</w:t>
      </w:r>
    </w:p>
    <w:p w14:paraId="17C5E6C4" w14:textId="62AED649" w:rsidR="006755FD" w:rsidRPr="006755FD" w:rsidRDefault="004A04E3" w:rsidP="006755FD">
      <w:pPr>
        <w:pStyle w:val="Odsekzoznamu"/>
        <w:numPr>
          <w:ilvl w:val="0"/>
          <w:numId w:val="8"/>
        </w:numPr>
        <w:jc w:val="both"/>
        <w:rPr>
          <w:rFonts w:ascii="Book Antiqua" w:hAnsi="Book Antiqua" w:cs="Arial"/>
        </w:rPr>
      </w:pPr>
      <w:r w:rsidRPr="006755FD">
        <w:rPr>
          <w:rFonts w:ascii="Book Antiqua" w:hAnsi="Book Antiqua" w:cs="Arial"/>
        </w:rPr>
        <w:t xml:space="preserve">Zastavenie šírenia škodlivého obsahu - v tomto bode ide najmä o šírenie </w:t>
      </w:r>
      <w:proofErr w:type="spellStart"/>
      <w:r w:rsidRPr="006755FD">
        <w:rPr>
          <w:rFonts w:ascii="Book Antiqua" w:hAnsi="Book Antiqua" w:cs="Arial"/>
        </w:rPr>
        <w:t>malvéru</w:t>
      </w:r>
      <w:proofErr w:type="spellEnd"/>
      <w:r w:rsidRPr="006755FD">
        <w:rPr>
          <w:rFonts w:ascii="Book Antiqua" w:hAnsi="Book Antiqua" w:cs="Arial"/>
        </w:rPr>
        <w:t xml:space="preserve">, existenciu riadiacich serverov pre </w:t>
      </w:r>
      <w:proofErr w:type="spellStart"/>
      <w:r w:rsidRPr="006755FD">
        <w:rPr>
          <w:rFonts w:ascii="Book Antiqua" w:hAnsi="Book Antiqua" w:cs="Arial"/>
        </w:rPr>
        <w:t>botnety</w:t>
      </w:r>
      <w:proofErr w:type="spellEnd"/>
      <w:r w:rsidRPr="006755FD">
        <w:rPr>
          <w:rFonts w:ascii="Book Antiqua" w:hAnsi="Book Antiqua" w:cs="Arial"/>
        </w:rPr>
        <w:t xml:space="preserve">, </w:t>
      </w:r>
      <w:proofErr w:type="spellStart"/>
      <w:r w:rsidRPr="006755FD">
        <w:rPr>
          <w:rFonts w:ascii="Book Antiqua" w:hAnsi="Book Antiqua" w:cs="Arial"/>
        </w:rPr>
        <w:t>phishingové</w:t>
      </w:r>
      <w:proofErr w:type="spellEnd"/>
      <w:r w:rsidRPr="006755FD">
        <w:rPr>
          <w:rFonts w:ascii="Book Antiqua" w:hAnsi="Book Antiqua" w:cs="Arial"/>
        </w:rPr>
        <w:t xml:space="preserve"> stránky a pod. Domény a IP adresy s takýmto obsahom sú využívané útočníkmi na nelegitímne ciele a ich blokovanie bráni ďalšiemu šíreniu takéhoto škodlivého obsahu.</w:t>
      </w:r>
    </w:p>
    <w:p w14:paraId="49991FF5" w14:textId="77777777" w:rsidR="006755FD" w:rsidRDefault="004A04E3" w:rsidP="006755FD">
      <w:pPr>
        <w:ind w:firstLine="708"/>
        <w:jc w:val="both"/>
        <w:rPr>
          <w:rFonts w:ascii="Book Antiqua" w:hAnsi="Book Antiqua" w:cs="Arial"/>
        </w:rPr>
      </w:pPr>
      <w:r w:rsidRPr="004A04E3">
        <w:rPr>
          <w:rFonts w:ascii="Book Antiqua" w:hAnsi="Book Antiqua" w:cs="Arial"/>
        </w:rPr>
        <w:t>Samozrejme, ide o krajný prostriedok, nástroj, ktorý predstavuje zásah do práv subjektov, ale zároveň predstavuje aj riešenie kybernetického bezpečnostného incidentu v prípade, kedy sú iné nástroje neúčinné a protiprávna, resp. škodlivá aktivita naďalej pokračuje a ohrozuje konečného užívateľa.</w:t>
      </w:r>
    </w:p>
    <w:p w14:paraId="191D91E1" w14:textId="1690ACD5" w:rsidR="00BC4770" w:rsidRPr="00BC4770" w:rsidRDefault="00A13D37" w:rsidP="00A13D37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>Národný bezpečnostný úrad SR od prijatia novely zákona o kybernetickej bezpečnosti využil (informácia aktuálna k 31. marcu 2022) inštitút blokovania s cieľom zamedzenia šírenia závažných dezinformácií v 4 prípadoch:</w:t>
      </w:r>
    </w:p>
    <w:tbl>
      <w:tblPr>
        <w:tblW w:w="8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2726"/>
        <w:gridCol w:w="2126"/>
        <w:gridCol w:w="1610"/>
      </w:tblGrid>
      <w:tr w:rsidR="00BC4770" w:rsidRPr="00BC4770" w14:paraId="5B8D4CC8" w14:textId="77777777" w:rsidTr="00BC4770">
        <w:trPr>
          <w:trHeight w:val="379"/>
        </w:trPr>
        <w:tc>
          <w:tcPr>
            <w:tcW w:w="2236" w:type="dxa"/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21465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726" w:type="dxa"/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52E40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b/>
                <w:bCs/>
                <w:color w:val="000000"/>
                <w:lang w:eastAsia="sk-SK"/>
              </w:rPr>
              <w:t>Rozhodnutie podľa</w:t>
            </w:r>
          </w:p>
        </w:tc>
        <w:tc>
          <w:tcPr>
            <w:tcW w:w="2126" w:type="dxa"/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C12A3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b/>
                <w:bCs/>
                <w:color w:val="000000"/>
                <w:lang w:eastAsia="sk-SK"/>
              </w:rPr>
              <w:t>Dôvod</w:t>
            </w:r>
          </w:p>
        </w:tc>
        <w:tc>
          <w:tcPr>
            <w:tcW w:w="1610" w:type="dxa"/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3B255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b/>
                <w:bCs/>
                <w:color w:val="000000"/>
                <w:lang w:eastAsia="sk-SK"/>
              </w:rPr>
              <w:t>Platnosť do</w:t>
            </w:r>
          </w:p>
        </w:tc>
      </w:tr>
      <w:tr w:rsidR="00BC4770" w:rsidRPr="00BC4770" w14:paraId="1808134A" w14:textId="77777777" w:rsidTr="00BC4770">
        <w:tc>
          <w:tcPr>
            <w:tcW w:w="223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76FB1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hlavnespravy.sk</w:t>
            </w:r>
          </w:p>
        </w:tc>
        <w:tc>
          <w:tcPr>
            <w:tcW w:w="272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4CDBD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zákon č. 69/2018, § 27b</w:t>
            </w:r>
          </w:p>
        </w:tc>
        <w:tc>
          <w:tcPr>
            <w:tcW w:w="212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5AFD8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škodlivá aktivita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79F54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30. 06. 2022</w:t>
            </w:r>
          </w:p>
        </w:tc>
      </w:tr>
      <w:tr w:rsidR="00BC4770" w:rsidRPr="00BC4770" w14:paraId="1A8C784C" w14:textId="77777777" w:rsidTr="00BC4770">
        <w:tc>
          <w:tcPr>
            <w:tcW w:w="223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8B316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armadnymagazin.sk</w:t>
            </w:r>
          </w:p>
        </w:tc>
        <w:tc>
          <w:tcPr>
            <w:tcW w:w="272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B051E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zákon č. 69/2018, § 27b</w:t>
            </w:r>
          </w:p>
        </w:tc>
        <w:tc>
          <w:tcPr>
            <w:tcW w:w="212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03D98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škodlivá aktivita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7C710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30. 06. 2022</w:t>
            </w:r>
          </w:p>
        </w:tc>
      </w:tr>
      <w:tr w:rsidR="00BC4770" w:rsidRPr="00BC4770" w14:paraId="01EEED89" w14:textId="77777777" w:rsidTr="00BC4770">
        <w:tc>
          <w:tcPr>
            <w:tcW w:w="223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FBA07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hlavnydennik.sk</w:t>
            </w:r>
          </w:p>
        </w:tc>
        <w:tc>
          <w:tcPr>
            <w:tcW w:w="272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05DC9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zákon č. 69/2018, § 27b</w:t>
            </w:r>
          </w:p>
        </w:tc>
        <w:tc>
          <w:tcPr>
            <w:tcW w:w="212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AA730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škodlivá aktivita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C94A2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30. 06. 2022</w:t>
            </w:r>
          </w:p>
        </w:tc>
      </w:tr>
      <w:tr w:rsidR="00BC4770" w:rsidRPr="00BC4770" w14:paraId="16597C44" w14:textId="77777777" w:rsidTr="00BC4770">
        <w:tc>
          <w:tcPr>
            <w:tcW w:w="223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B5CB6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infovojna.bz</w:t>
            </w:r>
          </w:p>
        </w:tc>
        <w:tc>
          <w:tcPr>
            <w:tcW w:w="272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097F3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zákon č. 69/2018, § 27b</w:t>
            </w:r>
          </w:p>
        </w:tc>
        <w:tc>
          <w:tcPr>
            <w:tcW w:w="212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209FC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škodlivá aktivita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5F80A" w14:textId="77777777" w:rsidR="00BC4770" w:rsidRPr="00BC4770" w:rsidRDefault="00BC4770" w:rsidP="00BC4770">
            <w:pPr>
              <w:suppressAutoHyphens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lang w:eastAsia="sk-SK"/>
              </w:rPr>
            </w:pPr>
            <w:r w:rsidRPr="00BC4770">
              <w:rPr>
                <w:rFonts w:ascii="Book Antiqua" w:hAnsi="Book Antiqua" w:cs="Arial"/>
                <w:color w:val="000000"/>
                <w:lang w:eastAsia="sk-SK"/>
              </w:rPr>
              <w:t>30. 06. 2022</w:t>
            </w:r>
          </w:p>
        </w:tc>
      </w:tr>
    </w:tbl>
    <w:p w14:paraId="0200EE03" w14:textId="21988F8F" w:rsidR="00BC4770" w:rsidRDefault="00BC4770" w:rsidP="00BC4770">
      <w:pPr>
        <w:shd w:val="clear" w:color="auto" w:fill="FFFFFF"/>
        <w:suppressAutoHyphens w:val="0"/>
        <w:spacing w:after="150" w:line="315" w:lineRule="atLeast"/>
        <w:jc w:val="both"/>
        <w:rPr>
          <w:rFonts w:ascii="Book Antiqua" w:hAnsi="Book Antiqua" w:cs="Arial"/>
          <w:color w:val="000000"/>
          <w:lang w:eastAsia="sk-SK"/>
        </w:rPr>
      </w:pPr>
      <w:r w:rsidRPr="00BC4770">
        <w:rPr>
          <w:rFonts w:ascii="Book Antiqua" w:hAnsi="Book Antiqua" w:cs="Arial"/>
          <w:color w:val="000000"/>
          <w:lang w:eastAsia="sk-SK"/>
        </w:rPr>
        <w:t> </w:t>
      </w:r>
      <w:r>
        <w:rPr>
          <w:rFonts w:ascii="Book Antiqua" w:hAnsi="Book Antiqua" w:cs="Arial"/>
          <w:color w:val="000000"/>
          <w:lang w:eastAsia="sk-SK"/>
        </w:rPr>
        <w:t xml:space="preserve">zdroj: </w:t>
      </w:r>
      <w:hyperlink r:id="rId5" w:history="1">
        <w:r w:rsidRPr="00E43972">
          <w:rPr>
            <w:rStyle w:val="Hypertextovprepojenie"/>
            <w:rFonts w:ascii="Book Antiqua" w:hAnsi="Book Antiqua" w:cs="Arial"/>
            <w:lang w:eastAsia="sk-SK"/>
          </w:rPr>
          <w:t>https://www.nbu.gov.sk/urad/o-urade/hybridne-hrozby-a-dezinformacie/zoznam-blokovanych-subjektov/index.html</w:t>
        </w:r>
      </w:hyperlink>
    </w:p>
    <w:p w14:paraId="3316A0F3" w14:textId="2EB8C3BA" w:rsidR="00BC4770" w:rsidRDefault="00A13D37" w:rsidP="00BF12B4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Podľa § 32 písm. j) zákona č. 69/2018 o kybernetickej bezpečnosti je NBÚ povinný ustanoviť všeobecne záväzným predpisom pravidlá blokovania. Všetky 4 weby však boli zablokované v čase, kedy ešte vyhláška NBÚ nebolo platná, čo spôsobilo problém v kontrole vykonania týchto rozhodnutí, keďže neexistovali podrobnejšie pravidlá a inštitúty, ktoré by bol NBÚ povinný využiť pred samotným blokovaním.</w:t>
      </w:r>
    </w:p>
    <w:p w14:paraId="01398420" w14:textId="4830C5A9" w:rsidR="00A13D37" w:rsidRDefault="00C625BC" w:rsidP="00BF12B4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Vzhľadom na všetky uvedené informácie prichádzajú navrhovatelia s novelou zákona o kybernetickej bezpečnosti, ktorá zavádza nasledovné</w:t>
      </w:r>
      <w:r w:rsidR="00752F64">
        <w:rPr>
          <w:rFonts w:ascii="Book Antiqua" w:hAnsi="Book Antiqua" w:cs="Arial"/>
          <w:bCs/>
          <w:color w:val="000000" w:themeColor="text1"/>
        </w:rPr>
        <w:t xml:space="preserve"> hlavné</w:t>
      </w:r>
      <w:r>
        <w:rPr>
          <w:rFonts w:ascii="Book Antiqua" w:hAnsi="Book Antiqua" w:cs="Arial"/>
          <w:bCs/>
          <w:color w:val="000000" w:themeColor="text1"/>
        </w:rPr>
        <w:t xml:space="preserve"> zmeny:</w:t>
      </w:r>
    </w:p>
    <w:p w14:paraId="344A70EE" w14:textId="26D493D1" w:rsidR="00C625BC" w:rsidRDefault="00752F64" w:rsidP="00C625BC">
      <w:pPr>
        <w:pStyle w:val="Odsekzoznamu"/>
        <w:numPr>
          <w:ilvl w:val="0"/>
          <w:numId w:val="9"/>
        </w:numPr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V § 3 sa pridávajú nové definície, najmä čo sa rozumie pod pojmom hybridná hrozba a závažná dezinformácia.</w:t>
      </w:r>
    </w:p>
    <w:p w14:paraId="1251DF6A" w14:textId="3DF143E5" w:rsidR="00C625BC" w:rsidRDefault="00752F64" w:rsidP="00752F64">
      <w:pPr>
        <w:pStyle w:val="Odsekzoznamu"/>
        <w:numPr>
          <w:ilvl w:val="0"/>
          <w:numId w:val="9"/>
        </w:numPr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 xml:space="preserve">V § 27b (blokovanie) sa škodlivá aktivita definuje ako </w:t>
      </w:r>
      <w:r w:rsidRPr="00752F64">
        <w:rPr>
          <w:rFonts w:ascii="Book Antiqua" w:hAnsi="Book Antiqua" w:cs="Arial"/>
          <w:bCs/>
          <w:color w:val="000000" w:themeColor="text1"/>
        </w:rPr>
        <w:t>a</w:t>
      </w:r>
      <w:r w:rsidR="00C625BC" w:rsidRPr="00752F64">
        <w:rPr>
          <w:rFonts w:ascii="Book Antiqua" w:hAnsi="Book Antiqua" w:cs="Arial"/>
          <w:bCs/>
          <w:color w:val="000000" w:themeColor="text1"/>
        </w:rPr>
        <w:t>kákoľvek činnosť, ktorá zapríčiňuje alebo môže zapríčiniť kybernetický bezpečnostný incident, ako podvodná činnosť, odcudzenie osobných údajov alebo citlivých údajov a hybridná hrozba.</w:t>
      </w:r>
    </w:p>
    <w:p w14:paraId="099D6058" w14:textId="688D11B4" w:rsidR="00C625BC" w:rsidRDefault="00752F64" w:rsidP="00752F64">
      <w:pPr>
        <w:pStyle w:val="Odsekzoznamu"/>
        <w:numPr>
          <w:ilvl w:val="0"/>
          <w:numId w:val="9"/>
        </w:numPr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Zavádza sa nový odsek, ktorý určuje postup NBÚ pred využitím samotného blokovania, najmä u</w:t>
      </w:r>
      <w:r w:rsidR="00C625BC" w:rsidRPr="00752F64">
        <w:rPr>
          <w:rFonts w:ascii="Book Antiqua" w:hAnsi="Book Antiqua" w:cs="Arial"/>
          <w:bCs/>
          <w:color w:val="000000" w:themeColor="text1"/>
        </w:rPr>
        <w:t>možnenie držiteľovi alebo prevádzkovateľovi infraštruktúry odstránenie škodlivého obsahu z dotknutej domény v určenej lehote, ktorá nesmie byť kratšia ako 72 hodín.</w:t>
      </w:r>
    </w:p>
    <w:p w14:paraId="078FD6D0" w14:textId="77777777" w:rsidR="00752F64" w:rsidRDefault="00752F64" w:rsidP="00752F64">
      <w:pPr>
        <w:pStyle w:val="Odsekzoznamu"/>
        <w:numPr>
          <w:ilvl w:val="0"/>
          <w:numId w:val="9"/>
        </w:numPr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Využitie inštitútu blokovania hybridnej hrozby bude možné až po</w:t>
      </w:r>
      <w:r w:rsidR="00C625BC" w:rsidRPr="00C625BC">
        <w:rPr>
          <w:rFonts w:ascii="Book Antiqua" w:hAnsi="Book Antiqua" w:cs="Arial"/>
          <w:bCs/>
          <w:color w:val="000000" w:themeColor="text1"/>
        </w:rPr>
        <w:t xml:space="preserve"> súhlase vecne príslušného krajského súdu.</w:t>
      </w:r>
    </w:p>
    <w:p w14:paraId="0081CC3C" w14:textId="05A78B18" w:rsidR="00C625BC" w:rsidRPr="00752F64" w:rsidRDefault="00752F64" w:rsidP="00752F64">
      <w:pPr>
        <w:pStyle w:val="Odsekzoznamu"/>
        <w:numPr>
          <w:ilvl w:val="0"/>
          <w:numId w:val="9"/>
        </w:numPr>
        <w:jc w:val="both"/>
        <w:rPr>
          <w:rFonts w:ascii="Book Antiqua" w:hAnsi="Book Antiqua" w:cs="Arial"/>
          <w:bCs/>
          <w:color w:val="000000" w:themeColor="text1"/>
        </w:rPr>
      </w:pPr>
      <w:r w:rsidRPr="00752F64">
        <w:rPr>
          <w:rFonts w:ascii="Book Antiqua" w:hAnsi="Book Antiqua" w:cs="Arial"/>
          <w:bCs/>
          <w:color w:val="000000" w:themeColor="text1"/>
        </w:rPr>
        <w:t>Zavádza sa povinnosť NBÚ rozhodnutie o blokovaní zverejniť</w:t>
      </w:r>
      <w:r w:rsidR="00C625BC" w:rsidRPr="00752F64">
        <w:rPr>
          <w:rFonts w:ascii="Book Antiqua" w:hAnsi="Book Antiqua" w:cs="Arial"/>
          <w:bCs/>
          <w:color w:val="000000" w:themeColor="text1"/>
        </w:rPr>
        <w:t xml:space="preserve"> na svojom webovom sídle.</w:t>
      </w:r>
    </w:p>
    <w:p w14:paraId="2E3CA407" w14:textId="2294A1C5" w:rsidR="005A5177" w:rsidRPr="00BC4770" w:rsidRDefault="005A5177" w:rsidP="005A517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BC4770">
        <w:rPr>
          <w:rFonts w:ascii="Book Antiqua" w:hAnsi="Book Antiqua" w:cs="Arial"/>
          <w:bCs/>
          <w:color w:val="000000" w:themeColor="text1"/>
        </w:rPr>
        <w:t>Návrh zákona je v súlade s Ústavou Slovenskej republiky, ústavnými zákonmi, inými zákonmi, nálezmi Ústavného súdu Slovenskej republiky, medzinárodnými zmluvami a inými medzinárodnými dokumentmi, ktorými je Slovenská republika viazaná a s právom Európskej únie.</w:t>
      </w:r>
    </w:p>
    <w:p w14:paraId="6965282A" w14:textId="5DDBAB22" w:rsidR="005A5177" w:rsidRPr="00BC4770" w:rsidRDefault="005A5177" w:rsidP="005A517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BC4770">
        <w:rPr>
          <w:rFonts w:ascii="Book Antiqua" w:hAnsi="Book Antiqua" w:cs="Arial"/>
          <w:bCs/>
          <w:color w:val="000000" w:themeColor="text1"/>
        </w:rPr>
        <w:t xml:space="preserve">Prijatie návrhu zákona </w:t>
      </w:r>
      <w:r w:rsidR="005448CB" w:rsidRPr="00BC4770">
        <w:rPr>
          <w:rFonts w:ascii="Book Antiqua" w:hAnsi="Book Antiqua" w:cs="Arial"/>
          <w:bCs/>
          <w:color w:val="000000" w:themeColor="text1"/>
        </w:rPr>
        <w:t>ne</w:t>
      </w:r>
      <w:r w:rsidRPr="00BC4770">
        <w:rPr>
          <w:rFonts w:ascii="Book Antiqua" w:hAnsi="Book Antiqua" w:cs="Arial"/>
          <w:bCs/>
          <w:color w:val="000000" w:themeColor="text1"/>
        </w:rPr>
        <w:t xml:space="preserve">bude mať </w:t>
      </w:r>
      <w:r w:rsidR="005448CB" w:rsidRPr="00BC4770">
        <w:rPr>
          <w:rFonts w:ascii="Book Antiqua" w:hAnsi="Book Antiqua" w:cs="Arial"/>
          <w:bCs/>
          <w:color w:val="000000" w:themeColor="text1"/>
        </w:rPr>
        <w:t xml:space="preserve">žiadny </w:t>
      </w:r>
      <w:r w:rsidRPr="00BC4770">
        <w:rPr>
          <w:rFonts w:ascii="Book Antiqua" w:hAnsi="Book Antiqua" w:cs="Arial"/>
          <w:bCs/>
          <w:color w:val="000000" w:themeColor="text1"/>
        </w:rPr>
        <w:t xml:space="preserve">vplyv na rozpočet verejnej správy, </w:t>
      </w:r>
      <w:r w:rsidR="00607E79" w:rsidRPr="00BC4770">
        <w:rPr>
          <w:rFonts w:ascii="Book Antiqua" w:hAnsi="Book Antiqua" w:cs="Arial"/>
          <w:bCs/>
          <w:color w:val="000000" w:themeColor="text1"/>
        </w:rPr>
        <w:t xml:space="preserve">žiadny vplyv </w:t>
      </w:r>
      <w:r w:rsidRPr="00BC4770">
        <w:rPr>
          <w:rFonts w:ascii="Book Antiqua" w:hAnsi="Book Antiqua" w:cs="Arial"/>
          <w:bCs/>
          <w:color w:val="000000" w:themeColor="text1"/>
        </w:rPr>
        <w:t xml:space="preserve">na podnikateľské prostredie, na informatizáciu spoločnosti, sociálne vplyvy, vplyvy </w:t>
      </w:r>
      <w:r w:rsidR="004335F4" w:rsidRPr="00BC4770">
        <w:rPr>
          <w:rFonts w:ascii="Book Antiqua" w:hAnsi="Book Antiqua" w:cs="Arial"/>
          <w:bCs/>
          <w:color w:val="000000" w:themeColor="text1"/>
        </w:rPr>
        <w:br/>
      </w:r>
      <w:r w:rsidRPr="00BC4770">
        <w:rPr>
          <w:rFonts w:ascii="Book Antiqua" w:hAnsi="Book Antiqua" w:cs="Arial"/>
          <w:bCs/>
          <w:color w:val="000000" w:themeColor="text1"/>
        </w:rPr>
        <w:t xml:space="preserve">na životné prostredie, na služby verejnej správy pre občana a na manželstvo, rodičovstvo </w:t>
      </w:r>
      <w:r w:rsidR="004335F4" w:rsidRPr="00BC4770">
        <w:rPr>
          <w:rFonts w:ascii="Book Antiqua" w:hAnsi="Book Antiqua" w:cs="Arial"/>
          <w:bCs/>
          <w:color w:val="000000" w:themeColor="text1"/>
        </w:rPr>
        <w:br/>
      </w:r>
      <w:r w:rsidRPr="00BC4770">
        <w:rPr>
          <w:rFonts w:ascii="Book Antiqua" w:hAnsi="Book Antiqua" w:cs="Arial"/>
          <w:bCs/>
          <w:color w:val="000000" w:themeColor="text1"/>
        </w:rPr>
        <w:t xml:space="preserve">a rodinu. </w:t>
      </w:r>
    </w:p>
    <w:p w14:paraId="2D929BA9" w14:textId="41D60B16" w:rsidR="000B56A6" w:rsidRPr="00BC4770" w:rsidRDefault="005A5177" w:rsidP="005A517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BC4770">
        <w:rPr>
          <w:rFonts w:ascii="Book Antiqua" w:hAnsi="Book Antiqua" w:cs="Arial"/>
          <w:bCs/>
          <w:color w:val="000000" w:themeColor="text1"/>
        </w:rPr>
        <w:lastRenderedPageBreak/>
        <w:t xml:space="preserve">Účinnosť návrhu zákona sa so zohľadnením dostatočnej </w:t>
      </w:r>
      <w:proofErr w:type="spellStart"/>
      <w:r w:rsidRPr="00BC4770">
        <w:rPr>
          <w:rFonts w:ascii="Book Antiqua" w:hAnsi="Book Antiqua" w:cs="Arial"/>
          <w:bCs/>
          <w:color w:val="000000" w:themeColor="text1"/>
        </w:rPr>
        <w:t>legisvakačnej</w:t>
      </w:r>
      <w:proofErr w:type="spellEnd"/>
      <w:r w:rsidRPr="00BC4770">
        <w:rPr>
          <w:rFonts w:ascii="Book Antiqua" w:hAnsi="Book Antiqua" w:cs="Arial"/>
          <w:bCs/>
          <w:color w:val="000000" w:themeColor="text1"/>
        </w:rPr>
        <w:t xml:space="preserve"> le</w:t>
      </w:r>
      <w:r w:rsidR="00F3116D" w:rsidRPr="00BC4770">
        <w:rPr>
          <w:rFonts w:ascii="Book Antiqua" w:hAnsi="Book Antiqua" w:cs="Arial"/>
          <w:bCs/>
          <w:color w:val="000000" w:themeColor="text1"/>
        </w:rPr>
        <w:t>hoty navrhuje od 1. júla 2022</w:t>
      </w:r>
      <w:r w:rsidRPr="00BC4770">
        <w:rPr>
          <w:rFonts w:ascii="Book Antiqua" w:hAnsi="Book Antiqua" w:cs="Arial"/>
          <w:bCs/>
          <w:color w:val="000000" w:themeColor="text1"/>
        </w:rPr>
        <w:t>.</w:t>
      </w:r>
    </w:p>
    <w:p w14:paraId="0562294D" w14:textId="77777777" w:rsidR="000B56A6" w:rsidRPr="00BC4770" w:rsidRDefault="000B56A6">
      <w:pPr>
        <w:suppressAutoHyphens w:val="0"/>
        <w:rPr>
          <w:rFonts w:ascii="Book Antiqua" w:hAnsi="Book Antiqua" w:cs="Arial"/>
          <w:bCs/>
          <w:color w:val="000000" w:themeColor="text1"/>
        </w:rPr>
      </w:pPr>
      <w:r w:rsidRPr="00BC4770">
        <w:rPr>
          <w:rFonts w:ascii="Book Antiqua" w:hAnsi="Book Antiqua" w:cs="Arial"/>
          <w:bCs/>
          <w:color w:val="000000" w:themeColor="text1"/>
        </w:rPr>
        <w:br w:type="page"/>
      </w:r>
    </w:p>
    <w:p w14:paraId="139A1CC7" w14:textId="31B0EF3C" w:rsidR="00B3477B" w:rsidRPr="00BC4770" w:rsidRDefault="00B3477B" w:rsidP="00B3477B">
      <w:pPr>
        <w:numPr>
          <w:ilvl w:val="0"/>
          <w:numId w:val="1"/>
        </w:numPr>
        <w:ind w:left="270" w:hanging="270"/>
        <w:rPr>
          <w:rFonts w:ascii="Book Antiqua" w:hAnsi="Book Antiqua" w:cs="Arial"/>
          <w:b/>
          <w:i/>
          <w:color w:val="000000"/>
        </w:rPr>
      </w:pPr>
      <w:r w:rsidRPr="00BC4770">
        <w:rPr>
          <w:rFonts w:ascii="Book Antiqua" w:hAnsi="Book Antiqua" w:cs="Arial"/>
          <w:b/>
          <w:i/>
          <w:color w:val="000000"/>
        </w:rPr>
        <w:lastRenderedPageBreak/>
        <w:t>Osobitná časť</w:t>
      </w:r>
    </w:p>
    <w:p w14:paraId="1A4ECB06" w14:textId="77777777" w:rsidR="00B3477B" w:rsidRPr="00BC4770" w:rsidRDefault="00B3477B" w:rsidP="00B3477B">
      <w:pPr>
        <w:ind w:left="360"/>
        <w:jc w:val="both"/>
        <w:rPr>
          <w:rFonts w:ascii="Book Antiqua" w:hAnsi="Book Antiqua" w:cs="Arial"/>
          <w:color w:val="000000"/>
        </w:rPr>
      </w:pPr>
      <w:r w:rsidRPr="00BC4770">
        <w:rPr>
          <w:rFonts w:ascii="Book Antiqua" w:hAnsi="Book Antiqua"/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6A75A8A" wp14:editId="5D491E66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3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D38F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-.35pt;margin-top:2.75pt;width:45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"/>
            </w:pict>
          </mc:Fallback>
        </mc:AlternateContent>
      </w:r>
    </w:p>
    <w:p w14:paraId="5BCF58A7" w14:textId="77777777" w:rsidR="00B3477B" w:rsidRPr="00BC4770" w:rsidRDefault="00B3477B" w:rsidP="00B3477B">
      <w:pPr>
        <w:jc w:val="both"/>
        <w:rPr>
          <w:rFonts w:ascii="Book Antiqua" w:hAnsi="Book Antiqua" w:cs="Arial"/>
          <w:b/>
          <w:color w:val="000000"/>
        </w:rPr>
      </w:pPr>
      <w:r w:rsidRPr="00BC4770">
        <w:rPr>
          <w:rFonts w:ascii="Book Antiqua" w:hAnsi="Book Antiqua" w:cs="Arial"/>
          <w:b/>
          <w:color w:val="000000"/>
        </w:rPr>
        <w:t>Čl. I</w:t>
      </w:r>
    </w:p>
    <w:p w14:paraId="668B5CEA" w14:textId="77777777" w:rsidR="00AC5B13" w:rsidRPr="00BC4770" w:rsidRDefault="00AC5B13" w:rsidP="00AC5B13">
      <w:pPr>
        <w:jc w:val="both"/>
        <w:rPr>
          <w:rFonts w:ascii="Book Antiqua" w:hAnsi="Book Antiqua" w:cs="Arial"/>
          <w:color w:val="000000"/>
          <w:u w:val="single"/>
        </w:rPr>
      </w:pPr>
      <w:r w:rsidRPr="00BC4770">
        <w:rPr>
          <w:rFonts w:ascii="Book Antiqua" w:hAnsi="Book Antiqua" w:cs="Arial"/>
          <w:color w:val="000000"/>
          <w:u w:val="single"/>
        </w:rPr>
        <w:t>K bodu 1</w:t>
      </w:r>
    </w:p>
    <w:p w14:paraId="2BAEDE26" w14:textId="236FF49A" w:rsidR="003B5706" w:rsidRDefault="00752F64" w:rsidP="00AC5B13">
      <w:pPr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>Zavádzajú sa nové definície pojmov hybridná hrozba, závažná dezinformácia a kritická infraštruktúra, ktoré v pôvodnom zákone chýbali.</w:t>
      </w:r>
    </w:p>
    <w:p w14:paraId="0055AF81" w14:textId="78C292C4" w:rsidR="00752F64" w:rsidRPr="00BC4770" w:rsidRDefault="00752F64" w:rsidP="00752F64">
      <w:pPr>
        <w:jc w:val="both"/>
        <w:rPr>
          <w:rFonts w:ascii="Book Antiqua" w:hAnsi="Book Antiqua" w:cs="Arial"/>
          <w:color w:val="000000"/>
          <w:u w:val="single"/>
        </w:rPr>
      </w:pPr>
      <w:r>
        <w:rPr>
          <w:rFonts w:ascii="Book Antiqua" w:hAnsi="Book Antiqua" w:cs="Arial"/>
          <w:color w:val="000000"/>
          <w:u w:val="single"/>
        </w:rPr>
        <w:t>K bodu 2</w:t>
      </w:r>
    </w:p>
    <w:p w14:paraId="1907789C" w14:textId="35C72DC6" w:rsidR="00752F64" w:rsidRDefault="00752F64" w:rsidP="00AC5B13">
      <w:pPr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>Novelizuje sa § 27b a zavádzajú sa nové zmeny:</w:t>
      </w:r>
    </w:p>
    <w:p w14:paraId="2253DE69" w14:textId="2AB55661" w:rsidR="00752F64" w:rsidRDefault="00752F64" w:rsidP="00752F64">
      <w:pPr>
        <w:pStyle w:val="Odsekzoznamu"/>
        <w:numPr>
          <w:ilvl w:val="0"/>
          <w:numId w:val="10"/>
        </w:numPr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Š</w:t>
      </w:r>
      <w:r>
        <w:rPr>
          <w:rFonts w:ascii="Book Antiqua" w:hAnsi="Book Antiqua" w:cs="Arial"/>
          <w:bCs/>
          <w:color w:val="000000" w:themeColor="text1"/>
        </w:rPr>
        <w:t xml:space="preserve">kodlivá aktivita </w:t>
      </w:r>
      <w:r>
        <w:rPr>
          <w:rFonts w:ascii="Book Antiqua" w:hAnsi="Book Antiqua" w:cs="Arial"/>
          <w:bCs/>
          <w:color w:val="000000" w:themeColor="text1"/>
        </w:rPr>
        <w:t xml:space="preserve">sa </w:t>
      </w:r>
      <w:r>
        <w:rPr>
          <w:rFonts w:ascii="Book Antiqua" w:hAnsi="Book Antiqua" w:cs="Arial"/>
          <w:bCs/>
          <w:color w:val="000000" w:themeColor="text1"/>
        </w:rPr>
        <w:t xml:space="preserve">definuje ako </w:t>
      </w:r>
      <w:r w:rsidRPr="00752F64">
        <w:rPr>
          <w:rFonts w:ascii="Book Antiqua" w:hAnsi="Book Antiqua" w:cs="Arial"/>
          <w:bCs/>
          <w:color w:val="000000" w:themeColor="text1"/>
        </w:rPr>
        <w:t>akákoľvek činnosť, ktorá zapríčiňuje alebo môže zapríčiniť kybernetický bezpečnostný incident, ako podvodná činnosť, odcudzenie osobných údajov alebo citlivých údajov a hybridná hrozba.</w:t>
      </w:r>
    </w:p>
    <w:p w14:paraId="06882A01" w14:textId="77777777" w:rsidR="00752F64" w:rsidRDefault="00752F64" w:rsidP="00752F64">
      <w:pPr>
        <w:pStyle w:val="Odsekzoznamu"/>
        <w:numPr>
          <w:ilvl w:val="0"/>
          <w:numId w:val="10"/>
        </w:numPr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Zavádza sa nový odsek, ktorý určuje postup NBÚ pred využitím samotného blokovania, najmä u</w:t>
      </w:r>
      <w:r w:rsidRPr="00752F64">
        <w:rPr>
          <w:rFonts w:ascii="Book Antiqua" w:hAnsi="Book Antiqua" w:cs="Arial"/>
          <w:bCs/>
          <w:color w:val="000000" w:themeColor="text1"/>
        </w:rPr>
        <w:t>možnenie držiteľovi alebo prevádzkovateľovi infraštruktúry odstránenie škodlivého obsahu z dotknutej domény v určenej lehote, ktorá nesmie byť kratšia ako 72 hodín.</w:t>
      </w:r>
    </w:p>
    <w:p w14:paraId="30C02342" w14:textId="77777777" w:rsidR="00752F64" w:rsidRDefault="00752F64" w:rsidP="00752F64">
      <w:pPr>
        <w:pStyle w:val="Odsekzoznamu"/>
        <w:numPr>
          <w:ilvl w:val="0"/>
          <w:numId w:val="10"/>
        </w:numPr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Využitie inštitútu blokovania hybridnej hrozby bude možné až po</w:t>
      </w:r>
      <w:r w:rsidRPr="00C625BC">
        <w:rPr>
          <w:rFonts w:ascii="Book Antiqua" w:hAnsi="Book Antiqua" w:cs="Arial"/>
          <w:bCs/>
          <w:color w:val="000000" w:themeColor="text1"/>
        </w:rPr>
        <w:t xml:space="preserve"> súhlase vecne príslušného krajského súdu.</w:t>
      </w:r>
    </w:p>
    <w:p w14:paraId="56156BF9" w14:textId="09BF8821" w:rsidR="00752F64" w:rsidRDefault="00752F64" w:rsidP="00752F64">
      <w:pPr>
        <w:pStyle w:val="Odsekzoznamu"/>
        <w:numPr>
          <w:ilvl w:val="0"/>
          <w:numId w:val="10"/>
        </w:numPr>
        <w:jc w:val="both"/>
        <w:rPr>
          <w:rFonts w:ascii="Book Antiqua" w:hAnsi="Book Antiqua" w:cs="Arial"/>
          <w:bCs/>
          <w:color w:val="000000" w:themeColor="text1"/>
        </w:rPr>
      </w:pPr>
      <w:r w:rsidRPr="00752F64">
        <w:rPr>
          <w:rFonts w:ascii="Book Antiqua" w:hAnsi="Book Antiqua" w:cs="Arial"/>
          <w:bCs/>
          <w:color w:val="000000" w:themeColor="text1"/>
        </w:rPr>
        <w:t>Zavádza sa povinnosť NBÚ rozhodnutie o blokovaní zverejniť na svojom webovom sídle.</w:t>
      </w:r>
    </w:p>
    <w:p w14:paraId="13D61902" w14:textId="43E209AA" w:rsidR="00752F64" w:rsidRPr="00752F64" w:rsidRDefault="00752F64" w:rsidP="00752F64">
      <w:pPr>
        <w:pStyle w:val="Odsekzoznamu"/>
        <w:numPr>
          <w:ilvl w:val="0"/>
          <w:numId w:val="10"/>
        </w:numPr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Odstraňuje sa dočasné využívanie inštitútu blokovania.</w:t>
      </w:r>
    </w:p>
    <w:p w14:paraId="3533DD7F" w14:textId="77777777" w:rsidR="00752F64" w:rsidRPr="00BC4770" w:rsidRDefault="00752F64" w:rsidP="00AC5B13">
      <w:pPr>
        <w:ind w:firstLine="708"/>
        <w:jc w:val="both"/>
        <w:rPr>
          <w:rFonts w:ascii="Book Antiqua" w:hAnsi="Book Antiqua" w:cs="Arial"/>
          <w:color w:val="000000"/>
        </w:rPr>
      </w:pPr>
    </w:p>
    <w:p w14:paraId="723AA6F3" w14:textId="7ECB79C4" w:rsidR="00752F64" w:rsidRPr="00BC4770" w:rsidRDefault="00752F64" w:rsidP="00752F64">
      <w:pPr>
        <w:jc w:val="both"/>
        <w:rPr>
          <w:rFonts w:ascii="Book Antiqua" w:hAnsi="Book Antiqua" w:cs="Arial"/>
          <w:color w:val="000000"/>
          <w:u w:val="single"/>
        </w:rPr>
      </w:pPr>
      <w:r>
        <w:rPr>
          <w:rFonts w:ascii="Book Antiqua" w:hAnsi="Book Antiqua" w:cs="Arial"/>
          <w:color w:val="000000"/>
          <w:u w:val="single"/>
        </w:rPr>
        <w:t>K bodu 3</w:t>
      </w:r>
    </w:p>
    <w:p w14:paraId="11B98C99" w14:textId="2EC16F5B" w:rsidR="004335F4" w:rsidRPr="00752F64" w:rsidRDefault="00752F64" w:rsidP="00AC5B13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ab/>
        <w:t xml:space="preserve">Táto zmena v § 27c súvisí s predchádzajúcou zmenou v § 27b. Tento § </w:t>
      </w:r>
      <w:bookmarkStart w:id="0" w:name="_GoBack"/>
      <w:bookmarkEnd w:id="0"/>
      <w:r>
        <w:rPr>
          <w:rFonts w:ascii="Book Antiqua" w:hAnsi="Book Antiqua" w:cs="Arial"/>
          <w:color w:val="000000"/>
        </w:rPr>
        <w:t>upravuje blokovanie na základe žiadosti iného subjektu. Spresňuje sa, ktoré odseky § 27b sa použijú primerane.</w:t>
      </w:r>
    </w:p>
    <w:p w14:paraId="7A809772" w14:textId="77777777" w:rsidR="000211D8" w:rsidRPr="00BC4770" w:rsidRDefault="000211D8" w:rsidP="005D4AD4">
      <w:pPr>
        <w:jc w:val="both"/>
        <w:rPr>
          <w:rFonts w:ascii="Book Antiqua" w:hAnsi="Book Antiqua" w:cs="Arial"/>
          <w:b/>
          <w:color w:val="000000"/>
        </w:rPr>
      </w:pPr>
    </w:p>
    <w:p w14:paraId="126199C6" w14:textId="4DB41197" w:rsidR="005D4AD4" w:rsidRPr="00BC4770" w:rsidRDefault="00752F64" w:rsidP="005D4AD4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II</w:t>
      </w:r>
    </w:p>
    <w:p w14:paraId="48A74615" w14:textId="1F7A162C" w:rsidR="00CF106B" w:rsidRPr="00BC4770" w:rsidRDefault="003B5706" w:rsidP="00206CD6">
      <w:pPr>
        <w:ind w:firstLine="708"/>
        <w:jc w:val="both"/>
        <w:rPr>
          <w:rFonts w:ascii="Book Antiqua" w:hAnsi="Book Antiqua" w:cs="Book Antiqua"/>
          <w:color w:val="000000"/>
          <w:kern w:val="1"/>
        </w:rPr>
      </w:pPr>
      <w:r w:rsidRPr="00BC4770">
        <w:rPr>
          <w:rFonts w:ascii="Book Antiqua" w:hAnsi="Book Antiqua" w:cs="Arial"/>
          <w:color w:val="000000"/>
        </w:rPr>
        <w:t xml:space="preserve">Ustanovuje sa účinnosť tohto zákona na 1. </w:t>
      </w:r>
      <w:r w:rsidR="00EC048E" w:rsidRPr="00BC4770">
        <w:rPr>
          <w:rFonts w:ascii="Book Antiqua" w:hAnsi="Book Antiqua" w:cs="Arial"/>
          <w:color w:val="000000"/>
        </w:rPr>
        <w:t>júla</w:t>
      </w:r>
      <w:r w:rsidRPr="00BC4770">
        <w:rPr>
          <w:rFonts w:ascii="Book Antiqua" w:hAnsi="Book Antiqua" w:cs="Arial"/>
          <w:color w:val="000000"/>
        </w:rPr>
        <w:t xml:space="preserve"> 2022.</w:t>
      </w:r>
    </w:p>
    <w:sectPr w:rsidR="00CF106B" w:rsidRPr="00BC4770" w:rsidSect="001D61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4D83"/>
    <w:multiLevelType w:val="hybridMultilevel"/>
    <w:tmpl w:val="BD5CFE32"/>
    <w:lvl w:ilvl="0" w:tplc="50CAD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321878"/>
    <w:multiLevelType w:val="hybridMultilevel"/>
    <w:tmpl w:val="DDCED8D0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3A659D1"/>
    <w:multiLevelType w:val="hybridMultilevel"/>
    <w:tmpl w:val="D480DEE4"/>
    <w:lvl w:ilvl="0" w:tplc="F5B6E7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DA4332"/>
    <w:multiLevelType w:val="hybridMultilevel"/>
    <w:tmpl w:val="20DCDB80"/>
    <w:lvl w:ilvl="0" w:tplc="50CAD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E1BCB"/>
    <w:multiLevelType w:val="hybridMultilevel"/>
    <w:tmpl w:val="E52099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168F0"/>
    <w:multiLevelType w:val="hybridMultilevel"/>
    <w:tmpl w:val="30942E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635A2"/>
    <w:multiLevelType w:val="hybridMultilevel"/>
    <w:tmpl w:val="7B3411E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4D8F1A5C"/>
    <w:multiLevelType w:val="hybridMultilevel"/>
    <w:tmpl w:val="C07E40B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F11655"/>
    <w:multiLevelType w:val="hybridMultilevel"/>
    <w:tmpl w:val="20DCDB80"/>
    <w:lvl w:ilvl="0" w:tplc="50CAD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51"/>
    <w:rsid w:val="00012899"/>
    <w:rsid w:val="00017410"/>
    <w:rsid w:val="000211D8"/>
    <w:rsid w:val="00023051"/>
    <w:rsid w:val="000365F6"/>
    <w:rsid w:val="00041289"/>
    <w:rsid w:val="00060225"/>
    <w:rsid w:val="00075BB4"/>
    <w:rsid w:val="000B56A6"/>
    <w:rsid w:val="000F7285"/>
    <w:rsid w:val="00106558"/>
    <w:rsid w:val="00113515"/>
    <w:rsid w:val="001250CA"/>
    <w:rsid w:val="00137118"/>
    <w:rsid w:val="00141368"/>
    <w:rsid w:val="001467BF"/>
    <w:rsid w:val="00152414"/>
    <w:rsid w:val="00160B4B"/>
    <w:rsid w:val="001757E3"/>
    <w:rsid w:val="00175934"/>
    <w:rsid w:val="00175AD3"/>
    <w:rsid w:val="0019528D"/>
    <w:rsid w:val="001A584C"/>
    <w:rsid w:val="001B226E"/>
    <w:rsid w:val="001D6141"/>
    <w:rsid w:val="001F7EC9"/>
    <w:rsid w:val="00206CD6"/>
    <w:rsid w:val="00225163"/>
    <w:rsid w:val="002359EA"/>
    <w:rsid w:val="00242AA7"/>
    <w:rsid w:val="00244146"/>
    <w:rsid w:val="0025190F"/>
    <w:rsid w:val="00263697"/>
    <w:rsid w:val="00272B2E"/>
    <w:rsid w:val="00276DD6"/>
    <w:rsid w:val="002E138E"/>
    <w:rsid w:val="002E25B2"/>
    <w:rsid w:val="002E4511"/>
    <w:rsid w:val="002E717B"/>
    <w:rsid w:val="00300557"/>
    <w:rsid w:val="0031752B"/>
    <w:rsid w:val="003209DB"/>
    <w:rsid w:val="00341A59"/>
    <w:rsid w:val="00356B93"/>
    <w:rsid w:val="00361811"/>
    <w:rsid w:val="00364988"/>
    <w:rsid w:val="003849F5"/>
    <w:rsid w:val="00393CE9"/>
    <w:rsid w:val="003B4C3D"/>
    <w:rsid w:val="003B5706"/>
    <w:rsid w:val="003B578C"/>
    <w:rsid w:val="003C0B1A"/>
    <w:rsid w:val="003D71EE"/>
    <w:rsid w:val="003E369F"/>
    <w:rsid w:val="003F0CC9"/>
    <w:rsid w:val="003F1D03"/>
    <w:rsid w:val="003F78FD"/>
    <w:rsid w:val="00405EBF"/>
    <w:rsid w:val="00416D3E"/>
    <w:rsid w:val="0042294C"/>
    <w:rsid w:val="004335F4"/>
    <w:rsid w:val="0044165D"/>
    <w:rsid w:val="00441D94"/>
    <w:rsid w:val="00445164"/>
    <w:rsid w:val="00452A6F"/>
    <w:rsid w:val="004625DA"/>
    <w:rsid w:val="00474892"/>
    <w:rsid w:val="00490502"/>
    <w:rsid w:val="004A04E3"/>
    <w:rsid w:val="004C79C5"/>
    <w:rsid w:val="004D7023"/>
    <w:rsid w:val="004D7831"/>
    <w:rsid w:val="00520652"/>
    <w:rsid w:val="005301E8"/>
    <w:rsid w:val="005448CB"/>
    <w:rsid w:val="00547733"/>
    <w:rsid w:val="00550FB0"/>
    <w:rsid w:val="00553822"/>
    <w:rsid w:val="00553DAC"/>
    <w:rsid w:val="005A5177"/>
    <w:rsid w:val="005A65F6"/>
    <w:rsid w:val="005C05B1"/>
    <w:rsid w:val="005D19F1"/>
    <w:rsid w:val="005D4AD4"/>
    <w:rsid w:val="005E234B"/>
    <w:rsid w:val="005F64D8"/>
    <w:rsid w:val="006049A1"/>
    <w:rsid w:val="00607041"/>
    <w:rsid w:val="00607E79"/>
    <w:rsid w:val="00630413"/>
    <w:rsid w:val="00645672"/>
    <w:rsid w:val="00672B99"/>
    <w:rsid w:val="006755FD"/>
    <w:rsid w:val="006B2D36"/>
    <w:rsid w:val="006C1AC0"/>
    <w:rsid w:val="006D29DE"/>
    <w:rsid w:val="006D7E7B"/>
    <w:rsid w:val="00704E65"/>
    <w:rsid w:val="00725D8E"/>
    <w:rsid w:val="007421FF"/>
    <w:rsid w:val="00752F64"/>
    <w:rsid w:val="00765895"/>
    <w:rsid w:val="007729B8"/>
    <w:rsid w:val="007747B0"/>
    <w:rsid w:val="00775B3B"/>
    <w:rsid w:val="0077717B"/>
    <w:rsid w:val="007774A2"/>
    <w:rsid w:val="00790FF7"/>
    <w:rsid w:val="007944DB"/>
    <w:rsid w:val="00795DA3"/>
    <w:rsid w:val="007B1E3A"/>
    <w:rsid w:val="007B6E38"/>
    <w:rsid w:val="007D3F1A"/>
    <w:rsid w:val="007E5FC7"/>
    <w:rsid w:val="007F1998"/>
    <w:rsid w:val="007F451C"/>
    <w:rsid w:val="007F6946"/>
    <w:rsid w:val="00800636"/>
    <w:rsid w:val="00844B5D"/>
    <w:rsid w:val="00847FAC"/>
    <w:rsid w:val="00861C8D"/>
    <w:rsid w:val="008667AA"/>
    <w:rsid w:val="0087362B"/>
    <w:rsid w:val="00886A55"/>
    <w:rsid w:val="00892555"/>
    <w:rsid w:val="008B62F3"/>
    <w:rsid w:val="008C2506"/>
    <w:rsid w:val="008E5F65"/>
    <w:rsid w:val="008F4B4F"/>
    <w:rsid w:val="009435C8"/>
    <w:rsid w:val="009529AB"/>
    <w:rsid w:val="00957B99"/>
    <w:rsid w:val="00957C06"/>
    <w:rsid w:val="00963BAE"/>
    <w:rsid w:val="00967F9F"/>
    <w:rsid w:val="009768C7"/>
    <w:rsid w:val="00991D46"/>
    <w:rsid w:val="009B76A8"/>
    <w:rsid w:val="009B7A8C"/>
    <w:rsid w:val="009D3EFB"/>
    <w:rsid w:val="009E79EE"/>
    <w:rsid w:val="009F3228"/>
    <w:rsid w:val="00A07A2E"/>
    <w:rsid w:val="00A13D37"/>
    <w:rsid w:val="00A20494"/>
    <w:rsid w:val="00A2524E"/>
    <w:rsid w:val="00A45EF4"/>
    <w:rsid w:val="00A87007"/>
    <w:rsid w:val="00A90E8D"/>
    <w:rsid w:val="00A9469E"/>
    <w:rsid w:val="00A96EFE"/>
    <w:rsid w:val="00A97A57"/>
    <w:rsid w:val="00AA39A7"/>
    <w:rsid w:val="00AC3537"/>
    <w:rsid w:val="00AC5B13"/>
    <w:rsid w:val="00AD1F42"/>
    <w:rsid w:val="00AD6579"/>
    <w:rsid w:val="00AE2066"/>
    <w:rsid w:val="00B01F9F"/>
    <w:rsid w:val="00B25A23"/>
    <w:rsid w:val="00B34158"/>
    <w:rsid w:val="00B3477B"/>
    <w:rsid w:val="00B41F82"/>
    <w:rsid w:val="00B52508"/>
    <w:rsid w:val="00B71EEE"/>
    <w:rsid w:val="00B72FAE"/>
    <w:rsid w:val="00B81C9C"/>
    <w:rsid w:val="00B902A0"/>
    <w:rsid w:val="00BB7F7C"/>
    <w:rsid w:val="00BC4770"/>
    <w:rsid w:val="00BD6389"/>
    <w:rsid w:val="00BF1065"/>
    <w:rsid w:val="00BF12B4"/>
    <w:rsid w:val="00C20723"/>
    <w:rsid w:val="00C345C7"/>
    <w:rsid w:val="00C478A8"/>
    <w:rsid w:val="00C525C6"/>
    <w:rsid w:val="00C625BC"/>
    <w:rsid w:val="00C800E9"/>
    <w:rsid w:val="00C95062"/>
    <w:rsid w:val="00CA0B94"/>
    <w:rsid w:val="00CB57E2"/>
    <w:rsid w:val="00CC6613"/>
    <w:rsid w:val="00CE43AE"/>
    <w:rsid w:val="00CE7305"/>
    <w:rsid w:val="00CF106B"/>
    <w:rsid w:val="00CF7977"/>
    <w:rsid w:val="00D0696B"/>
    <w:rsid w:val="00D107A7"/>
    <w:rsid w:val="00D13565"/>
    <w:rsid w:val="00D267B2"/>
    <w:rsid w:val="00D7083E"/>
    <w:rsid w:val="00D71388"/>
    <w:rsid w:val="00D827B3"/>
    <w:rsid w:val="00DB52E3"/>
    <w:rsid w:val="00DC251B"/>
    <w:rsid w:val="00DC3533"/>
    <w:rsid w:val="00DF4AD4"/>
    <w:rsid w:val="00E1154A"/>
    <w:rsid w:val="00E34C9B"/>
    <w:rsid w:val="00E4418D"/>
    <w:rsid w:val="00E602AB"/>
    <w:rsid w:val="00E674D9"/>
    <w:rsid w:val="00E930C7"/>
    <w:rsid w:val="00E946A0"/>
    <w:rsid w:val="00E94A34"/>
    <w:rsid w:val="00EA27A2"/>
    <w:rsid w:val="00EA754A"/>
    <w:rsid w:val="00EC048E"/>
    <w:rsid w:val="00ED29BA"/>
    <w:rsid w:val="00ED2CE5"/>
    <w:rsid w:val="00EF2A0B"/>
    <w:rsid w:val="00F05C46"/>
    <w:rsid w:val="00F127D1"/>
    <w:rsid w:val="00F148F8"/>
    <w:rsid w:val="00F21C8C"/>
    <w:rsid w:val="00F3116D"/>
    <w:rsid w:val="00F479AF"/>
    <w:rsid w:val="00F66365"/>
    <w:rsid w:val="00F71646"/>
    <w:rsid w:val="00F74395"/>
    <w:rsid w:val="00F87688"/>
    <w:rsid w:val="00F94461"/>
    <w:rsid w:val="00FA5CA0"/>
    <w:rsid w:val="00FD409F"/>
    <w:rsid w:val="00FE51ED"/>
    <w:rsid w:val="00FF3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3A31"/>
  <w15:docId w15:val="{431756DA-9882-46B9-883E-5BFE737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30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0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206CD6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C6613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F6636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C477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C4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bu.gov.sk/urad/o-urade/hybridne-hrozby-a-dezinformacie/zoznam-blokovanych-subjektov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5</Pages>
  <Words>1507</Words>
  <Characters>8595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Beluský, Martin</cp:lastModifiedBy>
  <cp:revision>203</cp:revision>
  <cp:lastPrinted>2020-06-16T11:02:00Z</cp:lastPrinted>
  <dcterms:created xsi:type="dcterms:W3CDTF">2019-08-22T16:37:00Z</dcterms:created>
  <dcterms:modified xsi:type="dcterms:W3CDTF">2022-03-31T11:22:00Z</dcterms:modified>
</cp:coreProperties>
</file>