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197C1" w14:textId="77777777" w:rsidR="00355DF8" w:rsidRPr="005A6A3F" w:rsidRDefault="00355DF8" w:rsidP="003548FB">
      <w:pPr>
        <w:pBdr>
          <w:bottom w:val="single" w:sz="12" w:space="1" w:color="auto"/>
        </w:pBdr>
        <w:spacing w:before="120" w:line="276" w:lineRule="auto"/>
        <w:jc w:val="center"/>
        <w:rPr>
          <w:b/>
          <w:spacing w:val="20"/>
        </w:rPr>
      </w:pPr>
      <w:r w:rsidRPr="005A6A3F">
        <w:rPr>
          <w:b/>
          <w:spacing w:val="20"/>
        </w:rPr>
        <w:t>NÁRODNÁ  RADA  SLOVENSKEJ  REPUBLIKY</w:t>
      </w:r>
    </w:p>
    <w:p w14:paraId="3277B21D" w14:textId="77777777" w:rsidR="00355DF8" w:rsidRPr="005A6A3F" w:rsidRDefault="00355DF8" w:rsidP="003548FB">
      <w:pPr>
        <w:spacing w:before="120" w:line="276" w:lineRule="auto"/>
        <w:jc w:val="center"/>
        <w:rPr>
          <w:spacing w:val="20"/>
        </w:rPr>
      </w:pPr>
    </w:p>
    <w:p w14:paraId="34F8C4B3" w14:textId="77777777" w:rsidR="00355DF8" w:rsidRPr="005A6A3F" w:rsidRDefault="00355DF8" w:rsidP="003548FB">
      <w:pPr>
        <w:spacing w:before="120" w:line="276" w:lineRule="auto"/>
        <w:jc w:val="center"/>
        <w:rPr>
          <w:spacing w:val="20"/>
        </w:rPr>
      </w:pPr>
      <w:r w:rsidRPr="005A6A3F">
        <w:rPr>
          <w:spacing w:val="20"/>
        </w:rPr>
        <w:t>V</w:t>
      </w:r>
      <w:r w:rsidR="00837877" w:rsidRPr="005A6A3F">
        <w:rPr>
          <w:spacing w:val="20"/>
        </w:rPr>
        <w:t>I</w:t>
      </w:r>
      <w:r w:rsidRPr="005A6A3F">
        <w:rPr>
          <w:spacing w:val="20"/>
        </w:rPr>
        <w:t>I</w:t>
      </w:r>
      <w:r w:rsidR="000222C7" w:rsidRPr="005A6A3F">
        <w:rPr>
          <w:spacing w:val="20"/>
        </w:rPr>
        <w:t>I</w:t>
      </w:r>
      <w:r w:rsidRPr="005A6A3F">
        <w:rPr>
          <w:spacing w:val="20"/>
        </w:rPr>
        <w:t>. volebné obdobie</w:t>
      </w:r>
    </w:p>
    <w:p w14:paraId="469EC96A" w14:textId="77777777" w:rsidR="006A2A48" w:rsidRPr="005A6A3F" w:rsidRDefault="006A2A48" w:rsidP="003548FB">
      <w:pPr>
        <w:spacing w:before="120" w:line="276" w:lineRule="auto"/>
        <w:rPr>
          <w:b/>
          <w:spacing w:val="30"/>
        </w:rPr>
      </w:pPr>
    </w:p>
    <w:p w14:paraId="54A1BECC" w14:textId="77777777" w:rsidR="00355DF8" w:rsidRPr="005A6A3F" w:rsidRDefault="00355DF8" w:rsidP="003548FB">
      <w:pPr>
        <w:spacing w:before="120" w:line="276" w:lineRule="auto"/>
        <w:jc w:val="center"/>
        <w:rPr>
          <w:b/>
          <w:spacing w:val="30"/>
        </w:rPr>
      </w:pPr>
      <w:r w:rsidRPr="005A6A3F">
        <w:rPr>
          <w:b/>
          <w:spacing w:val="30"/>
        </w:rPr>
        <w:t>Návrh</w:t>
      </w:r>
    </w:p>
    <w:p w14:paraId="5C218966" w14:textId="77777777" w:rsidR="00450A28" w:rsidRPr="005A6A3F" w:rsidRDefault="00450A28" w:rsidP="003548FB">
      <w:pPr>
        <w:spacing w:before="120" w:line="276" w:lineRule="auto"/>
        <w:jc w:val="center"/>
        <w:rPr>
          <w:b/>
          <w:spacing w:val="30"/>
        </w:rPr>
      </w:pPr>
    </w:p>
    <w:p w14:paraId="0DA10079" w14:textId="77777777" w:rsidR="00450A28" w:rsidRPr="005A6A3F" w:rsidRDefault="00355DF8" w:rsidP="003548FB">
      <w:pPr>
        <w:spacing w:before="120" w:line="276" w:lineRule="auto"/>
        <w:jc w:val="center"/>
        <w:rPr>
          <w:b/>
          <w:caps/>
          <w:spacing w:val="30"/>
        </w:rPr>
      </w:pPr>
      <w:r w:rsidRPr="005A6A3F">
        <w:rPr>
          <w:b/>
          <w:caps/>
          <w:spacing w:val="30"/>
        </w:rPr>
        <w:t>zákon</w:t>
      </w:r>
    </w:p>
    <w:p w14:paraId="749BE371" w14:textId="77777777" w:rsidR="00450A28" w:rsidRPr="005A6A3F" w:rsidRDefault="00450A28" w:rsidP="003548FB">
      <w:pPr>
        <w:spacing w:before="120" w:line="276" w:lineRule="auto"/>
        <w:jc w:val="center"/>
      </w:pPr>
    </w:p>
    <w:p w14:paraId="1B715CD1" w14:textId="0E960636" w:rsidR="00355DF8" w:rsidRPr="005A6A3F" w:rsidRDefault="00AF3E6D" w:rsidP="003548FB">
      <w:pPr>
        <w:spacing w:before="120" w:line="276" w:lineRule="auto"/>
        <w:jc w:val="center"/>
      </w:pPr>
      <w:r w:rsidRPr="005A6A3F">
        <w:t xml:space="preserve">z ... </w:t>
      </w:r>
      <w:r w:rsidR="0076690F" w:rsidRPr="005A6A3F">
        <w:t>202</w:t>
      </w:r>
      <w:r w:rsidR="00640A4A" w:rsidRPr="005A6A3F">
        <w:t>2</w:t>
      </w:r>
    </w:p>
    <w:p w14:paraId="67026DA7" w14:textId="77777777" w:rsidR="00355DF8" w:rsidRPr="005A6A3F" w:rsidRDefault="00355DF8" w:rsidP="003548FB">
      <w:pPr>
        <w:spacing w:before="120" w:line="276" w:lineRule="auto"/>
        <w:jc w:val="center"/>
      </w:pPr>
    </w:p>
    <w:p w14:paraId="6335948E" w14:textId="236AA1BF" w:rsidR="00355DF8" w:rsidRPr="005A6A3F" w:rsidRDefault="00355DF8" w:rsidP="003548FB">
      <w:pPr>
        <w:spacing w:before="120" w:line="276" w:lineRule="auto"/>
        <w:jc w:val="center"/>
        <w:rPr>
          <w:b/>
        </w:rPr>
      </w:pPr>
      <w:r w:rsidRPr="005A6A3F">
        <w:rPr>
          <w:b/>
        </w:rPr>
        <w:t xml:space="preserve">ktorým sa </w:t>
      </w:r>
      <w:r w:rsidR="00496A32" w:rsidRPr="005A6A3F">
        <w:rPr>
          <w:b/>
        </w:rPr>
        <w:t xml:space="preserve">mení a </w:t>
      </w:r>
      <w:r w:rsidRPr="005A6A3F">
        <w:rPr>
          <w:b/>
        </w:rPr>
        <w:t xml:space="preserve">dopĺňa </w:t>
      </w:r>
      <w:r w:rsidR="00F177B8" w:rsidRPr="005A6A3F">
        <w:rPr>
          <w:b/>
        </w:rPr>
        <w:t>zákon č</w:t>
      </w:r>
      <w:r w:rsidR="00B13C00" w:rsidRPr="005A6A3F">
        <w:rPr>
          <w:b/>
        </w:rPr>
        <w:t>.</w:t>
      </w:r>
      <w:r w:rsidR="002E3DED" w:rsidRPr="005A6A3F">
        <w:rPr>
          <w:b/>
        </w:rPr>
        <w:t xml:space="preserve"> </w:t>
      </w:r>
      <w:r w:rsidR="002871BD">
        <w:rPr>
          <w:b/>
        </w:rPr>
        <w:t>69/2018</w:t>
      </w:r>
      <w:r w:rsidR="00712743">
        <w:rPr>
          <w:b/>
        </w:rPr>
        <w:t xml:space="preserve"> </w:t>
      </w:r>
      <w:r w:rsidR="00D3354A" w:rsidRPr="005A6A3F">
        <w:rPr>
          <w:b/>
        </w:rPr>
        <w:t xml:space="preserve">Z. z. </w:t>
      </w:r>
      <w:r w:rsidR="002871BD" w:rsidRPr="002871BD">
        <w:rPr>
          <w:b/>
        </w:rPr>
        <w:t>o kybernetickej bezpečnosti a o zmene a doplnení niektorých zákonov</w:t>
      </w:r>
    </w:p>
    <w:p w14:paraId="1990F337" w14:textId="77777777" w:rsidR="002613AF" w:rsidRPr="005A6A3F" w:rsidRDefault="002613AF" w:rsidP="003548FB">
      <w:pPr>
        <w:spacing w:before="120" w:line="276" w:lineRule="auto"/>
        <w:jc w:val="both"/>
      </w:pPr>
    </w:p>
    <w:p w14:paraId="68CF4079" w14:textId="77777777" w:rsidR="00355DF8" w:rsidRPr="005A6A3F" w:rsidRDefault="00355DF8" w:rsidP="003548FB">
      <w:pPr>
        <w:spacing w:before="120" w:line="276" w:lineRule="auto"/>
        <w:jc w:val="both"/>
      </w:pPr>
      <w:r w:rsidRPr="005A6A3F">
        <w:t xml:space="preserve">Národná rada Slovenskej republiky sa uzniesla na tomto zákone: </w:t>
      </w:r>
    </w:p>
    <w:p w14:paraId="71E94456" w14:textId="77777777" w:rsidR="00355DF8" w:rsidRPr="005A6A3F" w:rsidRDefault="00355DF8" w:rsidP="003548FB">
      <w:pPr>
        <w:spacing w:before="120" w:line="276" w:lineRule="auto"/>
        <w:jc w:val="both"/>
        <w:rPr>
          <w:b/>
        </w:rPr>
      </w:pPr>
    </w:p>
    <w:p w14:paraId="1CEF840A" w14:textId="77777777" w:rsidR="00355DF8" w:rsidRPr="005A6A3F" w:rsidRDefault="00AF3E6D" w:rsidP="003548FB">
      <w:pPr>
        <w:spacing w:before="120" w:line="276" w:lineRule="auto"/>
        <w:jc w:val="center"/>
        <w:rPr>
          <w:b/>
        </w:rPr>
      </w:pPr>
      <w:r w:rsidRPr="005A6A3F">
        <w:rPr>
          <w:b/>
        </w:rPr>
        <w:t>Čl. I</w:t>
      </w:r>
    </w:p>
    <w:p w14:paraId="12506980" w14:textId="088CB979" w:rsidR="00D109B3" w:rsidRPr="005A6A3F" w:rsidRDefault="00F177B8" w:rsidP="002871BD">
      <w:pPr>
        <w:autoSpaceDE w:val="0"/>
        <w:autoSpaceDN w:val="0"/>
        <w:adjustRightInd w:val="0"/>
        <w:spacing w:before="120" w:line="276" w:lineRule="auto"/>
        <w:ind w:firstLine="360"/>
        <w:jc w:val="both"/>
        <w:rPr>
          <w:color w:val="231F20"/>
          <w:lang w:eastAsia="en-US"/>
        </w:rPr>
      </w:pPr>
      <w:r w:rsidRPr="005A6A3F">
        <w:rPr>
          <w:color w:val="231F20"/>
          <w:lang w:eastAsia="en-US"/>
        </w:rPr>
        <w:t>Zákon</w:t>
      </w:r>
      <w:r w:rsidR="00355DF8" w:rsidRPr="005A6A3F">
        <w:rPr>
          <w:color w:val="231F20"/>
          <w:lang w:eastAsia="en-US"/>
        </w:rPr>
        <w:t xml:space="preserve"> </w:t>
      </w:r>
      <w:r w:rsidR="005A6A3F" w:rsidRPr="005A6A3F">
        <w:rPr>
          <w:color w:val="231F20"/>
          <w:lang w:eastAsia="en-US"/>
        </w:rPr>
        <w:t xml:space="preserve">č. </w:t>
      </w:r>
      <w:r w:rsidR="002871BD">
        <w:rPr>
          <w:color w:val="231F20"/>
          <w:lang w:eastAsia="en-US"/>
        </w:rPr>
        <w:t>69/2018</w:t>
      </w:r>
      <w:r w:rsidR="00712743" w:rsidRPr="00712743">
        <w:rPr>
          <w:color w:val="231F20"/>
          <w:lang w:eastAsia="en-US"/>
        </w:rPr>
        <w:t xml:space="preserve"> Z. z. </w:t>
      </w:r>
      <w:r w:rsidR="002871BD" w:rsidRPr="002871BD">
        <w:rPr>
          <w:color w:val="231F20"/>
          <w:lang w:eastAsia="en-US"/>
        </w:rPr>
        <w:t xml:space="preserve">o kybernetickej bezpečnosti </w:t>
      </w:r>
      <w:r w:rsidR="00355DF8" w:rsidRPr="005A6A3F">
        <w:rPr>
          <w:color w:val="231F20"/>
          <w:lang w:eastAsia="en-US"/>
        </w:rPr>
        <w:t xml:space="preserve">v znení </w:t>
      </w:r>
      <w:r w:rsidR="002E3DED" w:rsidRPr="005A6A3F">
        <w:rPr>
          <w:color w:val="231F20"/>
          <w:lang w:eastAsia="en-US"/>
        </w:rPr>
        <w:t xml:space="preserve">zákona </w:t>
      </w:r>
      <w:r w:rsidR="002871BD">
        <w:rPr>
          <w:color w:val="231F20"/>
          <w:lang w:eastAsia="en-US"/>
        </w:rPr>
        <w:t xml:space="preserve">č. </w:t>
      </w:r>
      <w:r w:rsidR="002871BD" w:rsidRPr="002871BD">
        <w:rPr>
          <w:color w:val="231F20"/>
          <w:lang w:eastAsia="en-US"/>
        </w:rPr>
        <w:t xml:space="preserve">373/2018 Z. z., 287/2021 Z. z., 452/2021 Z. z. </w:t>
      </w:r>
      <w:r w:rsidR="00355DF8" w:rsidRPr="005A6A3F">
        <w:rPr>
          <w:color w:val="231F20"/>
          <w:lang w:eastAsia="en-US"/>
        </w:rPr>
        <w:t xml:space="preserve">sa </w:t>
      </w:r>
      <w:r w:rsidR="00472D5D" w:rsidRPr="005A6A3F">
        <w:rPr>
          <w:color w:val="231F20"/>
          <w:lang w:eastAsia="en-US"/>
        </w:rPr>
        <w:t xml:space="preserve">mení a </w:t>
      </w:r>
      <w:r w:rsidR="00355DF8" w:rsidRPr="005A6A3F">
        <w:rPr>
          <w:color w:val="231F20"/>
          <w:lang w:eastAsia="en-US"/>
        </w:rPr>
        <w:t>dopĺňa takto:</w:t>
      </w:r>
    </w:p>
    <w:p w14:paraId="0EB1414E" w14:textId="2B19BCE1" w:rsidR="00D109B3" w:rsidRDefault="00D109B3" w:rsidP="00D109B3">
      <w:pPr>
        <w:autoSpaceDE w:val="0"/>
        <w:autoSpaceDN w:val="0"/>
        <w:adjustRightInd w:val="0"/>
        <w:spacing w:before="120" w:line="276" w:lineRule="auto"/>
        <w:jc w:val="both"/>
        <w:rPr>
          <w:color w:val="231F20"/>
          <w:lang w:eastAsia="en-US"/>
        </w:rPr>
      </w:pPr>
    </w:p>
    <w:p w14:paraId="50082468" w14:textId="036AC6DB" w:rsidR="008171E4" w:rsidRDefault="008171E4" w:rsidP="00FF3281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120" w:line="276" w:lineRule="auto"/>
        <w:jc w:val="both"/>
        <w:rPr>
          <w:color w:val="231F20"/>
          <w:lang w:eastAsia="en-US"/>
        </w:rPr>
      </w:pPr>
      <w:r>
        <w:rPr>
          <w:color w:val="231F20"/>
          <w:lang w:eastAsia="en-US"/>
        </w:rPr>
        <w:t>V § 3 sa dopĺňa písmeno  q</w:t>
      </w:r>
      <w:r w:rsidR="00B512E7">
        <w:rPr>
          <w:color w:val="231F20"/>
          <w:lang w:eastAsia="en-US"/>
        </w:rPr>
        <w:t xml:space="preserve"> a</w:t>
      </w:r>
      <w:r w:rsidR="00F83A3A">
        <w:rPr>
          <w:color w:val="231F20"/>
          <w:lang w:eastAsia="en-US"/>
        </w:rPr>
        <w:t>ž</w:t>
      </w:r>
      <w:r w:rsidR="00B512E7">
        <w:rPr>
          <w:color w:val="231F20"/>
          <w:lang w:eastAsia="en-US"/>
        </w:rPr>
        <w:t xml:space="preserve"> </w:t>
      </w:r>
      <w:r w:rsidR="00F83A3A">
        <w:rPr>
          <w:color w:val="231F20"/>
          <w:lang w:eastAsia="en-US"/>
        </w:rPr>
        <w:t>s</w:t>
      </w:r>
      <w:r w:rsidR="00B512E7">
        <w:rPr>
          <w:color w:val="231F20"/>
          <w:lang w:eastAsia="en-US"/>
        </w:rPr>
        <w:t>, ktoré zn</w:t>
      </w:r>
      <w:r>
        <w:rPr>
          <w:color w:val="231F20"/>
          <w:lang w:eastAsia="en-US"/>
        </w:rPr>
        <w:t>e</w:t>
      </w:r>
      <w:r w:rsidR="00B512E7">
        <w:rPr>
          <w:color w:val="231F20"/>
          <w:lang w:eastAsia="en-US"/>
        </w:rPr>
        <w:t>jú</w:t>
      </w:r>
      <w:r>
        <w:rPr>
          <w:color w:val="231F20"/>
          <w:lang w:eastAsia="en-US"/>
        </w:rPr>
        <w:t>:</w:t>
      </w:r>
    </w:p>
    <w:p w14:paraId="332594D7" w14:textId="1706B0F6" w:rsidR="00B512E7" w:rsidRDefault="008171E4" w:rsidP="003A4747">
      <w:pPr>
        <w:pStyle w:val="Odsekzoznamu"/>
        <w:autoSpaceDE w:val="0"/>
        <w:autoSpaceDN w:val="0"/>
        <w:adjustRightInd w:val="0"/>
        <w:spacing w:before="120" w:line="276" w:lineRule="auto"/>
        <w:ind w:left="567" w:hanging="207"/>
        <w:jc w:val="both"/>
        <w:rPr>
          <w:color w:val="231F20"/>
          <w:lang w:eastAsia="en-US"/>
        </w:rPr>
      </w:pPr>
      <w:r>
        <w:rPr>
          <w:color w:val="231F20"/>
          <w:lang w:eastAsia="en-US"/>
        </w:rPr>
        <w:t>„</w:t>
      </w:r>
      <w:r w:rsidR="005453D4">
        <w:rPr>
          <w:color w:val="231F20"/>
          <w:lang w:eastAsia="en-US"/>
        </w:rPr>
        <w:t xml:space="preserve">q) hybridnou hrozbou súbor </w:t>
      </w:r>
      <w:r w:rsidR="005453D4" w:rsidRPr="005453D4">
        <w:rPr>
          <w:color w:val="231F20"/>
          <w:lang w:eastAsia="en-US"/>
        </w:rPr>
        <w:t xml:space="preserve">nátlakových a podvratných činností, ktoré môžu štátne aj neštátne subjekty </w:t>
      </w:r>
      <w:r w:rsidR="00B512E7">
        <w:rPr>
          <w:color w:val="231F20"/>
          <w:lang w:eastAsia="en-US"/>
        </w:rPr>
        <w:t>koordinovaným spôsobom využívať</w:t>
      </w:r>
      <w:r w:rsidR="00E4073F">
        <w:rPr>
          <w:color w:val="231F20"/>
          <w:lang w:eastAsia="en-US"/>
        </w:rPr>
        <w:t xml:space="preserve"> s </w:t>
      </w:r>
      <w:r w:rsidR="005453D4" w:rsidRPr="005453D4">
        <w:rPr>
          <w:color w:val="231F20"/>
          <w:lang w:eastAsia="en-US"/>
        </w:rPr>
        <w:t xml:space="preserve">cieľom </w:t>
      </w:r>
      <w:r w:rsidR="00E4073F">
        <w:rPr>
          <w:color w:val="231F20"/>
          <w:lang w:eastAsia="en-US"/>
        </w:rPr>
        <w:t>oslabenia</w:t>
      </w:r>
      <w:r w:rsidR="005453D4" w:rsidRPr="005453D4">
        <w:rPr>
          <w:color w:val="231F20"/>
          <w:lang w:eastAsia="en-US"/>
        </w:rPr>
        <w:t xml:space="preserve"> </w:t>
      </w:r>
      <w:r w:rsidR="00F83A3A">
        <w:rPr>
          <w:color w:val="231F20"/>
          <w:lang w:eastAsia="en-US"/>
        </w:rPr>
        <w:t>kritickej infraštruktúry</w:t>
      </w:r>
      <w:r w:rsidR="00E4073F">
        <w:rPr>
          <w:color w:val="231F20"/>
          <w:lang w:eastAsia="en-US"/>
        </w:rPr>
        <w:t>, prehĺbenia</w:t>
      </w:r>
      <w:r w:rsidR="005453D4" w:rsidRPr="005453D4">
        <w:rPr>
          <w:color w:val="231F20"/>
          <w:lang w:eastAsia="en-US"/>
        </w:rPr>
        <w:t xml:space="preserve"> nezdravej polarizácie na národnej a medzinárodnej úrovn</w:t>
      </w:r>
      <w:r w:rsidR="00E4073F">
        <w:rPr>
          <w:color w:val="231F20"/>
          <w:lang w:eastAsia="en-US"/>
        </w:rPr>
        <w:t xml:space="preserve">i, </w:t>
      </w:r>
      <w:r w:rsidR="00142C36">
        <w:rPr>
          <w:color w:val="231F20"/>
          <w:lang w:eastAsia="en-US"/>
        </w:rPr>
        <w:t>ohrozenie</w:t>
      </w:r>
      <w:r w:rsidR="005453D4" w:rsidRPr="005453D4">
        <w:rPr>
          <w:color w:val="231F20"/>
          <w:lang w:eastAsia="en-US"/>
        </w:rPr>
        <w:t xml:space="preserve"> </w:t>
      </w:r>
      <w:r w:rsidR="00142C36">
        <w:rPr>
          <w:color w:val="231F20"/>
          <w:lang w:eastAsia="en-US"/>
        </w:rPr>
        <w:t>základných hodnôt demokratickej spoločnosti,</w:t>
      </w:r>
      <w:r w:rsidR="005453D4" w:rsidRPr="005453D4">
        <w:rPr>
          <w:color w:val="231F20"/>
          <w:lang w:eastAsia="en-US"/>
        </w:rPr>
        <w:t xml:space="preserve"> zisk</w:t>
      </w:r>
      <w:r w:rsidR="00E4073F">
        <w:rPr>
          <w:color w:val="231F20"/>
          <w:lang w:eastAsia="en-US"/>
        </w:rPr>
        <w:t>u</w:t>
      </w:r>
      <w:r w:rsidR="005453D4" w:rsidRPr="005453D4">
        <w:rPr>
          <w:color w:val="231F20"/>
          <w:lang w:eastAsia="en-US"/>
        </w:rPr>
        <w:t xml:space="preserve"> geopolitického vplyvu a moci prostrední</w:t>
      </w:r>
      <w:r w:rsidR="009F6E87">
        <w:rPr>
          <w:color w:val="231F20"/>
          <w:lang w:eastAsia="en-US"/>
        </w:rPr>
        <w:t xml:space="preserve">ctvom poškodzovania ostatných, </w:t>
      </w:r>
      <w:r w:rsidR="005453D4" w:rsidRPr="005453D4">
        <w:rPr>
          <w:color w:val="231F20"/>
          <w:lang w:eastAsia="en-US"/>
        </w:rPr>
        <w:t>ovplyvňovania demokratických rozhodovacích procesov</w:t>
      </w:r>
      <w:r w:rsidR="009F6E87">
        <w:rPr>
          <w:color w:val="231F20"/>
          <w:lang w:eastAsia="en-US"/>
        </w:rPr>
        <w:t xml:space="preserve"> a </w:t>
      </w:r>
      <w:r w:rsidR="00361AD2">
        <w:rPr>
          <w:color w:val="231F20"/>
          <w:lang w:eastAsia="en-US"/>
        </w:rPr>
        <w:t>šírenia</w:t>
      </w:r>
      <w:r w:rsidR="009F6E87">
        <w:rPr>
          <w:color w:val="231F20"/>
          <w:lang w:eastAsia="en-US"/>
        </w:rPr>
        <w:t xml:space="preserve"> </w:t>
      </w:r>
      <w:r w:rsidR="00171ABC">
        <w:rPr>
          <w:color w:val="231F20"/>
          <w:lang w:eastAsia="en-US"/>
        </w:rPr>
        <w:t>závažných dezinformácií,</w:t>
      </w:r>
    </w:p>
    <w:p w14:paraId="749B71E1" w14:textId="543C9C32" w:rsidR="00F83A3A" w:rsidRDefault="00B512E7" w:rsidP="003A4747">
      <w:pPr>
        <w:pStyle w:val="Odsekzoznamu"/>
        <w:autoSpaceDE w:val="0"/>
        <w:autoSpaceDN w:val="0"/>
        <w:adjustRightInd w:val="0"/>
        <w:spacing w:before="120" w:line="276" w:lineRule="auto"/>
        <w:ind w:left="567" w:hanging="207"/>
        <w:jc w:val="both"/>
        <w:rPr>
          <w:color w:val="231F20"/>
          <w:lang w:eastAsia="en-US"/>
        </w:rPr>
      </w:pPr>
      <w:r>
        <w:rPr>
          <w:color w:val="231F20"/>
          <w:lang w:eastAsia="en-US"/>
        </w:rPr>
        <w:t>r)</w:t>
      </w:r>
      <w:r w:rsidR="009F6E87">
        <w:rPr>
          <w:color w:val="231F20"/>
          <w:lang w:eastAsia="en-US"/>
        </w:rPr>
        <w:t xml:space="preserve"> </w:t>
      </w:r>
      <w:r w:rsidR="009F6E87" w:rsidRPr="009F6E87">
        <w:rPr>
          <w:color w:val="231F20"/>
          <w:lang w:eastAsia="en-US"/>
        </w:rPr>
        <w:t>závažnou dezinformáciou taký nepravdivý alebo zmanipulovaný text, obrázok, video alebo zvuk, ktorý skutočnosť a</w:t>
      </w:r>
      <w:r w:rsidR="00142C36">
        <w:rPr>
          <w:color w:val="231F20"/>
          <w:lang w:eastAsia="en-US"/>
        </w:rPr>
        <w:t> </w:t>
      </w:r>
      <w:r w:rsidR="009F6E87" w:rsidRPr="009F6E87">
        <w:rPr>
          <w:color w:val="231F20"/>
          <w:lang w:eastAsia="en-US"/>
        </w:rPr>
        <w:t>informácie</w:t>
      </w:r>
      <w:r w:rsidR="00142C36">
        <w:rPr>
          <w:color w:val="231F20"/>
          <w:lang w:eastAsia="en-US"/>
        </w:rPr>
        <w:t>, ktoré sú</w:t>
      </w:r>
      <w:r w:rsidR="009F6E87" w:rsidRPr="009F6E87">
        <w:rPr>
          <w:color w:val="231F20"/>
          <w:lang w:eastAsia="en-US"/>
        </w:rPr>
        <w:t xml:space="preserve"> objektívne dané značne a</w:t>
      </w:r>
      <w:r w:rsidR="00142C36">
        <w:rPr>
          <w:color w:val="231F20"/>
          <w:lang w:eastAsia="en-US"/>
        </w:rPr>
        <w:t xml:space="preserve"> dokázateľne </w:t>
      </w:r>
      <w:r w:rsidR="009F6E87" w:rsidRPr="009F6E87">
        <w:rPr>
          <w:color w:val="231F20"/>
          <w:lang w:eastAsia="en-US"/>
        </w:rPr>
        <w:t>skresľujú, a ktorý môže byť použitý na šírenie pochybností, diskreditáciu pravdivých informácií, jednotlivcov či organizácií, pričom jeho charakter, okolnosti za ktorých bol šírený, doba a forma šírenia, prípadné následky šír</w:t>
      </w:r>
      <w:r w:rsidR="00142C36">
        <w:rPr>
          <w:color w:val="231F20"/>
          <w:lang w:eastAsia="en-US"/>
        </w:rPr>
        <w:t>enia, či okruh subjektov, ktorí sú ovplyvnení týmito informáciami</w:t>
      </w:r>
      <w:r w:rsidR="00F83A3A">
        <w:rPr>
          <w:color w:val="231F20"/>
          <w:lang w:eastAsia="en-US"/>
        </w:rPr>
        <w:t xml:space="preserve">, je </w:t>
      </w:r>
      <w:r w:rsidR="00142C36">
        <w:rPr>
          <w:color w:val="231F20"/>
          <w:lang w:eastAsia="en-US"/>
        </w:rPr>
        <w:t>rozsiahly</w:t>
      </w:r>
      <w:r w:rsidR="00F83A3A">
        <w:rPr>
          <w:color w:val="231F20"/>
          <w:lang w:eastAsia="en-US"/>
        </w:rPr>
        <w:t>,</w:t>
      </w:r>
    </w:p>
    <w:p w14:paraId="6DF5B0B5" w14:textId="3A95DBD8" w:rsidR="008171E4" w:rsidRDefault="00F83A3A" w:rsidP="003A4747">
      <w:pPr>
        <w:pStyle w:val="Odsekzoznamu"/>
        <w:autoSpaceDE w:val="0"/>
        <w:autoSpaceDN w:val="0"/>
        <w:adjustRightInd w:val="0"/>
        <w:spacing w:before="120" w:line="276" w:lineRule="auto"/>
        <w:ind w:left="567" w:hanging="207"/>
        <w:jc w:val="both"/>
        <w:rPr>
          <w:color w:val="231F20"/>
          <w:lang w:eastAsia="en-US"/>
        </w:rPr>
      </w:pPr>
      <w:r>
        <w:rPr>
          <w:color w:val="231F20"/>
          <w:lang w:eastAsia="en-US"/>
        </w:rPr>
        <w:t>s) kritickou infraštruktúrou z</w:t>
      </w:r>
      <w:r w:rsidRPr="00F83A3A">
        <w:rPr>
          <w:color w:val="231F20"/>
          <w:lang w:eastAsia="en-US"/>
        </w:rPr>
        <w:t>ariadenia, služby a informačné systémy životne dôležité pre obyvateľov a riadenie štátu, ktorých nefunkčnosť alebo zničenie môže ohr</w:t>
      </w:r>
      <w:r>
        <w:rPr>
          <w:color w:val="231F20"/>
          <w:lang w:eastAsia="en-US"/>
        </w:rPr>
        <w:t xml:space="preserve">oziť bezpečnostné záujmy štátu, do ktorej </w:t>
      </w:r>
      <w:r w:rsidRPr="00F83A3A">
        <w:rPr>
          <w:color w:val="231F20"/>
          <w:lang w:eastAsia="en-US"/>
        </w:rPr>
        <w:t xml:space="preserve">patria najmä objekty osobitnej dôležitosti, ďalšie dôležité objekty, vybrané informačné a komunikačné prostriedky, zariadenia na výrobu a zásobovanie vodou, elektrickou energiou, ropou a zemným plynom a ďalšie časti majetku </w:t>
      </w:r>
      <w:r w:rsidRPr="00F83A3A">
        <w:rPr>
          <w:color w:val="231F20"/>
          <w:lang w:eastAsia="en-US"/>
        </w:rPr>
        <w:lastRenderedPageBreak/>
        <w:t>štátu a podnikateľských právnických a fyzických osôb určené vládou SR alebo iným kompetentným orgánom štátnej správy, ktoré sú nevyhnutné na zvládnutie krízových situácií, ochranu obyvateľstva a majetku, na zaistenie minimálneho chodu ekonomiky a správy štátu, ako aj jeho vonkajšej a vnútornej bezpečnosti a ktoré treba špeciálne ochraňovať.</w:t>
      </w:r>
      <w:r w:rsidR="008171E4">
        <w:rPr>
          <w:color w:val="231F20"/>
          <w:lang w:eastAsia="en-US"/>
        </w:rPr>
        <w:t>“.</w:t>
      </w:r>
    </w:p>
    <w:p w14:paraId="156FCFA5" w14:textId="2501C5A5" w:rsidR="00FF3281" w:rsidRDefault="008171E4" w:rsidP="00FF3281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120" w:line="276" w:lineRule="auto"/>
        <w:jc w:val="both"/>
        <w:rPr>
          <w:color w:val="231F20"/>
          <w:lang w:eastAsia="en-US"/>
        </w:rPr>
      </w:pPr>
      <w:r>
        <w:rPr>
          <w:color w:val="231F20"/>
          <w:lang w:eastAsia="en-US"/>
        </w:rPr>
        <w:t>§ 27b znie:</w:t>
      </w:r>
    </w:p>
    <w:p w14:paraId="5B448811" w14:textId="77777777" w:rsidR="008171E4" w:rsidRPr="008171E4" w:rsidRDefault="008171E4" w:rsidP="008171E4">
      <w:pPr>
        <w:pStyle w:val="Odsekzoznamu"/>
        <w:autoSpaceDE w:val="0"/>
        <w:autoSpaceDN w:val="0"/>
        <w:adjustRightInd w:val="0"/>
        <w:spacing w:before="120" w:line="276" w:lineRule="auto"/>
        <w:ind w:left="360"/>
        <w:jc w:val="both"/>
        <w:rPr>
          <w:color w:val="231F20"/>
          <w:lang w:eastAsia="en-US"/>
        </w:rPr>
      </w:pPr>
      <w:r>
        <w:rPr>
          <w:color w:val="231F20"/>
          <w:lang w:eastAsia="en-US"/>
        </w:rPr>
        <w:t>„</w:t>
      </w:r>
      <w:r w:rsidRPr="008171E4">
        <w:rPr>
          <w:color w:val="231F20"/>
          <w:lang w:eastAsia="en-US"/>
        </w:rPr>
        <w:t>§ 27b</w:t>
      </w:r>
    </w:p>
    <w:p w14:paraId="736D50B3" w14:textId="567035A9" w:rsidR="008171E4" w:rsidRPr="008171E4" w:rsidRDefault="008171E4" w:rsidP="0087450E">
      <w:pPr>
        <w:pStyle w:val="Odsekzoznamu"/>
        <w:numPr>
          <w:ilvl w:val="1"/>
          <w:numId w:val="11"/>
        </w:numPr>
        <w:autoSpaceDE w:val="0"/>
        <w:autoSpaceDN w:val="0"/>
        <w:adjustRightInd w:val="0"/>
        <w:spacing w:before="120" w:line="276" w:lineRule="auto"/>
        <w:ind w:left="851"/>
        <w:jc w:val="both"/>
        <w:rPr>
          <w:color w:val="231F20"/>
          <w:lang w:eastAsia="en-US"/>
        </w:rPr>
      </w:pPr>
      <w:r w:rsidRPr="008171E4">
        <w:rPr>
          <w:color w:val="231F20"/>
          <w:lang w:eastAsia="en-US"/>
        </w:rPr>
        <w:t>Úrad z vlastnej iniciatívy rozhoduje o blokovaní, spôsobe blokovania a vykonáva blokovanie, ak § 27c neustanovuje inak.</w:t>
      </w:r>
    </w:p>
    <w:p w14:paraId="63030B60" w14:textId="0891E3D9" w:rsidR="008171E4" w:rsidRPr="008171E4" w:rsidRDefault="008171E4" w:rsidP="0087450E">
      <w:pPr>
        <w:pStyle w:val="Odsekzoznamu"/>
        <w:numPr>
          <w:ilvl w:val="1"/>
          <w:numId w:val="11"/>
        </w:numPr>
        <w:autoSpaceDE w:val="0"/>
        <w:autoSpaceDN w:val="0"/>
        <w:adjustRightInd w:val="0"/>
        <w:spacing w:before="120" w:line="276" w:lineRule="auto"/>
        <w:ind w:left="851"/>
        <w:jc w:val="both"/>
        <w:rPr>
          <w:color w:val="231F20"/>
          <w:lang w:eastAsia="en-US"/>
        </w:rPr>
      </w:pPr>
      <w:r w:rsidRPr="008171E4">
        <w:rPr>
          <w:color w:val="231F20"/>
          <w:lang w:eastAsia="en-US"/>
        </w:rPr>
        <w:t>Rozhodnutie o blokovaní obsahuje najmä</w:t>
      </w:r>
    </w:p>
    <w:p w14:paraId="30BF89EC" w14:textId="60142279" w:rsidR="008171E4" w:rsidRPr="008171E4" w:rsidRDefault="008171E4" w:rsidP="0087450E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before="120" w:line="276" w:lineRule="auto"/>
        <w:jc w:val="both"/>
        <w:rPr>
          <w:color w:val="231F20"/>
          <w:lang w:eastAsia="en-US"/>
        </w:rPr>
      </w:pPr>
      <w:r w:rsidRPr="008171E4">
        <w:rPr>
          <w:color w:val="231F20"/>
          <w:lang w:eastAsia="en-US"/>
        </w:rPr>
        <w:t>identifikáciu úradu,</w:t>
      </w:r>
    </w:p>
    <w:p w14:paraId="0556333F" w14:textId="0CD73C10" w:rsidR="008171E4" w:rsidRPr="008171E4" w:rsidRDefault="008171E4" w:rsidP="0087450E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before="120" w:line="276" w:lineRule="auto"/>
        <w:jc w:val="both"/>
        <w:rPr>
          <w:color w:val="231F20"/>
          <w:lang w:eastAsia="en-US"/>
        </w:rPr>
      </w:pPr>
      <w:r w:rsidRPr="008171E4">
        <w:rPr>
          <w:color w:val="231F20"/>
          <w:lang w:eastAsia="en-US"/>
        </w:rPr>
        <w:t>identifikáciu osoby, ktorá prevádzkuje infraštruktúru, na ktorej je blokovanie potrebné vykonať,</w:t>
      </w:r>
    </w:p>
    <w:p w14:paraId="1EC42A16" w14:textId="3827D747" w:rsidR="008171E4" w:rsidRPr="008171E4" w:rsidRDefault="008171E4" w:rsidP="0087450E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before="120" w:line="276" w:lineRule="auto"/>
        <w:jc w:val="both"/>
        <w:rPr>
          <w:color w:val="231F20"/>
          <w:lang w:eastAsia="en-US"/>
        </w:rPr>
      </w:pPr>
      <w:r w:rsidRPr="008171E4">
        <w:rPr>
          <w:color w:val="231F20"/>
          <w:lang w:eastAsia="en-US"/>
        </w:rPr>
        <w:t>identifikáciu škodlivého obsahu alebo škodlivej aktivity,</w:t>
      </w:r>
    </w:p>
    <w:p w14:paraId="23226F7F" w14:textId="6B7A91BC" w:rsidR="008171E4" w:rsidRPr="008171E4" w:rsidRDefault="008171E4" w:rsidP="0087450E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before="120" w:line="276" w:lineRule="auto"/>
        <w:jc w:val="both"/>
        <w:rPr>
          <w:color w:val="231F20"/>
          <w:lang w:eastAsia="en-US"/>
        </w:rPr>
      </w:pPr>
      <w:r w:rsidRPr="008171E4">
        <w:rPr>
          <w:color w:val="231F20"/>
          <w:lang w:eastAsia="en-US"/>
        </w:rPr>
        <w:t>dôvod blokovania,</w:t>
      </w:r>
    </w:p>
    <w:p w14:paraId="02BC1CEC" w14:textId="5835DC6C" w:rsidR="008171E4" w:rsidRPr="008171E4" w:rsidRDefault="008171E4" w:rsidP="0087450E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before="120" w:line="276" w:lineRule="auto"/>
        <w:jc w:val="both"/>
        <w:rPr>
          <w:color w:val="231F20"/>
          <w:lang w:eastAsia="en-US"/>
        </w:rPr>
      </w:pPr>
      <w:r w:rsidRPr="008171E4">
        <w:rPr>
          <w:color w:val="231F20"/>
          <w:lang w:eastAsia="en-US"/>
        </w:rPr>
        <w:t>spôsob blokovania,</w:t>
      </w:r>
    </w:p>
    <w:p w14:paraId="0652AA9C" w14:textId="2555F048" w:rsidR="008171E4" w:rsidRPr="008171E4" w:rsidRDefault="008171E4" w:rsidP="0087450E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before="120" w:line="276" w:lineRule="auto"/>
        <w:jc w:val="both"/>
        <w:rPr>
          <w:color w:val="231F20"/>
          <w:lang w:eastAsia="en-US"/>
        </w:rPr>
      </w:pPr>
      <w:r w:rsidRPr="008171E4">
        <w:rPr>
          <w:color w:val="231F20"/>
          <w:lang w:eastAsia="en-US"/>
        </w:rPr>
        <w:t>lehotu na vykonanie blokovania, trvanie blokovania a možnosti jeho odblokovania,</w:t>
      </w:r>
    </w:p>
    <w:p w14:paraId="254FD3DA" w14:textId="6CEFB3D9" w:rsidR="008171E4" w:rsidRPr="008171E4" w:rsidRDefault="008171E4" w:rsidP="0087450E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before="120" w:line="276" w:lineRule="auto"/>
        <w:jc w:val="both"/>
        <w:rPr>
          <w:color w:val="231F20"/>
          <w:lang w:eastAsia="en-US"/>
        </w:rPr>
      </w:pPr>
      <w:r w:rsidRPr="008171E4">
        <w:rPr>
          <w:color w:val="231F20"/>
          <w:lang w:eastAsia="en-US"/>
        </w:rPr>
        <w:t>poučenie.</w:t>
      </w:r>
    </w:p>
    <w:p w14:paraId="5E5425CB" w14:textId="57EE8C17" w:rsidR="008171E4" w:rsidRDefault="008171E4" w:rsidP="00B261B8">
      <w:pPr>
        <w:pStyle w:val="Odsekzoznamu"/>
        <w:numPr>
          <w:ilvl w:val="1"/>
          <w:numId w:val="11"/>
        </w:numPr>
        <w:autoSpaceDE w:val="0"/>
        <w:autoSpaceDN w:val="0"/>
        <w:adjustRightInd w:val="0"/>
        <w:spacing w:before="120" w:line="276" w:lineRule="auto"/>
        <w:ind w:left="851"/>
        <w:jc w:val="both"/>
        <w:rPr>
          <w:color w:val="231F20"/>
          <w:lang w:eastAsia="en-US"/>
        </w:rPr>
      </w:pPr>
      <w:r w:rsidRPr="008171E4">
        <w:rPr>
          <w:color w:val="231F20"/>
          <w:lang w:eastAsia="en-US"/>
        </w:rPr>
        <w:t>Škodlivým obsahom sa rozumie programový prostriedo</w:t>
      </w:r>
      <w:r w:rsidR="00B261B8">
        <w:rPr>
          <w:color w:val="231F20"/>
          <w:lang w:eastAsia="en-US"/>
        </w:rPr>
        <w:t xml:space="preserve">k alebo údaj, ktorý zapríčiňuje </w:t>
      </w:r>
      <w:r w:rsidRPr="008171E4">
        <w:rPr>
          <w:color w:val="231F20"/>
          <w:lang w:eastAsia="en-US"/>
        </w:rPr>
        <w:t>alebo môže zapríčiniť kybernetický bezpečnostný i</w:t>
      </w:r>
      <w:r w:rsidR="00B261B8">
        <w:rPr>
          <w:color w:val="231F20"/>
          <w:lang w:eastAsia="en-US"/>
        </w:rPr>
        <w:t xml:space="preserve">ncident. Škodlivou aktivitou sa </w:t>
      </w:r>
      <w:r w:rsidRPr="008171E4">
        <w:rPr>
          <w:color w:val="231F20"/>
          <w:lang w:eastAsia="en-US"/>
        </w:rPr>
        <w:t>rozumie akákoľvek činnosť, ktorá zapríčiňuje ale</w:t>
      </w:r>
      <w:r w:rsidR="00B261B8">
        <w:rPr>
          <w:color w:val="231F20"/>
          <w:lang w:eastAsia="en-US"/>
        </w:rPr>
        <w:t xml:space="preserve">bo môže zapríčiniť kybernetický </w:t>
      </w:r>
      <w:r w:rsidRPr="008171E4">
        <w:rPr>
          <w:color w:val="231F20"/>
          <w:lang w:eastAsia="en-US"/>
        </w:rPr>
        <w:t xml:space="preserve">bezpečnostný incident, </w:t>
      </w:r>
      <w:r w:rsidR="00B261B8" w:rsidRPr="00B261B8">
        <w:rPr>
          <w:color w:val="231F20"/>
          <w:lang w:eastAsia="en-US"/>
        </w:rPr>
        <w:t>ako podvodná činnosť, odcudzenie osobných údajov alebo citlivých údajov</w:t>
      </w:r>
      <w:r w:rsidR="00B261B8">
        <w:rPr>
          <w:color w:val="231F20"/>
          <w:lang w:eastAsia="en-US"/>
        </w:rPr>
        <w:t xml:space="preserve"> </w:t>
      </w:r>
      <w:r w:rsidRPr="008171E4">
        <w:rPr>
          <w:color w:val="231F20"/>
          <w:lang w:eastAsia="en-US"/>
        </w:rPr>
        <w:t xml:space="preserve">a </w:t>
      </w:r>
      <w:r w:rsidR="00915C02">
        <w:rPr>
          <w:color w:val="231F20"/>
          <w:lang w:eastAsia="en-US"/>
        </w:rPr>
        <w:t>hybridná</w:t>
      </w:r>
      <w:r w:rsidRPr="008171E4">
        <w:rPr>
          <w:color w:val="231F20"/>
          <w:lang w:eastAsia="en-US"/>
        </w:rPr>
        <w:t xml:space="preserve"> hro</w:t>
      </w:r>
      <w:r w:rsidR="00915C02">
        <w:rPr>
          <w:color w:val="231F20"/>
          <w:lang w:eastAsia="en-US"/>
        </w:rPr>
        <w:t>z</w:t>
      </w:r>
      <w:r w:rsidRPr="008171E4">
        <w:rPr>
          <w:color w:val="231F20"/>
          <w:lang w:eastAsia="en-US"/>
        </w:rPr>
        <w:t>b</w:t>
      </w:r>
      <w:r w:rsidR="00915C02">
        <w:rPr>
          <w:color w:val="231F20"/>
          <w:lang w:eastAsia="en-US"/>
        </w:rPr>
        <w:t>a</w:t>
      </w:r>
      <w:r w:rsidRPr="008171E4">
        <w:rPr>
          <w:color w:val="231F20"/>
          <w:lang w:eastAsia="en-US"/>
        </w:rPr>
        <w:t>.</w:t>
      </w:r>
    </w:p>
    <w:p w14:paraId="424BF99A" w14:textId="38044757" w:rsidR="00B261B8" w:rsidRPr="00B261B8" w:rsidRDefault="00B261B8" w:rsidP="00B261B8">
      <w:pPr>
        <w:pStyle w:val="Odsekzoznamu"/>
        <w:numPr>
          <w:ilvl w:val="1"/>
          <w:numId w:val="11"/>
        </w:numPr>
        <w:autoSpaceDE w:val="0"/>
        <w:autoSpaceDN w:val="0"/>
        <w:adjustRightInd w:val="0"/>
        <w:spacing w:before="120" w:line="276" w:lineRule="auto"/>
        <w:ind w:left="851"/>
        <w:jc w:val="both"/>
        <w:rPr>
          <w:color w:val="231F20"/>
          <w:lang w:eastAsia="en-US"/>
        </w:rPr>
      </w:pPr>
      <w:r w:rsidRPr="00B261B8">
        <w:rPr>
          <w:color w:val="231F20"/>
          <w:lang w:eastAsia="en-US"/>
        </w:rPr>
        <w:t>Blokovaniu predchádza</w:t>
      </w:r>
      <w:r>
        <w:rPr>
          <w:color w:val="231F20"/>
          <w:lang w:eastAsia="en-US"/>
        </w:rPr>
        <w:t>:</w:t>
      </w:r>
    </w:p>
    <w:p w14:paraId="657A3A0E" w14:textId="5DEA2B3C" w:rsidR="00B261B8" w:rsidRDefault="00B261B8" w:rsidP="00B261B8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before="120" w:line="276" w:lineRule="auto"/>
        <w:jc w:val="both"/>
        <w:rPr>
          <w:color w:val="231F20"/>
          <w:lang w:eastAsia="en-US"/>
        </w:rPr>
      </w:pPr>
      <w:r w:rsidRPr="00B261B8">
        <w:rPr>
          <w:color w:val="231F20"/>
          <w:lang w:eastAsia="en-US"/>
        </w:rPr>
        <w:t xml:space="preserve">informovanie Národnej jednotky CSIRT o zistení škodlivého obsahu na dotknutej doméne, </w:t>
      </w:r>
    </w:p>
    <w:p w14:paraId="77B3604F" w14:textId="46EF7D22" w:rsidR="00B261B8" w:rsidRPr="00B261B8" w:rsidRDefault="00B261B8" w:rsidP="00B261B8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before="120" w:line="276" w:lineRule="auto"/>
        <w:jc w:val="both"/>
        <w:rPr>
          <w:color w:val="231F20"/>
          <w:lang w:eastAsia="en-US"/>
        </w:rPr>
      </w:pPr>
      <w:r w:rsidRPr="00B261B8">
        <w:rPr>
          <w:color w:val="231F20"/>
          <w:lang w:eastAsia="en-US"/>
        </w:rPr>
        <w:t>evidovanie a riešenie incidentu Národnou jednotkou CSIRT podľa zákona a interných postupov, vrátane eskalačných a komunikačných mechanizmov medzi jednotlivými zložkami, ktorých účasť na riešení incidentu vyžaduje zákon,</w:t>
      </w:r>
    </w:p>
    <w:p w14:paraId="3782AEF6" w14:textId="59C79B0A" w:rsidR="00B261B8" w:rsidRPr="00B261B8" w:rsidRDefault="00B261B8" w:rsidP="00B261B8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before="120" w:line="276" w:lineRule="auto"/>
        <w:jc w:val="both"/>
        <w:rPr>
          <w:color w:val="231F20"/>
          <w:lang w:eastAsia="en-US"/>
        </w:rPr>
      </w:pPr>
      <w:r w:rsidRPr="00B261B8">
        <w:rPr>
          <w:color w:val="231F20"/>
          <w:lang w:eastAsia="en-US"/>
        </w:rPr>
        <w:t xml:space="preserve">komunikácia Národnej jednotky CSIRT s držiteľom a prevádzkovateľom </w:t>
      </w:r>
      <w:r w:rsidR="00F05E50">
        <w:rPr>
          <w:color w:val="231F20"/>
          <w:lang w:eastAsia="en-US"/>
        </w:rPr>
        <w:t>infraštruktúry, na ktorej je blokovanie potrebné vykonať</w:t>
      </w:r>
      <w:r w:rsidRPr="00B261B8">
        <w:rPr>
          <w:color w:val="231F20"/>
          <w:lang w:eastAsia="en-US"/>
        </w:rPr>
        <w:t xml:space="preserve">, </w:t>
      </w:r>
    </w:p>
    <w:p w14:paraId="2B7EDB60" w14:textId="45C6DBC5" w:rsidR="00B261B8" w:rsidRPr="00B261B8" w:rsidRDefault="00B261B8" w:rsidP="00B261B8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before="120" w:line="276" w:lineRule="auto"/>
        <w:jc w:val="both"/>
        <w:rPr>
          <w:color w:val="231F20"/>
          <w:lang w:eastAsia="en-US"/>
        </w:rPr>
      </w:pPr>
      <w:r w:rsidRPr="00B261B8">
        <w:rPr>
          <w:color w:val="231F20"/>
          <w:lang w:eastAsia="en-US"/>
        </w:rPr>
        <w:t xml:space="preserve">umožnenie držiteľovi alebo prevádzkovateľovi </w:t>
      </w:r>
      <w:r w:rsidR="00F05E50">
        <w:rPr>
          <w:color w:val="231F20"/>
          <w:lang w:eastAsia="en-US"/>
        </w:rPr>
        <w:t xml:space="preserve">infraštruktúry </w:t>
      </w:r>
      <w:r w:rsidRPr="00B261B8">
        <w:rPr>
          <w:color w:val="231F20"/>
          <w:lang w:eastAsia="en-US"/>
        </w:rPr>
        <w:t>odstránenie škodlivého obsahu z do</w:t>
      </w:r>
      <w:r w:rsidR="00142C36">
        <w:rPr>
          <w:color w:val="231F20"/>
          <w:lang w:eastAsia="en-US"/>
        </w:rPr>
        <w:t>tknutej domény v určenej lehote, ktorá nesmie byť kratšia ako 72 hodín.</w:t>
      </w:r>
    </w:p>
    <w:p w14:paraId="3CB2BAB5" w14:textId="207086D2" w:rsidR="00B261B8" w:rsidRPr="00B261B8" w:rsidRDefault="00B261B8" w:rsidP="00B261B8">
      <w:pPr>
        <w:pStyle w:val="Odsekzoznamu"/>
        <w:numPr>
          <w:ilvl w:val="1"/>
          <w:numId w:val="11"/>
        </w:numPr>
        <w:autoSpaceDE w:val="0"/>
        <w:autoSpaceDN w:val="0"/>
        <w:adjustRightInd w:val="0"/>
        <w:spacing w:before="120" w:line="276" w:lineRule="auto"/>
        <w:ind w:left="851"/>
        <w:jc w:val="both"/>
        <w:rPr>
          <w:color w:val="231F20"/>
          <w:lang w:eastAsia="en-US"/>
        </w:rPr>
      </w:pPr>
      <w:r w:rsidRPr="00B261B8">
        <w:rPr>
          <w:color w:val="231F20"/>
          <w:lang w:eastAsia="en-US"/>
        </w:rPr>
        <w:t xml:space="preserve">Ak dôjde k odstráneniu škodlivého obsahu pred uplynutím určenej lehoty v súčinnosti s držiteľom alebo prevádzkovateľom </w:t>
      </w:r>
      <w:r w:rsidR="00F05E50">
        <w:rPr>
          <w:color w:val="231F20"/>
          <w:lang w:eastAsia="en-US"/>
        </w:rPr>
        <w:t>infraštruktúry</w:t>
      </w:r>
      <w:r w:rsidRPr="00B261B8">
        <w:rPr>
          <w:color w:val="231F20"/>
          <w:lang w:eastAsia="en-US"/>
        </w:rPr>
        <w:t xml:space="preserve"> sa pokračuje v ďalších fázach riešenia a koordinácie riešenia kybernetického bezpečnostného incidentu.</w:t>
      </w:r>
    </w:p>
    <w:p w14:paraId="758137C7" w14:textId="4E0B6C3F" w:rsidR="00B261B8" w:rsidRPr="008171E4" w:rsidRDefault="00B261B8" w:rsidP="00B261B8">
      <w:pPr>
        <w:pStyle w:val="Odsekzoznamu"/>
        <w:numPr>
          <w:ilvl w:val="1"/>
          <w:numId w:val="11"/>
        </w:numPr>
        <w:autoSpaceDE w:val="0"/>
        <w:autoSpaceDN w:val="0"/>
        <w:adjustRightInd w:val="0"/>
        <w:spacing w:before="120" w:line="276" w:lineRule="auto"/>
        <w:ind w:left="851"/>
        <w:jc w:val="both"/>
        <w:rPr>
          <w:color w:val="231F20"/>
          <w:lang w:eastAsia="en-US"/>
        </w:rPr>
      </w:pPr>
      <w:r w:rsidRPr="00B261B8">
        <w:rPr>
          <w:color w:val="231F20"/>
          <w:lang w:eastAsia="en-US"/>
        </w:rPr>
        <w:t xml:space="preserve">Ak škodlivý obsah nie je odstránený do určenej lehoty, </w:t>
      </w:r>
      <w:r w:rsidR="00F05E50">
        <w:rPr>
          <w:color w:val="231F20"/>
          <w:lang w:eastAsia="en-US"/>
        </w:rPr>
        <w:t>vydá sa rozhodnutie o blokovaní.</w:t>
      </w:r>
      <w:r w:rsidR="00E70E48">
        <w:rPr>
          <w:color w:val="231F20"/>
          <w:lang w:eastAsia="en-US"/>
        </w:rPr>
        <w:t xml:space="preserve"> Rozhodnutie o blokovaní hybridnej hrozby podľa odseku 3 je možné až po súhlase vecne príslušného krajského súdu.</w:t>
      </w:r>
    </w:p>
    <w:p w14:paraId="319AF43C" w14:textId="50065F8C" w:rsidR="008171E4" w:rsidRPr="008171E4" w:rsidRDefault="008171E4" w:rsidP="0087450E">
      <w:pPr>
        <w:pStyle w:val="Odsekzoznamu"/>
        <w:numPr>
          <w:ilvl w:val="1"/>
          <w:numId w:val="11"/>
        </w:numPr>
        <w:autoSpaceDE w:val="0"/>
        <w:autoSpaceDN w:val="0"/>
        <w:adjustRightInd w:val="0"/>
        <w:spacing w:before="120" w:line="276" w:lineRule="auto"/>
        <w:ind w:left="851"/>
        <w:jc w:val="both"/>
        <w:rPr>
          <w:color w:val="231F20"/>
          <w:lang w:eastAsia="en-US"/>
        </w:rPr>
      </w:pPr>
      <w:r w:rsidRPr="008171E4">
        <w:rPr>
          <w:color w:val="231F20"/>
          <w:lang w:eastAsia="en-US"/>
        </w:rPr>
        <w:t>Úrad rozhodne o spôsobe blokovania podľa pravidiel blokovania tak, aby bolo účinné, účelné a primerané vo vzťahu k možným rizikám spojeným s blokovaním.</w:t>
      </w:r>
    </w:p>
    <w:p w14:paraId="14DA4D3E" w14:textId="73640309" w:rsidR="008171E4" w:rsidRDefault="008171E4" w:rsidP="0087450E">
      <w:pPr>
        <w:pStyle w:val="Odsekzoznamu"/>
        <w:numPr>
          <w:ilvl w:val="1"/>
          <w:numId w:val="11"/>
        </w:numPr>
        <w:autoSpaceDE w:val="0"/>
        <w:autoSpaceDN w:val="0"/>
        <w:adjustRightInd w:val="0"/>
        <w:spacing w:before="120" w:line="276" w:lineRule="auto"/>
        <w:ind w:left="851"/>
        <w:jc w:val="both"/>
        <w:rPr>
          <w:color w:val="231F20"/>
          <w:lang w:eastAsia="en-US"/>
        </w:rPr>
      </w:pPr>
      <w:r w:rsidRPr="008171E4">
        <w:rPr>
          <w:color w:val="231F20"/>
          <w:lang w:eastAsia="en-US"/>
        </w:rPr>
        <w:t xml:space="preserve">Rozhodnutie o blokovaní doručí úrad osobe, ktorá prevádzkuje infraštruktúru, na ktorej je blokovanie potrebné vykonať a ktorá je povinná vykonať blokovanie, a </w:t>
      </w:r>
      <w:r w:rsidRPr="008171E4">
        <w:rPr>
          <w:color w:val="231F20"/>
          <w:lang w:eastAsia="en-US"/>
        </w:rPr>
        <w:lastRenderedPageBreak/>
        <w:t>zabezpečí jeho vykonanie; na riadne zistenie takejto osoby je úrad oprávnený požiadať o spoluprácu orgán verejnej moci alebo inú osobu, ktorá je povinná tejto žiadosti bezodkladne vyhovieť.</w:t>
      </w:r>
    </w:p>
    <w:p w14:paraId="5ED56216" w14:textId="3362C593" w:rsidR="00BA5600" w:rsidRPr="008171E4" w:rsidRDefault="00BA5600" w:rsidP="0087450E">
      <w:pPr>
        <w:pStyle w:val="Odsekzoznamu"/>
        <w:numPr>
          <w:ilvl w:val="1"/>
          <w:numId w:val="11"/>
        </w:numPr>
        <w:autoSpaceDE w:val="0"/>
        <w:autoSpaceDN w:val="0"/>
        <w:adjustRightInd w:val="0"/>
        <w:spacing w:before="120" w:line="276" w:lineRule="auto"/>
        <w:ind w:left="851"/>
        <w:jc w:val="both"/>
        <w:rPr>
          <w:color w:val="231F20"/>
          <w:lang w:eastAsia="en-US"/>
        </w:rPr>
      </w:pPr>
      <w:r>
        <w:rPr>
          <w:color w:val="231F20"/>
          <w:lang w:eastAsia="en-US"/>
        </w:rPr>
        <w:t>Rozhodnutie o blokovaní zverejní úrad na svojom webovom sídle.</w:t>
      </w:r>
    </w:p>
    <w:p w14:paraId="35958ECC" w14:textId="630E029C" w:rsidR="008171E4" w:rsidRPr="008171E4" w:rsidRDefault="008171E4" w:rsidP="0042253D">
      <w:pPr>
        <w:pStyle w:val="Odsekzoznamu"/>
        <w:numPr>
          <w:ilvl w:val="1"/>
          <w:numId w:val="11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231F20"/>
          <w:lang w:eastAsia="en-US"/>
        </w:rPr>
      </w:pPr>
      <w:r w:rsidRPr="008171E4">
        <w:rPr>
          <w:color w:val="231F20"/>
          <w:lang w:eastAsia="en-US"/>
        </w:rPr>
        <w:t>Osoba, ktorá prevádzkuje infraštruktúru, na ktorej je blokovanie potrebné vykonať, je povinná na základe rozhodnutia o blokovaní zamedziť prevádzku spôsobom podľa rozhodnutia o blokovaní, inak blokovanie vykoná úrad; úrad je oprávnený požiadať o spoluprácu orgán verejnej moci alebo inú osobu, ktorá je povinná tejto žiadosti bezodkladne vyhovieť.</w:t>
      </w:r>
      <w:bookmarkStart w:id="0" w:name="_GoBack"/>
      <w:bookmarkEnd w:id="0"/>
    </w:p>
    <w:p w14:paraId="5B1B6D70" w14:textId="7C14B4CE" w:rsidR="008171E4" w:rsidRPr="008171E4" w:rsidRDefault="008171E4" w:rsidP="0042253D">
      <w:pPr>
        <w:pStyle w:val="Odsekzoznamu"/>
        <w:numPr>
          <w:ilvl w:val="1"/>
          <w:numId w:val="11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231F20"/>
          <w:lang w:eastAsia="en-US"/>
        </w:rPr>
      </w:pPr>
      <w:r w:rsidRPr="008171E4">
        <w:rPr>
          <w:color w:val="231F20"/>
          <w:lang w:eastAsia="en-US"/>
        </w:rPr>
        <w:t>Rozhodnutím o blokovaní nie sú dotknuté postupy riešenia kybernetického bezpečnostného incidentu a postupy orgánov činných v trestnom konaní. Rozhodnutie o blokovaní je preskúmateľné súdom a sprá</w:t>
      </w:r>
      <w:r w:rsidR="00F05E50">
        <w:rPr>
          <w:color w:val="231F20"/>
          <w:lang w:eastAsia="en-US"/>
        </w:rPr>
        <w:t>vna žaloba nemá odkladný účinok, okrem prípadu podľa odseku 6.</w:t>
      </w:r>
    </w:p>
    <w:p w14:paraId="7867FF64" w14:textId="44865C40" w:rsidR="008171E4" w:rsidRDefault="008171E4" w:rsidP="0042253D">
      <w:pPr>
        <w:pStyle w:val="Odsekzoznamu"/>
        <w:numPr>
          <w:ilvl w:val="1"/>
          <w:numId w:val="11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231F20"/>
          <w:lang w:eastAsia="en-US"/>
        </w:rPr>
      </w:pPr>
      <w:r w:rsidRPr="008171E4">
        <w:rPr>
          <w:color w:val="231F20"/>
          <w:lang w:eastAsia="en-US"/>
        </w:rPr>
        <w:t>Štátne orgány sú povinné bez meškania oznamovať úradu škodlivý obsah a škodlivé aktivity, ktoré zistia pri svojej činnosti.</w:t>
      </w:r>
    </w:p>
    <w:p w14:paraId="718DEF4B" w14:textId="77777777" w:rsidR="005D106D" w:rsidRPr="005D106D" w:rsidRDefault="005D106D" w:rsidP="005D106D">
      <w:pPr>
        <w:autoSpaceDE w:val="0"/>
        <w:autoSpaceDN w:val="0"/>
        <w:adjustRightInd w:val="0"/>
        <w:spacing w:before="120" w:line="276" w:lineRule="auto"/>
        <w:jc w:val="both"/>
        <w:rPr>
          <w:color w:val="231F20"/>
          <w:lang w:eastAsia="en-US"/>
        </w:rPr>
      </w:pPr>
    </w:p>
    <w:p w14:paraId="19D2BC16" w14:textId="1A8FCD52" w:rsidR="005D106D" w:rsidRDefault="005D106D" w:rsidP="005D106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120" w:line="276" w:lineRule="auto"/>
        <w:jc w:val="both"/>
        <w:rPr>
          <w:color w:val="231F20"/>
          <w:lang w:eastAsia="en-US"/>
        </w:rPr>
      </w:pPr>
      <w:r>
        <w:rPr>
          <w:color w:val="231F20"/>
          <w:lang w:eastAsia="en-US"/>
        </w:rPr>
        <w:t>V § 27c odsek 9 znie:</w:t>
      </w:r>
    </w:p>
    <w:p w14:paraId="19C495E3" w14:textId="22355754" w:rsidR="005D106D" w:rsidRDefault="005D106D" w:rsidP="005D106D">
      <w:pPr>
        <w:pStyle w:val="Odsekzoznamu"/>
        <w:autoSpaceDE w:val="0"/>
        <w:autoSpaceDN w:val="0"/>
        <w:adjustRightInd w:val="0"/>
        <w:spacing w:before="120" w:line="276" w:lineRule="auto"/>
        <w:ind w:left="360"/>
        <w:jc w:val="both"/>
        <w:rPr>
          <w:color w:val="231F20"/>
          <w:lang w:eastAsia="en-US"/>
        </w:rPr>
      </w:pPr>
      <w:r>
        <w:rPr>
          <w:color w:val="231F20"/>
          <w:lang w:eastAsia="en-US"/>
        </w:rPr>
        <w:t>„</w:t>
      </w:r>
      <w:r w:rsidRPr="005D106D">
        <w:rPr>
          <w:color w:val="231F20"/>
          <w:lang w:eastAsia="en-US"/>
        </w:rPr>
        <w:t>Na vykonanie blokov</w:t>
      </w:r>
      <w:r>
        <w:rPr>
          <w:color w:val="231F20"/>
          <w:lang w:eastAsia="en-US"/>
        </w:rPr>
        <w:t>ania s</w:t>
      </w:r>
      <w:r w:rsidR="00BA5600">
        <w:rPr>
          <w:color w:val="231F20"/>
          <w:lang w:eastAsia="en-US"/>
        </w:rPr>
        <w:t>a ustanovenia § 27b ods. 4 až 11</w:t>
      </w:r>
      <w:r w:rsidRPr="005D106D">
        <w:rPr>
          <w:color w:val="231F20"/>
          <w:lang w:eastAsia="en-US"/>
        </w:rPr>
        <w:t xml:space="preserve"> použijú primerane.</w:t>
      </w:r>
      <w:r>
        <w:rPr>
          <w:color w:val="231F20"/>
          <w:lang w:eastAsia="en-US"/>
        </w:rPr>
        <w:t>“.</w:t>
      </w:r>
    </w:p>
    <w:p w14:paraId="48E0515D" w14:textId="609E2829" w:rsidR="000C5D9D" w:rsidRDefault="000C5D9D" w:rsidP="00185078">
      <w:pPr>
        <w:spacing w:before="120" w:line="276" w:lineRule="auto"/>
      </w:pPr>
    </w:p>
    <w:p w14:paraId="58A17F3D" w14:textId="2AF2B6A5" w:rsidR="00D77322" w:rsidRDefault="00D77322" w:rsidP="00D77322">
      <w:pPr>
        <w:spacing w:before="120" w:line="276" w:lineRule="auto"/>
        <w:jc w:val="center"/>
        <w:rPr>
          <w:b/>
        </w:rPr>
      </w:pPr>
      <w:r w:rsidRPr="005A6A3F">
        <w:rPr>
          <w:b/>
        </w:rPr>
        <w:t>Čl. II</w:t>
      </w:r>
    </w:p>
    <w:p w14:paraId="1726B57C" w14:textId="0DA904EA" w:rsidR="000222C7" w:rsidRPr="002871BD" w:rsidRDefault="000222C7" w:rsidP="002871BD">
      <w:pPr>
        <w:autoSpaceDE w:val="0"/>
        <w:autoSpaceDN w:val="0"/>
        <w:adjustRightInd w:val="0"/>
        <w:spacing w:before="120" w:line="276" w:lineRule="auto"/>
        <w:ind w:firstLine="360"/>
        <w:jc w:val="both"/>
        <w:rPr>
          <w:color w:val="231F20"/>
          <w:lang w:eastAsia="en-US"/>
        </w:rPr>
      </w:pPr>
      <w:r w:rsidRPr="002871BD">
        <w:rPr>
          <w:color w:val="231F20"/>
          <w:lang w:eastAsia="en-US"/>
        </w:rPr>
        <w:t xml:space="preserve">Tento zákon nadobúda účinnosť </w:t>
      </w:r>
      <w:r w:rsidR="00043ACB" w:rsidRPr="002871BD">
        <w:rPr>
          <w:color w:val="231F20"/>
          <w:lang w:eastAsia="en-US"/>
        </w:rPr>
        <w:t xml:space="preserve">1. </w:t>
      </w:r>
      <w:r w:rsidR="007834C0">
        <w:rPr>
          <w:color w:val="231F20"/>
          <w:lang w:eastAsia="en-US"/>
        </w:rPr>
        <w:t>júl</w:t>
      </w:r>
      <w:r w:rsidR="00A100B4" w:rsidRPr="002871BD">
        <w:rPr>
          <w:color w:val="231F20"/>
          <w:lang w:eastAsia="en-US"/>
        </w:rPr>
        <w:t>a</w:t>
      </w:r>
      <w:r w:rsidR="00B85785" w:rsidRPr="002871BD">
        <w:rPr>
          <w:color w:val="231F20"/>
          <w:lang w:eastAsia="en-US"/>
        </w:rPr>
        <w:t xml:space="preserve"> 2022</w:t>
      </w:r>
      <w:r w:rsidRPr="002871BD">
        <w:rPr>
          <w:color w:val="231F20"/>
          <w:lang w:eastAsia="en-US"/>
        </w:rPr>
        <w:t>.</w:t>
      </w:r>
    </w:p>
    <w:sectPr w:rsidR="000222C7" w:rsidRPr="002871BD" w:rsidSect="00450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38B6D" w14:textId="77777777" w:rsidR="00E97E82" w:rsidRDefault="00E97E82" w:rsidP="00315A87">
      <w:r>
        <w:separator/>
      </w:r>
    </w:p>
  </w:endnote>
  <w:endnote w:type="continuationSeparator" w:id="0">
    <w:p w14:paraId="0B0EF7AE" w14:textId="77777777" w:rsidR="00E97E82" w:rsidRDefault="00E97E82" w:rsidP="0031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3343C" w14:textId="77777777" w:rsidR="00E97E82" w:rsidRDefault="00E97E82" w:rsidP="00315A87">
      <w:r>
        <w:separator/>
      </w:r>
    </w:p>
  </w:footnote>
  <w:footnote w:type="continuationSeparator" w:id="0">
    <w:p w14:paraId="37A0F6D4" w14:textId="77777777" w:rsidR="00E97E82" w:rsidRDefault="00E97E82" w:rsidP="00315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4E3B"/>
    <w:multiLevelType w:val="hybridMultilevel"/>
    <w:tmpl w:val="A4FCFA4C"/>
    <w:lvl w:ilvl="0" w:tplc="992840A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A714A47"/>
    <w:multiLevelType w:val="hybridMultilevel"/>
    <w:tmpl w:val="0B3C757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08526B"/>
    <w:multiLevelType w:val="hybridMultilevel"/>
    <w:tmpl w:val="A1A02162"/>
    <w:lvl w:ilvl="0" w:tplc="4250821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231F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7B6326"/>
    <w:multiLevelType w:val="hybridMultilevel"/>
    <w:tmpl w:val="822EC3D4"/>
    <w:lvl w:ilvl="0" w:tplc="041B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E9E4E76"/>
    <w:multiLevelType w:val="hybridMultilevel"/>
    <w:tmpl w:val="EA8CA572"/>
    <w:lvl w:ilvl="0" w:tplc="051C66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D362570"/>
    <w:multiLevelType w:val="hybridMultilevel"/>
    <w:tmpl w:val="E41CA1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C6123F0"/>
    <w:multiLevelType w:val="hybridMultilevel"/>
    <w:tmpl w:val="A4DC1C92"/>
    <w:lvl w:ilvl="0" w:tplc="0CFECF98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5632924"/>
    <w:multiLevelType w:val="hybridMultilevel"/>
    <w:tmpl w:val="8B14085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9B1377"/>
    <w:multiLevelType w:val="hybridMultilevel"/>
    <w:tmpl w:val="916EA4CA"/>
    <w:lvl w:ilvl="0" w:tplc="CE0A0A6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1F30A5"/>
    <w:multiLevelType w:val="hybridMultilevel"/>
    <w:tmpl w:val="13120D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EF37744"/>
    <w:multiLevelType w:val="hybridMultilevel"/>
    <w:tmpl w:val="E8AA665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308C7B6">
      <w:start w:val="1"/>
      <w:numFmt w:val="decimal"/>
      <w:lvlText w:val="(%2)"/>
      <w:lvlJc w:val="left"/>
      <w:pPr>
        <w:ind w:left="1110" w:hanging="39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705074"/>
    <w:multiLevelType w:val="hybridMultilevel"/>
    <w:tmpl w:val="0B3C757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6D42B38"/>
    <w:multiLevelType w:val="hybridMultilevel"/>
    <w:tmpl w:val="874CD8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F7A3943"/>
    <w:multiLevelType w:val="hybridMultilevel"/>
    <w:tmpl w:val="822EC3D4"/>
    <w:lvl w:ilvl="0" w:tplc="041B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12"/>
  </w:num>
  <w:num w:numId="9">
    <w:abstractNumId w:val="4"/>
  </w:num>
  <w:num w:numId="10">
    <w:abstractNumId w:val="11"/>
  </w:num>
  <w:num w:numId="11">
    <w:abstractNumId w:val="10"/>
  </w:num>
  <w:num w:numId="12">
    <w:abstractNumId w:val="7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F8"/>
    <w:rsid w:val="000075A1"/>
    <w:rsid w:val="000222C7"/>
    <w:rsid w:val="00026FF8"/>
    <w:rsid w:val="00034BF1"/>
    <w:rsid w:val="00037A81"/>
    <w:rsid w:val="000423F6"/>
    <w:rsid w:val="00043ACB"/>
    <w:rsid w:val="00054761"/>
    <w:rsid w:val="000745AC"/>
    <w:rsid w:val="00076CC6"/>
    <w:rsid w:val="000A54AE"/>
    <w:rsid w:val="000B450C"/>
    <w:rsid w:val="000C5D9D"/>
    <w:rsid w:val="000C70DA"/>
    <w:rsid w:val="000D2E53"/>
    <w:rsid w:val="000D3A37"/>
    <w:rsid w:val="000E1C3B"/>
    <w:rsid w:val="000E310D"/>
    <w:rsid w:val="000F0F6F"/>
    <w:rsid w:val="000F1380"/>
    <w:rsid w:val="000F393A"/>
    <w:rsid w:val="000F4272"/>
    <w:rsid w:val="00113A5A"/>
    <w:rsid w:val="0011595B"/>
    <w:rsid w:val="00115975"/>
    <w:rsid w:val="00120770"/>
    <w:rsid w:val="00122FC2"/>
    <w:rsid w:val="00134A54"/>
    <w:rsid w:val="001367B0"/>
    <w:rsid w:val="00142C36"/>
    <w:rsid w:val="00144062"/>
    <w:rsid w:val="001459A7"/>
    <w:rsid w:val="0015522B"/>
    <w:rsid w:val="00161D17"/>
    <w:rsid w:val="00166A51"/>
    <w:rsid w:val="001717B1"/>
    <w:rsid w:val="00171ABC"/>
    <w:rsid w:val="00185078"/>
    <w:rsid w:val="00191453"/>
    <w:rsid w:val="00195FF0"/>
    <w:rsid w:val="001B5AC4"/>
    <w:rsid w:val="001B62D9"/>
    <w:rsid w:val="001B7DF3"/>
    <w:rsid w:val="001C7A84"/>
    <w:rsid w:val="001D1370"/>
    <w:rsid w:val="001D66A3"/>
    <w:rsid w:val="001E271E"/>
    <w:rsid w:val="001E5E02"/>
    <w:rsid w:val="002026B4"/>
    <w:rsid w:val="00210964"/>
    <w:rsid w:val="0021153E"/>
    <w:rsid w:val="002126CF"/>
    <w:rsid w:val="00220626"/>
    <w:rsid w:val="002248F6"/>
    <w:rsid w:val="0022529E"/>
    <w:rsid w:val="00243657"/>
    <w:rsid w:val="00243799"/>
    <w:rsid w:val="00251AFB"/>
    <w:rsid w:val="002613AF"/>
    <w:rsid w:val="002637A5"/>
    <w:rsid w:val="00273F9E"/>
    <w:rsid w:val="00281CB7"/>
    <w:rsid w:val="002835DF"/>
    <w:rsid w:val="002871BD"/>
    <w:rsid w:val="00290681"/>
    <w:rsid w:val="00290E5D"/>
    <w:rsid w:val="0029474D"/>
    <w:rsid w:val="002A10BC"/>
    <w:rsid w:val="002B1719"/>
    <w:rsid w:val="002C02E3"/>
    <w:rsid w:val="002C2BF5"/>
    <w:rsid w:val="002D3D18"/>
    <w:rsid w:val="002D750F"/>
    <w:rsid w:val="002E1092"/>
    <w:rsid w:val="002E3DED"/>
    <w:rsid w:val="002F1482"/>
    <w:rsid w:val="002F5EBF"/>
    <w:rsid w:val="002F72F8"/>
    <w:rsid w:val="003078B8"/>
    <w:rsid w:val="0031177C"/>
    <w:rsid w:val="00312673"/>
    <w:rsid w:val="00315A87"/>
    <w:rsid w:val="00317EA7"/>
    <w:rsid w:val="00332BE7"/>
    <w:rsid w:val="003375F9"/>
    <w:rsid w:val="003420A4"/>
    <w:rsid w:val="003548FB"/>
    <w:rsid w:val="00355DF8"/>
    <w:rsid w:val="003608EA"/>
    <w:rsid w:val="00361AD2"/>
    <w:rsid w:val="00365988"/>
    <w:rsid w:val="00374817"/>
    <w:rsid w:val="00374BB2"/>
    <w:rsid w:val="00376567"/>
    <w:rsid w:val="00384A20"/>
    <w:rsid w:val="00392D5C"/>
    <w:rsid w:val="00392FEC"/>
    <w:rsid w:val="00393EA5"/>
    <w:rsid w:val="0039747B"/>
    <w:rsid w:val="003A3B7B"/>
    <w:rsid w:val="003A4747"/>
    <w:rsid w:val="003A5349"/>
    <w:rsid w:val="003A5A0D"/>
    <w:rsid w:val="003C59B5"/>
    <w:rsid w:val="003E126A"/>
    <w:rsid w:val="003F408B"/>
    <w:rsid w:val="003F77CD"/>
    <w:rsid w:val="0041067C"/>
    <w:rsid w:val="00412EA8"/>
    <w:rsid w:val="00414E60"/>
    <w:rsid w:val="00414FCE"/>
    <w:rsid w:val="0042253D"/>
    <w:rsid w:val="00442391"/>
    <w:rsid w:val="00444BCC"/>
    <w:rsid w:val="00450A28"/>
    <w:rsid w:val="00452619"/>
    <w:rsid w:val="00472D5D"/>
    <w:rsid w:val="00474ADD"/>
    <w:rsid w:val="00476C21"/>
    <w:rsid w:val="004931CF"/>
    <w:rsid w:val="00496A32"/>
    <w:rsid w:val="00496EE0"/>
    <w:rsid w:val="004A3E2C"/>
    <w:rsid w:val="004A567E"/>
    <w:rsid w:val="004D1EE2"/>
    <w:rsid w:val="004E18D5"/>
    <w:rsid w:val="004F0540"/>
    <w:rsid w:val="004F1872"/>
    <w:rsid w:val="004F28E4"/>
    <w:rsid w:val="004F7E83"/>
    <w:rsid w:val="00506820"/>
    <w:rsid w:val="00511153"/>
    <w:rsid w:val="00520597"/>
    <w:rsid w:val="00527A12"/>
    <w:rsid w:val="00532326"/>
    <w:rsid w:val="00535859"/>
    <w:rsid w:val="00541C8F"/>
    <w:rsid w:val="0054294B"/>
    <w:rsid w:val="005453D4"/>
    <w:rsid w:val="005514DF"/>
    <w:rsid w:val="0055359C"/>
    <w:rsid w:val="005741B6"/>
    <w:rsid w:val="005748BA"/>
    <w:rsid w:val="005849AA"/>
    <w:rsid w:val="005938FF"/>
    <w:rsid w:val="005A2487"/>
    <w:rsid w:val="005A6A3F"/>
    <w:rsid w:val="005B0047"/>
    <w:rsid w:val="005C2B5D"/>
    <w:rsid w:val="005D106D"/>
    <w:rsid w:val="005D18E8"/>
    <w:rsid w:val="005E64C3"/>
    <w:rsid w:val="005F4357"/>
    <w:rsid w:val="006245E9"/>
    <w:rsid w:val="00640A4A"/>
    <w:rsid w:val="00640C06"/>
    <w:rsid w:val="00647D2B"/>
    <w:rsid w:val="00657BBF"/>
    <w:rsid w:val="00661B75"/>
    <w:rsid w:val="00663192"/>
    <w:rsid w:val="00687BDE"/>
    <w:rsid w:val="006A0405"/>
    <w:rsid w:val="006A2A48"/>
    <w:rsid w:val="006B1572"/>
    <w:rsid w:val="006B5D27"/>
    <w:rsid w:val="006F48CF"/>
    <w:rsid w:val="006F5A82"/>
    <w:rsid w:val="006F6BF8"/>
    <w:rsid w:val="006F7055"/>
    <w:rsid w:val="00712743"/>
    <w:rsid w:val="0071290A"/>
    <w:rsid w:val="007139D6"/>
    <w:rsid w:val="007218AB"/>
    <w:rsid w:val="00723728"/>
    <w:rsid w:val="00723FC1"/>
    <w:rsid w:val="00740E04"/>
    <w:rsid w:val="007458F1"/>
    <w:rsid w:val="00746072"/>
    <w:rsid w:val="007563DD"/>
    <w:rsid w:val="00763ACD"/>
    <w:rsid w:val="00764629"/>
    <w:rsid w:val="0076690F"/>
    <w:rsid w:val="00772916"/>
    <w:rsid w:val="00774D36"/>
    <w:rsid w:val="007834C0"/>
    <w:rsid w:val="00784319"/>
    <w:rsid w:val="007858C5"/>
    <w:rsid w:val="00791D62"/>
    <w:rsid w:val="007A60C4"/>
    <w:rsid w:val="007B2565"/>
    <w:rsid w:val="007B5ED5"/>
    <w:rsid w:val="007B6D46"/>
    <w:rsid w:val="007D10BF"/>
    <w:rsid w:val="007D3D90"/>
    <w:rsid w:val="007D7456"/>
    <w:rsid w:val="007D7AC2"/>
    <w:rsid w:val="007E0DA2"/>
    <w:rsid w:val="007E699E"/>
    <w:rsid w:val="007F147B"/>
    <w:rsid w:val="007F3CB7"/>
    <w:rsid w:val="0080700B"/>
    <w:rsid w:val="008078FC"/>
    <w:rsid w:val="00814F41"/>
    <w:rsid w:val="00816751"/>
    <w:rsid w:val="0081708E"/>
    <w:rsid w:val="008171E4"/>
    <w:rsid w:val="008177D6"/>
    <w:rsid w:val="00823364"/>
    <w:rsid w:val="00837877"/>
    <w:rsid w:val="0084226F"/>
    <w:rsid w:val="008523D9"/>
    <w:rsid w:val="008553F9"/>
    <w:rsid w:val="008719ED"/>
    <w:rsid w:val="0087450E"/>
    <w:rsid w:val="00882EC4"/>
    <w:rsid w:val="008A27B6"/>
    <w:rsid w:val="008A3335"/>
    <w:rsid w:val="008B0940"/>
    <w:rsid w:val="008B487C"/>
    <w:rsid w:val="008E38AA"/>
    <w:rsid w:val="008E7EB1"/>
    <w:rsid w:val="008F562B"/>
    <w:rsid w:val="00902E8E"/>
    <w:rsid w:val="009111E6"/>
    <w:rsid w:val="00911577"/>
    <w:rsid w:val="00915C02"/>
    <w:rsid w:val="00927423"/>
    <w:rsid w:val="00932741"/>
    <w:rsid w:val="009333AB"/>
    <w:rsid w:val="00934976"/>
    <w:rsid w:val="00934B53"/>
    <w:rsid w:val="00936F27"/>
    <w:rsid w:val="009374D4"/>
    <w:rsid w:val="00937679"/>
    <w:rsid w:val="0094187B"/>
    <w:rsid w:val="00943BA1"/>
    <w:rsid w:val="00944446"/>
    <w:rsid w:val="00944C31"/>
    <w:rsid w:val="0094671B"/>
    <w:rsid w:val="00950795"/>
    <w:rsid w:val="00956A39"/>
    <w:rsid w:val="009625E6"/>
    <w:rsid w:val="00972F78"/>
    <w:rsid w:val="00977BE6"/>
    <w:rsid w:val="009836E6"/>
    <w:rsid w:val="00997038"/>
    <w:rsid w:val="009A5681"/>
    <w:rsid w:val="009B3C7E"/>
    <w:rsid w:val="009B6B8A"/>
    <w:rsid w:val="009B6EF2"/>
    <w:rsid w:val="009C4F09"/>
    <w:rsid w:val="009D6145"/>
    <w:rsid w:val="009F6E87"/>
    <w:rsid w:val="00A100B4"/>
    <w:rsid w:val="00A10A36"/>
    <w:rsid w:val="00A21D7C"/>
    <w:rsid w:val="00A2405F"/>
    <w:rsid w:val="00A26DF2"/>
    <w:rsid w:val="00A37F27"/>
    <w:rsid w:val="00A5140A"/>
    <w:rsid w:val="00A55FCF"/>
    <w:rsid w:val="00A62BA4"/>
    <w:rsid w:val="00A64F41"/>
    <w:rsid w:val="00A65321"/>
    <w:rsid w:val="00A72F79"/>
    <w:rsid w:val="00A85D83"/>
    <w:rsid w:val="00A87A4D"/>
    <w:rsid w:val="00A90DCB"/>
    <w:rsid w:val="00A9328C"/>
    <w:rsid w:val="00A9791A"/>
    <w:rsid w:val="00AA0244"/>
    <w:rsid w:val="00AA4642"/>
    <w:rsid w:val="00AA4F49"/>
    <w:rsid w:val="00AC3FBB"/>
    <w:rsid w:val="00AD5848"/>
    <w:rsid w:val="00AD61AB"/>
    <w:rsid w:val="00AE212B"/>
    <w:rsid w:val="00AE26DD"/>
    <w:rsid w:val="00AE4888"/>
    <w:rsid w:val="00AE5128"/>
    <w:rsid w:val="00AE5A71"/>
    <w:rsid w:val="00AE6275"/>
    <w:rsid w:val="00AE6CEF"/>
    <w:rsid w:val="00AF3E6D"/>
    <w:rsid w:val="00B13C00"/>
    <w:rsid w:val="00B16FB6"/>
    <w:rsid w:val="00B261B8"/>
    <w:rsid w:val="00B32B22"/>
    <w:rsid w:val="00B512E7"/>
    <w:rsid w:val="00B519D3"/>
    <w:rsid w:val="00B52FB6"/>
    <w:rsid w:val="00B56A74"/>
    <w:rsid w:val="00B7062C"/>
    <w:rsid w:val="00B7503C"/>
    <w:rsid w:val="00B768B1"/>
    <w:rsid w:val="00B77E2A"/>
    <w:rsid w:val="00B82B4A"/>
    <w:rsid w:val="00B83E13"/>
    <w:rsid w:val="00B85785"/>
    <w:rsid w:val="00B92160"/>
    <w:rsid w:val="00B974EA"/>
    <w:rsid w:val="00BA26F3"/>
    <w:rsid w:val="00BA5600"/>
    <w:rsid w:val="00BA5820"/>
    <w:rsid w:val="00BB0D37"/>
    <w:rsid w:val="00BC1FEC"/>
    <w:rsid w:val="00BC4E65"/>
    <w:rsid w:val="00BC53B7"/>
    <w:rsid w:val="00BE04C0"/>
    <w:rsid w:val="00BE3A84"/>
    <w:rsid w:val="00BE4D66"/>
    <w:rsid w:val="00C139E3"/>
    <w:rsid w:val="00C210C5"/>
    <w:rsid w:val="00C35D3F"/>
    <w:rsid w:val="00C52CD6"/>
    <w:rsid w:val="00C544E2"/>
    <w:rsid w:val="00C61FB1"/>
    <w:rsid w:val="00C663A5"/>
    <w:rsid w:val="00C66B12"/>
    <w:rsid w:val="00C779DA"/>
    <w:rsid w:val="00C85130"/>
    <w:rsid w:val="00C975EF"/>
    <w:rsid w:val="00CC39A5"/>
    <w:rsid w:val="00CC3FED"/>
    <w:rsid w:val="00CC7324"/>
    <w:rsid w:val="00CD076A"/>
    <w:rsid w:val="00CE3939"/>
    <w:rsid w:val="00CF5193"/>
    <w:rsid w:val="00D0062F"/>
    <w:rsid w:val="00D03809"/>
    <w:rsid w:val="00D10353"/>
    <w:rsid w:val="00D109B3"/>
    <w:rsid w:val="00D111F8"/>
    <w:rsid w:val="00D1744B"/>
    <w:rsid w:val="00D24847"/>
    <w:rsid w:val="00D27DCB"/>
    <w:rsid w:val="00D3354A"/>
    <w:rsid w:val="00D33F44"/>
    <w:rsid w:val="00D35302"/>
    <w:rsid w:val="00D51FC3"/>
    <w:rsid w:val="00D54367"/>
    <w:rsid w:val="00D6011F"/>
    <w:rsid w:val="00D72D34"/>
    <w:rsid w:val="00D743A5"/>
    <w:rsid w:val="00D77322"/>
    <w:rsid w:val="00D822E9"/>
    <w:rsid w:val="00D83A1B"/>
    <w:rsid w:val="00DA0825"/>
    <w:rsid w:val="00DA3EBF"/>
    <w:rsid w:val="00DB0EA1"/>
    <w:rsid w:val="00DB26F1"/>
    <w:rsid w:val="00DB457A"/>
    <w:rsid w:val="00DD7574"/>
    <w:rsid w:val="00DE56A9"/>
    <w:rsid w:val="00DF7279"/>
    <w:rsid w:val="00E129F9"/>
    <w:rsid w:val="00E138EA"/>
    <w:rsid w:val="00E17FD8"/>
    <w:rsid w:val="00E21846"/>
    <w:rsid w:val="00E22DC1"/>
    <w:rsid w:val="00E31D48"/>
    <w:rsid w:val="00E31D51"/>
    <w:rsid w:val="00E36B8E"/>
    <w:rsid w:val="00E4073F"/>
    <w:rsid w:val="00E70E48"/>
    <w:rsid w:val="00E87228"/>
    <w:rsid w:val="00E8769E"/>
    <w:rsid w:val="00E92C16"/>
    <w:rsid w:val="00E96C09"/>
    <w:rsid w:val="00E97E82"/>
    <w:rsid w:val="00EA31C2"/>
    <w:rsid w:val="00EA44D1"/>
    <w:rsid w:val="00EA5452"/>
    <w:rsid w:val="00EC0B98"/>
    <w:rsid w:val="00EE569C"/>
    <w:rsid w:val="00EF6F1F"/>
    <w:rsid w:val="00F05E50"/>
    <w:rsid w:val="00F156BD"/>
    <w:rsid w:val="00F16DF6"/>
    <w:rsid w:val="00F177B8"/>
    <w:rsid w:val="00F444F8"/>
    <w:rsid w:val="00F62356"/>
    <w:rsid w:val="00F63AF2"/>
    <w:rsid w:val="00F71C4B"/>
    <w:rsid w:val="00F72625"/>
    <w:rsid w:val="00F83A3A"/>
    <w:rsid w:val="00F91E94"/>
    <w:rsid w:val="00F94E39"/>
    <w:rsid w:val="00FA505D"/>
    <w:rsid w:val="00FA7630"/>
    <w:rsid w:val="00FC34C8"/>
    <w:rsid w:val="00FC3DF1"/>
    <w:rsid w:val="00FC7E2C"/>
    <w:rsid w:val="00FE2ED1"/>
    <w:rsid w:val="00FE3A0B"/>
    <w:rsid w:val="00FF3281"/>
    <w:rsid w:val="00FF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0CAD0"/>
  <w15:docId w15:val="{AC8F6A97-201E-443E-A5B5-5F5204B8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5DF8"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y"/>
    <w:link w:val="Nadpis1Char"/>
    <w:uiPriority w:val="9"/>
    <w:qFormat/>
    <w:rsid w:val="004F187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4F1872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Odsekzoznamu">
    <w:name w:val="List Paragraph"/>
    <w:basedOn w:val="Normlny"/>
    <w:uiPriority w:val="34"/>
    <w:qFormat/>
    <w:rsid w:val="00355DF8"/>
    <w:pPr>
      <w:ind w:left="720"/>
      <w:contextualSpacing/>
    </w:pPr>
  </w:style>
  <w:style w:type="character" w:styleId="Odkaznakomentr">
    <w:name w:val="annotation reference"/>
    <w:uiPriority w:val="99"/>
    <w:semiHidden/>
    <w:unhideWhenUsed/>
    <w:rsid w:val="002835DF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35DF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2835DF"/>
    <w:rPr>
      <w:rFonts w:ascii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35DF"/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2835DF"/>
    <w:rPr>
      <w:rFonts w:ascii="Times New Roman" w:hAnsi="Times New Roman" w:cs="Times New Roman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35DF"/>
    <w:rPr>
      <w:rFonts w:ascii="Tahoma" w:hAnsi="Tahoma"/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2835DF"/>
    <w:rPr>
      <w:rFonts w:ascii="Tahoma" w:hAnsi="Tahoma" w:cs="Times New Roman"/>
      <w:sz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15A87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315A87"/>
    <w:rPr>
      <w:rFonts w:ascii="Times New Roman" w:hAnsi="Times New Roman" w:cs="Times New Roman"/>
    </w:rPr>
  </w:style>
  <w:style w:type="character" w:styleId="Odkaznapoznmkupodiarou">
    <w:name w:val="footnote reference"/>
    <w:uiPriority w:val="99"/>
    <w:semiHidden/>
    <w:unhideWhenUsed/>
    <w:rsid w:val="00315A87"/>
    <w:rPr>
      <w:rFonts w:cs="Times New Roman"/>
      <w:vertAlign w:val="superscript"/>
    </w:rPr>
  </w:style>
  <w:style w:type="paragraph" w:styleId="Revzia">
    <w:name w:val="Revision"/>
    <w:hidden/>
    <w:uiPriority w:val="99"/>
    <w:semiHidden/>
    <w:rsid w:val="00972F78"/>
    <w:rPr>
      <w:rFonts w:ascii="Times New Roman" w:hAnsi="Times New Roman" w:cs="Times New Roman"/>
      <w:sz w:val="24"/>
      <w:szCs w:val="24"/>
    </w:rPr>
  </w:style>
  <w:style w:type="character" w:customStyle="1" w:styleId="h1a">
    <w:name w:val="h1a"/>
    <w:rsid w:val="004F1872"/>
  </w:style>
  <w:style w:type="paragraph" w:styleId="Normlnywebov">
    <w:name w:val="Normal (Web)"/>
    <w:basedOn w:val="Normlny"/>
    <w:uiPriority w:val="99"/>
    <w:unhideWhenUsed/>
    <w:rsid w:val="004F1872"/>
    <w:pPr>
      <w:spacing w:before="100" w:beforeAutospacing="1" w:after="100" w:afterAutospacing="1"/>
    </w:pPr>
  </w:style>
  <w:style w:type="character" w:styleId="Hypertextovprepojenie">
    <w:name w:val="Hyperlink"/>
    <w:uiPriority w:val="99"/>
    <w:unhideWhenUsed/>
    <w:rsid w:val="004F1872"/>
    <w:rPr>
      <w:color w:val="0000FF"/>
      <w:u w:val="single"/>
    </w:rPr>
  </w:style>
  <w:style w:type="character" w:styleId="PremennHTML">
    <w:name w:val="HTML Variable"/>
    <w:uiPriority w:val="99"/>
    <w:unhideWhenUsed/>
    <w:rsid w:val="00376567"/>
    <w:rPr>
      <w:i/>
    </w:rPr>
  </w:style>
  <w:style w:type="paragraph" w:customStyle="1" w:styleId="Default">
    <w:name w:val="Default"/>
    <w:rsid w:val="000222C7"/>
    <w:pPr>
      <w:widowControl w:val="0"/>
      <w:suppressAutoHyphens/>
      <w:autoSpaceDE w:val="0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10389-FFC7-49E7-9153-1E847AC3E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 SR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Meszaros</dc:creator>
  <cp:lastModifiedBy>Beluský, Martin</cp:lastModifiedBy>
  <cp:revision>156</cp:revision>
  <cp:lastPrinted>2021-08-30T09:47:00Z</cp:lastPrinted>
  <dcterms:created xsi:type="dcterms:W3CDTF">2019-08-22T16:32:00Z</dcterms:created>
  <dcterms:modified xsi:type="dcterms:W3CDTF">2022-03-31T11:06:00Z</dcterms:modified>
</cp:coreProperties>
</file>